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7.xml" ContentType="application/vnd.openxmlformats-officedocument.wordprocessingml.header+xml"/>
  <Override PartName="/word/footer29.xml" ContentType="application/vnd.openxmlformats-officedocument.wordprocessingml.footer+xml"/>
  <Override PartName="/word/header8.xml" ContentType="application/vnd.openxmlformats-officedocument.wordprocessingml.header+xml"/>
  <Override PartName="/word/footer30.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11.xml" ContentType="application/vnd.openxmlformats-officedocument.wordprocessingml.header+xml"/>
  <Override PartName="/word/footer36.xml" ContentType="application/vnd.openxmlformats-officedocument.wordprocessingml.footer+xml"/>
  <Override PartName="/word/header12.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13.xml" ContentType="application/vnd.openxmlformats-officedocument.wordprocessingml.header+xml"/>
  <Override PartName="/word/footer40.xml" ContentType="application/vnd.openxmlformats-officedocument.wordprocessingml.footer+xml"/>
  <Override PartName="/word/header14.xml" ContentType="application/vnd.openxmlformats-officedocument.wordprocessingml.header+xml"/>
  <Override PartName="/word/footer4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42.xml" ContentType="application/vnd.openxmlformats-officedocument.wordprocessingml.footer+xml"/>
  <Override PartName="/word/header17.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header18.xml" ContentType="application/vnd.openxmlformats-officedocument.wordprocessingml.header+xml"/>
  <Override PartName="/word/footer46.xml" ContentType="application/vnd.openxmlformats-officedocument.wordprocessingml.footer+xml"/>
  <Override PartName="/word/header19.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header20.xml" ContentType="application/vnd.openxmlformats-officedocument.wordprocessingml.header+xml"/>
  <Override PartName="/word/footer72.xml" ContentType="application/vnd.openxmlformats-officedocument.wordprocessingml.footer+xml"/>
  <Override PartName="/word/header21.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header22.xml" ContentType="application/vnd.openxmlformats-officedocument.wordprocessingml.header+xml"/>
  <Override PartName="/word/footer82.xml" ContentType="application/vnd.openxmlformats-officedocument.wordprocessingml.footer+xml"/>
  <Override PartName="/word/header23.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24.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header25.xml" ContentType="application/vnd.openxmlformats-officedocument.wordprocessingml.header+xml"/>
  <Override PartName="/word/footer88.xml" ContentType="application/vnd.openxmlformats-officedocument.wordprocessingml.footer+xml"/>
  <Override PartName="/word/header26.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header27.xml" ContentType="application/vnd.openxmlformats-officedocument.wordprocessingml.header+xml"/>
  <Override PartName="/word/footer11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30.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header31.xml" ContentType="application/vnd.openxmlformats-officedocument.wordprocessingml.header+xml"/>
  <Override PartName="/word/footer1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2F88DB" w14:textId="085ACAF8" w:rsidR="003C360C" w:rsidRDefault="008B279C" w:rsidP="00DD1A86">
      <w:pPr>
        <w:jc w:val="center"/>
      </w:pPr>
      <w:r>
        <w:rPr>
          <w:noProof/>
          <w:lang w:val="en-AU" w:eastAsia="en-AU"/>
        </w:rPr>
        <w:drawing>
          <wp:anchor distT="0" distB="0" distL="114300" distR="114300" simplePos="0" relativeHeight="252002304" behindDoc="1" locked="0" layoutInCell="1" allowOverlap="1" wp14:anchorId="1E294125" wp14:editId="748E7DC3">
            <wp:simplePos x="0" y="0"/>
            <wp:positionH relativeFrom="margin">
              <wp:posOffset>-723900</wp:posOffset>
            </wp:positionH>
            <wp:positionV relativeFrom="paragraph">
              <wp:posOffset>-720090</wp:posOffset>
            </wp:positionV>
            <wp:extent cx="6345141" cy="9012882"/>
            <wp:effectExtent l="0" t="0" r="0" b="0"/>
            <wp:wrapNone/>
            <wp:docPr id="154" name="Pictur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6345141" cy="9012882"/>
                    </a:xfrm>
                    <a:prstGeom prst="rect">
                      <a:avLst/>
                    </a:prstGeom>
                  </pic:spPr>
                </pic:pic>
              </a:graphicData>
            </a:graphic>
            <wp14:sizeRelH relativeFrom="margin">
              <wp14:pctWidth>0</wp14:pctWidth>
            </wp14:sizeRelH>
            <wp14:sizeRelV relativeFrom="margin">
              <wp14:pctHeight>0</wp14:pctHeight>
            </wp14:sizeRelV>
          </wp:anchor>
        </w:drawing>
      </w:r>
      <w:r w:rsidR="00DD1A86">
        <w:rPr>
          <w:noProof/>
          <w:lang w:val="en-AU" w:eastAsia="en-AU"/>
        </w:rPr>
        <w:drawing>
          <wp:inline distT="0" distB="0" distL="0" distR="0" wp14:anchorId="19CDC997" wp14:editId="4BC15273">
            <wp:extent cx="488129" cy="739775"/>
            <wp:effectExtent l="0" t="0" r="7620" b="3175"/>
            <wp:docPr id="3" name="Picture 3" descr="IH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HPA logo"/>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488129" cy="739775"/>
                    </a:xfrm>
                    <a:prstGeom prst="rect">
                      <a:avLst/>
                    </a:prstGeom>
                    <a:noFill/>
                    <a:ln>
                      <a:noFill/>
                    </a:ln>
                  </pic:spPr>
                </pic:pic>
              </a:graphicData>
            </a:graphic>
          </wp:inline>
        </w:drawing>
      </w:r>
    </w:p>
    <w:p w14:paraId="3FEA48BA" w14:textId="59FC0F2B" w:rsidR="00390694" w:rsidRPr="00390694" w:rsidRDefault="00390694" w:rsidP="00C531E5">
      <w:pPr>
        <w:spacing w:before="2400" w:after="0" w:line="192" w:lineRule="auto"/>
        <w:jc w:val="center"/>
        <w:rPr>
          <w:rFonts w:asciiTheme="majorHAnsi" w:hAnsiTheme="majorHAnsi"/>
          <w:color w:val="FFFFFF" w:themeColor="background2"/>
          <w:sz w:val="144"/>
          <w:szCs w:val="144"/>
        </w:rPr>
      </w:pPr>
      <w:r w:rsidRPr="00390694">
        <w:rPr>
          <w:rFonts w:asciiTheme="majorHAnsi" w:hAnsiTheme="majorHAnsi"/>
          <w:color w:val="FFFFFF" w:themeColor="background2"/>
          <w:sz w:val="144"/>
          <w:szCs w:val="144"/>
        </w:rPr>
        <w:t>A</w:t>
      </w:r>
      <w:r w:rsidR="008E403F">
        <w:rPr>
          <w:rFonts w:asciiTheme="majorHAnsi" w:hAnsiTheme="majorHAnsi"/>
          <w:color w:val="FFFFFF" w:themeColor="background2"/>
          <w:sz w:val="144"/>
          <w:szCs w:val="144"/>
        </w:rPr>
        <w:t>nnual</w:t>
      </w:r>
    </w:p>
    <w:p w14:paraId="69064BF0" w14:textId="54F18CD8" w:rsidR="00390694" w:rsidRPr="00EE1FE9" w:rsidRDefault="00390694" w:rsidP="00EE1FE9">
      <w:pPr>
        <w:pStyle w:val="Title"/>
      </w:pPr>
      <w:r w:rsidRPr="00EE1FE9">
        <w:t>R</w:t>
      </w:r>
      <w:r w:rsidR="008E403F">
        <w:t>eport</w:t>
      </w:r>
    </w:p>
    <w:p w14:paraId="33259037" w14:textId="2715C312" w:rsidR="00390694" w:rsidRPr="008E403F" w:rsidRDefault="00390694" w:rsidP="00EE1FE9">
      <w:pPr>
        <w:pStyle w:val="Year"/>
        <w:rPr>
          <w:color w:val="FFFFFF" w:themeColor="background2"/>
        </w:rPr>
      </w:pPr>
      <w:r w:rsidRPr="008E403F">
        <w:rPr>
          <w:color w:val="FFFFFF" w:themeColor="background2"/>
        </w:rPr>
        <w:t>2020</w:t>
      </w:r>
      <w:r w:rsidR="00DF0D1E">
        <w:rPr>
          <w:color w:val="FFFFFF" w:themeColor="background2"/>
        </w:rPr>
        <w:t>–</w:t>
      </w:r>
      <w:r w:rsidRPr="008E403F">
        <w:rPr>
          <w:color w:val="FFFFFF" w:themeColor="background2"/>
        </w:rPr>
        <w:t>21</w:t>
      </w:r>
    </w:p>
    <w:p w14:paraId="08E8FD74" w14:textId="4674E801" w:rsidR="00DD1A86" w:rsidRPr="00EE1FE9" w:rsidRDefault="00390694" w:rsidP="002A604B">
      <w:pPr>
        <w:pStyle w:val="Subtitle"/>
        <w:spacing w:before="3360"/>
      </w:pPr>
      <w:r w:rsidRPr="00EE1FE9">
        <w:t>Independent Hospital Pricing Authority</w:t>
      </w:r>
    </w:p>
    <w:p w14:paraId="07CFB657" w14:textId="77777777" w:rsidR="00DD1A86" w:rsidRDefault="00DD1A86" w:rsidP="00390694">
      <w:pPr>
        <w:sectPr w:rsidR="00DD1A86" w:rsidSect="000725B0">
          <w:headerReference w:type="default" r:id="rId10"/>
          <w:footerReference w:type="default" r:id="rId11"/>
          <w:pgSz w:w="9979" w:h="14175"/>
          <w:pgMar w:top="1134" w:right="1134" w:bottom="1134" w:left="1134" w:header="709" w:footer="709" w:gutter="0"/>
          <w:cols w:space="708"/>
          <w:docGrid w:linePitch="360"/>
        </w:sectPr>
      </w:pPr>
    </w:p>
    <w:p w14:paraId="07C190CD" w14:textId="77777777" w:rsidR="00417A60" w:rsidRPr="00CE1E27" w:rsidRDefault="00417A60" w:rsidP="006027A6">
      <w:pPr>
        <w:pStyle w:val="H4"/>
        <w:spacing w:before="1080"/>
        <w:rPr>
          <w:bCs w:val="0"/>
        </w:rPr>
      </w:pPr>
      <w:bookmarkStart w:id="0" w:name="_Toc44349571"/>
      <w:bookmarkStart w:id="1" w:name="_Toc44350163"/>
      <w:bookmarkStart w:id="2" w:name="_Toc45192378"/>
      <w:bookmarkStart w:id="3" w:name="_Toc45636762"/>
      <w:bookmarkStart w:id="4" w:name="_Toc45705618"/>
      <w:bookmarkStart w:id="5" w:name="_Toc46151558"/>
      <w:bookmarkStart w:id="6" w:name="_Toc50378054"/>
      <w:bookmarkStart w:id="7" w:name="_Toc76743776"/>
      <w:bookmarkStart w:id="8" w:name="_Toc76744203"/>
      <w:bookmarkStart w:id="9" w:name="_Toc76746599"/>
      <w:bookmarkStart w:id="10" w:name="_Toc77354650"/>
      <w:r w:rsidRPr="00CE1E27">
        <w:rPr>
          <w:bCs w:val="0"/>
        </w:rPr>
        <w:lastRenderedPageBreak/>
        <w:t>Contact</w:t>
      </w:r>
    </w:p>
    <w:p w14:paraId="27DCCD8F" w14:textId="77777777" w:rsidR="00417A60" w:rsidRPr="00A64835" w:rsidRDefault="00417A60" w:rsidP="00417A60">
      <w:pPr>
        <w:pStyle w:val="Body"/>
      </w:pPr>
      <w:r w:rsidRPr="00A64835">
        <w:t xml:space="preserve">If you have any queries about this annual </w:t>
      </w:r>
      <w:proofErr w:type="gramStart"/>
      <w:r w:rsidRPr="00A64835">
        <w:t>report</w:t>
      </w:r>
      <w:proofErr w:type="gramEnd"/>
      <w:r w:rsidRPr="00A64835">
        <w:t xml:space="preserve"> please contact:</w:t>
      </w:r>
    </w:p>
    <w:p w14:paraId="5CC6AC8E" w14:textId="77777777" w:rsidR="00417A60" w:rsidRPr="00CE1E27" w:rsidRDefault="00417A60" w:rsidP="00417A60">
      <w:pPr>
        <w:pStyle w:val="Body"/>
        <w:rPr>
          <w:b/>
          <w:bCs/>
        </w:rPr>
      </w:pPr>
      <w:r w:rsidRPr="00CE1E27">
        <w:rPr>
          <w:b/>
          <w:bCs/>
        </w:rPr>
        <w:t>Independent Hospital Pricing Authority</w:t>
      </w:r>
      <w:r>
        <w:rPr>
          <w:b/>
          <w:bCs/>
        </w:rPr>
        <w:br/>
      </w:r>
      <w:r w:rsidRPr="00A64835">
        <w:t>Communication and Media Section</w:t>
      </w:r>
      <w:r>
        <w:rPr>
          <w:b/>
          <w:bCs/>
        </w:rPr>
        <w:br/>
      </w:r>
      <w:r>
        <w:t xml:space="preserve">Eora Nation, </w:t>
      </w:r>
      <w:r w:rsidRPr="00A64835">
        <w:t>PO Box 483</w:t>
      </w:r>
      <w:r>
        <w:rPr>
          <w:b/>
          <w:bCs/>
        </w:rPr>
        <w:br/>
      </w:r>
      <w:r w:rsidRPr="00A64835">
        <w:t>Darlinghurst NSW 1300</w:t>
      </w:r>
    </w:p>
    <w:p w14:paraId="4CD6B9F9" w14:textId="77777777" w:rsidR="00417A60" w:rsidRPr="00A64835" w:rsidRDefault="00417A60" w:rsidP="00417A60">
      <w:pPr>
        <w:pStyle w:val="Body"/>
      </w:pPr>
      <w:r w:rsidRPr="00CE1E27">
        <w:rPr>
          <w:b/>
          <w:bCs/>
        </w:rPr>
        <w:t>Email</w:t>
      </w:r>
      <w:r w:rsidRPr="00F55FE1">
        <w:rPr>
          <w:b/>
          <w:bCs/>
        </w:rPr>
        <w:t xml:space="preserve"> </w:t>
      </w:r>
      <w:hyperlink r:id="rId12" w:history="1">
        <w:r w:rsidRPr="00323E2D">
          <w:rPr>
            <w:rStyle w:val="Hyperlink"/>
          </w:rPr>
          <w:t>communications.ihpa@ihpa.gov.au</w:t>
        </w:r>
      </w:hyperlink>
      <w:r>
        <w:br/>
      </w:r>
      <w:r w:rsidRPr="008E51AC">
        <w:rPr>
          <w:b/>
          <w:bCs/>
        </w:rPr>
        <w:t>Telephone</w:t>
      </w:r>
      <w:r w:rsidRPr="00F55FE1">
        <w:rPr>
          <w:b/>
          <w:bCs/>
        </w:rPr>
        <w:t xml:space="preserve"> </w:t>
      </w:r>
      <w:r w:rsidRPr="00A64835">
        <w:t>02 8215 1100</w:t>
      </w:r>
      <w:r>
        <w:br/>
      </w:r>
      <w:r w:rsidRPr="00CE1E27">
        <w:rPr>
          <w:b/>
          <w:bCs/>
        </w:rPr>
        <w:t>ABN</w:t>
      </w:r>
      <w:r w:rsidRPr="00A64835">
        <w:t xml:space="preserve"> 27 598 959 960</w:t>
      </w:r>
    </w:p>
    <w:p w14:paraId="64A95EFF" w14:textId="77777777" w:rsidR="00417A60" w:rsidRPr="00A64835" w:rsidRDefault="00417A60" w:rsidP="00417A60">
      <w:pPr>
        <w:pStyle w:val="Body"/>
      </w:pPr>
      <w:r w:rsidRPr="00CE1E27">
        <w:rPr>
          <w:b/>
          <w:bCs/>
        </w:rPr>
        <w:t>Website</w:t>
      </w:r>
      <w:r w:rsidRPr="00A64835">
        <w:t xml:space="preserve"> </w:t>
      </w:r>
      <w:hyperlink r:id="rId13" w:history="1">
        <w:r w:rsidRPr="00CE1E27">
          <w:rPr>
            <w:rStyle w:val="Hyperlink"/>
          </w:rPr>
          <w:t>www.ihpa.gov.au</w:t>
        </w:r>
      </w:hyperlink>
    </w:p>
    <w:p w14:paraId="50AE38CC" w14:textId="77777777" w:rsidR="00417A60" w:rsidRPr="00CE1E27" w:rsidRDefault="00417A60" w:rsidP="00417A60">
      <w:pPr>
        <w:pStyle w:val="H4"/>
      </w:pPr>
      <w:r w:rsidRPr="00CE1E27">
        <w:t>Online version</w:t>
      </w:r>
    </w:p>
    <w:p w14:paraId="46C5D3FC" w14:textId="77777777" w:rsidR="00417A60" w:rsidRPr="00A64835" w:rsidRDefault="00417A60" w:rsidP="00417A60">
      <w:pPr>
        <w:pStyle w:val="Body"/>
      </w:pPr>
      <w:r w:rsidRPr="00A64835">
        <w:t>An online version of this annual report can be accessed at:</w:t>
      </w:r>
      <w:r>
        <w:br/>
      </w:r>
      <w:hyperlink r:id="rId14" w:history="1">
        <w:r w:rsidRPr="007A5C39">
          <w:rPr>
            <w:rStyle w:val="Hyperlink"/>
          </w:rPr>
          <w:t>www.ihpa.gov.au/ihpa-annual-report-2020-21</w:t>
        </w:r>
      </w:hyperlink>
    </w:p>
    <w:p w14:paraId="2E623746" w14:textId="77777777" w:rsidR="00417A60" w:rsidRPr="00CE1E27" w:rsidRDefault="00417A60" w:rsidP="00417A60">
      <w:pPr>
        <w:pStyle w:val="H4"/>
      </w:pPr>
      <w:r w:rsidRPr="00CE1E27">
        <w:t>Follow us</w:t>
      </w:r>
    </w:p>
    <w:p w14:paraId="08EF5246" w14:textId="77777777" w:rsidR="00417A60" w:rsidRPr="00A64835" w:rsidRDefault="00417A60" w:rsidP="00417A60">
      <w:pPr>
        <w:pStyle w:val="Body"/>
      </w:pPr>
      <w:r w:rsidRPr="00CE1E27">
        <w:rPr>
          <w:b/>
          <w:bCs/>
        </w:rPr>
        <w:t>LinkedIn</w:t>
      </w:r>
      <w:r w:rsidRPr="00A64835">
        <w:t xml:space="preserve"> </w:t>
      </w:r>
      <w:hyperlink r:id="rId15" w:history="1">
        <w:r w:rsidRPr="00CE1E27">
          <w:rPr>
            <w:rStyle w:val="Hyperlink"/>
          </w:rPr>
          <w:t>linkedin.com/company/independent-hospital-pricing-authority</w:t>
        </w:r>
      </w:hyperlink>
    </w:p>
    <w:p w14:paraId="6033F2BD" w14:textId="77777777" w:rsidR="00417A60" w:rsidRPr="00A64835" w:rsidRDefault="00417A60" w:rsidP="00417A60">
      <w:pPr>
        <w:pStyle w:val="Body"/>
      </w:pPr>
      <w:r w:rsidRPr="008E51AC">
        <w:rPr>
          <w:b/>
          <w:bCs/>
        </w:rPr>
        <w:t>Twitter</w:t>
      </w:r>
      <w:r w:rsidRPr="00A64835">
        <w:t xml:space="preserve"> </w:t>
      </w:r>
      <w:hyperlink r:id="rId16" w:history="1">
        <w:r>
          <w:rPr>
            <w:rStyle w:val="Hyperlink"/>
          </w:rPr>
          <w:t>twitter.com/</w:t>
        </w:r>
        <w:proofErr w:type="spellStart"/>
        <w:r w:rsidRPr="00CE1E27">
          <w:rPr>
            <w:rStyle w:val="Hyperlink"/>
          </w:rPr>
          <w:t>IHPAnews</w:t>
        </w:r>
        <w:proofErr w:type="spellEnd"/>
      </w:hyperlink>
    </w:p>
    <w:p w14:paraId="43F4160D" w14:textId="77777777" w:rsidR="00417A60" w:rsidRPr="00A64835" w:rsidRDefault="00417A60" w:rsidP="00417A60">
      <w:pPr>
        <w:pStyle w:val="Body"/>
      </w:pPr>
      <w:r w:rsidRPr="00CE1E27">
        <w:rPr>
          <w:b/>
          <w:bCs/>
        </w:rPr>
        <w:t>YouTube</w:t>
      </w:r>
      <w:r w:rsidRPr="00A64835">
        <w:t xml:space="preserve"> </w:t>
      </w:r>
      <w:hyperlink r:id="rId17" w:history="1">
        <w:r w:rsidRPr="00CE1E27">
          <w:rPr>
            <w:rStyle w:val="Hyperlink"/>
          </w:rPr>
          <w:t>youtube.com/</w:t>
        </w:r>
        <w:proofErr w:type="spellStart"/>
        <w:r>
          <w:rPr>
            <w:rStyle w:val="Hyperlink"/>
          </w:rPr>
          <w:t>IHPA</w:t>
        </w:r>
        <w:r w:rsidRPr="00CE1E27">
          <w:rPr>
            <w:rStyle w:val="Hyperlink"/>
          </w:rPr>
          <w:t>GovAu</w:t>
        </w:r>
        <w:proofErr w:type="spellEnd"/>
      </w:hyperlink>
    </w:p>
    <w:p w14:paraId="05FEBEF4" w14:textId="77777777" w:rsidR="00417A60" w:rsidRDefault="00417A60" w:rsidP="00C531E5">
      <w:pPr>
        <w:pStyle w:val="Body"/>
        <w:spacing w:after="600"/>
      </w:pPr>
      <w:r w:rsidRPr="00CE1E27">
        <w:rPr>
          <w:b/>
          <w:bCs/>
        </w:rPr>
        <w:t>SoundCloud</w:t>
      </w:r>
      <w:r w:rsidRPr="00A64835">
        <w:t xml:space="preserve"> </w:t>
      </w:r>
      <w:hyperlink r:id="rId18" w:history="1">
        <w:r w:rsidRPr="00CE1E27">
          <w:rPr>
            <w:rStyle w:val="Hyperlink"/>
          </w:rPr>
          <w:t>soundcloud.com/IHPA</w:t>
        </w:r>
      </w:hyperlink>
    </w:p>
    <w:p w14:paraId="533BCAE2" w14:textId="77777777" w:rsidR="00417A60" w:rsidRDefault="00417A60" w:rsidP="00417A60">
      <w:pPr>
        <w:pStyle w:val="Body"/>
      </w:pPr>
      <w:r w:rsidRPr="00A64835">
        <w:t xml:space="preserve">Suggested citation: Independent Hospital Pricing Authority Annual Report </w:t>
      </w:r>
      <w:r>
        <w:t>2020–21</w:t>
      </w:r>
    </w:p>
    <w:p w14:paraId="37E320FC" w14:textId="77777777" w:rsidR="00417A60" w:rsidRPr="00A64835" w:rsidRDefault="00417A60" w:rsidP="00417A60">
      <w:pPr>
        <w:pStyle w:val="Body"/>
      </w:pPr>
      <w:r w:rsidRPr="00A64835">
        <w:t>Online ISSN: 2201</w:t>
      </w:r>
      <w:r>
        <w:rPr>
          <w:rFonts w:ascii="Cambria Math" w:hAnsi="Cambria Math" w:cs="Cambria Math"/>
        </w:rPr>
        <w:t>–</w:t>
      </w:r>
      <w:r w:rsidRPr="00A64835">
        <w:t>1862</w:t>
      </w:r>
      <w:r>
        <w:br/>
      </w:r>
      <w:r w:rsidRPr="00A64835">
        <w:t>Print ISSN: 2201</w:t>
      </w:r>
      <w:r>
        <w:rPr>
          <w:rFonts w:ascii="Cambria Math" w:hAnsi="Cambria Math" w:cs="Cambria Math"/>
        </w:rPr>
        <w:t>–</w:t>
      </w:r>
      <w:r w:rsidRPr="00A64835">
        <w:t>0718</w:t>
      </w:r>
    </w:p>
    <w:p w14:paraId="1F753811" w14:textId="77777777" w:rsidR="00417A60" w:rsidRDefault="00417A60" w:rsidP="00417A60">
      <w:pPr>
        <w:pStyle w:val="Body"/>
        <w:rPr>
          <w:b/>
          <w:bCs/>
        </w:rPr>
      </w:pPr>
      <w:r w:rsidRPr="0015755F">
        <w:rPr>
          <w:b/>
          <w:bCs/>
        </w:rPr>
        <w:t>© Independent Hospital Pricing Authority 202</w:t>
      </w:r>
      <w:r>
        <w:rPr>
          <w:b/>
          <w:bCs/>
        </w:rPr>
        <w:t>1</w:t>
      </w:r>
    </w:p>
    <w:p w14:paraId="6EF4B9D1" w14:textId="77777777" w:rsidR="00417A60" w:rsidRPr="0015755F" w:rsidRDefault="00417A60" w:rsidP="00417A60">
      <w:pPr>
        <w:pStyle w:val="Body"/>
        <w:rPr>
          <w:b/>
          <w:bCs/>
        </w:rPr>
      </w:pPr>
      <w:r>
        <w:rPr>
          <w:noProof/>
          <w:lang w:val="en-AU" w:eastAsia="en-AU"/>
        </w:rPr>
        <w:drawing>
          <wp:inline distT="0" distB="0" distL="0" distR="0" wp14:anchorId="4A084610" wp14:editId="629BA3A8">
            <wp:extent cx="842838" cy="301288"/>
            <wp:effectExtent l="0" t="0" r="0" b="0"/>
            <wp:docPr id="58" name="Picture 58" descr="Creative Commons Attribution 3.0 Australia lic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reative Commons Attribution 3.0 Australia licence"/>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877244" cy="313587"/>
                    </a:xfrm>
                    <a:prstGeom prst="rect">
                      <a:avLst/>
                    </a:prstGeom>
                    <a:noFill/>
                    <a:ln>
                      <a:noFill/>
                    </a:ln>
                  </pic:spPr>
                </pic:pic>
              </a:graphicData>
            </a:graphic>
          </wp:inline>
        </w:drawing>
      </w:r>
    </w:p>
    <w:p w14:paraId="3D89785E" w14:textId="77777777" w:rsidR="00417A60" w:rsidRPr="00A64835" w:rsidRDefault="00417A60" w:rsidP="00417A60">
      <w:pPr>
        <w:pStyle w:val="Body"/>
      </w:pPr>
      <w:r w:rsidRPr="00A64835">
        <w:t xml:space="preserve">With the exception of the IHPA logo, photos and signatures and where otherwise noted, all material presented in this document is provided under a Creative Commons Attribution 3.0 Australia </w:t>
      </w:r>
      <w:proofErr w:type="spellStart"/>
      <w:r w:rsidRPr="00A64835">
        <w:t>licence</w:t>
      </w:r>
      <w:proofErr w:type="spellEnd"/>
      <w:r w:rsidRPr="00A64835">
        <w:t>.</w:t>
      </w:r>
    </w:p>
    <w:p w14:paraId="1FFB0C0F" w14:textId="5DDB8849" w:rsidR="00417A60" w:rsidRPr="00417A60" w:rsidRDefault="00417A60" w:rsidP="00417A60">
      <w:pPr>
        <w:pStyle w:val="Body"/>
        <w:sectPr w:rsidR="00417A60" w:rsidRPr="00417A60" w:rsidSect="003F1D11">
          <w:headerReference w:type="default" r:id="rId20"/>
          <w:footerReference w:type="default" r:id="rId21"/>
          <w:pgSz w:w="9979" w:h="14175"/>
          <w:pgMar w:top="1418" w:right="1134" w:bottom="1134" w:left="1134" w:header="709" w:footer="709" w:gutter="0"/>
          <w:pgNumType w:fmt="lowerRoman" w:start="1"/>
          <w:cols w:space="708"/>
          <w:docGrid w:linePitch="360"/>
        </w:sectPr>
      </w:pPr>
      <w:r w:rsidRPr="00A64835">
        <w:t xml:space="preserve">The details of the relevant </w:t>
      </w:r>
      <w:proofErr w:type="spellStart"/>
      <w:r w:rsidRPr="00A64835">
        <w:t>licence</w:t>
      </w:r>
      <w:proofErr w:type="spellEnd"/>
      <w:r w:rsidRPr="00A64835">
        <w:t xml:space="preserve"> conditions are available on the Creative Commons website, (</w:t>
      </w:r>
      <w:hyperlink r:id="rId22" w:history="1">
        <w:r w:rsidRPr="00CE1E27">
          <w:rPr>
            <w:rStyle w:val="Hyperlink"/>
          </w:rPr>
          <w:t>www.creativecommons.org/licenses/by/3.0/au</w:t>
        </w:r>
      </w:hyperlink>
      <w:r w:rsidRPr="00A64835">
        <w:t>) as is the full legal code for the CC BY 3 AU</w:t>
      </w:r>
      <w:r>
        <w:t> </w:t>
      </w:r>
      <w:proofErr w:type="spellStart"/>
      <w:r w:rsidRPr="00A64835">
        <w:t>licence</w:t>
      </w:r>
      <w:proofErr w:type="spellEnd"/>
      <w:r w:rsidRPr="00A64835">
        <w:t>.</w:t>
      </w:r>
    </w:p>
    <w:p w14:paraId="074F7191" w14:textId="77777777" w:rsidR="009076D5" w:rsidRDefault="009076D5" w:rsidP="009076D5">
      <w:pPr>
        <w:pStyle w:val="Heading1"/>
        <w:rPr>
          <w:color w:val="003F2C" w:themeColor="text2"/>
        </w:rPr>
      </w:pPr>
      <w:bookmarkStart w:id="11" w:name="_Toc84488725"/>
      <w:bookmarkEnd w:id="0"/>
      <w:bookmarkEnd w:id="1"/>
      <w:bookmarkEnd w:id="2"/>
      <w:bookmarkEnd w:id="3"/>
      <w:bookmarkEnd w:id="4"/>
      <w:bookmarkEnd w:id="5"/>
      <w:bookmarkEnd w:id="6"/>
      <w:bookmarkEnd w:id="7"/>
      <w:bookmarkEnd w:id="8"/>
      <w:bookmarkEnd w:id="9"/>
      <w:bookmarkEnd w:id="10"/>
      <w:r w:rsidRPr="003E2695">
        <w:rPr>
          <w:color w:val="003F2C" w:themeColor="text2"/>
        </w:rPr>
        <w:lastRenderedPageBreak/>
        <w:t>Chair</w:t>
      </w:r>
      <w:r w:rsidRPr="003E2695">
        <w:rPr>
          <w:color w:val="003F2C" w:themeColor="text2"/>
          <w:spacing w:val="-100"/>
        </w:rPr>
        <w:t>’</w:t>
      </w:r>
      <w:r w:rsidRPr="003E2695">
        <w:rPr>
          <w:color w:val="003F2C" w:themeColor="text2"/>
        </w:rPr>
        <w:t>s welcome</w:t>
      </w:r>
      <w:bookmarkEnd w:id="11"/>
    </w:p>
    <w:p w14:paraId="4619F450" w14:textId="77777777" w:rsidR="009076D5" w:rsidRDefault="009076D5" w:rsidP="009076D5">
      <w:pPr>
        <w:pStyle w:val="Heading2"/>
        <w:sectPr w:rsidR="009076D5" w:rsidSect="009076D5">
          <w:headerReference w:type="default" r:id="rId23"/>
          <w:footerReference w:type="default" r:id="rId24"/>
          <w:pgSz w:w="9979" w:h="14175"/>
          <w:pgMar w:top="1418" w:right="1134" w:bottom="1134" w:left="1134" w:header="709" w:footer="709" w:gutter="0"/>
          <w:pgNumType w:fmt="lowerRoman" w:start="1"/>
          <w:cols w:space="708"/>
          <w:docGrid w:linePitch="360"/>
        </w:sectPr>
      </w:pPr>
    </w:p>
    <w:p w14:paraId="04580A02" w14:textId="77777777" w:rsidR="009076D5" w:rsidRPr="00AF525D" w:rsidRDefault="009076D5" w:rsidP="009076D5">
      <w:pPr>
        <w:pStyle w:val="Body"/>
      </w:pPr>
      <w:r w:rsidRPr="00AF525D">
        <w:rPr>
          <w:noProof/>
          <w:lang w:val="en-AU" w:eastAsia="en-AU"/>
        </w:rPr>
        <w:drawing>
          <wp:inline distT="0" distB="0" distL="0" distR="0" wp14:anchorId="612844D7" wp14:editId="76B17CCC">
            <wp:extent cx="1772211" cy="1591334"/>
            <wp:effectExtent l="0" t="0" r="0" b="8890"/>
            <wp:docPr id="62" name="Picture 62" descr="Photo of Mr Shane Solomon&#10;Chai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Photo of Mr Shane Solomon&#10;Chair, Independent Hospital Pricing Authority"/>
                    <pic:cNvPicPr>
                      <a:picLocks noChangeAspect="1" noChangeArrowheads="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1772211" cy="1591334"/>
                    </a:xfrm>
                    <a:prstGeom prst="rect">
                      <a:avLst/>
                    </a:prstGeom>
                    <a:noFill/>
                    <a:ln>
                      <a:noFill/>
                    </a:ln>
                  </pic:spPr>
                </pic:pic>
              </a:graphicData>
            </a:graphic>
          </wp:inline>
        </w:drawing>
      </w:r>
    </w:p>
    <w:p w14:paraId="4084AF8A" w14:textId="1D984542" w:rsidR="009076D5" w:rsidRDefault="009076D5" w:rsidP="009076D5">
      <w:pPr>
        <w:pStyle w:val="Body"/>
        <w:rPr>
          <w:b/>
          <w:bCs/>
        </w:rPr>
      </w:pPr>
      <w:r w:rsidRPr="00EB4763">
        <w:rPr>
          <w:b/>
          <w:bCs/>
        </w:rPr>
        <w:t>I am pleased to present the Independent Hospital Pricing Authority’s (IHPA) Annual Report for 2020–21.</w:t>
      </w:r>
    </w:p>
    <w:p w14:paraId="71784213" w14:textId="4A214A06" w:rsidR="00D0747D" w:rsidRPr="00AF525D" w:rsidRDefault="00D0747D" w:rsidP="00D0747D">
      <w:pPr>
        <w:pStyle w:val="Body"/>
      </w:pPr>
      <w:r w:rsidRPr="00AF525D">
        <w:t>As the Chair of IHPA, it was a pleasure to lead the agency to deliver yet another substantial work program in the preceding year.</w:t>
      </w:r>
    </w:p>
    <w:p w14:paraId="1F79EC3E" w14:textId="77777777" w:rsidR="009076D5" w:rsidRPr="00AF525D" w:rsidRDefault="009076D5" w:rsidP="009076D5">
      <w:pPr>
        <w:pStyle w:val="H4"/>
      </w:pPr>
      <w:r w:rsidRPr="00AF525D">
        <w:t>Addendum to the Health Reform Agreement</w:t>
      </w:r>
      <w:r>
        <w:t> </w:t>
      </w:r>
      <w:r w:rsidRPr="00AF525D">
        <w:t>2020–25</w:t>
      </w:r>
    </w:p>
    <w:p w14:paraId="2368CAB6" w14:textId="77777777" w:rsidR="009076D5" w:rsidRDefault="009076D5" w:rsidP="009076D5">
      <w:pPr>
        <w:pStyle w:val="Body"/>
      </w:pPr>
      <w:r>
        <w:t>In May 2020, all Australian governments signed the 2020–25 Addendum to the National Health Reform Agreement. This Addendum reaffirmed each party’s commitment to improving health outcomes for all Australians and reducing the demand for avoidable public hospital services.</w:t>
      </w:r>
    </w:p>
    <w:p w14:paraId="063566D6" w14:textId="77777777" w:rsidR="009076D5" w:rsidRDefault="009076D5" w:rsidP="009076D5">
      <w:pPr>
        <w:pStyle w:val="Body"/>
      </w:pPr>
      <w:r>
        <w:t>This year IHPA made significant progress on addressing key changes required by the new Agreement—including an updated methodology to achieve financial neutrality for pricing private patients in public hospitals and adjustments to reduce avoidable hospital readmissions.</w:t>
      </w:r>
    </w:p>
    <w:p w14:paraId="49B6D47E" w14:textId="77777777" w:rsidR="009076D5" w:rsidRDefault="009076D5" w:rsidP="009076D5">
      <w:pPr>
        <w:pStyle w:val="Body"/>
      </w:pPr>
      <w:r>
        <w:t>For 2021–22, the release of the annual Pricing Framework for Australian Public Hospital Services (Pricing Framework) took place alongside the release of the National Efficient Price and National Efficient Cost Determinations 2021–22.</w:t>
      </w:r>
    </w:p>
    <w:p w14:paraId="0602BAD2" w14:textId="77777777" w:rsidR="009076D5" w:rsidRDefault="009076D5" w:rsidP="009076D5">
      <w:pPr>
        <w:pStyle w:val="Body"/>
      </w:pPr>
      <w:r>
        <w:t xml:space="preserve">This was to ensure that IHPA’s consultation on the development of the Pricing Framework included feedback on the Addendum to the National Health Reform Agreement 2020–25. </w:t>
      </w:r>
    </w:p>
    <w:p w14:paraId="31C5C3FC" w14:textId="77777777" w:rsidR="009076D5" w:rsidRPr="00AF525D" w:rsidRDefault="009076D5" w:rsidP="009076D5">
      <w:pPr>
        <w:pStyle w:val="Body"/>
      </w:pPr>
      <w:r>
        <w:t>I believe the approach the agency has taken in the past year is already helping to shape the strategies that are making positive steps towards improving health outcomes for all Australians.</w:t>
      </w:r>
    </w:p>
    <w:p w14:paraId="0AFC6F25" w14:textId="77777777" w:rsidR="009076D5" w:rsidRPr="00AF525D" w:rsidRDefault="009076D5" w:rsidP="009076D5">
      <w:pPr>
        <w:pStyle w:val="H4"/>
      </w:pPr>
      <w:r w:rsidRPr="00AF525D">
        <w:t xml:space="preserve">Response to COVID-19 </w:t>
      </w:r>
    </w:p>
    <w:p w14:paraId="114094B1" w14:textId="77777777" w:rsidR="009076D5" w:rsidRDefault="009076D5" w:rsidP="009076D5">
      <w:pPr>
        <w:pStyle w:val="Body"/>
      </w:pPr>
      <w:r>
        <w:t xml:space="preserve">The National Partnership on Coronavirus Disease 2019 (COVID-19) Response was signed in March 2020, ensuring additional health service funding for the national response to the pandemic. </w:t>
      </w:r>
    </w:p>
    <w:p w14:paraId="75951141" w14:textId="5E511ED4" w:rsidR="009076D5" w:rsidRDefault="009076D5" w:rsidP="009076D5">
      <w:pPr>
        <w:pStyle w:val="Body"/>
      </w:pPr>
      <w:r>
        <w:t>In order to implement the measures under the</w:t>
      </w:r>
      <w:r w:rsidR="00F74A5E">
        <w:t> </w:t>
      </w:r>
      <w:r>
        <w:t xml:space="preserve">Agreement, IHPA updated the national classifications and data reporting guidelines and published rules for coding and costing COVID-19 episodes of care. This ensured these changes were promptly and adequately accounted for in the national pricing model to support states and territories in their response to the pandemic. IHPA has continued to update the national classifications to reflect changes to the COVID-19 response, such as the vaccination roll out. </w:t>
      </w:r>
    </w:p>
    <w:p w14:paraId="23A60835" w14:textId="0A28F873" w:rsidR="009076D5" w:rsidRDefault="009076D5" w:rsidP="009076D5">
      <w:pPr>
        <w:pStyle w:val="Body"/>
        <w:sectPr w:rsidR="009076D5" w:rsidSect="009076D5">
          <w:type w:val="continuous"/>
          <w:pgSz w:w="9979" w:h="14175"/>
          <w:pgMar w:top="1418" w:right="1134" w:bottom="1134" w:left="1134" w:header="709" w:footer="709" w:gutter="0"/>
          <w:pgNumType w:fmt="lowerRoman"/>
          <w:cols w:num="2" w:space="708"/>
          <w:docGrid w:linePitch="360"/>
        </w:sectPr>
      </w:pPr>
      <w:r>
        <w:t>The adjusted timeline for the release of the Pricing Framework 2021–22 also allowed IHPA to conduct early consultation on the emerging issues resulting from COVID-19 to understand the potential continuing changes to models of care and service delivery in Australian public hospitals.</w:t>
      </w:r>
    </w:p>
    <w:p w14:paraId="71616370" w14:textId="6EDEF931" w:rsidR="00AF525D" w:rsidRPr="00AF525D" w:rsidRDefault="00AF525D" w:rsidP="00EB4763">
      <w:pPr>
        <w:pStyle w:val="H4"/>
      </w:pPr>
      <w:r w:rsidRPr="00AF525D">
        <w:lastRenderedPageBreak/>
        <w:t>Stable and sustainable rate of growth</w:t>
      </w:r>
    </w:p>
    <w:p w14:paraId="4030ABA9" w14:textId="0842373A" w:rsidR="00AF525D" w:rsidRPr="00AF525D" w:rsidRDefault="00AF525D" w:rsidP="00EB4763">
      <w:pPr>
        <w:pStyle w:val="Body"/>
      </w:pPr>
      <w:r w:rsidRPr="00AF525D">
        <w:t>In March 2021, IHPA published its tenth National</w:t>
      </w:r>
      <w:r w:rsidR="00ED59EF">
        <w:t> </w:t>
      </w:r>
      <w:r w:rsidRPr="00AF525D">
        <w:t xml:space="preserve">Efficient Price Determination and ninth National Efficient Cost Determination for public hospital services in 2020–21, following extensive consultation with jurisdictions and stakeholders. </w:t>
      </w:r>
    </w:p>
    <w:p w14:paraId="2636427F" w14:textId="6F42D5F7" w:rsidR="00AF525D" w:rsidRPr="00AF525D" w:rsidRDefault="00AF525D" w:rsidP="00EB4763">
      <w:pPr>
        <w:pStyle w:val="Body"/>
      </w:pPr>
      <w:r w:rsidRPr="00AF525D">
        <w:t>The Pricing Framework and Determinations are critical in deciding the Commonwealth funding contribution to public hospital services. They also provide a benchmark for the efficient cost of providing these services and enable a stable and sustainable rate of growth in public hospital costs (</w:t>
      </w:r>
      <w:r w:rsidR="00CD21D7">
        <w:t>s</w:t>
      </w:r>
      <w:r w:rsidRPr="00AF525D">
        <w:t>ee </w:t>
      </w:r>
      <w:hyperlink w:anchor="Figure5" w:history="1">
        <w:r w:rsidRPr="00AF525D">
          <w:rPr>
            <w:rFonts w:ascii="Futura PT Demi" w:hAnsi="Futura PT Demi"/>
            <w:color w:val="008F54" w:themeColor="hyperlink"/>
          </w:rPr>
          <w:t>Figure 5</w:t>
        </w:r>
      </w:hyperlink>
      <w:r w:rsidRPr="00AF525D">
        <w:t>)</w:t>
      </w:r>
      <w:r w:rsidR="000E1617">
        <w:t>.</w:t>
      </w:r>
    </w:p>
    <w:p w14:paraId="0AA1BC49" w14:textId="77777777" w:rsidR="00AF525D" w:rsidRPr="00AF525D" w:rsidRDefault="00AF525D" w:rsidP="00EB4763">
      <w:pPr>
        <w:pStyle w:val="H4"/>
      </w:pPr>
      <w:r w:rsidRPr="00AF525D">
        <w:t>Delivering safe, high-quality and efficient health care</w:t>
      </w:r>
    </w:p>
    <w:p w14:paraId="79C0EE32" w14:textId="31A8F836" w:rsidR="00AF525D" w:rsidRPr="00AF525D" w:rsidRDefault="00AF525D" w:rsidP="00EB4763">
      <w:pPr>
        <w:pStyle w:val="Body"/>
      </w:pPr>
      <w:r w:rsidRPr="00AF525D">
        <w:t xml:space="preserve">IHPA continues to work with the Australian Commission on Safety and Quality in Health Care and other stakeholders to include safety and quality measures in its pricing and funding approaches. </w:t>
      </w:r>
      <w:r w:rsidR="00DD2C08">
        <w:t>F</w:t>
      </w:r>
      <w:r w:rsidR="00BF1DF7" w:rsidRPr="00BF1DF7">
        <w:t xml:space="preserve">or 2020–21, </w:t>
      </w:r>
      <w:r w:rsidR="00DD2C08">
        <w:t>o</w:t>
      </w:r>
      <w:r w:rsidR="00DD2C08" w:rsidRPr="00DD2C08">
        <w:t xml:space="preserve">ur common goal </w:t>
      </w:r>
      <w:r w:rsidR="00DD2C08">
        <w:t>to</w:t>
      </w:r>
      <w:r w:rsidR="00BF1DF7">
        <w:t> </w:t>
      </w:r>
      <w:r w:rsidR="00BF1DF7" w:rsidRPr="00BF1DF7">
        <w:t>improv</w:t>
      </w:r>
      <w:r w:rsidR="00DD2C08">
        <w:t>e</w:t>
      </w:r>
      <w:r w:rsidR="00BF1DF7" w:rsidRPr="00BF1DF7">
        <w:t xml:space="preserve"> health outcomes and decreas</w:t>
      </w:r>
      <w:r w:rsidR="00DD2C08">
        <w:t>e</w:t>
      </w:r>
      <w:r w:rsidR="00BF1DF7" w:rsidRPr="00BF1DF7">
        <w:t xml:space="preserve"> avoidable demand for public hospital services led us to </w:t>
      </w:r>
      <w:r w:rsidR="00DD2C08">
        <w:t>conclude</w:t>
      </w:r>
      <w:r w:rsidR="00BF1DF7" w:rsidRPr="00BF1DF7">
        <w:t xml:space="preserve"> the two-year shadow-pricing period of funding options for reducing avoidable hospital readmissions on 30 June 2021. The new pricing model is set to commence on 1 July 2021.</w:t>
      </w:r>
    </w:p>
    <w:p w14:paraId="132751DE" w14:textId="77777777" w:rsidR="00AF525D" w:rsidRPr="00AF525D" w:rsidRDefault="00AF525D" w:rsidP="00EB4763">
      <w:pPr>
        <w:pStyle w:val="H4"/>
      </w:pPr>
      <w:r w:rsidRPr="00AF525D">
        <w:rPr>
          <w:noProof/>
          <w:lang w:val="en-AU" w:eastAsia="en-AU"/>
        </w:rPr>
        <w:drawing>
          <wp:anchor distT="0" distB="0" distL="114300" distR="114300" simplePos="0" relativeHeight="251963392" behindDoc="1" locked="0" layoutInCell="1" allowOverlap="1" wp14:anchorId="593333A7" wp14:editId="7A937C53">
            <wp:simplePos x="0" y="0"/>
            <wp:positionH relativeFrom="margin">
              <wp:posOffset>-409575</wp:posOffset>
            </wp:positionH>
            <wp:positionV relativeFrom="paragraph">
              <wp:posOffset>797427</wp:posOffset>
            </wp:positionV>
            <wp:extent cx="5706527" cy="18510885"/>
            <wp:effectExtent l="0" t="0" r="8890" b="5715"/>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525D">
        <w:br w:type="column"/>
      </w:r>
      <w:r w:rsidRPr="00AF525D">
        <w:t>Valuable stakeholder partnerships and collaboration</w:t>
      </w:r>
    </w:p>
    <w:p w14:paraId="72F8BF0E" w14:textId="396102D6" w:rsidR="00D24F5C" w:rsidRDefault="00D24F5C" w:rsidP="00D24F5C">
      <w:pPr>
        <w:pStyle w:val="Body"/>
      </w:pPr>
      <w:r>
        <w:t>IHPA continues to build many strategic and trusted partnerships with all Australian governments, peak</w:t>
      </w:r>
      <w:r w:rsidR="00E335F0">
        <w:t> </w:t>
      </w:r>
      <w:r>
        <w:t>bodies and associations. Engaging with</w:t>
      </w:r>
      <w:r w:rsidR="00E335F0">
        <w:t>,</w:t>
      </w:r>
      <w:r>
        <w:t xml:space="preserve"> and listening to</w:t>
      </w:r>
      <w:r w:rsidR="00E335F0">
        <w:t>,</w:t>
      </w:r>
      <w:r>
        <w:t xml:space="preserve"> our key stakeholders is a critical part of how we fulfil our statutory functions. </w:t>
      </w:r>
    </w:p>
    <w:p w14:paraId="4BC66A3B" w14:textId="77777777" w:rsidR="00D24F5C" w:rsidRDefault="00D24F5C" w:rsidP="00D24F5C">
      <w:pPr>
        <w:pStyle w:val="Body"/>
      </w:pPr>
      <w:r>
        <w:t>I would like to highlight the contributions made by our Clinical Advisory Committee. Their advice is essential to the decisions we make.</w:t>
      </w:r>
    </w:p>
    <w:p w14:paraId="15E633E0" w14:textId="3A46F5AD" w:rsidR="00D24F5C" w:rsidRDefault="00D24F5C" w:rsidP="00D24F5C">
      <w:pPr>
        <w:pStyle w:val="Body"/>
      </w:pPr>
      <w:r>
        <w:t>As I come to the end of my second tour of duty at IHPA, I thank and acknowledge the outstanding work of all of the Pricing Authority members, past</w:t>
      </w:r>
      <w:r w:rsidR="000E1617">
        <w:t> </w:t>
      </w:r>
      <w:r>
        <w:t>and present. Each ha</w:t>
      </w:r>
      <w:r w:rsidR="00E335F0">
        <w:t>s</w:t>
      </w:r>
      <w:r>
        <w:t xml:space="preserve"> contributed their considerable insights, wisdom and judgement over the last ten years to deliver balanced determinations for the </w:t>
      </w:r>
      <w:r w:rsidR="000E1617">
        <w:t>Australian</w:t>
      </w:r>
      <w:r>
        <w:t xml:space="preserve"> Government. Their diligence has contributed positively to major</w:t>
      </w:r>
      <w:r w:rsidR="000E1617">
        <w:t> </w:t>
      </w:r>
      <w:r>
        <w:t>reform of the funding of Australian public</w:t>
      </w:r>
      <w:r w:rsidR="000E1617">
        <w:t> </w:t>
      </w:r>
      <w:r>
        <w:t>hospitals.</w:t>
      </w:r>
    </w:p>
    <w:p w14:paraId="572F5330" w14:textId="6008339D" w:rsidR="00D24F5C" w:rsidRPr="00AF525D" w:rsidRDefault="00D24F5C" w:rsidP="00D24F5C">
      <w:pPr>
        <w:pStyle w:val="Body"/>
      </w:pPr>
      <w:r>
        <w:t xml:space="preserve">On behalf of the Pricing Authority, I commend </w:t>
      </w:r>
      <w:proofErr w:type="spellStart"/>
      <w:r w:rsidR="00EA738A">
        <w:t>Mr</w:t>
      </w:r>
      <w:proofErr w:type="spellEnd"/>
      <w:r w:rsidR="00EA738A">
        <w:t> </w:t>
      </w:r>
      <w:r>
        <w:t xml:space="preserve">James </w:t>
      </w:r>
      <w:proofErr w:type="spellStart"/>
      <w:r>
        <w:t>Downie</w:t>
      </w:r>
      <w:proofErr w:type="spellEnd"/>
      <w:r>
        <w:t>, Chief Executive Officer, for</w:t>
      </w:r>
      <w:r w:rsidR="00E335F0">
        <w:t> </w:t>
      </w:r>
      <w:r>
        <w:t xml:space="preserve">his outstanding performance and leadership. All of IHPA’s achievements have only been possible because of our </w:t>
      </w:r>
      <w:r w:rsidR="00A05A86">
        <w:t>Chief Executive Officer</w:t>
      </w:r>
      <w:r>
        <w:t>’s skills and leadership qualities. He has serviced the Board with impeccable professionalism and it has been a pleasure working as a team with James over the last ten years. I also acknowledge IHPA staff for their continued commitment to the delivery of a successful program of work this year, despite the challenges faced with the pandemic.</w:t>
      </w:r>
    </w:p>
    <w:p w14:paraId="70566EDC" w14:textId="77777777" w:rsidR="008E0432" w:rsidRDefault="008E0432" w:rsidP="00AE44F3">
      <w:pPr>
        <w:pStyle w:val="H4"/>
        <w:sectPr w:rsidR="008E0432" w:rsidSect="008E0432">
          <w:footerReference w:type="default" r:id="rId27"/>
          <w:pgSz w:w="9979" w:h="14175"/>
          <w:pgMar w:top="1418" w:right="1134" w:bottom="1134" w:left="1134" w:header="709" w:footer="709" w:gutter="0"/>
          <w:pgNumType w:fmt="lowerRoman"/>
          <w:cols w:num="2" w:space="708"/>
          <w:docGrid w:linePitch="360"/>
        </w:sectPr>
      </w:pPr>
    </w:p>
    <w:p w14:paraId="4548B55A" w14:textId="4F14E9B4" w:rsidR="00AF525D" w:rsidRPr="00AF525D" w:rsidRDefault="00AF525D" w:rsidP="006027A6">
      <w:pPr>
        <w:pStyle w:val="H4"/>
        <w:spacing w:before="0"/>
      </w:pPr>
      <w:r w:rsidRPr="00AF525D">
        <w:lastRenderedPageBreak/>
        <w:t>Looking ahead</w:t>
      </w:r>
    </w:p>
    <w:p w14:paraId="66163502" w14:textId="77777777" w:rsidR="00AE44F3" w:rsidRDefault="00AE44F3" w:rsidP="00AE44F3">
      <w:pPr>
        <w:pStyle w:val="Body"/>
      </w:pPr>
      <w:r>
        <w:t xml:space="preserve">In the year ahead, the Pricing Authority looks forward to contributing further to creating incentives for efficient and high-quality public hospital services across Australia. </w:t>
      </w:r>
    </w:p>
    <w:p w14:paraId="7CFC695C" w14:textId="2E058B54" w:rsidR="00AE44F3" w:rsidRDefault="00AE44F3" w:rsidP="00AE44F3">
      <w:pPr>
        <w:pStyle w:val="Body"/>
      </w:pPr>
      <w:r>
        <w:t>There are exciting new challenges ahead that build on the activity based funding foundations.</w:t>
      </w:r>
    </w:p>
    <w:p w14:paraId="7FCA5F56" w14:textId="2844279B" w:rsidR="00AF525D" w:rsidRDefault="00AE44F3" w:rsidP="00AE44F3">
      <w:pPr>
        <w:pStyle w:val="Body"/>
        <w:rPr>
          <w:lang w:val="en-AU"/>
        </w:rPr>
      </w:pPr>
      <w:r>
        <w:t xml:space="preserve">The new Agreement </w:t>
      </w:r>
      <w:proofErr w:type="spellStart"/>
      <w:r>
        <w:t>signalled</w:t>
      </w:r>
      <w:proofErr w:type="spellEnd"/>
      <w:r>
        <w:t xml:space="preserve"> the need to support innovation by states and territories. In response</w:t>
      </w:r>
      <w:r w:rsidR="00F813E7">
        <w:t>,</w:t>
      </w:r>
      <w:r>
        <w:t xml:space="preserve"> IHPA has </w:t>
      </w:r>
      <w:proofErr w:type="spellStart"/>
      <w:r>
        <w:t>analysed</w:t>
      </w:r>
      <w:proofErr w:type="spellEnd"/>
      <w:r>
        <w:t xml:space="preserve"> </w:t>
      </w:r>
      <w:r w:rsidR="00F813E7">
        <w:t>which</w:t>
      </w:r>
      <w:r>
        <w:t xml:space="preserve"> services might be better funded through different models, such as bundled payments and </w:t>
      </w:r>
      <w:proofErr w:type="spellStart"/>
      <w:r>
        <w:t>casemix</w:t>
      </w:r>
      <w:proofErr w:type="spellEnd"/>
      <w:r>
        <w:t xml:space="preserve"> adjusted capitation payments. IHPA has published a roadmap to lead national discussion on the future funding models. The aim is to shift the focus of funding models away from only rewarding activity and admission to hospital, and move towards more incentives for</w:t>
      </w:r>
      <w:r w:rsidR="00F813E7">
        <w:t> </w:t>
      </w:r>
      <w:r>
        <w:t xml:space="preserve">continuity of care, preventing avoidable </w:t>
      </w:r>
      <w:proofErr w:type="spellStart"/>
      <w:r>
        <w:t>hospitalisation</w:t>
      </w:r>
      <w:proofErr w:type="spellEnd"/>
      <w:r>
        <w:t xml:space="preserve"> and substituting the best care option to achieve optimum outcomes and value for Australians.</w:t>
      </w:r>
    </w:p>
    <w:p w14:paraId="63829E20" w14:textId="6EFABE45" w:rsidR="00AE44F3" w:rsidRDefault="00AF525D" w:rsidP="00AE44F3">
      <w:pPr>
        <w:pStyle w:val="Body"/>
      </w:pPr>
      <w:r w:rsidRPr="00AF525D">
        <w:rPr>
          <w:noProof/>
          <w:lang w:val="en-AU" w:eastAsia="en-AU"/>
        </w:rPr>
        <w:drawing>
          <wp:anchor distT="0" distB="0" distL="114300" distR="114300" simplePos="0" relativeHeight="251964416" behindDoc="1" locked="0" layoutInCell="1" allowOverlap="1" wp14:anchorId="79CBDA18" wp14:editId="1E5DB262">
            <wp:simplePos x="0" y="0"/>
            <wp:positionH relativeFrom="margin">
              <wp:posOffset>-409575</wp:posOffset>
            </wp:positionH>
            <wp:positionV relativeFrom="paragraph">
              <wp:posOffset>616882</wp:posOffset>
            </wp:positionV>
            <wp:extent cx="5706527" cy="18510885"/>
            <wp:effectExtent l="0" t="0" r="8890" b="5715"/>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525D">
        <w:br w:type="column"/>
      </w:r>
      <w:r w:rsidR="00AE44F3">
        <w:t xml:space="preserve">Delivered on 11 May 2021, the Federal Budget 2021–22 includes two measures whereby IHPA’s remit will be expanded to inform Australian </w:t>
      </w:r>
      <w:r w:rsidR="00873A10">
        <w:t>G</w:t>
      </w:r>
      <w:r w:rsidR="00AE44F3">
        <w:t>overnment decisions on the pricing of aged care services and prostheses reforms from 1 July 2023.</w:t>
      </w:r>
    </w:p>
    <w:p w14:paraId="6979B7CB" w14:textId="24169D37" w:rsidR="00AE44F3" w:rsidRPr="00AF525D" w:rsidRDefault="00AE44F3" w:rsidP="00AE44F3">
      <w:pPr>
        <w:pStyle w:val="Body"/>
      </w:pPr>
      <w:r>
        <w:t>I am confident the agency’s expanded role will make a positive impact on residential aged care, home aged care pricing and the cost and access to medical devices in the private health sector, as</w:t>
      </w:r>
      <w:r w:rsidR="00F813E7">
        <w:t> </w:t>
      </w:r>
      <w:r>
        <w:t xml:space="preserve">we have seen </w:t>
      </w:r>
      <w:r w:rsidR="00DD2C08">
        <w:t xml:space="preserve">with the </w:t>
      </w:r>
      <w:r>
        <w:t>sustainability achieved in the hospital sector.</w:t>
      </w:r>
    </w:p>
    <w:p w14:paraId="404C1D58" w14:textId="77777777" w:rsidR="00AF525D" w:rsidRPr="00AF525D" w:rsidRDefault="00AF525D" w:rsidP="00C531E5">
      <w:pPr>
        <w:spacing w:before="480"/>
        <w:rPr>
          <w:color w:val="1C1C1C"/>
          <w:sz w:val="18"/>
          <w:szCs w:val="18"/>
        </w:rPr>
      </w:pPr>
      <w:r w:rsidRPr="00AF525D">
        <w:rPr>
          <w:noProof/>
          <w:color w:val="1C1C1C"/>
          <w:sz w:val="18"/>
          <w:szCs w:val="18"/>
          <w:lang w:val="en-AU" w:eastAsia="en-AU"/>
        </w:rPr>
        <w:drawing>
          <wp:inline distT="0" distB="0" distL="0" distR="0" wp14:anchorId="2CB67DB2" wp14:editId="5AF50766">
            <wp:extent cx="1508125" cy="252730"/>
            <wp:effectExtent l="0" t="0" r="0" b="0"/>
            <wp:docPr id="52" name="Picture 52" descr="Signature of Mr Shane Solomon, Chair, Independent Hospital Pricing Autho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Signature of Mr Shane Solomon, Chair, Independent Hospital Pricing Authority "/>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508125" cy="252730"/>
                    </a:xfrm>
                    <a:prstGeom prst="rect">
                      <a:avLst/>
                    </a:prstGeom>
                    <a:noFill/>
                    <a:ln>
                      <a:noFill/>
                    </a:ln>
                  </pic:spPr>
                </pic:pic>
              </a:graphicData>
            </a:graphic>
          </wp:inline>
        </w:drawing>
      </w:r>
    </w:p>
    <w:p w14:paraId="3211CAC8" w14:textId="77777777" w:rsidR="008D4C45" w:rsidRDefault="00CD21D7" w:rsidP="008D4C45">
      <w:pPr>
        <w:pStyle w:val="Body"/>
        <w:spacing w:after="120"/>
        <w:rPr>
          <w:b/>
          <w:bCs/>
        </w:rPr>
      </w:pPr>
      <w:proofErr w:type="spellStart"/>
      <w:r>
        <w:rPr>
          <w:b/>
          <w:bCs/>
        </w:rPr>
        <w:t>Mr</w:t>
      </w:r>
      <w:proofErr w:type="spellEnd"/>
      <w:r>
        <w:rPr>
          <w:b/>
          <w:bCs/>
        </w:rPr>
        <w:t xml:space="preserve"> </w:t>
      </w:r>
      <w:r w:rsidR="00AF525D" w:rsidRPr="00AF525D">
        <w:rPr>
          <w:b/>
          <w:bCs/>
        </w:rPr>
        <w:t>Shane Solomon</w:t>
      </w:r>
    </w:p>
    <w:p w14:paraId="430E8DA3" w14:textId="2031D053" w:rsidR="00AF525D" w:rsidRPr="00AF525D" w:rsidRDefault="00AF525D" w:rsidP="008D4C45">
      <w:pPr>
        <w:pStyle w:val="Body"/>
        <w:spacing w:after="480"/>
      </w:pPr>
      <w:r w:rsidRPr="00AF525D">
        <w:t>Chair</w:t>
      </w:r>
      <w:r w:rsidR="00CD21D7">
        <w:br/>
      </w:r>
      <w:r w:rsidR="00DD2C08">
        <w:t xml:space="preserve">Independent Hospital </w:t>
      </w:r>
      <w:r w:rsidRPr="00AF525D">
        <w:t>Pricing Authority</w:t>
      </w:r>
      <w:r w:rsidRPr="00AF525D">
        <w:rPr>
          <w:b/>
          <w:bCs/>
        </w:rPr>
        <w:br/>
      </w:r>
      <w:r w:rsidR="00DD2C08" w:rsidRPr="00137322">
        <w:t>30</w:t>
      </w:r>
      <w:r w:rsidRPr="00137322">
        <w:t xml:space="preserve"> </w:t>
      </w:r>
      <w:r w:rsidR="00DD2C08" w:rsidRPr="00137322">
        <w:t>August</w:t>
      </w:r>
      <w:r w:rsidRPr="00137322">
        <w:t xml:space="preserve"> 2021</w:t>
      </w:r>
    </w:p>
    <w:p w14:paraId="646E0818" w14:textId="77777777" w:rsidR="00DD1A86" w:rsidRDefault="00DD1A86" w:rsidP="00DD1A86">
      <w:pPr>
        <w:jc w:val="center"/>
        <w:sectPr w:rsidR="00DD1A86" w:rsidSect="008E0432">
          <w:footerReference w:type="default" r:id="rId29"/>
          <w:pgSz w:w="9979" w:h="14175"/>
          <w:pgMar w:top="1418" w:right="1134" w:bottom="1134" w:left="1134" w:header="709" w:footer="709" w:gutter="0"/>
          <w:pgNumType w:fmt="lowerRoman"/>
          <w:cols w:num="2" w:space="708"/>
          <w:docGrid w:linePitch="360"/>
        </w:sectPr>
      </w:pPr>
    </w:p>
    <w:p w14:paraId="45AEF81C" w14:textId="77777777" w:rsidR="00C34F2A" w:rsidRPr="00EB111A" w:rsidRDefault="00C34F2A" w:rsidP="00BC5F42">
      <w:pPr>
        <w:pStyle w:val="Heading1"/>
        <w:spacing w:before="0" w:beforeAutospacing="0"/>
        <w:rPr>
          <w:color w:val="003F2C" w:themeColor="text1"/>
        </w:rPr>
      </w:pPr>
      <w:bookmarkStart w:id="12" w:name="_Toc44350164"/>
      <w:bookmarkStart w:id="13" w:name="_Toc50378055"/>
      <w:bookmarkStart w:id="14" w:name="_Toc84488726"/>
      <w:r w:rsidRPr="00EB111A">
        <w:rPr>
          <w:color w:val="003F2C" w:themeColor="text1"/>
        </w:rPr>
        <w:lastRenderedPageBreak/>
        <w:t>Letter of transmittal</w:t>
      </w:r>
      <w:bookmarkEnd w:id="12"/>
      <w:bookmarkEnd w:id="13"/>
      <w:bookmarkEnd w:id="14"/>
    </w:p>
    <w:p w14:paraId="597B2C2E" w14:textId="3DB95C53" w:rsidR="00C34F2A" w:rsidRDefault="00134BDD" w:rsidP="0053761D">
      <w:r>
        <w:rPr>
          <w:noProof/>
          <w:lang w:val="en-AU" w:eastAsia="en-AU"/>
        </w:rPr>
        <w:drawing>
          <wp:inline distT="0" distB="0" distL="0" distR="0" wp14:anchorId="0B17A67C" wp14:editId="3D5959A3">
            <wp:extent cx="4609440" cy="6517500"/>
            <wp:effectExtent l="95250" t="76200" r="115570" b="131445"/>
            <wp:docPr id="35" name="Picture 35" descr="Letter of Transmittal from the CEO to Minister of Health submitting the Annual Report 2020–21, and the financial statements of the Independent Hospital Pricing Authority for presentation to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etter of Transmittal from the CEO to Minister of Health submitting the Annual Report 2020–21, and the financial statements of the Independent Hospital Pricing Authority for presentation to Parliament."/>
                    <pic:cNvPicPr/>
                  </pic:nvPicPr>
                  <pic:blipFill>
                    <a:blip r:embed="rId30"/>
                    <a:stretch>
                      <a:fillRect/>
                    </a:stretch>
                  </pic:blipFill>
                  <pic:spPr>
                    <a:xfrm>
                      <a:off x="0" y="0"/>
                      <a:ext cx="4609440" cy="6517500"/>
                    </a:xfrm>
                    <a:prstGeom prst="rect">
                      <a:avLst/>
                    </a:prstGeom>
                    <a:solidFill>
                      <a:schemeClr val="bg2"/>
                    </a:solidFill>
                    <a:effectLst>
                      <a:outerShdw blurRad="101600" dist="25400" dir="4560000" algn="tl" rotWithShape="0">
                        <a:prstClr val="black">
                          <a:alpha val="25000"/>
                        </a:prstClr>
                      </a:outerShdw>
                    </a:effectLst>
                  </pic:spPr>
                </pic:pic>
              </a:graphicData>
            </a:graphic>
          </wp:inline>
        </w:drawing>
      </w:r>
    </w:p>
    <w:p w14:paraId="0F5544CB" w14:textId="77777777" w:rsidR="009076D5" w:rsidRDefault="009076D5" w:rsidP="0053761D">
      <w:pPr>
        <w:sectPr w:rsidR="009076D5" w:rsidSect="003F1D11">
          <w:headerReference w:type="default" r:id="rId31"/>
          <w:footerReference w:type="default" r:id="rId32"/>
          <w:pgSz w:w="9979" w:h="14175"/>
          <w:pgMar w:top="993" w:right="1134" w:bottom="1134" w:left="1134" w:header="709" w:footer="709" w:gutter="0"/>
          <w:pgNumType w:fmt="lowerRoman"/>
          <w:cols w:space="708"/>
          <w:docGrid w:linePitch="360"/>
        </w:sectPr>
      </w:pPr>
    </w:p>
    <w:p w14:paraId="2413C784" w14:textId="77777777" w:rsidR="006027A6" w:rsidRDefault="009A2D17" w:rsidP="00E250AA">
      <w:pPr>
        <w:pStyle w:val="Heading1"/>
        <w:spacing w:before="0" w:beforeAutospacing="0" w:after="240"/>
        <w:rPr>
          <w:noProof/>
        </w:rPr>
      </w:pPr>
      <w:bookmarkStart w:id="15" w:name="_Toc44350165"/>
      <w:bookmarkStart w:id="16" w:name="_Toc44350629"/>
      <w:bookmarkStart w:id="17" w:name="_Toc45192380"/>
      <w:bookmarkStart w:id="18" w:name="_Toc45636764"/>
      <w:bookmarkStart w:id="19" w:name="_Toc45705620"/>
      <w:bookmarkStart w:id="20" w:name="_Toc46151560"/>
      <w:bookmarkStart w:id="21" w:name="_Toc50378056"/>
      <w:bookmarkStart w:id="22" w:name="_Toc76744205"/>
      <w:bookmarkStart w:id="23" w:name="_Toc76746601"/>
      <w:bookmarkStart w:id="24" w:name="_Toc77354652"/>
      <w:bookmarkStart w:id="25" w:name="_Toc79162156"/>
      <w:bookmarkStart w:id="26" w:name="_Toc84488727"/>
      <w:r w:rsidRPr="00A70D06">
        <w:rPr>
          <w:color w:val="003F2C" w:themeColor="text1"/>
        </w:rPr>
        <w:lastRenderedPageBreak/>
        <w:t>Contents</w:t>
      </w:r>
      <w:bookmarkEnd w:id="15"/>
      <w:bookmarkEnd w:id="16"/>
      <w:bookmarkEnd w:id="17"/>
      <w:bookmarkEnd w:id="18"/>
      <w:bookmarkEnd w:id="19"/>
      <w:bookmarkEnd w:id="20"/>
      <w:bookmarkEnd w:id="21"/>
      <w:bookmarkEnd w:id="22"/>
      <w:bookmarkEnd w:id="23"/>
      <w:bookmarkEnd w:id="24"/>
      <w:bookmarkEnd w:id="25"/>
      <w:bookmarkEnd w:id="26"/>
      <w:r>
        <w:rPr>
          <w:noProof/>
          <w:color w:val="003F2C" w:themeColor="text2"/>
        </w:rPr>
        <w:fldChar w:fldCharType="begin"/>
      </w:r>
      <w:r>
        <w:rPr>
          <w:noProof/>
          <w:color w:val="003F2C" w:themeColor="text2"/>
        </w:rPr>
        <w:instrText xml:space="preserve"> TOC \h \z \t "Heading 1,2,H1,1" </w:instrText>
      </w:r>
      <w:r>
        <w:rPr>
          <w:noProof/>
          <w:color w:val="003F2C" w:themeColor="text2"/>
        </w:rPr>
        <w:fldChar w:fldCharType="separate"/>
      </w:r>
    </w:p>
    <w:p w14:paraId="25D9CE86" w14:textId="2A780CB2" w:rsidR="006027A6" w:rsidRDefault="003079E3" w:rsidP="006027A6">
      <w:pPr>
        <w:pStyle w:val="TOCBody"/>
        <w:rPr>
          <w:rFonts w:eastAsiaTheme="minorEastAsia"/>
          <w:lang w:eastAsia="en-PH"/>
        </w:rPr>
      </w:pPr>
      <w:hyperlink w:anchor="_Toc84488725" w:history="1">
        <w:r w:rsidR="006027A6" w:rsidRPr="00E31A55">
          <w:rPr>
            <w:rStyle w:val="Hyperlink"/>
          </w:rPr>
          <w:t>Chair</w:t>
        </w:r>
        <w:r w:rsidR="006027A6" w:rsidRPr="00E31A55">
          <w:rPr>
            <w:rStyle w:val="Hyperlink"/>
            <w:spacing w:val="-100"/>
          </w:rPr>
          <w:t>’</w:t>
        </w:r>
        <w:r w:rsidR="006027A6" w:rsidRPr="00E31A55">
          <w:rPr>
            <w:rStyle w:val="Hyperlink"/>
          </w:rPr>
          <w:t>s welcome</w:t>
        </w:r>
        <w:r w:rsidR="006027A6">
          <w:rPr>
            <w:webHidden/>
          </w:rPr>
          <w:tab/>
        </w:r>
        <w:r w:rsidR="006027A6">
          <w:rPr>
            <w:webHidden/>
          </w:rPr>
          <w:fldChar w:fldCharType="begin"/>
        </w:r>
        <w:r w:rsidR="006027A6">
          <w:rPr>
            <w:webHidden/>
          </w:rPr>
          <w:instrText xml:space="preserve"> PAGEREF _Toc84488725 \h </w:instrText>
        </w:r>
        <w:r w:rsidR="006027A6">
          <w:rPr>
            <w:webHidden/>
          </w:rPr>
        </w:r>
        <w:r w:rsidR="006027A6">
          <w:rPr>
            <w:webHidden/>
          </w:rPr>
          <w:fldChar w:fldCharType="separate"/>
        </w:r>
        <w:r w:rsidR="009D65FF">
          <w:rPr>
            <w:webHidden/>
          </w:rPr>
          <w:t>i</w:t>
        </w:r>
        <w:r w:rsidR="006027A6">
          <w:rPr>
            <w:webHidden/>
          </w:rPr>
          <w:fldChar w:fldCharType="end"/>
        </w:r>
      </w:hyperlink>
    </w:p>
    <w:p w14:paraId="2FD4ADAB" w14:textId="7884A680" w:rsidR="006027A6" w:rsidRDefault="003079E3" w:rsidP="006027A6">
      <w:pPr>
        <w:pStyle w:val="TOCBody"/>
        <w:rPr>
          <w:rFonts w:eastAsiaTheme="minorEastAsia"/>
          <w:lang w:eastAsia="en-PH"/>
        </w:rPr>
      </w:pPr>
      <w:hyperlink w:anchor="_Toc84488726" w:history="1">
        <w:r w:rsidR="006027A6" w:rsidRPr="00E31A55">
          <w:rPr>
            <w:rStyle w:val="Hyperlink"/>
          </w:rPr>
          <w:t>Letter of transmittal</w:t>
        </w:r>
        <w:r w:rsidR="006027A6">
          <w:rPr>
            <w:webHidden/>
          </w:rPr>
          <w:tab/>
        </w:r>
        <w:r w:rsidR="006027A6">
          <w:rPr>
            <w:webHidden/>
          </w:rPr>
          <w:fldChar w:fldCharType="begin"/>
        </w:r>
        <w:r w:rsidR="006027A6">
          <w:rPr>
            <w:webHidden/>
          </w:rPr>
          <w:instrText xml:space="preserve"> PAGEREF _Toc84488726 \h </w:instrText>
        </w:r>
        <w:r w:rsidR="006027A6">
          <w:rPr>
            <w:webHidden/>
          </w:rPr>
        </w:r>
        <w:r w:rsidR="006027A6">
          <w:rPr>
            <w:webHidden/>
          </w:rPr>
          <w:fldChar w:fldCharType="separate"/>
        </w:r>
        <w:r w:rsidR="009D65FF">
          <w:rPr>
            <w:webHidden/>
          </w:rPr>
          <w:t>iv</w:t>
        </w:r>
        <w:r w:rsidR="006027A6">
          <w:rPr>
            <w:webHidden/>
          </w:rPr>
          <w:fldChar w:fldCharType="end"/>
        </w:r>
      </w:hyperlink>
    </w:p>
    <w:p w14:paraId="0D173B70" w14:textId="23EE07E6" w:rsidR="006027A6" w:rsidRDefault="003079E3" w:rsidP="006027A6">
      <w:pPr>
        <w:pStyle w:val="TOCBody"/>
        <w:rPr>
          <w:rFonts w:eastAsiaTheme="minorEastAsia"/>
          <w:lang w:eastAsia="en-PH"/>
        </w:rPr>
      </w:pPr>
      <w:hyperlink w:anchor="_Toc84488727" w:history="1">
        <w:r w:rsidR="006027A6" w:rsidRPr="00E31A55">
          <w:rPr>
            <w:rStyle w:val="Hyperlink"/>
          </w:rPr>
          <w:t>Contents</w:t>
        </w:r>
        <w:r w:rsidR="006027A6">
          <w:rPr>
            <w:webHidden/>
          </w:rPr>
          <w:tab/>
        </w:r>
        <w:r w:rsidR="006027A6">
          <w:rPr>
            <w:webHidden/>
          </w:rPr>
          <w:fldChar w:fldCharType="begin"/>
        </w:r>
        <w:r w:rsidR="006027A6">
          <w:rPr>
            <w:webHidden/>
          </w:rPr>
          <w:instrText xml:space="preserve"> PAGEREF _Toc84488727 \h </w:instrText>
        </w:r>
        <w:r w:rsidR="006027A6">
          <w:rPr>
            <w:webHidden/>
          </w:rPr>
        </w:r>
        <w:r w:rsidR="006027A6">
          <w:rPr>
            <w:webHidden/>
          </w:rPr>
          <w:fldChar w:fldCharType="separate"/>
        </w:r>
        <w:r w:rsidR="009D65FF">
          <w:rPr>
            <w:webHidden/>
          </w:rPr>
          <w:t>v</w:t>
        </w:r>
        <w:r w:rsidR="006027A6">
          <w:rPr>
            <w:webHidden/>
          </w:rPr>
          <w:fldChar w:fldCharType="end"/>
        </w:r>
      </w:hyperlink>
    </w:p>
    <w:p w14:paraId="4F4FE1A6" w14:textId="26D4B4BE" w:rsidR="006027A6" w:rsidRDefault="003079E3" w:rsidP="006027A6">
      <w:pPr>
        <w:pStyle w:val="TOCBody"/>
        <w:rPr>
          <w:rFonts w:eastAsiaTheme="minorEastAsia"/>
          <w:lang w:eastAsia="en-PH"/>
        </w:rPr>
      </w:pPr>
      <w:hyperlink w:anchor="_Toc84488728" w:history="1">
        <w:r w:rsidR="006027A6" w:rsidRPr="00E31A55">
          <w:rPr>
            <w:rStyle w:val="Hyperlink"/>
          </w:rPr>
          <w:t>Approval by the accountable authority</w:t>
        </w:r>
        <w:r w:rsidR="006027A6">
          <w:rPr>
            <w:webHidden/>
          </w:rPr>
          <w:tab/>
        </w:r>
        <w:r w:rsidR="006027A6">
          <w:rPr>
            <w:webHidden/>
          </w:rPr>
          <w:fldChar w:fldCharType="begin"/>
        </w:r>
        <w:r w:rsidR="006027A6">
          <w:rPr>
            <w:webHidden/>
          </w:rPr>
          <w:instrText xml:space="preserve"> PAGEREF _Toc84488728 \h </w:instrText>
        </w:r>
        <w:r w:rsidR="006027A6">
          <w:rPr>
            <w:webHidden/>
          </w:rPr>
        </w:r>
        <w:r w:rsidR="006027A6">
          <w:rPr>
            <w:webHidden/>
          </w:rPr>
          <w:fldChar w:fldCharType="separate"/>
        </w:r>
        <w:r w:rsidR="009D65FF">
          <w:rPr>
            <w:webHidden/>
          </w:rPr>
          <w:t>1</w:t>
        </w:r>
        <w:r w:rsidR="006027A6">
          <w:rPr>
            <w:webHidden/>
          </w:rPr>
          <w:fldChar w:fldCharType="end"/>
        </w:r>
      </w:hyperlink>
    </w:p>
    <w:p w14:paraId="46906C5B" w14:textId="6A5C6F52" w:rsidR="006027A6" w:rsidRPr="00010118" w:rsidRDefault="003079E3" w:rsidP="006027A6">
      <w:pPr>
        <w:pStyle w:val="TOCHeader"/>
        <w:rPr>
          <w:rFonts w:eastAsiaTheme="minorEastAsia"/>
          <w:color w:val="7EC352" w:themeColor="background1"/>
          <w:lang w:eastAsia="en-PH"/>
        </w:rPr>
      </w:pPr>
      <w:hyperlink w:anchor="_Toc84488729" w:history="1">
        <w:r w:rsidR="006027A6" w:rsidRPr="00010118">
          <w:rPr>
            <w:rStyle w:val="Hyperlink"/>
            <w:color w:val="7EC352" w:themeColor="background1"/>
          </w:rPr>
          <w:t>About IHPA</w:t>
        </w:r>
        <w:r w:rsidR="006027A6" w:rsidRPr="00010118">
          <w:rPr>
            <w:webHidden/>
            <w:color w:val="7EC352" w:themeColor="background1"/>
          </w:rPr>
          <w:tab/>
        </w:r>
        <w:r w:rsidR="006027A6" w:rsidRPr="00010118">
          <w:rPr>
            <w:webHidden/>
            <w:color w:val="7EC352" w:themeColor="background1"/>
          </w:rPr>
          <w:fldChar w:fldCharType="begin"/>
        </w:r>
        <w:r w:rsidR="006027A6" w:rsidRPr="00010118">
          <w:rPr>
            <w:webHidden/>
            <w:color w:val="7EC352" w:themeColor="background1"/>
          </w:rPr>
          <w:instrText xml:space="preserve"> PAGEREF _Toc84488729 \h </w:instrText>
        </w:r>
        <w:r w:rsidR="006027A6" w:rsidRPr="00010118">
          <w:rPr>
            <w:webHidden/>
            <w:color w:val="7EC352" w:themeColor="background1"/>
          </w:rPr>
        </w:r>
        <w:r w:rsidR="006027A6" w:rsidRPr="00010118">
          <w:rPr>
            <w:webHidden/>
            <w:color w:val="7EC352" w:themeColor="background1"/>
          </w:rPr>
          <w:fldChar w:fldCharType="separate"/>
        </w:r>
        <w:r w:rsidR="009D65FF">
          <w:rPr>
            <w:webHidden/>
            <w:color w:val="7EC352" w:themeColor="background1"/>
          </w:rPr>
          <w:t>3</w:t>
        </w:r>
        <w:r w:rsidR="006027A6" w:rsidRPr="00010118">
          <w:rPr>
            <w:webHidden/>
            <w:color w:val="7EC352" w:themeColor="background1"/>
          </w:rPr>
          <w:fldChar w:fldCharType="end"/>
        </w:r>
      </w:hyperlink>
    </w:p>
    <w:p w14:paraId="2D99AABD" w14:textId="4409A19A" w:rsidR="006027A6" w:rsidRDefault="003079E3" w:rsidP="006027A6">
      <w:pPr>
        <w:pStyle w:val="TOCBody"/>
        <w:rPr>
          <w:rFonts w:eastAsiaTheme="minorEastAsia"/>
          <w:lang w:eastAsia="en-PH"/>
        </w:rPr>
      </w:pPr>
      <w:hyperlink w:anchor="_Toc84488730" w:history="1">
        <w:r w:rsidR="006027A6" w:rsidRPr="00E31A55">
          <w:rPr>
            <w:rStyle w:val="Hyperlink"/>
          </w:rPr>
          <w:t>Legislation</w:t>
        </w:r>
        <w:r w:rsidR="006027A6">
          <w:rPr>
            <w:webHidden/>
          </w:rPr>
          <w:tab/>
        </w:r>
        <w:r w:rsidR="006027A6">
          <w:rPr>
            <w:webHidden/>
          </w:rPr>
          <w:fldChar w:fldCharType="begin"/>
        </w:r>
        <w:r w:rsidR="006027A6">
          <w:rPr>
            <w:webHidden/>
          </w:rPr>
          <w:instrText xml:space="preserve"> PAGEREF _Toc84488730 \h </w:instrText>
        </w:r>
        <w:r w:rsidR="006027A6">
          <w:rPr>
            <w:webHidden/>
          </w:rPr>
        </w:r>
        <w:r w:rsidR="006027A6">
          <w:rPr>
            <w:webHidden/>
          </w:rPr>
          <w:fldChar w:fldCharType="separate"/>
        </w:r>
        <w:r w:rsidR="009D65FF">
          <w:rPr>
            <w:webHidden/>
          </w:rPr>
          <w:t>4</w:t>
        </w:r>
        <w:r w:rsidR="006027A6">
          <w:rPr>
            <w:webHidden/>
          </w:rPr>
          <w:fldChar w:fldCharType="end"/>
        </w:r>
      </w:hyperlink>
    </w:p>
    <w:p w14:paraId="7B37D9AA" w14:textId="74A9DD7B" w:rsidR="006027A6" w:rsidRDefault="003079E3" w:rsidP="006027A6">
      <w:pPr>
        <w:pStyle w:val="TOCBody"/>
        <w:rPr>
          <w:rFonts w:eastAsiaTheme="minorEastAsia"/>
          <w:lang w:eastAsia="en-PH"/>
        </w:rPr>
      </w:pPr>
      <w:hyperlink w:anchor="_Toc84488731" w:history="1">
        <w:r w:rsidR="006027A6" w:rsidRPr="00E31A55">
          <w:rPr>
            <w:rStyle w:val="Hyperlink"/>
          </w:rPr>
          <w:t>Who we are</w:t>
        </w:r>
        <w:r w:rsidR="006027A6">
          <w:rPr>
            <w:webHidden/>
          </w:rPr>
          <w:tab/>
        </w:r>
        <w:r w:rsidR="006027A6">
          <w:rPr>
            <w:webHidden/>
          </w:rPr>
          <w:fldChar w:fldCharType="begin"/>
        </w:r>
        <w:r w:rsidR="006027A6">
          <w:rPr>
            <w:webHidden/>
          </w:rPr>
          <w:instrText xml:space="preserve"> PAGEREF _Toc84488731 \h </w:instrText>
        </w:r>
        <w:r w:rsidR="006027A6">
          <w:rPr>
            <w:webHidden/>
          </w:rPr>
        </w:r>
        <w:r w:rsidR="006027A6">
          <w:rPr>
            <w:webHidden/>
          </w:rPr>
          <w:fldChar w:fldCharType="separate"/>
        </w:r>
        <w:r w:rsidR="009D65FF">
          <w:rPr>
            <w:webHidden/>
          </w:rPr>
          <w:t>6</w:t>
        </w:r>
        <w:r w:rsidR="006027A6">
          <w:rPr>
            <w:webHidden/>
          </w:rPr>
          <w:fldChar w:fldCharType="end"/>
        </w:r>
      </w:hyperlink>
    </w:p>
    <w:p w14:paraId="28A65A20" w14:textId="00D7BADC" w:rsidR="006027A6" w:rsidRDefault="003079E3" w:rsidP="006027A6">
      <w:pPr>
        <w:pStyle w:val="TOCBody"/>
        <w:rPr>
          <w:rFonts w:eastAsiaTheme="minorEastAsia"/>
          <w:lang w:eastAsia="en-PH"/>
        </w:rPr>
      </w:pPr>
      <w:hyperlink w:anchor="_Toc84488732" w:history="1">
        <w:r w:rsidR="006027A6" w:rsidRPr="00E31A55">
          <w:rPr>
            <w:rStyle w:val="Hyperlink"/>
          </w:rPr>
          <w:t>Pricing and funding for safety and quality</w:t>
        </w:r>
        <w:r w:rsidR="006027A6">
          <w:rPr>
            <w:webHidden/>
          </w:rPr>
          <w:tab/>
        </w:r>
        <w:r w:rsidR="006027A6">
          <w:rPr>
            <w:webHidden/>
          </w:rPr>
          <w:fldChar w:fldCharType="begin"/>
        </w:r>
        <w:r w:rsidR="006027A6">
          <w:rPr>
            <w:webHidden/>
          </w:rPr>
          <w:instrText xml:space="preserve"> PAGEREF _Toc84488732 \h </w:instrText>
        </w:r>
        <w:r w:rsidR="006027A6">
          <w:rPr>
            <w:webHidden/>
          </w:rPr>
        </w:r>
        <w:r w:rsidR="006027A6">
          <w:rPr>
            <w:webHidden/>
          </w:rPr>
          <w:fldChar w:fldCharType="separate"/>
        </w:r>
        <w:r w:rsidR="009D65FF">
          <w:rPr>
            <w:webHidden/>
          </w:rPr>
          <w:t>8</w:t>
        </w:r>
        <w:r w:rsidR="006027A6">
          <w:rPr>
            <w:webHidden/>
          </w:rPr>
          <w:fldChar w:fldCharType="end"/>
        </w:r>
      </w:hyperlink>
    </w:p>
    <w:p w14:paraId="10DC51C6" w14:textId="7466B3A2" w:rsidR="006027A6" w:rsidRDefault="003079E3" w:rsidP="006027A6">
      <w:pPr>
        <w:pStyle w:val="TOCBody"/>
        <w:rPr>
          <w:rFonts w:eastAsiaTheme="minorEastAsia"/>
          <w:lang w:eastAsia="en-PH"/>
        </w:rPr>
      </w:pPr>
      <w:hyperlink w:anchor="_Toc84488733" w:history="1">
        <w:r w:rsidR="006027A6" w:rsidRPr="00E31A55">
          <w:rPr>
            <w:rStyle w:val="Hyperlink"/>
          </w:rPr>
          <w:t>Responsible Minister</w:t>
        </w:r>
        <w:r w:rsidR="006027A6">
          <w:rPr>
            <w:webHidden/>
          </w:rPr>
          <w:tab/>
        </w:r>
        <w:r w:rsidR="006027A6">
          <w:rPr>
            <w:webHidden/>
          </w:rPr>
          <w:fldChar w:fldCharType="begin"/>
        </w:r>
        <w:r w:rsidR="006027A6">
          <w:rPr>
            <w:webHidden/>
          </w:rPr>
          <w:instrText xml:space="preserve"> PAGEREF _Toc84488733 \h </w:instrText>
        </w:r>
        <w:r w:rsidR="006027A6">
          <w:rPr>
            <w:webHidden/>
          </w:rPr>
        </w:r>
        <w:r w:rsidR="006027A6">
          <w:rPr>
            <w:webHidden/>
          </w:rPr>
          <w:fldChar w:fldCharType="separate"/>
        </w:r>
        <w:r w:rsidR="009D65FF">
          <w:rPr>
            <w:webHidden/>
          </w:rPr>
          <w:t>10</w:t>
        </w:r>
        <w:r w:rsidR="006027A6">
          <w:rPr>
            <w:webHidden/>
          </w:rPr>
          <w:fldChar w:fldCharType="end"/>
        </w:r>
      </w:hyperlink>
    </w:p>
    <w:p w14:paraId="6F39CBBB" w14:textId="411321AF" w:rsidR="006027A6" w:rsidRDefault="003079E3" w:rsidP="006027A6">
      <w:pPr>
        <w:pStyle w:val="TOCBody"/>
        <w:rPr>
          <w:rFonts w:eastAsiaTheme="minorEastAsia"/>
          <w:lang w:eastAsia="en-PH"/>
        </w:rPr>
      </w:pPr>
      <w:hyperlink w:anchor="_Toc84488734" w:history="1">
        <w:r w:rsidR="006027A6" w:rsidRPr="00E31A55">
          <w:rPr>
            <w:rStyle w:val="Hyperlink"/>
          </w:rPr>
          <w:t>Ministerial directions and government policy orders</w:t>
        </w:r>
        <w:r w:rsidR="006027A6">
          <w:rPr>
            <w:webHidden/>
          </w:rPr>
          <w:tab/>
        </w:r>
        <w:r w:rsidR="006027A6">
          <w:rPr>
            <w:webHidden/>
          </w:rPr>
          <w:fldChar w:fldCharType="begin"/>
        </w:r>
        <w:r w:rsidR="006027A6">
          <w:rPr>
            <w:webHidden/>
          </w:rPr>
          <w:instrText xml:space="preserve"> PAGEREF _Toc84488734 \h </w:instrText>
        </w:r>
        <w:r w:rsidR="006027A6">
          <w:rPr>
            <w:webHidden/>
          </w:rPr>
        </w:r>
        <w:r w:rsidR="006027A6">
          <w:rPr>
            <w:webHidden/>
          </w:rPr>
          <w:fldChar w:fldCharType="separate"/>
        </w:r>
        <w:r w:rsidR="009D65FF">
          <w:rPr>
            <w:webHidden/>
          </w:rPr>
          <w:t>11</w:t>
        </w:r>
        <w:r w:rsidR="006027A6">
          <w:rPr>
            <w:webHidden/>
          </w:rPr>
          <w:fldChar w:fldCharType="end"/>
        </w:r>
      </w:hyperlink>
    </w:p>
    <w:p w14:paraId="1749A49F" w14:textId="18608844" w:rsidR="006027A6" w:rsidRDefault="003079E3" w:rsidP="006027A6">
      <w:pPr>
        <w:pStyle w:val="TOCBody"/>
        <w:rPr>
          <w:rFonts w:eastAsiaTheme="minorEastAsia"/>
          <w:lang w:eastAsia="en-PH"/>
        </w:rPr>
      </w:pPr>
      <w:hyperlink w:anchor="_Toc84488735" w:history="1">
        <w:r w:rsidR="006027A6" w:rsidRPr="00E31A55">
          <w:rPr>
            <w:rStyle w:val="Hyperlink"/>
          </w:rPr>
          <w:t>Pricing for public hospital services</w:t>
        </w:r>
        <w:r w:rsidR="006027A6">
          <w:rPr>
            <w:webHidden/>
          </w:rPr>
          <w:tab/>
        </w:r>
        <w:r w:rsidR="006027A6">
          <w:rPr>
            <w:webHidden/>
          </w:rPr>
          <w:fldChar w:fldCharType="begin"/>
        </w:r>
        <w:r w:rsidR="006027A6">
          <w:rPr>
            <w:webHidden/>
          </w:rPr>
          <w:instrText xml:space="preserve"> PAGEREF _Toc84488735 \h </w:instrText>
        </w:r>
        <w:r w:rsidR="006027A6">
          <w:rPr>
            <w:webHidden/>
          </w:rPr>
        </w:r>
        <w:r w:rsidR="006027A6">
          <w:rPr>
            <w:webHidden/>
          </w:rPr>
          <w:fldChar w:fldCharType="separate"/>
        </w:r>
        <w:r w:rsidR="009D65FF">
          <w:rPr>
            <w:webHidden/>
          </w:rPr>
          <w:t>12</w:t>
        </w:r>
        <w:r w:rsidR="006027A6">
          <w:rPr>
            <w:webHidden/>
          </w:rPr>
          <w:fldChar w:fldCharType="end"/>
        </w:r>
      </w:hyperlink>
    </w:p>
    <w:p w14:paraId="7F3D1996" w14:textId="3832F519" w:rsidR="006027A6" w:rsidRDefault="003079E3" w:rsidP="006027A6">
      <w:pPr>
        <w:pStyle w:val="TOCBody"/>
        <w:rPr>
          <w:rFonts w:eastAsiaTheme="minorEastAsia"/>
          <w:lang w:eastAsia="en-PH"/>
        </w:rPr>
      </w:pPr>
      <w:hyperlink w:anchor="_Toc84488736" w:history="1">
        <w:r w:rsidR="006027A6" w:rsidRPr="00E31A55">
          <w:rPr>
            <w:rStyle w:val="Hyperlink"/>
          </w:rPr>
          <w:t>Organisational structure</w:t>
        </w:r>
        <w:r w:rsidR="006027A6">
          <w:rPr>
            <w:webHidden/>
          </w:rPr>
          <w:tab/>
        </w:r>
        <w:r w:rsidR="006027A6">
          <w:rPr>
            <w:webHidden/>
          </w:rPr>
          <w:fldChar w:fldCharType="begin"/>
        </w:r>
        <w:r w:rsidR="006027A6">
          <w:rPr>
            <w:webHidden/>
          </w:rPr>
          <w:instrText xml:space="preserve"> PAGEREF _Toc84488736 \h </w:instrText>
        </w:r>
        <w:r w:rsidR="006027A6">
          <w:rPr>
            <w:webHidden/>
          </w:rPr>
        </w:r>
        <w:r w:rsidR="006027A6">
          <w:rPr>
            <w:webHidden/>
          </w:rPr>
          <w:fldChar w:fldCharType="separate"/>
        </w:r>
        <w:r w:rsidR="009D65FF">
          <w:rPr>
            <w:webHidden/>
          </w:rPr>
          <w:t>16</w:t>
        </w:r>
        <w:r w:rsidR="006027A6">
          <w:rPr>
            <w:webHidden/>
          </w:rPr>
          <w:fldChar w:fldCharType="end"/>
        </w:r>
      </w:hyperlink>
    </w:p>
    <w:p w14:paraId="660B87AD" w14:textId="7212143D" w:rsidR="006027A6" w:rsidRDefault="003079E3" w:rsidP="006027A6">
      <w:pPr>
        <w:pStyle w:val="TOCBody"/>
        <w:rPr>
          <w:rFonts w:eastAsiaTheme="minorEastAsia"/>
          <w:lang w:eastAsia="en-PH"/>
        </w:rPr>
      </w:pPr>
      <w:hyperlink w:anchor="_Toc84488737" w:history="1">
        <w:r w:rsidR="006027A6" w:rsidRPr="00E31A55">
          <w:rPr>
            <w:rStyle w:val="Hyperlink"/>
          </w:rPr>
          <w:t>Committees and working groups</w:t>
        </w:r>
        <w:r w:rsidR="006027A6">
          <w:rPr>
            <w:webHidden/>
          </w:rPr>
          <w:tab/>
        </w:r>
        <w:r w:rsidR="006027A6">
          <w:rPr>
            <w:webHidden/>
          </w:rPr>
          <w:fldChar w:fldCharType="begin"/>
        </w:r>
        <w:r w:rsidR="006027A6">
          <w:rPr>
            <w:webHidden/>
          </w:rPr>
          <w:instrText xml:space="preserve"> PAGEREF _Toc84488737 \h </w:instrText>
        </w:r>
        <w:r w:rsidR="006027A6">
          <w:rPr>
            <w:webHidden/>
          </w:rPr>
        </w:r>
        <w:r w:rsidR="006027A6">
          <w:rPr>
            <w:webHidden/>
          </w:rPr>
          <w:fldChar w:fldCharType="separate"/>
        </w:r>
        <w:r w:rsidR="009D65FF">
          <w:rPr>
            <w:webHidden/>
          </w:rPr>
          <w:t>17</w:t>
        </w:r>
        <w:r w:rsidR="006027A6">
          <w:rPr>
            <w:webHidden/>
          </w:rPr>
          <w:fldChar w:fldCharType="end"/>
        </w:r>
      </w:hyperlink>
    </w:p>
    <w:p w14:paraId="6360DF2C" w14:textId="0DECC6B5" w:rsidR="006027A6" w:rsidRPr="00010118" w:rsidRDefault="003079E3" w:rsidP="006027A6">
      <w:pPr>
        <w:pStyle w:val="TOCHeader"/>
        <w:rPr>
          <w:rFonts w:eastAsiaTheme="minorEastAsia"/>
          <w:color w:val="008F54" w:themeColor="accent1"/>
          <w:lang w:eastAsia="en-PH"/>
        </w:rPr>
      </w:pPr>
      <w:hyperlink w:anchor="_Toc84488738" w:history="1">
        <w:r w:rsidR="006027A6" w:rsidRPr="00010118">
          <w:rPr>
            <w:rStyle w:val="Hyperlink"/>
            <w:color w:val="008F54" w:themeColor="accent1"/>
          </w:rPr>
          <w:t>Pricing Authority</w:t>
        </w:r>
        <w:r w:rsidR="006027A6" w:rsidRPr="00010118">
          <w:rPr>
            <w:webHidden/>
            <w:color w:val="008F54" w:themeColor="accent1"/>
          </w:rPr>
          <w:tab/>
        </w:r>
        <w:r w:rsidR="006027A6" w:rsidRPr="00010118">
          <w:rPr>
            <w:webHidden/>
            <w:color w:val="008F54" w:themeColor="accent1"/>
          </w:rPr>
          <w:fldChar w:fldCharType="begin"/>
        </w:r>
        <w:r w:rsidR="006027A6" w:rsidRPr="00010118">
          <w:rPr>
            <w:webHidden/>
            <w:color w:val="008F54" w:themeColor="accent1"/>
          </w:rPr>
          <w:instrText xml:space="preserve"> PAGEREF _Toc84488738 \h </w:instrText>
        </w:r>
        <w:r w:rsidR="006027A6" w:rsidRPr="00010118">
          <w:rPr>
            <w:webHidden/>
            <w:color w:val="008F54" w:themeColor="accent1"/>
          </w:rPr>
        </w:r>
        <w:r w:rsidR="006027A6" w:rsidRPr="00010118">
          <w:rPr>
            <w:webHidden/>
            <w:color w:val="008F54" w:themeColor="accent1"/>
          </w:rPr>
          <w:fldChar w:fldCharType="separate"/>
        </w:r>
        <w:r w:rsidR="009D65FF">
          <w:rPr>
            <w:webHidden/>
            <w:color w:val="008F54" w:themeColor="accent1"/>
          </w:rPr>
          <w:t>21</w:t>
        </w:r>
        <w:r w:rsidR="006027A6" w:rsidRPr="00010118">
          <w:rPr>
            <w:webHidden/>
            <w:color w:val="008F54" w:themeColor="accent1"/>
          </w:rPr>
          <w:fldChar w:fldCharType="end"/>
        </w:r>
      </w:hyperlink>
    </w:p>
    <w:p w14:paraId="165E8755" w14:textId="5BF44393" w:rsidR="006027A6" w:rsidRDefault="003079E3" w:rsidP="006027A6">
      <w:pPr>
        <w:pStyle w:val="TOCBody"/>
        <w:rPr>
          <w:rFonts w:eastAsiaTheme="minorEastAsia"/>
          <w:lang w:eastAsia="en-PH"/>
        </w:rPr>
      </w:pPr>
      <w:hyperlink w:anchor="_Toc84488739" w:history="1">
        <w:r w:rsidR="006027A6" w:rsidRPr="00E31A55">
          <w:rPr>
            <w:rStyle w:val="Hyperlink"/>
          </w:rPr>
          <w:t>About the Pricing Authority</w:t>
        </w:r>
        <w:r w:rsidR="006027A6">
          <w:rPr>
            <w:webHidden/>
          </w:rPr>
          <w:tab/>
        </w:r>
        <w:r w:rsidR="006027A6">
          <w:rPr>
            <w:webHidden/>
          </w:rPr>
          <w:fldChar w:fldCharType="begin"/>
        </w:r>
        <w:r w:rsidR="006027A6">
          <w:rPr>
            <w:webHidden/>
          </w:rPr>
          <w:instrText xml:space="preserve"> PAGEREF _Toc84488739 \h </w:instrText>
        </w:r>
        <w:r w:rsidR="006027A6">
          <w:rPr>
            <w:webHidden/>
          </w:rPr>
        </w:r>
        <w:r w:rsidR="006027A6">
          <w:rPr>
            <w:webHidden/>
          </w:rPr>
          <w:fldChar w:fldCharType="separate"/>
        </w:r>
        <w:r w:rsidR="009D65FF">
          <w:rPr>
            <w:webHidden/>
          </w:rPr>
          <w:t>23</w:t>
        </w:r>
        <w:r w:rsidR="006027A6">
          <w:rPr>
            <w:webHidden/>
          </w:rPr>
          <w:fldChar w:fldCharType="end"/>
        </w:r>
      </w:hyperlink>
    </w:p>
    <w:p w14:paraId="437A9461" w14:textId="2B2ABFE5" w:rsidR="006027A6" w:rsidRDefault="003079E3" w:rsidP="006027A6">
      <w:pPr>
        <w:pStyle w:val="TOCBody"/>
        <w:rPr>
          <w:rFonts w:eastAsiaTheme="minorEastAsia"/>
          <w:lang w:eastAsia="en-PH"/>
        </w:rPr>
      </w:pPr>
      <w:hyperlink w:anchor="_Toc84488740" w:history="1">
        <w:r w:rsidR="006027A6" w:rsidRPr="00E31A55">
          <w:rPr>
            <w:rStyle w:val="Hyperlink"/>
          </w:rPr>
          <w:t>Meetings of the Pricing Authority 2020–21</w:t>
        </w:r>
        <w:r w:rsidR="006027A6">
          <w:rPr>
            <w:webHidden/>
          </w:rPr>
          <w:tab/>
        </w:r>
        <w:r w:rsidR="006027A6">
          <w:rPr>
            <w:webHidden/>
          </w:rPr>
          <w:fldChar w:fldCharType="begin"/>
        </w:r>
        <w:r w:rsidR="006027A6">
          <w:rPr>
            <w:webHidden/>
          </w:rPr>
          <w:instrText xml:space="preserve"> PAGEREF _Toc84488740 \h </w:instrText>
        </w:r>
        <w:r w:rsidR="006027A6">
          <w:rPr>
            <w:webHidden/>
          </w:rPr>
        </w:r>
        <w:r w:rsidR="006027A6">
          <w:rPr>
            <w:webHidden/>
          </w:rPr>
          <w:fldChar w:fldCharType="separate"/>
        </w:r>
        <w:r w:rsidR="009D65FF">
          <w:rPr>
            <w:webHidden/>
          </w:rPr>
          <w:t>26</w:t>
        </w:r>
        <w:r w:rsidR="006027A6">
          <w:rPr>
            <w:webHidden/>
          </w:rPr>
          <w:fldChar w:fldCharType="end"/>
        </w:r>
      </w:hyperlink>
    </w:p>
    <w:p w14:paraId="509B3889" w14:textId="6B1AF4A5" w:rsidR="006027A6" w:rsidRPr="00010118" w:rsidRDefault="003079E3" w:rsidP="006027A6">
      <w:pPr>
        <w:pStyle w:val="TOCHeader"/>
        <w:rPr>
          <w:rFonts w:eastAsiaTheme="minorEastAsia"/>
          <w:color w:val="003F2C" w:themeColor="text1"/>
          <w:lang w:eastAsia="en-PH"/>
        </w:rPr>
      </w:pPr>
      <w:hyperlink w:anchor="_Toc84488741" w:history="1">
        <w:r w:rsidR="006027A6" w:rsidRPr="00010118">
          <w:rPr>
            <w:rStyle w:val="Hyperlink"/>
            <w:color w:val="003F2C" w:themeColor="text1"/>
          </w:rPr>
          <w:t>IHPA 2020–21 overview</w:t>
        </w:r>
        <w:r w:rsidR="006027A6" w:rsidRPr="00010118">
          <w:rPr>
            <w:webHidden/>
            <w:color w:val="003F2C" w:themeColor="text1"/>
          </w:rPr>
          <w:tab/>
        </w:r>
        <w:r w:rsidR="006027A6" w:rsidRPr="00010118">
          <w:rPr>
            <w:webHidden/>
            <w:color w:val="003F2C" w:themeColor="text1"/>
          </w:rPr>
          <w:fldChar w:fldCharType="begin"/>
        </w:r>
        <w:r w:rsidR="006027A6" w:rsidRPr="00010118">
          <w:rPr>
            <w:webHidden/>
            <w:color w:val="003F2C" w:themeColor="text1"/>
          </w:rPr>
          <w:instrText xml:space="preserve"> PAGEREF _Toc84488741 \h </w:instrText>
        </w:r>
        <w:r w:rsidR="006027A6" w:rsidRPr="00010118">
          <w:rPr>
            <w:webHidden/>
            <w:color w:val="003F2C" w:themeColor="text1"/>
          </w:rPr>
        </w:r>
        <w:r w:rsidR="006027A6" w:rsidRPr="00010118">
          <w:rPr>
            <w:webHidden/>
            <w:color w:val="003F2C" w:themeColor="text1"/>
          </w:rPr>
          <w:fldChar w:fldCharType="separate"/>
        </w:r>
        <w:r w:rsidR="009D65FF">
          <w:rPr>
            <w:webHidden/>
            <w:color w:val="003F2C" w:themeColor="text1"/>
          </w:rPr>
          <w:t>27</w:t>
        </w:r>
        <w:r w:rsidR="006027A6" w:rsidRPr="00010118">
          <w:rPr>
            <w:webHidden/>
            <w:color w:val="003F2C" w:themeColor="text1"/>
          </w:rPr>
          <w:fldChar w:fldCharType="end"/>
        </w:r>
      </w:hyperlink>
    </w:p>
    <w:p w14:paraId="6DD4BDCD" w14:textId="173596B8" w:rsidR="006027A6" w:rsidRDefault="003079E3" w:rsidP="006027A6">
      <w:pPr>
        <w:pStyle w:val="TOCBody"/>
        <w:rPr>
          <w:rFonts w:eastAsiaTheme="minorEastAsia"/>
          <w:lang w:eastAsia="en-PH"/>
        </w:rPr>
      </w:pPr>
      <w:hyperlink w:anchor="_Toc84488742" w:history="1">
        <w:r w:rsidR="006027A6" w:rsidRPr="00E31A55">
          <w:rPr>
            <w:rStyle w:val="Hyperlink"/>
          </w:rPr>
          <w:t>CEO</w:t>
        </w:r>
        <w:r w:rsidR="006027A6" w:rsidRPr="00E31A55">
          <w:rPr>
            <w:rStyle w:val="Hyperlink"/>
            <w:spacing w:val="-80"/>
          </w:rPr>
          <w:t>’</w:t>
        </w:r>
        <w:r w:rsidR="006027A6" w:rsidRPr="00E31A55">
          <w:rPr>
            <w:rStyle w:val="Hyperlink"/>
          </w:rPr>
          <w:t>s year in review</w:t>
        </w:r>
        <w:r w:rsidR="006027A6">
          <w:rPr>
            <w:webHidden/>
          </w:rPr>
          <w:tab/>
        </w:r>
        <w:r w:rsidR="006027A6">
          <w:rPr>
            <w:webHidden/>
          </w:rPr>
          <w:fldChar w:fldCharType="begin"/>
        </w:r>
        <w:r w:rsidR="006027A6">
          <w:rPr>
            <w:webHidden/>
          </w:rPr>
          <w:instrText xml:space="preserve"> PAGEREF _Toc84488742 \h </w:instrText>
        </w:r>
        <w:r w:rsidR="006027A6">
          <w:rPr>
            <w:webHidden/>
          </w:rPr>
        </w:r>
        <w:r w:rsidR="006027A6">
          <w:rPr>
            <w:webHidden/>
          </w:rPr>
          <w:fldChar w:fldCharType="separate"/>
        </w:r>
        <w:r w:rsidR="009D65FF">
          <w:rPr>
            <w:webHidden/>
          </w:rPr>
          <w:t>28</w:t>
        </w:r>
        <w:r w:rsidR="006027A6">
          <w:rPr>
            <w:webHidden/>
          </w:rPr>
          <w:fldChar w:fldCharType="end"/>
        </w:r>
      </w:hyperlink>
    </w:p>
    <w:p w14:paraId="1582601B" w14:textId="2511F96C" w:rsidR="006027A6" w:rsidRDefault="003079E3" w:rsidP="006027A6">
      <w:pPr>
        <w:pStyle w:val="TOCBody"/>
        <w:rPr>
          <w:rFonts w:eastAsiaTheme="minorEastAsia"/>
          <w:lang w:eastAsia="en-PH"/>
        </w:rPr>
      </w:pPr>
      <w:hyperlink w:anchor="_Toc84488743" w:history="1">
        <w:r w:rsidR="006027A6" w:rsidRPr="00E31A55">
          <w:rPr>
            <w:rStyle w:val="Hyperlink"/>
          </w:rPr>
          <w:t>2020–21 highlights</w:t>
        </w:r>
        <w:r w:rsidR="006027A6">
          <w:rPr>
            <w:webHidden/>
          </w:rPr>
          <w:tab/>
        </w:r>
        <w:r w:rsidR="006027A6">
          <w:rPr>
            <w:webHidden/>
          </w:rPr>
          <w:fldChar w:fldCharType="begin"/>
        </w:r>
        <w:r w:rsidR="006027A6">
          <w:rPr>
            <w:webHidden/>
          </w:rPr>
          <w:instrText xml:space="preserve"> PAGEREF _Toc84488743 \h </w:instrText>
        </w:r>
        <w:r w:rsidR="006027A6">
          <w:rPr>
            <w:webHidden/>
          </w:rPr>
        </w:r>
        <w:r w:rsidR="006027A6">
          <w:rPr>
            <w:webHidden/>
          </w:rPr>
          <w:fldChar w:fldCharType="separate"/>
        </w:r>
        <w:r w:rsidR="009D65FF">
          <w:rPr>
            <w:webHidden/>
          </w:rPr>
          <w:t>30</w:t>
        </w:r>
        <w:r w:rsidR="006027A6">
          <w:rPr>
            <w:webHidden/>
          </w:rPr>
          <w:fldChar w:fldCharType="end"/>
        </w:r>
      </w:hyperlink>
    </w:p>
    <w:p w14:paraId="45AD9E63" w14:textId="66A4E175" w:rsidR="006027A6" w:rsidRPr="00010118" w:rsidRDefault="003079E3" w:rsidP="006027A6">
      <w:pPr>
        <w:pStyle w:val="TOCHeader"/>
        <w:rPr>
          <w:rFonts w:eastAsiaTheme="minorEastAsia"/>
          <w:color w:val="F47920" w:themeColor="accent4"/>
          <w:lang w:eastAsia="en-PH"/>
        </w:rPr>
      </w:pPr>
      <w:hyperlink w:anchor="_Toc84488744" w:history="1">
        <w:r w:rsidR="006027A6" w:rsidRPr="00010118">
          <w:rPr>
            <w:rStyle w:val="Hyperlink"/>
            <w:color w:val="F47920" w:themeColor="accent4"/>
          </w:rPr>
          <w:t>Clinical Advisory Committee</w:t>
        </w:r>
        <w:r w:rsidR="006027A6" w:rsidRPr="00010118">
          <w:rPr>
            <w:webHidden/>
            <w:color w:val="F47920" w:themeColor="accent4"/>
          </w:rPr>
          <w:tab/>
        </w:r>
        <w:r w:rsidR="006027A6" w:rsidRPr="00010118">
          <w:rPr>
            <w:webHidden/>
            <w:color w:val="F47920" w:themeColor="accent4"/>
          </w:rPr>
          <w:fldChar w:fldCharType="begin"/>
        </w:r>
        <w:r w:rsidR="006027A6" w:rsidRPr="00010118">
          <w:rPr>
            <w:webHidden/>
            <w:color w:val="F47920" w:themeColor="accent4"/>
          </w:rPr>
          <w:instrText xml:space="preserve"> PAGEREF _Toc84488744 \h </w:instrText>
        </w:r>
        <w:r w:rsidR="006027A6" w:rsidRPr="00010118">
          <w:rPr>
            <w:webHidden/>
            <w:color w:val="F47920" w:themeColor="accent4"/>
          </w:rPr>
        </w:r>
        <w:r w:rsidR="006027A6" w:rsidRPr="00010118">
          <w:rPr>
            <w:webHidden/>
            <w:color w:val="F47920" w:themeColor="accent4"/>
          </w:rPr>
          <w:fldChar w:fldCharType="separate"/>
        </w:r>
        <w:r w:rsidR="009D65FF">
          <w:rPr>
            <w:webHidden/>
            <w:color w:val="F47920" w:themeColor="accent4"/>
          </w:rPr>
          <w:t>31</w:t>
        </w:r>
        <w:r w:rsidR="006027A6" w:rsidRPr="00010118">
          <w:rPr>
            <w:webHidden/>
            <w:color w:val="F47920" w:themeColor="accent4"/>
          </w:rPr>
          <w:fldChar w:fldCharType="end"/>
        </w:r>
      </w:hyperlink>
    </w:p>
    <w:p w14:paraId="30A206BF" w14:textId="2BAB1D54" w:rsidR="006027A6" w:rsidRDefault="003079E3" w:rsidP="006027A6">
      <w:pPr>
        <w:pStyle w:val="TOCBody"/>
        <w:rPr>
          <w:rFonts w:eastAsiaTheme="minorEastAsia"/>
          <w:lang w:eastAsia="en-PH"/>
        </w:rPr>
      </w:pPr>
      <w:hyperlink w:anchor="_Toc84488745" w:history="1">
        <w:r w:rsidR="006027A6" w:rsidRPr="00E31A55">
          <w:rPr>
            <w:rStyle w:val="Hyperlink"/>
          </w:rPr>
          <w:t>Letter from the Chair</w:t>
        </w:r>
        <w:r w:rsidR="006027A6">
          <w:rPr>
            <w:webHidden/>
          </w:rPr>
          <w:tab/>
        </w:r>
        <w:r w:rsidR="006027A6">
          <w:rPr>
            <w:webHidden/>
          </w:rPr>
          <w:fldChar w:fldCharType="begin"/>
        </w:r>
        <w:r w:rsidR="006027A6">
          <w:rPr>
            <w:webHidden/>
          </w:rPr>
          <w:instrText xml:space="preserve"> PAGEREF _Toc84488745 \h </w:instrText>
        </w:r>
        <w:r w:rsidR="006027A6">
          <w:rPr>
            <w:webHidden/>
          </w:rPr>
        </w:r>
        <w:r w:rsidR="006027A6">
          <w:rPr>
            <w:webHidden/>
          </w:rPr>
          <w:fldChar w:fldCharType="separate"/>
        </w:r>
        <w:r w:rsidR="009D65FF">
          <w:rPr>
            <w:webHidden/>
          </w:rPr>
          <w:t>32</w:t>
        </w:r>
        <w:r w:rsidR="006027A6">
          <w:rPr>
            <w:webHidden/>
          </w:rPr>
          <w:fldChar w:fldCharType="end"/>
        </w:r>
      </w:hyperlink>
    </w:p>
    <w:p w14:paraId="52E98B80" w14:textId="76E3D5F5" w:rsidR="006027A6" w:rsidRDefault="003079E3" w:rsidP="006027A6">
      <w:pPr>
        <w:pStyle w:val="TOCBody"/>
        <w:rPr>
          <w:rFonts w:eastAsiaTheme="minorEastAsia"/>
          <w:lang w:eastAsia="en-PH"/>
        </w:rPr>
      </w:pPr>
      <w:hyperlink w:anchor="_Toc84488746" w:history="1">
        <w:r w:rsidR="006027A6" w:rsidRPr="00E31A55">
          <w:rPr>
            <w:rStyle w:val="Hyperlink"/>
          </w:rPr>
          <w:t>About the Clinical Advisory Committee</w:t>
        </w:r>
        <w:r w:rsidR="006027A6">
          <w:rPr>
            <w:webHidden/>
          </w:rPr>
          <w:tab/>
        </w:r>
        <w:r w:rsidR="006027A6">
          <w:rPr>
            <w:webHidden/>
          </w:rPr>
          <w:fldChar w:fldCharType="begin"/>
        </w:r>
        <w:r w:rsidR="006027A6">
          <w:rPr>
            <w:webHidden/>
          </w:rPr>
          <w:instrText xml:space="preserve"> PAGEREF _Toc84488746 \h </w:instrText>
        </w:r>
        <w:r w:rsidR="006027A6">
          <w:rPr>
            <w:webHidden/>
          </w:rPr>
        </w:r>
        <w:r w:rsidR="006027A6">
          <w:rPr>
            <w:webHidden/>
          </w:rPr>
          <w:fldChar w:fldCharType="separate"/>
        </w:r>
        <w:r w:rsidR="009D65FF">
          <w:rPr>
            <w:webHidden/>
          </w:rPr>
          <w:t>34</w:t>
        </w:r>
        <w:r w:rsidR="006027A6">
          <w:rPr>
            <w:webHidden/>
          </w:rPr>
          <w:fldChar w:fldCharType="end"/>
        </w:r>
      </w:hyperlink>
    </w:p>
    <w:p w14:paraId="64999D97" w14:textId="53DF0D1B" w:rsidR="006027A6" w:rsidRDefault="003079E3" w:rsidP="006027A6">
      <w:pPr>
        <w:pStyle w:val="TOCBody"/>
        <w:rPr>
          <w:rFonts w:eastAsiaTheme="minorEastAsia"/>
          <w:lang w:eastAsia="en-PH"/>
        </w:rPr>
      </w:pPr>
      <w:hyperlink w:anchor="_Toc84488747" w:history="1">
        <w:r w:rsidR="006027A6" w:rsidRPr="00E31A55">
          <w:rPr>
            <w:rStyle w:val="Hyperlink"/>
          </w:rPr>
          <w:t>2020–21 highlights</w:t>
        </w:r>
        <w:r w:rsidR="006027A6">
          <w:rPr>
            <w:webHidden/>
          </w:rPr>
          <w:tab/>
        </w:r>
        <w:r w:rsidR="006027A6">
          <w:rPr>
            <w:webHidden/>
          </w:rPr>
          <w:fldChar w:fldCharType="begin"/>
        </w:r>
        <w:r w:rsidR="006027A6">
          <w:rPr>
            <w:webHidden/>
          </w:rPr>
          <w:instrText xml:space="preserve"> PAGEREF _Toc84488747 \h </w:instrText>
        </w:r>
        <w:r w:rsidR="006027A6">
          <w:rPr>
            <w:webHidden/>
          </w:rPr>
        </w:r>
        <w:r w:rsidR="006027A6">
          <w:rPr>
            <w:webHidden/>
          </w:rPr>
          <w:fldChar w:fldCharType="separate"/>
        </w:r>
        <w:r w:rsidR="009D65FF">
          <w:rPr>
            <w:webHidden/>
          </w:rPr>
          <w:t>36</w:t>
        </w:r>
        <w:r w:rsidR="006027A6">
          <w:rPr>
            <w:webHidden/>
          </w:rPr>
          <w:fldChar w:fldCharType="end"/>
        </w:r>
      </w:hyperlink>
    </w:p>
    <w:p w14:paraId="743F9FDD" w14:textId="2D34AA24" w:rsidR="006027A6" w:rsidRPr="00010118" w:rsidRDefault="003079E3" w:rsidP="006027A6">
      <w:pPr>
        <w:pStyle w:val="TOCHeader"/>
        <w:rPr>
          <w:rFonts w:eastAsiaTheme="minorEastAsia"/>
          <w:color w:val="5E2F7E" w:themeColor="accent5"/>
          <w:lang w:eastAsia="en-PH"/>
        </w:rPr>
      </w:pPr>
      <w:hyperlink w:anchor="_Toc84488748" w:history="1">
        <w:r w:rsidR="006027A6" w:rsidRPr="00010118">
          <w:rPr>
            <w:rStyle w:val="Hyperlink"/>
            <w:color w:val="5E2F7E" w:themeColor="accent5"/>
          </w:rPr>
          <w:t xml:space="preserve">Annual </w:t>
        </w:r>
        <w:r w:rsidR="00295E25">
          <w:rPr>
            <w:rStyle w:val="Hyperlink"/>
            <w:color w:val="5E2F7E" w:themeColor="accent5"/>
          </w:rPr>
          <w:t>p</w:t>
        </w:r>
        <w:r w:rsidR="006027A6" w:rsidRPr="00010118">
          <w:rPr>
            <w:rStyle w:val="Hyperlink"/>
            <w:color w:val="5E2F7E" w:themeColor="accent5"/>
          </w:rPr>
          <w:t xml:space="preserve">erformance </w:t>
        </w:r>
        <w:r w:rsidR="00295E25">
          <w:rPr>
            <w:rStyle w:val="Hyperlink"/>
            <w:color w:val="5E2F7E" w:themeColor="accent5"/>
          </w:rPr>
          <w:t>s</w:t>
        </w:r>
        <w:r w:rsidR="006027A6" w:rsidRPr="00010118">
          <w:rPr>
            <w:rStyle w:val="Hyperlink"/>
            <w:color w:val="5E2F7E" w:themeColor="accent5"/>
          </w:rPr>
          <w:t>tatements</w:t>
        </w:r>
        <w:r w:rsidR="006027A6" w:rsidRPr="00010118">
          <w:rPr>
            <w:webHidden/>
            <w:color w:val="5E2F7E" w:themeColor="accent5"/>
          </w:rPr>
          <w:tab/>
        </w:r>
        <w:r w:rsidR="006027A6" w:rsidRPr="00010118">
          <w:rPr>
            <w:webHidden/>
            <w:color w:val="5E2F7E" w:themeColor="accent5"/>
          </w:rPr>
          <w:fldChar w:fldCharType="begin"/>
        </w:r>
        <w:r w:rsidR="006027A6" w:rsidRPr="00010118">
          <w:rPr>
            <w:webHidden/>
            <w:color w:val="5E2F7E" w:themeColor="accent5"/>
          </w:rPr>
          <w:instrText xml:space="preserve"> PAGEREF _Toc84488748 \h </w:instrText>
        </w:r>
        <w:r w:rsidR="006027A6" w:rsidRPr="00010118">
          <w:rPr>
            <w:webHidden/>
            <w:color w:val="5E2F7E" w:themeColor="accent5"/>
          </w:rPr>
        </w:r>
        <w:r w:rsidR="006027A6" w:rsidRPr="00010118">
          <w:rPr>
            <w:webHidden/>
            <w:color w:val="5E2F7E" w:themeColor="accent5"/>
          </w:rPr>
          <w:fldChar w:fldCharType="separate"/>
        </w:r>
        <w:r w:rsidR="009D65FF">
          <w:rPr>
            <w:webHidden/>
            <w:color w:val="5E2F7E" w:themeColor="accent5"/>
          </w:rPr>
          <w:t>37</w:t>
        </w:r>
        <w:r w:rsidR="006027A6" w:rsidRPr="00010118">
          <w:rPr>
            <w:webHidden/>
            <w:color w:val="5E2F7E" w:themeColor="accent5"/>
          </w:rPr>
          <w:fldChar w:fldCharType="end"/>
        </w:r>
      </w:hyperlink>
    </w:p>
    <w:p w14:paraId="47E4E4B6" w14:textId="58F78A8A" w:rsidR="006027A6" w:rsidRDefault="003079E3" w:rsidP="006027A6">
      <w:pPr>
        <w:pStyle w:val="TOCBody"/>
        <w:rPr>
          <w:rFonts w:eastAsiaTheme="minorEastAsia"/>
          <w:lang w:eastAsia="en-PH"/>
        </w:rPr>
      </w:pPr>
      <w:hyperlink w:anchor="_Toc84488749" w:history="1">
        <w:r w:rsidR="006027A6" w:rsidRPr="00E31A55">
          <w:rPr>
            <w:rStyle w:val="Hyperlink"/>
          </w:rPr>
          <w:t xml:space="preserve">Introductory </w:t>
        </w:r>
        <w:r w:rsidR="00762DB6">
          <w:rPr>
            <w:rStyle w:val="Hyperlink"/>
          </w:rPr>
          <w:t>s</w:t>
        </w:r>
        <w:r w:rsidR="006027A6" w:rsidRPr="00E31A55">
          <w:rPr>
            <w:rStyle w:val="Hyperlink"/>
          </w:rPr>
          <w:t>tatement</w:t>
        </w:r>
        <w:r w:rsidR="006027A6">
          <w:rPr>
            <w:webHidden/>
          </w:rPr>
          <w:tab/>
        </w:r>
        <w:r w:rsidR="006027A6">
          <w:rPr>
            <w:webHidden/>
          </w:rPr>
          <w:fldChar w:fldCharType="begin"/>
        </w:r>
        <w:r w:rsidR="006027A6">
          <w:rPr>
            <w:webHidden/>
          </w:rPr>
          <w:instrText xml:space="preserve"> PAGEREF _Toc84488749 \h </w:instrText>
        </w:r>
        <w:r w:rsidR="006027A6">
          <w:rPr>
            <w:webHidden/>
          </w:rPr>
        </w:r>
        <w:r w:rsidR="006027A6">
          <w:rPr>
            <w:webHidden/>
          </w:rPr>
          <w:fldChar w:fldCharType="separate"/>
        </w:r>
        <w:r w:rsidR="009D65FF">
          <w:rPr>
            <w:webHidden/>
          </w:rPr>
          <w:t>38</w:t>
        </w:r>
        <w:r w:rsidR="006027A6">
          <w:rPr>
            <w:webHidden/>
          </w:rPr>
          <w:fldChar w:fldCharType="end"/>
        </w:r>
      </w:hyperlink>
    </w:p>
    <w:p w14:paraId="3326E4AC" w14:textId="0090B3AD" w:rsidR="006027A6" w:rsidRDefault="003079E3" w:rsidP="006027A6">
      <w:pPr>
        <w:pStyle w:val="TOCBody"/>
        <w:rPr>
          <w:rFonts w:eastAsiaTheme="minorEastAsia"/>
          <w:lang w:eastAsia="en-PH"/>
        </w:rPr>
      </w:pPr>
      <w:hyperlink w:anchor="_Toc84488750" w:history="1">
        <w:r w:rsidR="006027A6" w:rsidRPr="00E31A55">
          <w:rPr>
            <w:rStyle w:val="Hyperlink"/>
          </w:rPr>
          <w:t>Pe</w:t>
        </w:r>
        <w:r w:rsidR="006027A6" w:rsidRPr="00E31A55">
          <w:rPr>
            <w:rStyle w:val="Hyperlink"/>
            <w:spacing w:val="20"/>
          </w:rPr>
          <w:t>rf</w:t>
        </w:r>
        <w:r w:rsidR="006027A6" w:rsidRPr="00E31A55">
          <w:rPr>
            <w:rStyle w:val="Hyperlink"/>
          </w:rPr>
          <w:t>ormance in 2020–21</w:t>
        </w:r>
        <w:r w:rsidR="006027A6">
          <w:rPr>
            <w:webHidden/>
          </w:rPr>
          <w:tab/>
        </w:r>
        <w:r w:rsidR="006027A6">
          <w:rPr>
            <w:webHidden/>
          </w:rPr>
          <w:fldChar w:fldCharType="begin"/>
        </w:r>
        <w:r w:rsidR="006027A6">
          <w:rPr>
            <w:webHidden/>
          </w:rPr>
          <w:instrText xml:space="preserve"> PAGEREF _Toc84488750 \h </w:instrText>
        </w:r>
        <w:r w:rsidR="006027A6">
          <w:rPr>
            <w:webHidden/>
          </w:rPr>
        </w:r>
        <w:r w:rsidR="006027A6">
          <w:rPr>
            <w:webHidden/>
          </w:rPr>
          <w:fldChar w:fldCharType="separate"/>
        </w:r>
        <w:r w:rsidR="009D65FF">
          <w:rPr>
            <w:webHidden/>
          </w:rPr>
          <w:t>39</w:t>
        </w:r>
        <w:r w:rsidR="006027A6">
          <w:rPr>
            <w:webHidden/>
          </w:rPr>
          <w:fldChar w:fldCharType="end"/>
        </w:r>
      </w:hyperlink>
    </w:p>
    <w:p w14:paraId="761F6A0E" w14:textId="08FDB1CD" w:rsidR="006027A6" w:rsidRDefault="003079E3" w:rsidP="006027A6">
      <w:pPr>
        <w:pStyle w:val="TOCBody"/>
        <w:rPr>
          <w:rFonts w:eastAsiaTheme="minorEastAsia"/>
          <w:lang w:eastAsia="en-PH"/>
        </w:rPr>
      </w:pPr>
      <w:hyperlink w:anchor="_Toc84488751" w:history="1">
        <w:r w:rsidR="006027A6" w:rsidRPr="00E31A55">
          <w:rPr>
            <w:rStyle w:val="Hyperlink"/>
          </w:rPr>
          <w:t>Activities</w:t>
        </w:r>
        <w:r w:rsidR="006027A6">
          <w:rPr>
            <w:webHidden/>
          </w:rPr>
          <w:tab/>
        </w:r>
        <w:r w:rsidR="006027A6">
          <w:rPr>
            <w:webHidden/>
          </w:rPr>
          <w:fldChar w:fldCharType="begin"/>
        </w:r>
        <w:r w:rsidR="006027A6">
          <w:rPr>
            <w:webHidden/>
          </w:rPr>
          <w:instrText xml:space="preserve"> PAGEREF _Toc84488751 \h </w:instrText>
        </w:r>
        <w:r w:rsidR="006027A6">
          <w:rPr>
            <w:webHidden/>
          </w:rPr>
        </w:r>
        <w:r w:rsidR="006027A6">
          <w:rPr>
            <w:webHidden/>
          </w:rPr>
          <w:fldChar w:fldCharType="separate"/>
        </w:r>
        <w:r w:rsidR="009D65FF">
          <w:rPr>
            <w:webHidden/>
          </w:rPr>
          <w:t>40</w:t>
        </w:r>
        <w:r w:rsidR="006027A6">
          <w:rPr>
            <w:webHidden/>
          </w:rPr>
          <w:fldChar w:fldCharType="end"/>
        </w:r>
      </w:hyperlink>
    </w:p>
    <w:p w14:paraId="2E34978B" w14:textId="54C49ED0" w:rsidR="006027A6" w:rsidRPr="00010118" w:rsidRDefault="003079E3" w:rsidP="006027A6">
      <w:pPr>
        <w:pStyle w:val="TOCHeader"/>
        <w:rPr>
          <w:rFonts w:eastAsiaTheme="minorEastAsia"/>
          <w:color w:val="C40B46" w:themeColor="accent6"/>
          <w:lang w:eastAsia="en-PH"/>
        </w:rPr>
      </w:pPr>
      <w:hyperlink w:anchor="_Toc84488752" w:history="1">
        <w:r w:rsidR="006027A6" w:rsidRPr="00010118">
          <w:rPr>
            <w:rStyle w:val="Hyperlink"/>
            <w:color w:val="C40B46" w:themeColor="accent6"/>
          </w:rPr>
          <w:t>Management and accountability</w:t>
        </w:r>
        <w:r w:rsidR="006027A6" w:rsidRPr="00010118">
          <w:rPr>
            <w:webHidden/>
            <w:color w:val="C40B46" w:themeColor="accent6"/>
          </w:rPr>
          <w:tab/>
        </w:r>
        <w:r w:rsidR="006027A6" w:rsidRPr="00010118">
          <w:rPr>
            <w:webHidden/>
            <w:color w:val="C40B46" w:themeColor="accent6"/>
          </w:rPr>
          <w:fldChar w:fldCharType="begin"/>
        </w:r>
        <w:r w:rsidR="006027A6" w:rsidRPr="00010118">
          <w:rPr>
            <w:webHidden/>
            <w:color w:val="C40B46" w:themeColor="accent6"/>
          </w:rPr>
          <w:instrText xml:space="preserve"> PAGEREF _Toc84488752 \h </w:instrText>
        </w:r>
        <w:r w:rsidR="006027A6" w:rsidRPr="00010118">
          <w:rPr>
            <w:webHidden/>
            <w:color w:val="C40B46" w:themeColor="accent6"/>
          </w:rPr>
        </w:r>
        <w:r w:rsidR="006027A6" w:rsidRPr="00010118">
          <w:rPr>
            <w:webHidden/>
            <w:color w:val="C40B46" w:themeColor="accent6"/>
          </w:rPr>
          <w:fldChar w:fldCharType="separate"/>
        </w:r>
        <w:r w:rsidR="009D65FF">
          <w:rPr>
            <w:webHidden/>
            <w:color w:val="C40B46" w:themeColor="accent6"/>
          </w:rPr>
          <w:t>63</w:t>
        </w:r>
        <w:r w:rsidR="006027A6" w:rsidRPr="00010118">
          <w:rPr>
            <w:webHidden/>
            <w:color w:val="C40B46" w:themeColor="accent6"/>
          </w:rPr>
          <w:fldChar w:fldCharType="end"/>
        </w:r>
      </w:hyperlink>
    </w:p>
    <w:p w14:paraId="32A67E19" w14:textId="1BEF5F51" w:rsidR="006027A6" w:rsidRDefault="003079E3" w:rsidP="006027A6">
      <w:pPr>
        <w:pStyle w:val="TOCBody"/>
        <w:rPr>
          <w:rFonts w:eastAsiaTheme="minorEastAsia"/>
          <w:lang w:eastAsia="en-PH"/>
        </w:rPr>
      </w:pPr>
      <w:hyperlink w:anchor="_Toc84488753" w:history="1">
        <w:r w:rsidR="006027A6" w:rsidRPr="00E31A55">
          <w:rPr>
            <w:rStyle w:val="Hyperlink"/>
          </w:rPr>
          <w:t>Key corporate governance practices</w:t>
        </w:r>
        <w:r w:rsidR="006027A6">
          <w:rPr>
            <w:webHidden/>
          </w:rPr>
          <w:tab/>
        </w:r>
        <w:r w:rsidR="006027A6">
          <w:rPr>
            <w:webHidden/>
          </w:rPr>
          <w:fldChar w:fldCharType="begin"/>
        </w:r>
        <w:r w:rsidR="006027A6">
          <w:rPr>
            <w:webHidden/>
          </w:rPr>
          <w:instrText xml:space="preserve"> PAGEREF _Toc84488753 \h </w:instrText>
        </w:r>
        <w:r w:rsidR="006027A6">
          <w:rPr>
            <w:webHidden/>
          </w:rPr>
        </w:r>
        <w:r w:rsidR="006027A6">
          <w:rPr>
            <w:webHidden/>
          </w:rPr>
          <w:fldChar w:fldCharType="separate"/>
        </w:r>
        <w:r w:rsidR="009D65FF">
          <w:rPr>
            <w:webHidden/>
          </w:rPr>
          <w:t>64</w:t>
        </w:r>
        <w:r w:rsidR="006027A6">
          <w:rPr>
            <w:webHidden/>
          </w:rPr>
          <w:fldChar w:fldCharType="end"/>
        </w:r>
      </w:hyperlink>
    </w:p>
    <w:p w14:paraId="38404D50" w14:textId="2E07ADD4" w:rsidR="006027A6" w:rsidRDefault="003079E3" w:rsidP="006027A6">
      <w:pPr>
        <w:pStyle w:val="TOCBody"/>
        <w:rPr>
          <w:rFonts w:eastAsiaTheme="minorEastAsia"/>
          <w:lang w:eastAsia="en-PH"/>
        </w:rPr>
      </w:pPr>
      <w:hyperlink w:anchor="_Toc84488754" w:history="1">
        <w:r w:rsidR="006027A6" w:rsidRPr="00E31A55">
          <w:rPr>
            <w:rStyle w:val="Hyperlink"/>
          </w:rPr>
          <w:t>Management of human resources</w:t>
        </w:r>
        <w:r w:rsidR="006027A6">
          <w:rPr>
            <w:webHidden/>
          </w:rPr>
          <w:tab/>
        </w:r>
        <w:r w:rsidR="006027A6">
          <w:rPr>
            <w:webHidden/>
          </w:rPr>
          <w:fldChar w:fldCharType="begin"/>
        </w:r>
        <w:r w:rsidR="006027A6">
          <w:rPr>
            <w:webHidden/>
          </w:rPr>
          <w:instrText xml:space="preserve"> PAGEREF _Toc84488754 \h </w:instrText>
        </w:r>
        <w:r w:rsidR="006027A6">
          <w:rPr>
            <w:webHidden/>
          </w:rPr>
        </w:r>
        <w:r w:rsidR="006027A6">
          <w:rPr>
            <w:webHidden/>
          </w:rPr>
          <w:fldChar w:fldCharType="separate"/>
        </w:r>
        <w:r w:rsidR="009D65FF">
          <w:rPr>
            <w:webHidden/>
          </w:rPr>
          <w:t>69</w:t>
        </w:r>
        <w:r w:rsidR="006027A6">
          <w:rPr>
            <w:webHidden/>
          </w:rPr>
          <w:fldChar w:fldCharType="end"/>
        </w:r>
      </w:hyperlink>
    </w:p>
    <w:p w14:paraId="15E2D3CD" w14:textId="7C0F98CC" w:rsidR="006027A6" w:rsidRDefault="003079E3" w:rsidP="006027A6">
      <w:pPr>
        <w:pStyle w:val="TOCHeader"/>
        <w:rPr>
          <w:rFonts w:eastAsiaTheme="minorEastAsia"/>
          <w:lang w:eastAsia="en-PH"/>
        </w:rPr>
      </w:pPr>
      <w:hyperlink w:anchor="_Toc84488755" w:history="1">
        <w:r w:rsidR="006027A6" w:rsidRPr="00E31A55">
          <w:rPr>
            <w:rStyle w:val="Hyperlink"/>
          </w:rPr>
          <w:t>Financial management</w:t>
        </w:r>
        <w:r w:rsidR="006027A6">
          <w:rPr>
            <w:webHidden/>
          </w:rPr>
          <w:tab/>
        </w:r>
        <w:r w:rsidR="006027A6">
          <w:rPr>
            <w:webHidden/>
          </w:rPr>
          <w:fldChar w:fldCharType="begin"/>
        </w:r>
        <w:r w:rsidR="006027A6">
          <w:rPr>
            <w:webHidden/>
          </w:rPr>
          <w:instrText xml:space="preserve"> PAGEREF _Toc84488755 \h </w:instrText>
        </w:r>
        <w:r w:rsidR="006027A6">
          <w:rPr>
            <w:webHidden/>
          </w:rPr>
        </w:r>
        <w:r w:rsidR="006027A6">
          <w:rPr>
            <w:webHidden/>
          </w:rPr>
          <w:fldChar w:fldCharType="separate"/>
        </w:r>
        <w:r w:rsidR="009D65FF">
          <w:rPr>
            <w:webHidden/>
          </w:rPr>
          <w:t>77</w:t>
        </w:r>
        <w:r w:rsidR="006027A6">
          <w:rPr>
            <w:webHidden/>
          </w:rPr>
          <w:fldChar w:fldCharType="end"/>
        </w:r>
      </w:hyperlink>
    </w:p>
    <w:p w14:paraId="39E41BDE" w14:textId="420CD378" w:rsidR="006027A6" w:rsidRDefault="003079E3" w:rsidP="006027A6">
      <w:pPr>
        <w:pStyle w:val="TOCBody"/>
        <w:rPr>
          <w:rFonts w:eastAsiaTheme="minorEastAsia"/>
          <w:lang w:eastAsia="en-PH"/>
        </w:rPr>
      </w:pPr>
      <w:hyperlink w:anchor="_Toc84488756" w:history="1">
        <w:r w:rsidR="006027A6" w:rsidRPr="00E31A55">
          <w:rPr>
            <w:rStyle w:val="Hyperlink"/>
          </w:rPr>
          <w:t>Financial statements</w:t>
        </w:r>
        <w:r w:rsidR="006027A6">
          <w:rPr>
            <w:webHidden/>
          </w:rPr>
          <w:tab/>
        </w:r>
        <w:r w:rsidR="006027A6">
          <w:rPr>
            <w:webHidden/>
          </w:rPr>
          <w:fldChar w:fldCharType="begin"/>
        </w:r>
        <w:r w:rsidR="006027A6">
          <w:rPr>
            <w:webHidden/>
          </w:rPr>
          <w:instrText xml:space="preserve"> PAGEREF _Toc84488756 \h </w:instrText>
        </w:r>
        <w:r w:rsidR="006027A6">
          <w:rPr>
            <w:webHidden/>
          </w:rPr>
        </w:r>
        <w:r w:rsidR="006027A6">
          <w:rPr>
            <w:webHidden/>
          </w:rPr>
          <w:fldChar w:fldCharType="separate"/>
        </w:r>
        <w:r w:rsidR="009D65FF">
          <w:rPr>
            <w:webHidden/>
          </w:rPr>
          <w:t>78</w:t>
        </w:r>
        <w:r w:rsidR="006027A6">
          <w:rPr>
            <w:webHidden/>
          </w:rPr>
          <w:fldChar w:fldCharType="end"/>
        </w:r>
      </w:hyperlink>
    </w:p>
    <w:p w14:paraId="7F0DD68E" w14:textId="498E0295" w:rsidR="006027A6" w:rsidRDefault="003079E3" w:rsidP="006027A6">
      <w:pPr>
        <w:pStyle w:val="TOCHeader"/>
        <w:rPr>
          <w:rFonts w:eastAsiaTheme="minorEastAsia"/>
          <w:lang w:eastAsia="en-PH"/>
        </w:rPr>
      </w:pPr>
      <w:hyperlink w:anchor="_Toc84488757" w:history="1">
        <w:r w:rsidR="006027A6" w:rsidRPr="00E31A55">
          <w:rPr>
            <w:rStyle w:val="Hyperlink"/>
          </w:rPr>
          <w:t>Appendices</w:t>
        </w:r>
        <w:r w:rsidR="006027A6">
          <w:rPr>
            <w:webHidden/>
          </w:rPr>
          <w:tab/>
        </w:r>
        <w:r w:rsidR="006027A6">
          <w:rPr>
            <w:webHidden/>
          </w:rPr>
          <w:fldChar w:fldCharType="begin"/>
        </w:r>
        <w:r w:rsidR="006027A6">
          <w:rPr>
            <w:webHidden/>
          </w:rPr>
          <w:instrText xml:space="preserve"> PAGEREF _Toc84488757 \h </w:instrText>
        </w:r>
        <w:r w:rsidR="006027A6">
          <w:rPr>
            <w:webHidden/>
          </w:rPr>
        </w:r>
        <w:r w:rsidR="006027A6">
          <w:rPr>
            <w:webHidden/>
          </w:rPr>
          <w:fldChar w:fldCharType="separate"/>
        </w:r>
        <w:r w:rsidR="009D65FF">
          <w:rPr>
            <w:webHidden/>
          </w:rPr>
          <w:t>103</w:t>
        </w:r>
        <w:r w:rsidR="006027A6">
          <w:rPr>
            <w:webHidden/>
          </w:rPr>
          <w:fldChar w:fldCharType="end"/>
        </w:r>
      </w:hyperlink>
    </w:p>
    <w:p w14:paraId="50ED0DA8" w14:textId="466A292D" w:rsidR="006027A6" w:rsidRDefault="003079E3" w:rsidP="006027A6">
      <w:pPr>
        <w:pStyle w:val="TOCBody"/>
        <w:rPr>
          <w:rFonts w:eastAsiaTheme="minorEastAsia"/>
          <w:lang w:eastAsia="en-PH"/>
        </w:rPr>
      </w:pPr>
      <w:hyperlink w:anchor="_Toc84488758" w:history="1">
        <w:r w:rsidR="006027A6" w:rsidRPr="00E31A55">
          <w:rPr>
            <w:rStyle w:val="Hyperlink"/>
          </w:rPr>
          <w:t>Appendix A: Figures and </w:t>
        </w:r>
        <w:r w:rsidR="00CD21D7">
          <w:rPr>
            <w:rStyle w:val="Hyperlink"/>
          </w:rPr>
          <w:t>t</w:t>
        </w:r>
        <w:r w:rsidR="006027A6" w:rsidRPr="00E31A55">
          <w:rPr>
            <w:rStyle w:val="Hyperlink"/>
          </w:rPr>
          <w:t>ables</w:t>
        </w:r>
        <w:r w:rsidR="006027A6">
          <w:rPr>
            <w:webHidden/>
          </w:rPr>
          <w:tab/>
        </w:r>
        <w:r w:rsidR="006027A6">
          <w:rPr>
            <w:webHidden/>
          </w:rPr>
          <w:fldChar w:fldCharType="begin"/>
        </w:r>
        <w:r w:rsidR="006027A6">
          <w:rPr>
            <w:webHidden/>
          </w:rPr>
          <w:instrText xml:space="preserve"> PAGEREF _Toc84488758 \h </w:instrText>
        </w:r>
        <w:r w:rsidR="006027A6">
          <w:rPr>
            <w:webHidden/>
          </w:rPr>
        </w:r>
        <w:r w:rsidR="006027A6">
          <w:rPr>
            <w:webHidden/>
          </w:rPr>
          <w:fldChar w:fldCharType="separate"/>
        </w:r>
        <w:r w:rsidR="009D65FF">
          <w:rPr>
            <w:webHidden/>
          </w:rPr>
          <w:t>104</w:t>
        </w:r>
        <w:r w:rsidR="006027A6">
          <w:rPr>
            <w:webHidden/>
          </w:rPr>
          <w:fldChar w:fldCharType="end"/>
        </w:r>
      </w:hyperlink>
    </w:p>
    <w:p w14:paraId="3131BA7A" w14:textId="1BDFBAE9" w:rsidR="006027A6" w:rsidRDefault="003079E3" w:rsidP="006027A6">
      <w:pPr>
        <w:pStyle w:val="TOCBody"/>
        <w:rPr>
          <w:rFonts w:eastAsiaTheme="minorEastAsia"/>
          <w:lang w:eastAsia="en-PH"/>
        </w:rPr>
      </w:pPr>
      <w:hyperlink w:anchor="_Toc84488759" w:history="1">
        <w:r w:rsidR="006027A6" w:rsidRPr="00E31A55">
          <w:rPr>
            <w:rStyle w:val="Hyperlink"/>
          </w:rPr>
          <w:t>Appendix B: Acronyms and abbreviations</w:t>
        </w:r>
        <w:r w:rsidR="006027A6">
          <w:rPr>
            <w:webHidden/>
          </w:rPr>
          <w:tab/>
        </w:r>
        <w:r w:rsidR="006027A6">
          <w:rPr>
            <w:webHidden/>
          </w:rPr>
          <w:fldChar w:fldCharType="begin"/>
        </w:r>
        <w:r w:rsidR="006027A6">
          <w:rPr>
            <w:webHidden/>
          </w:rPr>
          <w:instrText xml:space="preserve"> PAGEREF _Toc84488759 \h </w:instrText>
        </w:r>
        <w:r w:rsidR="006027A6">
          <w:rPr>
            <w:webHidden/>
          </w:rPr>
        </w:r>
        <w:r w:rsidR="006027A6">
          <w:rPr>
            <w:webHidden/>
          </w:rPr>
          <w:fldChar w:fldCharType="separate"/>
        </w:r>
        <w:r w:rsidR="009D65FF">
          <w:rPr>
            <w:webHidden/>
          </w:rPr>
          <w:t>105</w:t>
        </w:r>
        <w:r w:rsidR="006027A6">
          <w:rPr>
            <w:webHidden/>
          </w:rPr>
          <w:fldChar w:fldCharType="end"/>
        </w:r>
      </w:hyperlink>
    </w:p>
    <w:p w14:paraId="5BCBA8FE" w14:textId="65D7B860" w:rsidR="006027A6" w:rsidRDefault="003079E3" w:rsidP="006027A6">
      <w:pPr>
        <w:pStyle w:val="TOCBody"/>
        <w:rPr>
          <w:rFonts w:eastAsiaTheme="minorEastAsia"/>
          <w:lang w:eastAsia="en-PH"/>
        </w:rPr>
      </w:pPr>
      <w:hyperlink w:anchor="_Toc84488760" w:history="1">
        <w:r w:rsidR="006027A6" w:rsidRPr="00E31A55">
          <w:rPr>
            <w:rStyle w:val="Hyperlink"/>
          </w:rPr>
          <w:t>Appendix C: Glossary</w:t>
        </w:r>
        <w:r w:rsidR="006027A6">
          <w:rPr>
            <w:webHidden/>
          </w:rPr>
          <w:tab/>
        </w:r>
        <w:r w:rsidR="006027A6">
          <w:rPr>
            <w:webHidden/>
          </w:rPr>
          <w:fldChar w:fldCharType="begin"/>
        </w:r>
        <w:r w:rsidR="006027A6">
          <w:rPr>
            <w:webHidden/>
          </w:rPr>
          <w:instrText xml:space="preserve"> PAGEREF _Toc84488760 \h </w:instrText>
        </w:r>
        <w:r w:rsidR="006027A6">
          <w:rPr>
            <w:webHidden/>
          </w:rPr>
        </w:r>
        <w:r w:rsidR="006027A6">
          <w:rPr>
            <w:webHidden/>
          </w:rPr>
          <w:fldChar w:fldCharType="separate"/>
        </w:r>
        <w:r w:rsidR="009D65FF">
          <w:rPr>
            <w:webHidden/>
          </w:rPr>
          <w:t>106</w:t>
        </w:r>
        <w:r w:rsidR="006027A6">
          <w:rPr>
            <w:webHidden/>
          </w:rPr>
          <w:fldChar w:fldCharType="end"/>
        </w:r>
      </w:hyperlink>
    </w:p>
    <w:p w14:paraId="2F1F0DD6" w14:textId="0203ECF2" w:rsidR="006027A6" w:rsidRDefault="003079E3" w:rsidP="006027A6">
      <w:pPr>
        <w:pStyle w:val="TOCBody"/>
        <w:rPr>
          <w:rFonts w:eastAsiaTheme="minorEastAsia"/>
          <w:lang w:eastAsia="en-PH"/>
        </w:rPr>
      </w:pPr>
      <w:hyperlink w:anchor="_Toc84488761" w:history="1">
        <w:r w:rsidR="006027A6" w:rsidRPr="00E31A55">
          <w:rPr>
            <w:rStyle w:val="Hyperlink"/>
          </w:rPr>
          <w:t>Appendix D: Compliance index</w:t>
        </w:r>
        <w:r w:rsidR="006027A6">
          <w:rPr>
            <w:webHidden/>
          </w:rPr>
          <w:tab/>
        </w:r>
        <w:r w:rsidR="006027A6">
          <w:rPr>
            <w:webHidden/>
          </w:rPr>
          <w:fldChar w:fldCharType="begin"/>
        </w:r>
        <w:r w:rsidR="006027A6">
          <w:rPr>
            <w:webHidden/>
          </w:rPr>
          <w:instrText xml:space="preserve"> PAGEREF _Toc84488761 \h </w:instrText>
        </w:r>
        <w:r w:rsidR="006027A6">
          <w:rPr>
            <w:webHidden/>
          </w:rPr>
        </w:r>
        <w:r w:rsidR="006027A6">
          <w:rPr>
            <w:webHidden/>
          </w:rPr>
          <w:fldChar w:fldCharType="separate"/>
        </w:r>
        <w:r w:rsidR="009D65FF">
          <w:rPr>
            <w:webHidden/>
          </w:rPr>
          <w:t>109</w:t>
        </w:r>
        <w:r w:rsidR="006027A6">
          <w:rPr>
            <w:webHidden/>
          </w:rPr>
          <w:fldChar w:fldCharType="end"/>
        </w:r>
      </w:hyperlink>
    </w:p>
    <w:p w14:paraId="5562A45B" w14:textId="5101FC6E" w:rsidR="006027A6" w:rsidRDefault="003079E3" w:rsidP="006027A6">
      <w:pPr>
        <w:pStyle w:val="TOCBody"/>
        <w:rPr>
          <w:rFonts w:eastAsiaTheme="minorEastAsia"/>
          <w:lang w:eastAsia="en-PH"/>
        </w:rPr>
      </w:pPr>
      <w:hyperlink w:anchor="_Toc84488762" w:history="1">
        <w:r w:rsidR="006027A6" w:rsidRPr="00E31A55">
          <w:rPr>
            <w:rStyle w:val="Hyperlink"/>
          </w:rPr>
          <w:t>Index</w:t>
        </w:r>
        <w:r w:rsidR="006027A6">
          <w:rPr>
            <w:webHidden/>
          </w:rPr>
          <w:tab/>
        </w:r>
        <w:r w:rsidR="006027A6">
          <w:rPr>
            <w:webHidden/>
          </w:rPr>
          <w:fldChar w:fldCharType="begin"/>
        </w:r>
        <w:r w:rsidR="006027A6">
          <w:rPr>
            <w:webHidden/>
          </w:rPr>
          <w:instrText xml:space="preserve"> PAGEREF _Toc84488762 \h </w:instrText>
        </w:r>
        <w:r w:rsidR="006027A6">
          <w:rPr>
            <w:webHidden/>
          </w:rPr>
        </w:r>
        <w:r w:rsidR="006027A6">
          <w:rPr>
            <w:webHidden/>
          </w:rPr>
          <w:fldChar w:fldCharType="separate"/>
        </w:r>
        <w:r w:rsidR="009D65FF">
          <w:rPr>
            <w:webHidden/>
          </w:rPr>
          <w:t>112</w:t>
        </w:r>
        <w:r w:rsidR="006027A6">
          <w:rPr>
            <w:webHidden/>
          </w:rPr>
          <w:fldChar w:fldCharType="end"/>
        </w:r>
      </w:hyperlink>
    </w:p>
    <w:p w14:paraId="2C5A484F" w14:textId="77777777" w:rsidR="00010118" w:rsidRDefault="009A2D17" w:rsidP="007F327F">
      <w:pPr>
        <w:pStyle w:val="Body"/>
        <w:sectPr w:rsidR="00010118" w:rsidSect="003E2695">
          <w:footerReference w:type="default" r:id="rId33"/>
          <w:pgSz w:w="9979" w:h="14175"/>
          <w:pgMar w:top="568" w:right="1048" w:bottom="1134" w:left="1134" w:header="709" w:footer="709" w:gutter="0"/>
          <w:pgNumType w:fmt="lowerRoman"/>
          <w:cols w:space="708"/>
          <w:docGrid w:linePitch="360"/>
        </w:sectPr>
      </w:pPr>
      <w:r>
        <w:fldChar w:fldCharType="end"/>
      </w:r>
    </w:p>
    <w:p w14:paraId="13BE3E25" w14:textId="3C03FCEF" w:rsidR="00FA540D" w:rsidRDefault="00010118" w:rsidP="007F327F">
      <w:pPr>
        <w:pStyle w:val="Body"/>
      </w:pPr>
      <w:r>
        <w:rPr>
          <w:noProof/>
          <w:lang w:val="en-AU" w:eastAsia="en-AU"/>
        </w:rPr>
        <w:lastRenderedPageBreak/>
        <w:drawing>
          <wp:anchor distT="0" distB="0" distL="114300" distR="114300" simplePos="0" relativeHeight="251981824" behindDoc="1" locked="0" layoutInCell="1" allowOverlap="1" wp14:anchorId="000B1F11" wp14:editId="3BDF7A60">
            <wp:simplePos x="0" y="0"/>
            <wp:positionH relativeFrom="margin">
              <wp:align>center</wp:align>
            </wp:positionH>
            <wp:positionV relativeFrom="paragraph">
              <wp:posOffset>0</wp:posOffset>
            </wp:positionV>
            <wp:extent cx="5615940" cy="9448277"/>
            <wp:effectExtent l="0" t="0" r="3810" b="63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15940" cy="9448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ED056" w14:textId="77777777" w:rsidR="00C34F2A" w:rsidRDefault="00C34F2A" w:rsidP="007F327F">
      <w:pPr>
        <w:pStyle w:val="Body"/>
        <w:sectPr w:rsidR="00C34F2A" w:rsidSect="003E2695">
          <w:footerReference w:type="default" r:id="rId35"/>
          <w:pgSz w:w="9979" w:h="14175"/>
          <w:pgMar w:top="568" w:right="1048" w:bottom="1134" w:left="1134" w:header="709" w:footer="709" w:gutter="0"/>
          <w:pgNumType w:fmt="lowerRoman"/>
          <w:cols w:space="708"/>
          <w:docGrid w:linePitch="360"/>
        </w:sectPr>
      </w:pPr>
    </w:p>
    <w:p w14:paraId="77618057" w14:textId="37E1FF69" w:rsidR="00245B3E" w:rsidRDefault="004B70EF" w:rsidP="00441579">
      <w:pPr>
        <w:pStyle w:val="Heading1"/>
        <w:rPr>
          <w:color w:val="003F2C" w:themeColor="text1"/>
        </w:rPr>
        <w:sectPr w:rsidR="00245B3E" w:rsidSect="00010118">
          <w:footerReference w:type="default" r:id="rId36"/>
          <w:pgSz w:w="9979" w:h="14175"/>
          <w:pgMar w:top="1134" w:right="1134" w:bottom="1134" w:left="1134" w:header="709" w:footer="709" w:gutter="0"/>
          <w:pgNumType w:start="1"/>
          <w:cols w:space="708"/>
          <w:docGrid w:linePitch="360"/>
        </w:sectPr>
      </w:pPr>
      <w:bookmarkStart w:id="27" w:name="_Toc44350166"/>
      <w:bookmarkStart w:id="28" w:name="_Toc50378057"/>
      <w:bookmarkStart w:id="29" w:name="_Toc84488728"/>
      <w:r w:rsidRPr="00936074">
        <w:rPr>
          <w:color w:val="003F2C" w:themeColor="text1"/>
        </w:rPr>
        <w:lastRenderedPageBreak/>
        <w:t>Approval by the accountable authority</w:t>
      </w:r>
      <w:bookmarkEnd w:id="27"/>
      <w:bookmarkEnd w:id="28"/>
      <w:bookmarkEnd w:id="29"/>
    </w:p>
    <w:p w14:paraId="48593462" w14:textId="77777777" w:rsidR="00AA34C7" w:rsidRPr="00D52F34" w:rsidRDefault="00AA34C7" w:rsidP="00AA34C7">
      <w:pPr>
        <w:pStyle w:val="Body"/>
        <w:rPr>
          <w:b/>
          <w:bCs/>
        </w:rPr>
      </w:pPr>
      <w:r w:rsidRPr="00D52F34">
        <w:rPr>
          <w:b/>
          <w:bCs/>
        </w:rPr>
        <w:t>I present the annual report of the Independent Hospital Pricing Authority for the financial year ended 30 June 202</w:t>
      </w:r>
      <w:r>
        <w:rPr>
          <w:b/>
          <w:bCs/>
        </w:rPr>
        <w:t>1</w:t>
      </w:r>
      <w:r w:rsidRPr="00D52F34">
        <w:rPr>
          <w:b/>
          <w:bCs/>
        </w:rPr>
        <w:t>, in</w:t>
      </w:r>
      <w:r>
        <w:rPr>
          <w:b/>
          <w:bCs/>
        </w:rPr>
        <w:t> </w:t>
      </w:r>
      <w:r w:rsidRPr="00D52F34">
        <w:rPr>
          <w:b/>
          <w:bCs/>
        </w:rPr>
        <w:t xml:space="preserve">accordance with the </w:t>
      </w:r>
      <w:r w:rsidRPr="00641A06">
        <w:rPr>
          <w:b/>
          <w:bCs/>
          <w:i/>
        </w:rPr>
        <w:t>National Health Reform Act 2011</w:t>
      </w:r>
      <w:r w:rsidRPr="00D52F34">
        <w:rPr>
          <w:b/>
          <w:bCs/>
        </w:rPr>
        <w:t xml:space="preserve"> and pursuant to section</w:t>
      </w:r>
      <w:r>
        <w:rPr>
          <w:b/>
          <w:bCs/>
        </w:rPr>
        <w:t> </w:t>
      </w:r>
      <w:r w:rsidRPr="00D52F34">
        <w:rPr>
          <w:b/>
          <w:bCs/>
        </w:rPr>
        <w:t xml:space="preserve">46 of the </w:t>
      </w:r>
      <w:r w:rsidRPr="00D52F34">
        <w:rPr>
          <w:b/>
          <w:bCs/>
          <w:i/>
          <w:iCs/>
        </w:rPr>
        <w:t>Public Governance, Performance</w:t>
      </w:r>
      <w:r>
        <w:rPr>
          <w:b/>
          <w:bCs/>
          <w:i/>
          <w:iCs/>
        </w:rPr>
        <w:t> </w:t>
      </w:r>
      <w:r w:rsidRPr="00D52F34">
        <w:rPr>
          <w:b/>
          <w:bCs/>
          <w:i/>
          <w:iCs/>
        </w:rPr>
        <w:t>and Accountability Act 2013</w:t>
      </w:r>
      <w:r w:rsidRPr="00D52F34">
        <w:rPr>
          <w:b/>
          <w:bCs/>
        </w:rPr>
        <w:t>.</w:t>
      </w:r>
    </w:p>
    <w:p w14:paraId="3C6C8010" w14:textId="77777777" w:rsidR="00AA34C7" w:rsidRDefault="00245B3E" w:rsidP="00AA34C7">
      <w:pPr>
        <w:pStyle w:val="Body"/>
      </w:pPr>
      <w:r>
        <w:br w:type="column"/>
      </w:r>
      <w:r w:rsidR="00AA34C7">
        <w:t xml:space="preserve">The Independent Hospital Pricing Authority is a corporate Commonwealth entity. This report has been prepared in accordance with the requirements of sections 17BA to 17BF of the Public Governance, Performance and Accountability Rule 2014. This report also contains information required under other applicable legislation, including the </w:t>
      </w:r>
      <w:r w:rsidR="00AA34C7" w:rsidRPr="00641A06">
        <w:rPr>
          <w:i/>
        </w:rPr>
        <w:t>Work</w:t>
      </w:r>
      <w:r w:rsidR="00AA34C7">
        <w:rPr>
          <w:i/>
        </w:rPr>
        <w:t> </w:t>
      </w:r>
      <w:r w:rsidR="00AA34C7" w:rsidRPr="00641A06">
        <w:rPr>
          <w:i/>
        </w:rPr>
        <w:t>Health and Safety Act 2011</w:t>
      </w:r>
      <w:r w:rsidR="00AA34C7">
        <w:t>.</w:t>
      </w:r>
    </w:p>
    <w:p w14:paraId="2979B3BD" w14:textId="77777777" w:rsidR="00AA34C7" w:rsidRDefault="00AA34C7" w:rsidP="00AA34C7">
      <w:pPr>
        <w:pStyle w:val="Body"/>
      </w:pPr>
      <w:r>
        <w:t xml:space="preserve">As the accountable authority for the purposes of the </w:t>
      </w:r>
      <w:r w:rsidRPr="00641A06">
        <w:rPr>
          <w:i/>
        </w:rPr>
        <w:t>Public Governance, Performance and Accountability Act 2013</w:t>
      </w:r>
      <w:r>
        <w:t>, I am responsible for preparing this annual report and providing a copy to the responsible Minister.</w:t>
      </w:r>
    </w:p>
    <w:p w14:paraId="11750905" w14:textId="77777777" w:rsidR="00245B3E" w:rsidRDefault="00245B3E" w:rsidP="00C531E5">
      <w:pPr>
        <w:pStyle w:val="Body"/>
        <w:spacing w:before="360"/>
      </w:pPr>
      <w:r>
        <w:rPr>
          <w:noProof/>
          <w:lang w:val="en-AU" w:eastAsia="en-AU"/>
        </w:rPr>
        <w:drawing>
          <wp:inline distT="0" distB="0" distL="0" distR="0" wp14:anchorId="797CBF53" wp14:editId="5DA456AB">
            <wp:extent cx="1422400" cy="545661"/>
            <wp:effectExtent l="0" t="0" r="6350" b="6985"/>
            <wp:docPr id="6" name="Picture" descr="Signature of accountable authority, Mr James Downie, Chief Executive Officer, Independent Hospital Pricing Authority"/>
            <wp:cNvGraphicFramePr/>
            <a:graphic xmlns:a="http://schemas.openxmlformats.org/drawingml/2006/main">
              <a:graphicData uri="http://schemas.openxmlformats.org/drawingml/2006/picture">
                <pic:pic xmlns:pic="http://schemas.openxmlformats.org/drawingml/2006/picture">
                  <pic:nvPicPr>
                    <pic:cNvPr id="6" name="Picture" descr="Signature of accountable authority, Mr James Downie, Chief Executive Officer, Independent Hospital Pricing Authority"/>
                    <pic:cNvPicPr/>
                  </pic:nvPicPr>
                  <pic:blipFill>
                    <a:blip r:embed="rId37" cstate="print">
                      <a:extLst>
                        <a:ext uri="{28A0092B-C50C-407E-A947-70E740481C1C}">
                          <a14:useLocalDpi xmlns:a14="http://schemas.microsoft.com/office/drawing/2010/main"/>
                        </a:ext>
                      </a:extLst>
                    </a:blip>
                    <a:stretch>
                      <a:fillRect/>
                    </a:stretch>
                  </pic:blipFill>
                  <pic:spPr>
                    <a:xfrm>
                      <a:off x="0" y="0"/>
                      <a:ext cx="1422400" cy="545661"/>
                    </a:xfrm>
                    <a:prstGeom prst="rect">
                      <a:avLst/>
                    </a:prstGeom>
                    <a:noFill/>
                  </pic:spPr>
                </pic:pic>
              </a:graphicData>
            </a:graphic>
          </wp:inline>
        </w:drawing>
      </w:r>
    </w:p>
    <w:p w14:paraId="51E7BD63" w14:textId="6AA5DC29" w:rsidR="00245B3E" w:rsidRPr="00D62D79" w:rsidRDefault="002B1F28" w:rsidP="00245B3E">
      <w:pPr>
        <w:pStyle w:val="Body"/>
        <w:rPr>
          <w:b/>
          <w:bCs/>
        </w:rPr>
      </w:pPr>
      <w:proofErr w:type="spellStart"/>
      <w:r>
        <w:rPr>
          <w:b/>
          <w:bCs/>
        </w:rPr>
        <w:t>Mr</w:t>
      </w:r>
      <w:proofErr w:type="spellEnd"/>
      <w:r>
        <w:rPr>
          <w:b/>
          <w:bCs/>
        </w:rPr>
        <w:t xml:space="preserve"> </w:t>
      </w:r>
      <w:r w:rsidR="00245B3E" w:rsidRPr="00D62D79">
        <w:rPr>
          <w:b/>
          <w:bCs/>
        </w:rPr>
        <w:t xml:space="preserve">James </w:t>
      </w:r>
      <w:proofErr w:type="spellStart"/>
      <w:r w:rsidR="00245B3E" w:rsidRPr="00D62D79">
        <w:rPr>
          <w:b/>
          <w:bCs/>
        </w:rPr>
        <w:t>Downie</w:t>
      </w:r>
      <w:proofErr w:type="spellEnd"/>
    </w:p>
    <w:p w14:paraId="42595E20" w14:textId="43FAC2BA" w:rsidR="00245B3E" w:rsidRDefault="00245B3E" w:rsidP="00245B3E">
      <w:pPr>
        <w:pStyle w:val="Body"/>
        <w:sectPr w:rsidR="00245B3E" w:rsidSect="00245B3E">
          <w:type w:val="continuous"/>
          <w:pgSz w:w="9979" w:h="14175" w:code="13"/>
          <w:pgMar w:top="1134" w:right="1134" w:bottom="1134" w:left="1134" w:header="709" w:footer="709" w:gutter="0"/>
          <w:pgNumType w:fmt="lowerRoman" w:start="1"/>
          <w:cols w:num="2" w:space="708"/>
          <w:docGrid w:linePitch="360"/>
        </w:sectPr>
      </w:pPr>
      <w:r>
        <w:t>Chief Executive Officer</w:t>
      </w:r>
      <w:r>
        <w:br/>
        <w:t>Independent Hospital Pricing Authority</w:t>
      </w:r>
      <w:r>
        <w:br/>
      </w:r>
      <w:r w:rsidR="00DD2C08">
        <w:t>20 September 2021</w:t>
      </w:r>
    </w:p>
    <w:p w14:paraId="0FA1032F" w14:textId="25BEDDE6" w:rsidR="008D6F00" w:rsidRDefault="00BE4CFB" w:rsidP="00C531E5">
      <w:pPr>
        <w:pStyle w:val="Body"/>
        <w:sectPr w:rsidR="008D6F00" w:rsidSect="00245B3E">
          <w:type w:val="continuous"/>
          <w:pgSz w:w="9979" w:h="14175"/>
          <w:pgMar w:top="1418" w:right="1134" w:bottom="1134" w:left="1134" w:header="709" w:footer="709" w:gutter="0"/>
          <w:pgNumType w:start="1"/>
          <w:cols w:num="2" w:space="708"/>
          <w:docGrid w:linePitch="360"/>
        </w:sectPr>
      </w:pPr>
      <w:r>
        <w:rPr>
          <w:noProof/>
          <w:lang w:val="en-AU" w:eastAsia="en-AU"/>
        </w:rPr>
        <w:drawing>
          <wp:anchor distT="0" distB="0" distL="114300" distR="114300" simplePos="0" relativeHeight="251657214" behindDoc="1" locked="0" layoutInCell="1" allowOverlap="1" wp14:anchorId="30814821" wp14:editId="18581BD4">
            <wp:simplePos x="0" y="0"/>
            <wp:positionH relativeFrom="margin">
              <wp:posOffset>-409575</wp:posOffset>
            </wp:positionH>
            <wp:positionV relativeFrom="paragraph">
              <wp:posOffset>199093</wp:posOffset>
            </wp:positionV>
            <wp:extent cx="5706527" cy="18510885"/>
            <wp:effectExtent l="0" t="0" r="8890" b="5715"/>
            <wp:wrapNone/>
            <wp:docPr id="156" name="Pictur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800A5F" w14:textId="4ACBDCFF" w:rsidR="00C34F2A" w:rsidRDefault="006E6CC9" w:rsidP="0053761D">
      <w:r>
        <w:rPr>
          <w:noProof/>
          <w:lang w:val="en-AU" w:eastAsia="en-AU"/>
        </w:rPr>
        <w:lastRenderedPageBreak/>
        <w:drawing>
          <wp:anchor distT="0" distB="0" distL="114300" distR="114300" simplePos="0" relativeHeight="251967488" behindDoc="1" locked="0" layoutInCell="1" allowOverlap="1" wp14:anchorId="3AB59434" wp14:editId="07304D6A">
            <wp:simplePos x="0" y="0"/>
            <wp:positionH relativeFrom="column">
              <wp:posOffset>-359410</wp:posOffset>
            </wp:positionH>
            <wp:positionV relativeFrom="paragraph">
              <wp:posOffset>-345440</wp:posOffset>
            </wp:positionV>
            <wp:extent cx="5615940" cy="9448277"/>
            <wp:effectExtent l="0" t="0" r="3810" b="63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15940" cy="9448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274EB7" w14:textId="3F44BB22" w:rsidR="00E45F31" w:rsidRDefault="00E45F31" w:rsidP="0053761D">
      <w:pPr>
        <w:sectPr w:rsidR="00E45F31" w:rsidSect="00010118">
          <w:footerReference w:type="default" r:id="rId38"/>
          <w:pgSz w:w="9979" w:h="14175"/>
          <w:pgMar w:top="1418" w:right="1134" w:bottom="1134" w:left="1134" w:header="709" w:footer="709" w:gutter="0"/>
          <w:cols w:num="2" w:space="708"/>
          <w:docGrid w:linePitch="360"/>
        </w:sectPr>
      </w:pPr>
    </w:p>
    <w:p w14:paraId="2A54C133" w14:textId="556E4D92" w:rsidR="00E45F31" w:rsidRDefault="00E45F31" w:rsidP="009A2D17">
      <w:pPr>
        <w:pStyle w:val="H1"/>
      </w:pPr>
      <w:bookmarkStart w:id="30" w:name="_Toc50378058"/>
      <w:bookmarkStart w:id="31" w:name="_Toc84488729"/>
      <w:r w:rsidRPr="00E45F31">
        <w:lastRenderedPageBreak/>
        <w:t>About IHPA</w:t>
      </w:r>
      <w:bookmarkEnd w:id="30"/>
      <w:bookmarkEnd w:id="31"/>
      <w:r w:rsidR="001659E1">
        <w:rPr>
          <w:noProof/>
          <w:lang w:val="en-AU" w:eastAsia="en-AU"/>
        </w:rPr>
        <w:drawing>
          <wp:anchor distT="0" distB="0" distL="114300" distR="114300" simplePos="0" relativeHeight="251983872" behindDoc="1" locked="0" layoutInCell="1" allowOverlap="1" wp14:anchorId="03A2CDBB" wp14:editId="7D6B7F55">
            <wp:simplePos x="0" y="0"/>
            <wp:positionH relativeFrom="column">
              <wp:posOffset>-719455</wp:posOffset>
            </wp:positionH>
            <wp:positionV relativeFrom="paragraph">
              <wp:posOffset>-723900</wp:posOffset>
            </wp:positionV>
            <wp:extent cx="6329548" cy="8987055"/>
            <wp:effectExtent l="0" t="0" r="0" b="508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46362" cy="90109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86C19" w14:textId="3A7903F5" w:rsidR="00956181" w:rsidRDefault="00AB3AE1" w:rsidP="00E45F31">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30D58DBD" wp14:editId="06118C32">
            <wp:extent cx="1838325" cy="1652665"/>
            <wp:effectExtent l="0" t="0" r="0" b="5080"/>
            <wp:docPr id="13" name="Picture 13" descr="Chapt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pter 1"/>
                    <pic:cNvPicPr>
                      <a:picLocks noChangeAspect="1" noChangeArrowheads="1"/>
                    </pic:cNvPicPr>
                  </pic:nvPicPr>
                  <pic:blipFill>
                    <a:blip r:embed="rId40" cstate="print">
                      <a:extLst>
                        <a:ext uri="{28A0092B-C50C-407E-A947-70E740481C1C}">
                          <a14:useLocalDpi xmlns:a14="http://schemas.microsoft.com/office/drawing/2010/main"/>
                        </a:ext>
                      </a:extLst>
                    </a:blip>
                    <a:stretch>
                      <a:fillRect/>
                    </a:stretch>
                  </pic:blipFill>
                  <pic:spPr bwMode="auto">
                    <a:xfrm>
                      <a:off x="0" y="0"/>
                      <a:ext cx="1838325" cy="1652665"/>
                    </a:xfrm>
                    <a:prstGeom prst="rect">
                      <a:avLst/>
                    </a:prstGeom>
                    <a:noFill/>
                    <a:ln>
                      <a:noFill/>
                    </a:ln>
                  </pic:spPr>
                </pic:pic>
              </a:graphicData>
            </a:graphic>
          </wp:inline>
        </w:drawing>
      </w:r>
    </w:p>
    <w:p w14:paraId="08BDE28A" w14:textId="78E7B51B" w:rsidR="00E45F31" w:rsidRPr="00741365" w:rsidRDefault="00E45F31" w:rsidP="00956181">
      <w:pPr>
        <w:spacing w:before="1200" w:after="0"/>
        <w:jc w:val="center"/>
        <w:rPr>
          <w:color w:val="7EC352" w:themeColor="accent2"/>
          <w14:textOutline w14:w="12700" w14:cap="rnd" w14:cmpd="sng" w14:algn="ctr">
            <w14:solidFill>
              <w14:schemeClr w14:val="bg2"/>
            </w14:solidFill>
            <w14:prstDash w14:val="solid"/>
            <w14:bevel/>
          </w14:textOutline>
        </w:rPr>
        <w:sectPr w:rsidR="00E45F31" w:rsidRPr="00741365" w:rsidSect="00010118">
          <w:headerReference w:type="default" r:id="rId41"/>
          <w:footerReference w:type="default" r:id="rId42"/>
          <w:pgSz w:w="9979" w:h="14175"/>
          <w:pgMar w:top="1134" w:right="1134" w:bottom="1134" w:left="1134" w:header="709" w:footer="709" w:gutter="0"/>
          <w:cols w:space="708"/>
          <w:docGrid w:linePitch="360"/>
        </w:sectPr>
      </w:pPr>
    </w:p>
    <w:p w14:paraId="0F64217C" w14:textId="2348AA1C" w:rsidR="00081645" w:rsidRPr="00AF52C3" w:rsidRDefault="00081645" w:rsidP="00081645">
      <w:pPr>
        <w:pStyle w:val="Heading1"/>
        <w:rPr>
          <w:color w:val="7EC352" w:themeColor="background1"/>
        </w:rPr>
        <w:sectPr w:rsidR="00081645" w:rsidRPr="00AF52C3" w:rsidSect="00441579">
          <w:headerReference w:type="default" r:id="rId43"/>
          <w:footerReference w:type="default" r:id="rId44"/>
          <w:pgSz w:w="9979" w:h="14175"/>
          <w:pgMar w:top="1134" w:right="1134" w:bottom="1134" w:left="1134" w:header="709" w:footer="709" w:gutter="0"/>
          <w:cols w:space="708"/>
          <w:docGrid w:linePitch="360"/>
        </w:sectPr>
      </w:pPr>
      <w:bookmarkStart w:id="32" w:name="_Legislation"/>
      <w:bookmarkStart w:id="33" w:name="_Toc44350167"/>
      <w:bookmarkStart w:id="34" w:name="_Toc50378059"/>
      <w:bookmarkStart w:id="35" w:name="_Toc84488730"/>
      <w:bookmarkEnd w:id="32"/>
      <w:r w:rsidRPr="00AF52C3">
        <w:rPr>
          <w:color w:val="7EC352" w:themeColor="background1"/>
        </w:rPr>
        <w:lastRenderedPageBreak/>
        <w:t>Legislation</w:t>
      </w:r>
      <w:bookmarkEnd w:id="33"/>
      <w:bookmarkEnd w:id="34"/>
      <w:bookmarkEnd w:id="35"/>
    </w:p>
    <w:p w14:paraId="3CFC9CD0" w14:textId="77777777" w:rsidR="00AA34C7" w:rsidRDefault="00AA34C7" w:rsidP="00AA34C7">
      <w:pPr>
        <w:pStyle w:val="Body"/>
      </w:pPr>
      <w:r>
        <w:t xml:space="preserve">The Independent Hospital Pricing Authority (IHPA) is a corporate Commonwealth entity under the </w:t>
      </w:r>
      <w:r w:rsidRPr="001D0410">
        <w:rPr>
          <w:i/>
          <w:iCs/>
        </w:rPr>
        <w:t>Public Governance, Performance</w:t>
      </w:r>
      <w:r>
        <w:rPr>
          <w:i/>
          <w:iCs/>
        </w:rPr>
        <w:t> </w:t>
      </w:r>
      <w:r w:rsidRPr="001D0410">
        <w:rPr>
          <w:i/>
          <w:iCs/>
        </w:rPr>
        <w:t>and Accountability Act 2013.</w:t>
      </w:r>
    </w:p>
    <w:p w14:paraId="4218BF1D" w14:textId="77777777" w:rsidR="00AA34C7" w:rsidRPr="00A70D06" w:rsidRDefault="00AA34C7" w:rsidP="00AA34C7">
      <w:pPr>
        <w:pStyle w:val="H3"/>
        <w:rPr>
          <w:color w:val="003F2C" w:themeColor="text1"/>
        </w:rPr>
      </w:pPr>
      <w:r w:rsidRPr="00A70D06">
        <w:rPr>
          <w:color w:val="003F2C" w:themeColor="text1"/>
        </w:rPr>
        <w:t>National Health Reform</w:t>
      </w:r>
      <w:r>
        <w:rPr>
          <w:color w:val="003F2C" w:themeColor="text1"/>
        </w:rPr>
        <w:t> </w:t>
      </w:r>
      <w:r w:rsidRPr="00A70D06">
        <w:rPr>
          <w:color w:val="003F2C" w:themeColor="text1"/>
        </w:rPr>
        <w:t>Agreement</w:t>
      </w:r>
    </w:p>
    <w:p w14:paraId="4A68966C" w14:textId="060D35D0" w:rsidR="00AA34C7" w:rsidRDefault="00AA34C7" w:rsidP="00AA34C7">
      <w:pPr>
        <w:pStyle w:val="Body"/>
      </w:pPr>
      <w:r>
        <w:t xml:space="preserve">IHPA was established under the </w:t>
      </w:r>
      <w:r w:rsidRPr="001D0410">
        <w:rPr>
          <w:i/>
          <w:iCs/>
        </w:rPr>
        <w:t>National Health Reform Act 2011</w:t>
      </w:r>
      <w:r>
        <w:t xml:space="preserve">, giving effect to the National Health Reform Agreement signed by the </w:t>
      </w:r>
      <w:r w:rsidR="00781022">
        <w:t xml:space="preserve">Commonwealth </w:t>
      </w:r>
      <w:r>
        <w:t>Government and all states and territories in August 2011.</w:t>
      </w:r>
    </w:p>
    <w:p w14:paraId="295F93BD" w14:textId="77777777" w:rsidR="00AA34C7" w:rsidRDefault="00AA34C7" w:rsidP="00AA34C7">
      <w:pPr>
        <w:pStyle w:val="Body"/>
      </w:pPr>
      <w:r>
        <w:t>The National Health Reform Agreement sets out the intention of all Australian governments to work together to improve health outcomes for every Australian.</w:t>
      </w:r>
    </w:p>
    <w:p w14:paraId="52B37FB8" w14:textId="77777777" w:rsidR="00AA34C7" w:rsidRDefault="00AA34C7" w:rsidP="00AA34C7">
      <w:pPr>
        <w:pStyle w:val="H3"/>
        <w:spacing w:before="0"/>
      </w:pPr>
      <w:r w:rsidRPr="004E1018">
        <w:rPr>
          <w:color w:val="003F2C" w:themeColor="text1"/>
        </w:rPr>
        <w:t>National Partnership on COVID-19 Response</w:t>
      </w:r>
    </w:p>
    <w:p w14:paraId="4B378950" w14:textId="54A03ED2" w:rsidR="00AA34C7" w:rsidRDefault="00AA34C7" w:rsidP="00AA34C7">
      <w:pPr>
        <w:pStyle w:val="Body"/>
      </w:pPr>
      <w:r>
        <w:t>On 13 March 2020, the Commonwealth and all state and territory governments signed the National Partnership on Coronavirus Disease 2019 (COVID-19) Response, to provide financial assistance for the additional costs incurred by</w:t>
      </w:r>
      <w:r w:rsidR="00441438">
        <w:t> </w:t>
      </w:r>
      <w:r>
        <w:t xml:space="preserve">health services in responding to the </w:t>
      </w:r>
      <w:r w:rsidR="00945293">
        <w:t xml:space="preserve">      </w:t>
      </w:r>
      <w:r>
        <w:t>COVID-</w:t>
      </w:r>
      <w:r>
        <w:rPr>
          <w:rFonts w:ascii="Arial" w:hAnsi="Arial" w:cs="Arial" w:hint="cs"/>
          <w:rtl/>
        </w:rPr>
        <w:t>‍</w:t>
      </w:r>
      <w:r>
        <w:t>19</w:t>
      </w:r>
      <w:r w:rsidR="00441438">
        <w:t> </w:t>
      </w:r>
      <w:r>
        <w:t xml:space="preserve">pandemic. </w:t>
      </w:r>
    </w:p>
    <w:p w14:paraId="2C9BA93E" w14:textId="30438584" w:rsidR="00AA34C7" w:rsidRDefault="00AA34C7" w:rsidP="00AA34C7">
      <w:pPr>
        <w:pStyle w:val="Body"/>
      </w:pPr>
      <w:r>
        <w:t>IHPA has worked closely with the Administrator of</w:t>
      </w:r>
      <w:r w:rsidR="00441438">
        <w:t> </w:t>
      </w:r>
      <w:r>
        <w:t>the National Health Funding Pool to provide assistance for the implementation of the National</w:t>
      </w:r>
      <w:r w:rsidR="00441438">
        <w:t> </w:t>
      </w:r>
      <w:r>
        <w:t>Partnership Agreement on the COVID</w:t>
      </w:r>
      <w:r w:rsidR="00441438">
        <w:noBreakHyphen/>
      </w:r>
      <w:r>
        <w:t>19</w:t>
      </w:r>
      <w:r w:rsidR="00441438">
        <w:t> </w:t>
      </w:r>
      <w:r w:rsidR="00DC730B">
        <w:t>R</w:t>
      </w:r>
      <w:r>
        <w:t>esponse.</w:t>
      </w:r>
    </w:p>
    <w:p w14:paraId="1A8DCA88" w14:textId="6AB86791" w:rsidR="00081645" w:rsidRDefault="00AA34C7" w:rsidP="00AA34C7">
      <w:pPr>
        <w:pStyle w:val="Body"/>
      </w:pPr>
      <w:r>
        <w:t>In order to implement the measures under this Agreement, IHPA developed the national classification systems for reporting COVID-19 in Australian hospitals within admitted care, emergency care and non-admitted care settings.</w:t>
      </w:r>
    </w:p>
    <w:p w14:paraId="649FAD25" w14:textId="77777777" w:rsidR="00AA34C7" w:rsidRDefault="00AA34C7" w:rsidP="00AA34C7">
      <w:pPr>
        <w:pStyle w:val="Body"/>
      </w:pPr>
      <w:r>
        <w:t xml:space="preserve">Comprehensive guidelines were published on the </w:t>
      </w:r>
      <w:hyperlink r:id="rId45" w:history="1">
        <w:r w:rsidRPr="001628C5">
          <w:rPr>
            <w:rStyle w:val="Hyperlink"/>
          </w:rPr>
          <w:t>IHPA website</w:t>
        </w:r>
      </w:hyperlink>
      <w:r>
        <w:t xml:space="preserve"> and updated regularly to support hospitals in classifying and </w:t>
      </w:r>
      <w:r w:rsidRPr="006C5017">
        <w:t>report</w:t>
      </w:r>
      <w:r>
        <w:t>ing</w:t>
      </w:r>
      <w:r w:rsidRPr="006C5017">
        <w:t xml:space="preserve"> </w:t>
      </w:r>
      <w:r>
        <w:t>COVID-19</w:t>
      </w:r>
      <w:r w:rsidRPr="006C5017">
        <w:t xml:space="preserve"> related episodes of</w:t>
      </w:r>
      <w:r>
        <w:t> care.</w:t>
      </w:r>
    </w:p>
    <w:p w14:paraId="5CC24DDD" w14:textId="77777777" w:rsidR="00AA34C7" w:rsidRDefault="00AA34C7" w:rsidP="00AA34C7">
      <w:pPr>
        <w:pStyle w:val="Body"/>
      </w:pPr>
      <w:r>
        <w:t xml:space="preserve">The activity based funding classifications have been updated regularly to ensure </w:t>
      </w:r>
      <w:r w:rsidRPr="006C5017">
        <w:t xml:space="preserve">that </w:t>
      </w:r>
      <w:r>
        <w:t>COVID</w:t>
      </w:r>
      <w:r>
        <w:noBreakHyphen/>
        <w:t>19</w:t>
      </w:r>
      <w:r w:rsidRPr="006C5017">
        <w:t xml:space="preserve"> </w:t>
      </w:r>
      <w:r>
        <w:t xml:space="preserve">testing, treatment and vaccination </w:t>
      </w:r>
      <w:r w:rsidRPr="006C5017">
        <w:t>c</w:t>
      </w:r>
      <w:r>
        <w:t>an</w:t>
      </w:r>
      <w:r w:rsidRPr="006C5017">
        <w:t xml:space="preserve"> be accurately reported and</w:t>
      </w:r>
      <w:r>
        <w:t> </w:t>
      </w:r>
      <w:r w:rsidRPr="006C5017">
        <w:t xml:space="preserve">tracked. </w:t>
      </w:r>
    </w:p>
    <w:p w14:paraId="253206EE" w14:textId="0344A002" w:rsidR="00AA34C7" w:rsidRDefault="00AA34C7" w:rsidP="00AA34C7">
      <w:pPr>
        <w:pStyle w:val="Body"/>
      </w:pPr>
      <w:r>
        <w:t xml:space="preserve">The associated national costing and pricing guidelines that were published ensure that the costs of responding to </w:t>
      </w:r>
      <w:r w:rsidR="00DD2C08">
        <w:t xml:space="preserve">the </w:t>
      </w:r>
      <w:r>
        <w:t>pandemic, and in turn</w:t>
      </w:r>
      <w:r w:rsidR="00B660E5">
        <w:t> </w:t>
      </w:r>
      <w:r>
        <w:t xml:space="preserve">the evolving needs of the health system, are appropriately and consistently captured across the country. </w:t>
      </w:r>
    </w:p>
    <w:p w14:paraId="0B40A4AB" w14:textId="77777777" w:rsidR="00AA34C7" w:rsidRPr="00A70D06" w:rsidRDefault="00AA34C7" w:rsidP="00AA34C7">
      <w:pPr>
        <w:pStyle w:val="H3"/>
        <w:rPr>
          <w:color w:val="003F2C" w:themeColor="text1"/>
        </w:rPr>
      </w:pPr>
      <w:r w:rsidRPr="00A70D06">
        <w:rPr>
          <w:color w:val="003F2C" w:themeColor="text1"/>
        </w:rPr>
        <w:t>Addendum to the National Health Reform Agreement 2020–25</w:t>
      </w:r>
    </w:p>
    <w:p w14:paraId="49F9DD2E" w14:textId="60B0304F" w:rsidR="00AA34C7" w:rsidRDefault="00AA34C7" w:rsidP="00AA34C7">
      <w:pPr>
        <w:pStyle w:val="Body"/>
      </w:pPr>
      <w:r>
        <w:t>On 29 May 2020 all Australian governments signed a new Addendum, which amended the National Health Reform Agreement for the period</w:t>
      </w:r>
      <w:r w:rsidR="00441438">
        <w:t> </w:t>
      </w:r>
      <w:r>
        <w:t>from 1 July 2020 to 30 June 2025.</w:t>
      </w:r>
    </w:p>
    <w:p w14:paraId="11A71C3C" w14:textId="1FB16E1B" w:rsidR="00AA34C7" w:rsidRDefault="00AA34C7" w:rsidP="00AA34C7">
      <w:pPr>
        <w:pStyle w:val="Body"/>
      </w:pPr>
      <w:r>
        <w:t>The Addendum to the National Health Reform</w:t>
      </w:r>
      <w:r w:rsidR="00441438">
        <w:t> </w:t>
      </w:r>
      <w:r>
        <w:t>Agreement:</w:t>
      </w:r>
    </w:p>
    <w:p w14:paraId="52F2DA33" w14:textId="77777777" w:rsidR="00AA34C7" w:rsidRDefault="00AA34C7" w:rsidP="00AA34C7">
      <w:pPr>
        <w:pStyle w:val="Bullets"/>
      </w:pPr>
      <w:r>
        <w:t xml:space="preserve">maintains a commitment to activity based funding </w:t>
      </w:r>
    </w:p>
    <w:p w14:paraId="49A9BD67" w14:textId="77777777" w:rsidR="00AA34C7" w:rsidRDefault="00AA34C7" w:rsidP="00AA34C7">
      <w:pPr>
        <w:pStyle w:val="Bullets"/>
      </w:pPr>
      <w:r>
        <w:t xml:space="preserve">reaffirms the independence and functions of the national agencies such as the Independent Hospital Pricing Authority, the National Health Funding Body and the </w:t>
      </w:r>
      <w:r w:rsidRPr="001E7B38">
        <w:t>Australian Commission on Safety and Quality in Health Care</w:t>
      </w:r>
    </w:p>
    <w:p w14:paraId="233C2C17" w14:textId="0FD40152" w:rsidR="00081645" w:rsidRDefault="00AA34C7" w:rsidP="00AA34C7">
      <w:pPr>
        <w:pStyle w:val="Bullets"/>
      </w:pPr>
      <w:r>
        <w:t>retains the 45 per cent Commonwealth funding contribution and the 6.5 per cent national growth cap</w:t>
      </w:r>
    </w:p>
    <w:p w14:paraId="4F95A501" w14:textId="77777777" w:rsidR="00AA34C7" w:rsidRDefault="00AA34C7" w:rsidP="00AA34C7">
      <w:pPr>
        <w:pStyle w:val="Bullets"/>
      </w:pPr>
      <w:r>
        <w:lastRenderedPageBreak/>
        <w:t>continues to integrate safety and quality reforms into the pricing and funding of public hospital services, including the current arrangements for sentinel events and hospital acquired complications.</w:t>
      </w:r>
    </w:p>
    <w:p w14:paraId="3AE7F746" w14:textId="77777777" w:rsidR="00AA34C7" w:rsidRDefault="00AA34C7" w:rsidP="00AA34C7">
      <w:pPr>
        <w:pStyle w:val="Body"/>
      </w:pPr>
      <w:r w:rsidRPr="00390E6A">
        <w:rPr>
          <w:rStyle w:val="BodyChar"/>
        </w:rPr>
        <w:t>Key changes to current arrangements in</w:t>
      </w:r>
      <w:r>
        <w:rPr>
          <w:rStyle w:val="BodyChar"/>
        </w:rPr>
        <w:t>troduced</w:t>
      </w:r>
      <w:r w:rsidRPr="00390E6A">
        <w:rPr>
          <w:rStyle w:val="BodyChar"/>
        </w:rPr>
        <w:t xml:space="preserve"> in the Addendum</w:t>
      </w:r>
      <w:r>
        <w:rPr>
          <w:rStyle w:val="BodyChar"/>
        </w:rPr>
        <w:t xml:space="preserve"> include</w:t>
      </w:r>
      <w:r w:rsidRPr="00390E6A">
        <w:rPr>
          <w:rStyle w:val="BodyChar"/>
        </w:rPr>
        <w:t>:</w:t>
      </w:r>
    </w:p>
    <w:p w14:paraId="7005FF16" w14:textId="77777777" w:rsidR="00AA34C7" w:rsidRDefault="00AA34C7" w:rsidP="00AA34C7">
      <w:pPr>
        <w:pStyle w:val="Bullets"/>
      </w:pPr>
      <w:r>
        <w:t xml:space="preserve">IHPA is required to develop an updated methodology for pricing private patients in public hospitals that accounts for all hospital revenues. This is to ensure </w:t>
      </w:r>
      <w:r w:rsidRPr="003C5BDB">
        <w:t>funding models are financially neutral with respect to all patients, regardless of whether patients elect to be private or public</w:t>
      </w:r>
      <w:r>
        <w:t>.</w:t>
      </w:r>
    </w:p>
    <w:p w14:paraId="3117D3D9" w14:textId="41E87004" w:rsidR="00AA34C7" w:rsidRDefault="00AA34C7" w:rsidP="00AA34C7">
      <w:pPr>
        <w:pStyle w:val="Bullets"/>
        <w:ind w:right="-185"/>
      </w:pPr>
      <w:r>
        <w:t xml:space="preserve">IHPA is required to develop a pricing model for avoidable hospital readmissions for implementation from 1 July 2021, following approval from the </w:t>
      </w:r>
      <w:r w:rsidRPr="00187A69">
        <w:t xml:space="preserve">Council of Australian Governments </w:t>
      </w:r>
      <w:r>
        <w:t xml:space="preserve">(COAG) </w:t>
      </w:r>
      <w:r w:rsidRPr="00187A69">
        <w:t xml:space="preserve">Health </w:t>
      </w:r>
      <w:r w:rsidRPr="00C00235">
        <w:t>Council</w:t>
      </w:r>
      <w:r>
        <w:rPr>
          <w:rFonts w:ascii="ZWAdobeF" w:hAnsi="ZWAdobeF" w:cs="ZWAdobeF"/>
          <w:color w:val="auto"/>
          <w:sz w:val="2"/>
          <w:szCs w:val="2"/>
        </w:rPr>
        <w:t>0F</w:t>
      </w:r>
      <w:r w:rsidR="00D5016A">
        <w:rPr>
          <w:rFonts w:ascii="ZWAdobeF" w:hAnsi="ZWAdobeF" w:cs="ZWAdobeF"/>
          <w:color w:val="auto"/>
          <w:sz w:val="2"/>
          <w:szCs w:val="2"/>
        </w:rPr>
        <w:t>0F</w:t>
      </w:r>
      <w:r w:rsidRPr="00C00235">
        <w:rPr>
          <w:rStyle w:val="FootnoteReference"/>
        </w:rPr>
        <w:footnoteReference w:id="1"/>
      </w:r>
      <w:r w:rsidRPr="00C00235">
        <w:t>.</w:t>
      </w:r>
      <w:r>
        <w:t xml:space="preserve"> </w:t>
      </w:r>
    </w:p>
    <w:p w14:paraId="7A26F230" w14:textId="5A9C354A" w:rsidR="00AA34C7" w:rsidRDefault="00AA34C7" w:rsidP="00AA34C7">
      <w:pPr>
        <w:pStyle w:val="Bullets"/>
        <w:ind w:right="-185"/>
      </w:pPr>
      <w:r>
        <w:t xml:space="preserve">IHPA is required to shadow price for a period of two years, or a shorter period if agreed by the Commonwealth and </w:t>
      </w:r>
      <w:r w:rsidR="00441438">
        <w:t xml:space="preserve">the </w:t>
      </w:r>
      <w:r>
        <w:t>majority of states</w:t>
      </w:r>
      <w:r w:rsidR="00DD2C08">
        <w:t xml:space="preserve"> and territories</w:t>
      </w:r>
      <w:r>
        <w:t xml:space="preserve">, prior to </w:t>
      </w:r>
      <w:r w:rsidR="00DD2C08">
        <w:t xml:space="preserve">the </w:t>
      </w:r>
      <w:r>
        <w:t>implementation of new classifications or costing rules to mitigate the need for retrospective adjustments to the national funding model.</w:t>
      </w:r>
    </w:p>
    <w:p w14:paraId="43260AC8" w14:textId="7432BA9B" w:rsidR="00AA34C7" w:rsidRDefault="00AA34C7" w:rsidP="00AA34C7">
      <w:pPr>
        <w:pStyle w:val="Bullets"/>
      </w:pPr>
      <w:r>
        <w:t xml:space="preserve">High-cost, highly </w:t>
      </w:r>
      <w:proofErr w:type="spellStart"/>
      <w:r>
        <w:t>specialised</w:t>
      </w:r>
      <w:proofErr w:type="spellEnd"/>
      <w:r>
        <w:t xml:space="preserve"> therapies will attract 50 per cent Commonwealth funding under the new nationally cohesive health technology assessment process. These will be considered outside </w:t>
      </w:r>
      <w:r w:rsidR="00C3723A">
        <w:t xml:space="preserve">of </w:t>
      </w:r>
      <w:r>
        <w:t>the 6.5 per cent national growth cap for a period of two</w:t>
      </w:r>
      <w:r w:rsidR="00750F49">
        <w:t> </w:t>
      </w:r>
      <w:r>
        <w:t xml:space="preserve">years. </w:t>
      </w:r>
    </w:p>
    <w:p w14:paraId="25787180" w14:textId="2A2D75F1" w:rsidR="00AA34C7" w:rsidRPr="00F93DAF" w:rsidRDefault="00AA34C7" w:rsidP="00AA34C7">
      <w:pPr>
        <w:pStyle w:val="Bullets"/>
      </w:pPr>
      <w:r w:rsidRPr="00F93DAF">
        <w:t xml:space="preserve">IHPA is required to develop a funding methodology that does not </w:t>
      </w:r>
      <w:proofErr w:type="spellStart"/>
      <w:r w:rsidRPr="00F93DAF">
        <w:t>penalise</w:t>
      </w:r>
      <w:proofErr w:type="spellEnd"/>
      <w:r w:rsidRPr="00F93DAF">
        <w:t xml:space="preserve"> states undertaking trials of innovative models of care for the COAG Health Council</w:t>
      </w:r>
      <w:r>
        <w:rPr>
          <w:rFonts w:ascii="ZWAdobeF" w:hAnsi="ZWAdobeF" w:cs="ZWAdobeF"/>
          <w:color w:val="auto"/>
          <w:sz w:val="2"/>
          <w:szCs w:val="2"/>
        </w:rPr>
        <w:t>1F</w:t>
      </w:r>
      <w:r w:rsidRPr="00F93DAF">
        <w:t xml:space="preserve"> to approve by April 2021.</w:t>
      </w:r>
    </w:p>
    <w:p w14:paraId="49C4DDB9" w14:textId="77777777" w:rsidR="00BF2BED" w:rsidRPr="00FA540D" w:rsidRDefault="00634DE7" w:rsidP="00BF2BED">
      <w:pPr>
        <w:pStyle w:val="H3"/>
        <w:rPr>
          <w:color w:val="003F2C" w:themeColor="text2"/>
        </w:rPr>
      </w:pPr>
      <w:r>
        <w:br w:type="column"/>
      </w:r>
      <w:r w:rsidR="00BF2BED" w:rsidRPr="00FA540D">
        <w:rPr>
          <w:color w:val="003F2C" w:themeColor="text2"/>
        </w:rPr>
        <w:t>Federal Budget 2021–22</w:t>
      </w:r>
    </w:p>
    <w:p w14:paraId="207ADCF3" w14:textId="77777777" w:rsidR="00BF2BED" w:rsidRDefault="00BF2BED" w:rsidP="00BF2BED">
      <w:pPr>
        <w:pStyle w:val="Body"/>
      </w:pPr>
      <w:r w:rsidRPr="00620164">
        <w:t>The Federal Budget 2021–22 was delivered on</w:t>
      </w:r>
      <w:r>
        <w:t> </w:t>
      </w:r>
      <w:r w:rsidRPr="00620164">
        <w:t>11 May 2021</w:t>
      </w:r>
      <w:r>
        <w:t xml:space="preserve"> </w:t>
      </w:r>
      <w:r w:rsidRPr="00F93DAF">
        <w:t>and contains two measures that impact IHPA’s current role of pricing for public hospital services.</w:t>
      </w:r>
    </w:p>
    <w:p w14:paraId="247B087B" w14:textId="44052165" w:rsidR="00BF2BED" w:rsidRPr="00F93DAF" w:rsidRDefault="00BF2BED" w:rsidP="00BF2BED">
      <w:pPr>
        <w:pStyle w:val="Body"/>
        <w:rPr>
          <w:lang w:val="en-AU"/>
        </w:rPr>
      </w:pPr>
      <w:r>
        <w:rPr>
          <w:lang w:val="en-AU"/>
        </w:rPr>
        <w:t>The first measure is</w:t>
      </w:r>
      <w:r w:rsidRPr="00F93DAF">
        <w:rPr>
          <w:lang w:val="en-AU"/>
        </w:rPr>
        <w:t xml:space="preserve"> in response to the</w:t>
      </w:r>
      <w:r w:rsidR="0018628C">
        <w:rPr>
          <w:lang w:val="en-AU"/>
        </w:rPr>
        <w:t xml:space="preserve"> </w:t>
      </w:r>
      <w:hyperlink r:id="rId46" w:history="1">
        <w:r w:rsidRPr="00F93DAF">
          <w:rPr>
            <w:rStyle w:val="Hyperlink"/>
            <w:bCs/>
            <w:lang w:val="en-AU"/>
          </w:rPr>
          <w:t>Royal</w:t>
        </w:r>
        <w:r w:rsidR="0018628C">
          <w:rPr>
            <w:rStyle w:val="Hyperlink"/>
            <w:bCs/>
            <w:lang w:val="en-AU"/>
          </w:rPr>
          <w:t> </w:t>
        </w:r>
        <w:r w:rsidRPr="00F93DAF">
          <w:rPr>
            <w:rStyle w:val="Hyperlink"/>
            <w:bCs/>
            <w:lang w:val="en-AU"/>
          </w:rPr>
          <w:t>Commission into Aged Care Quality</w:t>
        </w:r>
        <w:r w:rsidR="0018628C">
          <w:rPr>
            <w:rStyle w:val="Hyperlink"/>
            <w:bCs/>
            <w:lang w:val="en-AU"/>
          </w:rPr>
          <w:t> </w:t>
        </w:r>
        <w:r w:rsidRPr="00F93DAF">
          <w:rPr>
            <w:rStyle w:val="Hyperlink"/>
            <w:bCs/>
            <w:lang w:val="en-AU"/>
          </w:rPr>
          <w:t>and</w:t>
        </w:r>
        <w:r w:rsidR="0018628C">
          <w:rPr>
            <w:rStyle w:val="Hyperlink"/>
            <w:bCs/>
            <w:lang w:val="en-AU"/>
          </w:rPr>
          <w:t> </w:t>
        </w:r>
        <w:r w:rsidRPr="00F93DAF">
          <w:rPr>
            <w:rStyle w:val="Hyperlink"/>
            <w:bCs/>
            <w:lang w:val="en-AU"/>
          </w:rPr>
          <w:t>Safety</w:t>
        </w:r>
      </w:hyperlink>
      <w:r>
        <w:rPr>
          <w:lang w:val="en-AU"/>
        </w:rPr>
        <w:t>.</w:t>
      </w:r>
      <w:r w:rsidRPr="00F93DAF">
        <w:rPr>
          <w:lang w:val="en-AU"/>
        </w:rPr>
        <w:t xml:space="preserve"> </w:t>
      </w:r>
    </w:p>
    <w:p w14:paraId="1F0124FC" w14:textId="7BEDA619" w:rsidR="00BF2BED" w:rsidRPr="00F93DAF" w:rsidRDefault="00BF2BED" w:rsidP="00BF2BED">
      <w:pPr>
        <w:pStyle w:val="Body"/>
        <w:rPr>
          <w:lang w:val="en-AU"/>
        </w:rPr>
      </w:pPr>
      <w:r w:rsidRPr="00F93DAF">
        <w:rPr>
          <w:lang w:val="en-AU"/>
        </w:rPr>
        <w:t>Under this measure, IHPA will inform Australian</w:t>
      </w:r>
      <w:r w:rsidR="00441438">
        <w:rPr>
          <w:lang w:val="en-AU"/>
        </w:rPr>
        <w:t> G</w:t>
      </w:r>
      <w:r w:rsidRPr="00F93DAF">
        <w:rPr>
          <w:lang w:val="en-AU"/>
        </w:rPr>
        <w:t>overnment decisions on annual funding increases in residential aged care from 1</w:t>
      </w:r>
      <w:r w:rsidR="00441438">
        <w:rPr>
          <w:lang w:val="en-AU"/>
        </w:rPr>
        <w:t> </w:t>
      </w:r>
      <w:r w:rsidRPr="00F93DAF">
        <w:rPr>
          <w:lang w:val="en-AU"/>
        </w:rPr>
        <w:t xml:space="preserve">July 2023. IHPA will also have a role in </w:t>
      </w:r>
      <w:r>
        <w:rPr>
          <w:lang w:val="en-AU"/>
        </w:rPr>
        <w:t xml:space="preserve">providing </w:t>
      </w:r>
      <w:r w:rsidRPr="00F93DAF">
        <w:rPr>
          <w:lang w:val="en-AU"/>
        </w:rPr>
        <w:t xml:space="preserve">pricing advice </w:t>
      </w:r>
      <w:r>
        <w:rPr>
          <w:lang w:val="en-AU"/>
        </w:rPr>
        <w:t xml:space="preserve">for </w:t>
      </w:r>
      <w:r w:rsidRPr="00F93DAF">
        <w:rPr>
          <w:lang w:val="en-AU"/>
        </w:rPr>
        <w:t>home</w:t>
      </w:r>
      <w:r w:rsidR="00441438">
        <w:rPr>
          <w:lang w:val="en-AU"/>
        </w:rPr>
        <w:noBreakHyphen/>
      </w:r>
      <w:r>
        <w:rPr>
          <w:lang w:val="en-AU"/>
        </w:rPr>
        <w:t xml:space="preserve">based </w:t>
      </w:r>
      <w:r w:rsidRPr="00F93DAF">
        <w:rPr>
          <w:lang w:val="en-AU"/>
        </w:rPr>
        <w:t>aged care from 1</w:t>
      </w:r>
      <w:r>
        <w:rPr>
          <w:lang w:val="en-AU"/>
        </w:rPr>
        <w:t> </w:t>
      </w:r>
      <w:r w:rsidRPr="00F93DAF">
        <w:rPr>
          <w:lang w:val="en-AU"/>
        </w:rPr>
        <w:t>July 2023.</w:t>
      </w:r>
    </w:p>
    <w:p w14:paraId="64A80977" w14:textId="3A3D9F77" w:rsidR="00BF2BED" w:rsidRDefault="00BF2BED" w:rsidP="00BF2BED">
      <w:pPr>
        <w:pStyle w:val="Body"/>
        <w:rPr>
          <w:lang w:val="en-AU"/>
        </w:rPr>
      </w:pPr>
      <w:r w:rsidRPr="00F93DAF">
        <w:rPr>
          <w:lang w:val="en-AU"/>
        </w:rPr>
        <w:t>The second measure involves working with the Department of Health and key stakeholders to support reform to the Prostheses List</w:t>
      </w:r>
      <w:r w:rsidR="00441438">
        <w:rPr>
          <w:lang w:val="en-AU"/>
        </w:rPr>
        <w:t>,</w:t>
      </w:r>
      <w:r w:rsidRPr="00F93DAF">
        <w:rPr>
          <w:lang w:val="en-AU"/>
        </w:rPr>
        <w:t xml:space="preserve"> to reduce the</w:t>
      </w:r>
      <w:r w:rsidR="00441438">
        <w:rPr>
          <w:lang w:val="en-AU"/>
        </w:rPr>
        <w:t> </w:t>
      </w:r>
      <w:r w:rsidRPr="00F93DAF">
        <w:rPr>
          <w:lang w:val="en-AU"/>
        </w:rPr>
        <w:t>cost of medical devices used in the private health</w:t>
      </w:r>
      <w:r w:rsidR="00441438">
        <w:rPr>
          <w:lang w:val="en-AU"/>
        </w:rPr>
        <w:t> </w:t>
      </w:r>
      <w:r w:rsidRPr="00F93DAF">
        <w:rPr>
          <w:lang w:val="en-AU"/>
        </w:rPr>
        <w:t>sector and</w:t>
      </w:r>
      <w:r>
        <w:rPr>
          <w:lang w:val="en-AU"/>
        </w:rPr>
        <w:t xml:space="preserve"> to</w:t>
      </w:r>
      <w:r w:rsidRPr="00F93DAF">
        <w:rPr>
          <w:lang w:val="en-AU"/>
        </w:rPr>
        <w:t xml:space="preserve"> streamline access to new medical</w:t>
      </w:r>
      <w:r w:rsidR="00441438">
        <w:rPr>
          <w:lang w:val="en-AU"/>
        </w:rPr>
        <w:t> </w:t>
      </w:r>
      <w:r w:rsidRPr="00F93DAF">
        <w:rPr>
          <w:lang w:val="en-AU"/>
        </w:rPr>
        <w:t>devices.</w:t>
      </w:r>
    </w:p>
    <w:p w14:paraId="21BA6322" w14:textId="015E9AC9" w:rsidR="00634DE7" w:rsidRDefault="00634DE7" w:rsidP="00081645">
      <w:pPr>
        <w:pStyle w:val="Bullets"/>
        <w:sectPr w:rsidR="00634DE7" w:rsidSect="00E34949">
          <w:footerReference w:type="default" r:id="rId47"/>
          <w:type w:val="continuous"/>
          <w:pgSz w:w="9979" w:h="14175"/>
          <w:pgMar w:top="1418" w:right="1134" w:bottom="1134" w:left="1134" w:header="709" w:footer="709" w:gutter="0"/>
          <w:cols w:num="2" w:space="708"/>
          <w:docGrid w:linePitch="360"/>
          <w15:footnoteColumns w:val="1"/>
        </w:sectPr>
      </w:pPr>
    </w:p>
    <w:p w14:paraId="5FB3B87D" w14:textId="77777777" w:rsidR="00634DE7" w:rsidRPr="00AF52C3" w:rsidRDefault="00634DE7" w:rsidP="00441579">
      <w:pPr>
        <w:pStyle w:val="Heading1"/>
        <w:rPr>
          <w:color w:val="7EC352" w:themeColor="background1"/>
        </w:rPr>
        <w:sectPr w:rsidR="00634DE7" w:rsidRPr="00AF52C3" w:rsidSect="00441579">
          <w:footerReference w:type="default" r:id="rId48"/>
          <w:pgSz w:w="9979" w:h="14175"/>
          <w:pgMar w:top="1134" w:right="1134" w:bottom="1134" w:left="1134" w:header="709" w:footer="709" w:gutter="0"/>
          <w:cols w:space="708"/>
          <w:docGrid w:linePitch="360"/>
        </w:sectPr>
      </w:pPr>
      <w:bookmarkStart w:id="36" w:name="_Who_we_are"/>
      <w:bookmarkStart w:id="37" w:name="_Toc44350168"/>
      <w:bookmarkStart w:id="38" w:name="_Toc50378060"/>
      <w:bookmarkStart w:id="39" w:name="_Toc84488731"/>
      <w:bookmarkEnd w:id="36"/>
      <w:r w:rsidRPr="00AF52C3">
        <w:rPr>
          <w:color w:val="7EC352" w:themeColor="background1"/>
        </w:rPr>
        <w:lastRenderedPageBreak/>
        <w:t>Who we are</w:t>
      </w:r>
      <w:bookmarkEnd w:id="37"/>
      <w:bookmarkEnd w:id="38"/>
      <w:bookmarkEnd w:id="39"/>
    </w:p>
    <w:p w14:paraId="3AB4C31B" w14:textId="60533052" w:rsidR="00BF2BED" w:rsidRPr="0056110C" w:rsidRDefault="00BF2BED" w:rsidP="00BF2BED">
      <w:pPr>
        <w:pStyle w:val="Body"/>
        <w:rPr>
          <w:b/>
          <w:bCs/>
        </w:rPr>
      </w:pPr>
      <w:r w:rsidRPr="0056110C">
        <w:rPr>
          <w:b/>
          <w:bCs/>
        </w:rPr>
        <w:t>The Independent Hospital Pricing Authority (IHPA) is an independent government agency established by the</w:t>
      </w:r>
      <w:r w:rsidR="00925391" w:rsidRPr="0056110C">
        <w:rPr>
          <w:b/>
          <w:bCs/>
        </w:rPr>
        <w:t> </w:t>
      </w:r>
      <w:r w:rsidRPr="0056110C">
        <w:rPr>
          <w:b/>
          <w:bCs/>
        </w:rPr>
        <w:t xml:space="preserve">Commonwealth as part of the </w:t>
      </w:r>
      <w:r w:rsidRPr="0056110C">
        <w:rPr>
          <w:b/>
          <w:bCs/>
          <w:i/>
          <w:iCs/>
        </w:rPr>
        <w:t>National</w:t>
      </w:r>
      <w:r w:rsidR="00925391" w:rsidRPr="0056110C">
        <w:rPr>
          <w:b/>
          <w:bCs/>
          <w:i/>
          <w:iCs/>
        </w:rPr>
        <w:t> </w:t>
      </w:r>
      <w:r w:rsidRPr="0056110C">
        <w:rPr>
          <w:b/>
          <w:bCs/>
          <w:i/>
          <w:iCs/>
        </w:rPr>
        <w:t>Health Reform Act 2011</w:t>
      </w:r>
      <w:r w:rsidRPr="0056110C">
        <w:rPr>
          <w:b/>
          <w:bCs/>
        </w:rPr>
        <w:t xml:space="preserve"> to contribute to significant reforms to improve Australian public hospitals.</w:t>
      </w:r>
    </w:p>
    <w:p w14:paraId="43ADB24F" w14:textId="77777777" w:rsidR="00BF2BED" w:rsidRPr="0016266C" w:rsidRDefault="00BF2BED" w:rsidP="00BF2BED">
      <w:pPr>
        <w:pStyle w:val="H4"/>
      </w:pPr>
      <w:r w:rsidRPr="0016266C">
        <w:t>Vision</w:t>
      </w:r>
    </w:p>
    <w:p w14:paraId="799E4FD2" w14:textId="77777777" w:rsidR="00BF2BED" w:rsidRDefault="00BF2BED" w:rsidP="00BF2BED">
      <w:pPr>
        <w:pStyle w:val="Body"/>
      </w:pPr>
      <w:r>
        <w:t>To design pricing systems that promote safe, efficient public hospital care for all Australians.</w:t>
      </w:r>
    </w:p>
    <w:p w14:paraId="4969244C" w14:textId="77777777" w:rsidR="00BF2BED" w:rsidRDefault="00BF2BED" w:rsidP="00BF2BED">
      <w:pPr>
        <w:pStyle w:val="H4"/>
      </w:pPr>
      <w:r>
        <w:t>Purpose</w:t>
      </w:r>
    </w:p>
    <w:p w14:paraId="0EB9A96E" w14:textId="656C0F58" w:rsidR="00634DE7" w:rsidRDefault="00BF2BED" w:rsidP="00634DE7">
      <w:pPr>
        <w:pStyle w:val="Body"/>
      </w:pPr>
      <w:r>
        <w:t>To promote improved efficiency in, and access to, safe and high-quality public hospital services, primarily through setting the national efficient price and levels of block funding for public hospital activities.</w:t>
      </w:r>
    </w:p>
    <w:p w14:paraId="1153D1E0" w14:textId="77777777" w:rsidR="00BF2BED" w:rsidRDefault="00634DE7" w:rsidP="00BF2BED">
      <w:pPr>
        <w:pStyle w:val="H4"/>
        <w:spacing w:before="0"/>
      </w:pPr>
      <w:r>
        <w:br w:type="column"/>
      </w:r>
      <w:proofErr w:type="spellStart"/>
      <w:r w:rsidR="00BF2BED">
        <w:t>Organisational</w:t>
      </w:r>
      <w:proofErr w:type="spellEnd"/>
      <w:r w:rsidR="00BF2BED">
        <w:t xml:space="preserve"> values</w:t>
      </w:r>
    </w:p>
    <w:p w14:paraId="57A743D5" w14:textId="77777777" w:rsidR="00BF2BED" w:rsidRDefault="00BF2BED" w:rsidP="00BF2BED">
      <w:pPr>
        <w:pStyle w:val="Body"/>
      </w:pPr>
      <w:r>
        <w:t xml:space="preserve">IHPA’s </w:t>
      </w:r>
      <w:proofErr w:type="spellStart"/>
      <w:r>
        <w:t>organisational</w:t>
      </w:r>
      <w:proofErr w:type="spellEnd"/>
      <w:r>
        <w:t xml:space="preserve"> values shape the culture of the agency and form the basis for stakeholder engagement to achieve our vision. Our core values are as follows:</w:t>
      </w:r>
    </w:p>
    <w:p w14:paraId="46E22AD4" w14:textId="77777777" w:rsidR="00BF2BED" w:rsidRDefault="00BF2BED" w:rsidP="00BF2BED">
      <w:pPr>
        <w:pStyle w:val="Bullets"/>
      </w:pPr>
      <w:r>
        <w:t>We act with independence, transparency, fairness, respect, accuracy and accountability.</w:t>
      </w:r>
    </w:p>
    <w:p w14:paraId="6D91E8CB" w14:textId="1390A6E2" w:rsidR="00BF2BED" w:rsidRDefault="00BF2BED" w:rsidP="00BF2BED">
      <w:pPr>
        <w:pStyle w:val="Bullets"/>
      </w:pPr>
      <w:r>
        <w:t>We value collaboration and demonstrate our values in the way we interact internally,</w:t>
      </w:r>
      <w:r w:rsidR="00DD2C08">
        <w:t xml:space="preserve"> </w:t>
      </w:r>
      <w:r>
        <w:t>with our stakeholders and the broader community.</w:t>
      </w:r>
    </w:p>
    <w:p w14:paraId="119CB586" w14:textId="6A0721AF" w:rsidR="00BF2BED" w:rsidRDefault="00BF2BED" w:rsidP="00BF2BED">
      <w:pPr>
        <w:pStyle w:val="Bullets"/>
      </w:pPr>
      <w:r>
        <w:t>We value the work, talent and contribution of our staff</w:t>
      </w:r>
      <w:r w:rsidR="00441438">
        <w:t>,</w:t>
      </w:r>
      <w:r>
        <w:t xml:space="preserve"> and create </w:t>
      </w:r>
      <w:proofErr w:type="spellStart"/>
      <w:r>
        <w:t>organisation</w:t>
      </w:r>
      <w:proofErr w:type="spellEnd"/>
      <w:r>
        <w:rPr>
          <w:rFonts w:ascii="Cambria Math" w:hAnsi="Cambria Math" w:cs="Cambria Math"/>
        </w:rPr>
        <w:t>‑</w:t>
      </w:r>
      <w:r>
        <w:t>wide development strategies to maintain and grow expertise and intellectual capital.</w:t>
      </w:r>
    </w:p>
    <w:p w14:paraId="19F4A6C9" w14:textId="77777777" w:rsidR="00BF2BED" w:rsidRDefault="00BF2BED" w:rsidP="00BF2BED">
      <w:pPr>
        <w:pStyle w:val="Bulletslast"/>
      </w:pPr>
      <w:r>
        <w:t>Our staff act ethically, support a collaborative culture and take pride in their work.</w:t>
      </w:r>
    </w:p>
    <w:p w14:paraId="075501CC" w14:textId="77777777" w:rsidR="00BF2BED" w:rsidRDefault="00634DE7" w:rsidP="00BF2BED">
      <w:pPr>
        <w:pStyle w:val="H4"/>
      </w:pPr>
      <w:r>
        <w:br w:type="column"/>
      </w:r>
      <w:r w:rsidR="00BF2BED">
        <w:lastRenderedPageBreak/>
        <w:t>Functions</w:t>
      </w:r>
    </w:p>
    <w:p w14:paraId="6332A1FC" w14:textId="77777777" w:rsidR="00BF2BED" w:rsidRDefault="00BF2BED" w:rsidP="00BF2BED">
      <w:pPr>
        <w:pStyle w:val="Body"/>
      </w:pPr>
      <w:r>
        <w:t xml:space="preserve">Pursuant to the </w:t>
      </w:r>
      <w:r w:rsidRPr="00641A06">
        <w:rPr>
          <w:i/>
        </w:rPr>
        <w:t>National Health Reform Act</w:t>
      </w:r>
      <w:r>
        <w:rPr>
          <w:i/>
        </w:rPr>
        <w:t> </w:t>
      </w:r>
      <w:r w:rsidRPr="00641A06">
        <w:rPr>
          <w:i/>
        </w:rPr>
        <w:t>2011</w:t>
      </w:r>
      <w:r>
        <w:t>, the primary functions of IHPA are as follows:</w:t>
      </w:r>
    </w:p>
    <w:p w14:paraId="287D2733" w14:textId="77777777" w:rsidR="00BF2BED" w:rsidRDefault="00BF2BED" w:rsidP="00BF2BED">
      <w:pPr>
        <w:pStyle w:val="Bullets"/>
      </w:pPr>
      <w:r>
        <w:t>to determine the national efficient price for healthcare services provided by public hospitals where the services are funded on an activity basis</w:t>
      </w:r>
    </w:p>
    <w:p w14:paraId="6455A385" w14:textId="77777777" w:rsidR="00BF2BED" w:rsidRDefault="00BF2BED" w:rsidP="00BF2BED">
      <w:pPr>
        <w:pStyle w:val="Bullets"/>
      </w:pPr>
      <w:r>
        <w:t>to determine the national efficient cost for healthcare services provided by public hospitals where the services are block funded</w:t>
      </w:r>
    </w:p>
    <w:p w14:paraId="070CA21F" w14:textId="446F16E8" w:rsidR="00634DE7" w:rsidRDefault="00BF2BED" w:rsidP="00BF2BED">
      <w:pPr>
        <w:pStyle w:val="Bulletslast"/>
      </w:pPr>
      <w:r>
        <w:t>to publish the national efficient price, national efficient cost and other information each year for the purpose of informing decision</w:t>
      </w:r>
      <w:r>
        <w:rPr>
          <w:rFonts w:ascii="Cambria Math" w:hAnsi="Cambria Math" w:cs="Cambria Math"/>
        </w:rPr>
        <w:t>‑</w:t>
      </w:r>
      <w:r>
        <w:t>makers in relation to the funding of public hospitals.</w:t>
      </w:r>
    </w:p>
    <w:p w14:paraId="79586D98" w14:textId="6E057770" w:rsidR="00BF2BED" w:rsidRDefault="00B65091" w:rsidP="00BF2BED">
      <w:pPr>
        <w:pStyle w:val="Body"/>
      </w:pPr>
      <w:r>
        <w:rPr>
          <w:noProof/>
          <w:lang w:val="en-AU" w:eastAsia="en-AU"/>
        </w:rPr>
        <w:drawing>
          <wp:anchor distT="0" distB="0" distL="114300" distR="114300" simplePos="0" relativeHeight="251979776" behindDoc="1" locked="0" layoutInCell="1" allowOverlap="1" wp14:anchorId="274B1A78" wp14:editId="6A3C19DA">
            <wp:simplePos x="0" y="0"/>
            <wp:positionH relativeFrom="margin">
              <wp:posOffset>-402590</wp:posOffset>
            </wp:positionH>
            <wp:positionV relativeFrom="paragraph">
              <wp:posOffset>779145</wp:posOffset>
            </wp:positionV>
            <wp:extent cx="5706527" cy="18510885"/>
            <wp:effectExtent l="0" t="0" r="8890" b="5715"/>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4DE7">
        <w:br w:type="column"/>
      </w:r>
      <w:r w:rsidR="00BF2BED">
        <w:t xml:space="preserve">IHPA was established to promote improved efficiency in, and access to, public hospital services through the provision of independent advice to Australian governments. </w:t>
      </w:r>
    </w:p>
    <w:p w14:paraId="50716058" w14:textId="2F5EDF21" w:rsidR="00BF2BED" w:rsidRDefault="00BF2BED" w:rsidP="00BF2BED">
      <w:pPr>
        <w:pStyle w:val="Body"/>
      </w:pPr>
      <w:r>
        <w:t xml:space="preserve">IHPA achieves this by developing and implementing robust systems to support activity based funding for those services </w:t>
      </w:r>
      <w:r>
        <w:rPr>
          <w:color w:val="272728"/>
        </w:rPr>
        <w:t>(see </w:t>
      </w:r>
      <w:hyperlink w:anchor="_Pricing_for_public" w:history="1">
        <w:r w:rsidR="00DD2C08" w:rsidRPr="004F2B7B">
          <w:rPr>
            <w:rStyle w:val="Hyperlink"/>
            <w:rFonts w:ascii="Futura PT Demi" w:hAnsi="Futura PT Demi" w:cs="Futura PT Demi"/>
          </w:rPr>
          <w:t xml:space="preserve">‘Pricing for public hospital funding’, </w:t>
        </w:r>
        <w:r w:rsidR="00DD2C08" w:rsidRPr="00137322">
          <w:rPr>
            <w:rStyle w:val="Hyperlink"/>
            <w:rFonts w:ascii="Futura PT Demi" w:hAnsi="Futura PT Demi" w:cs="Futura PT Demi"/>
          </w:rPr>
          <w:t>p12</w:t>
        </w:r>
      </w:hyperlink>
      <w:r>
        <w:rPr>
          <w:color w:val="272728"/>
        </w:rPr>
        <w:t>)</w:t>
      </w:r>
      <w:r>
        <w:t>.</w:t>
      </w:r>
    </w:p>
    <w:p w14:paraId="288A0130" w14:textId="77777777" w:rsidR="00BF2BED" w:rsidRDefault="00BF2BED" w:rsidP="00BF2BED">
      <w:pPr>
        <w:pStyle w:val="Body"/>
      </w:pPr>
      <w:r>
        <w:t xml:space="preserve">In undertaking its work, IHPA is required to consider the actual cost of delivering public hospital services in as wide a range of hospitals as practicable. It is also required to take into account any legitimate and unavoidable variations in costs due to hospital characteristics and patient complexity. </w:t>
      </w:r>
    </w:p>
    <w:p w14:paraId="28DBDC64" w14:textId="515C5385" w:rsidR="00634DE7" w:rsidRDefault="00BF2BED" w:rsidP="00BF2BED">
      <w:pPr>
        <w:pStyle w:val="Body"/>
      </w:pPr>
      <w:r>
        <w:t>IHPA balances a range of national policy objectives, which are guided by principles contained in the National Health Reform Agreement and its amendments.</w:t>
      </w:r>
    </w:p>
    <w:p w14:paraId="48F26040" w14:textId="2FC32F97" w:rsidR="00363F98" w:rsidRDefault="00363F98" w:rsidP="00081645">
      <w:pPr>
        <w:pStyle w:val="Heading1"/>
        <w:sectPr w:rsidR="00363F98" w:rsidSect="00E34949">
          <w:footerReference w:type="default" r:id="rId49"/>
          <w:type w:val="continuous"/>
          <w:pgSz w:w="9979" w:h="14175"/>
          <w:pgMar w:top="1418" w:right="1134" w:bottom="1134" w:left="1134" w:header="709" w:footer="709" w:gutter="0"/>
          <w:cols w:num="2" w:space="708"/>
          <w:docGrid w:linePitch="360"/>
        </w:sectPr>
      </w:pPr>
    </w:p>
    <w:p w14:paraId="6BC5DC10" w14:textId="77777777" w:rsidR="00363F98" w:rsidRPr="00AF52C3" w:rsidRDefault="00363F98" w:rsidP="00081645">
      <w:pPr>
        <w:pStyle w:val="Heading1"/>
        <w:rPr>
          <w:color w:val="7EC352" w:themeColor="background1"/>
        </w:rPr>
        <w:sectPr w:rsidR="00363F98" w:rsidRPr="00AF52C3" w:rsidSect="00441579">
          <w:footerReference w:type="default" r:id="rId50"/>
          <w:pgSz w:w="9979" w:h="14175"/>
          <w:pgMar w:top="1134" w:right="1134" w:bottom="1134" w:left="1134" w:header="709" w:footer="709" w:gutter="0"/>
          <w:cols w:space="708"/>
          <w:docGrid w:linePitch="360"/>
        </w:sectPr>
      </w:pPr>
      <w:bookmarkStart w:id="40" w:name="_Toc44350169"/>
      <w:bookmarkStart w:id="41" w:name="_Toc50378061"/>
      <w:bookmarkStart w:id="42" w:name="_Toc84488732"/>
      <w:r w:rsidRPr="00AF52C3">
        <w:rPr>
          <w:color w:val="7EC352" w:themeColor="background1"/>
        </w:rPr>
        <w:lastRenderedPageBreak/>
        <w:t>Pricing and funding for safety and quality</w:t>
      </w:r>
      <w:bookmarkEnd w:id="40"/>
      <w:bookmarkEnd w:id="41"/>
      <w:bookmarkEnd w:id="42"/>
    </w:p>
    <w:p w14:paraId="0E4E9B15" w14:textId="1C18D1D1" w:rsidR="00BF2BED" w:rsidRPr="00363F98" w:rsidRDefault="00BF2BED" w:rsidP="00BF2BED">
      <w:pPr>
        <w:pStyle w:val="Body"/>
      </w:pPr>
      <w:r>
        <w:t>The program of work for p</w:t>
      </w:r>
      <w:r w:rsidRPr="00363F98">
        <w:t>ricing and funding for safety and quality originated from the April 2016 Council of Australian Governments Health Council</w:t>
      </w:r>
      <w:r>
        <w:rPr>
          <w:rFonts w:ascii="ZWAdobeF" w:hAnsi="ZWAdobeF" w:cs="ZWAdobeF"/>
          <w:color w:val="auto"/>
          <w:sz w:val="2"/>
          <w:szCs w:val="2"/>
        </w:rPr>
        <w:t>2F</w:t>
      </w:r>
      <w:r w:rsidRPr="00363F98">
        <w:t xml:space="preserve"> Heads of</w:t>
      </w:r>
      <w:r>
        <w:t> </w:t>
      </w:r>
      <w:r w:rsidRPr="00363F98">
        <w:t>Agreement on Public Hospital</w:t>
      </w:r>
      <w:r w:rsidR="007223D5">
        <w:t> </w:t>
      </w:r>
      <w:r w:rsidRPr="00363F98">
        <w:t>Funding.</w:t>
      </w:r>
    </w:p>
    <w:p w14:paraId="78A027A7" w14:textId="265385DE" w:rsidR="00BF2BED" w:rsidRPr="00363F98" w:rsidRDefault="00BF2BED" w:rsidP="00BF2BED">
      <w:pPr>
        <w:pStyle w:val="Body"/>
      </w:pPr>
      <w:r w:rsidRPr="00363F98">
        <w:t>In 2017, all Australian governments signed an Addendum to the National Health Reform Agreement. Through this</w:t>
      </w:r>
      <w:r>
        <w:t xml:space="preserve"> </w:t>
      </w:r>
      <w:r w:rsidR="00C3723A">
        <w:t>A</w:t>
      </w:r>
      <w:r>
        <w:t>greement</w:t>
      </w:r>
      <w:r w:rsidRPr="00363F98">
        <w:t>, parties committed to develop and implement reforms to improve health outcomes of Australians through funding and pricing approaches to safety and quality. These reforms are designed to improve patient outcomes in the public health system and decrease avoidable demand for public hospital services.</w:t>
      </w:r>
    </w:p>
    <w:p w14:paraId="37E2C58C" w14:textId="7C52DD86" w:rsidR="00363F98" w:rsidRPr="00363F98" w:rsidRDefault="00BF2BED" w:rsidP="00B85FD6">
      <w:pPr>
        <w:pStyle w:val="Body"/>
      </w:pPr>
      <w:r w:rsidRPr="00363F98">
        <w:t>These pricing and funding approaches intend to complement existing strategies to improve safety and quality in public health care.</w:t>
      </w:r>
    </w:p>
    <w:p w14:paraId="25642702" w14:textId="77777777" w:rsidR="00BF2BED" w:rsidRPr="00363F98" w:rsidRDefault="00363F98" w:rsidP="00BF2BED">
      <w:pPr>
        <w:pStyle w:val="Body"/>
      </w:pPr>
      <w:r w:rsidRPr="00363F98">
        <w:br w:type="column"/>
      </w:r>
      <w:r w:rsidR="00BF2BED" w:rsidRPr="00363F98">
        <w:t xml:space="preserve">The Independent Hospital Pricing Authority (IHPA) works together with the Australian Commission on Safety and Quality in Health Care to incorporate safety and quality measures into the determination of the national efficient price. </w:t>
      </w:r>
    </w:p>
    <w:p w14:paraId="0E3948E1" w14:textId="65A2C336" w:rsidR="00BF2BED" w:rsidRPr="00363F98" w:rsidRDefault="00BF2BED" w:rsidP="00BF2BED">
      <w:pPr>
        <w:pStyle w:val="Body"/>
      </w:pPr>
      <w:r w:rsidRPr="00363F98">
        <w:t>Under the Addendum 2017–20, IHPA is required to advise on options for a comprehensive and risk</w:t>
      </w:r>
      <w:r w:rsidRPr="00363F98">
        <w:rPr>
          <w:rFonts w:ascii="Cambria Math" w:hAnsi="Cambria Math" w:cs="Cambria Math"/>
        </w:rPr>
        <w:t>‑</w:t>
      </w:r>
      <w:r w:rsidRPr="00363F98">
        <w:t>adjusted model to determine how funding and</w:t>
      </w:r>
      <w:r>
        <w:t> </w:t>
      </w:r>
      <w:r w:rsidRPr="00363F98">
        <w:t xml:space="preserve">pricing </w:t>
      </w:r>
      <w:r w:rsidR="00551598">
        <w:t>is</w:t>
      </w:r>
      <w:r w:rsidR="00441438">
        <w:t xml:space="preserve"> </w:t>
      </w:r>
      <w:r w:rsidRPr="00363F98">
        <w:t>used to improve patient outcomes across three key areas: sentinel events, hospital acquired complications and avoidable hospital readmissions.</w:t>
      </w:r>
    </w:p>
    <w:p w14:paraId="46A300DA" w14:textId="46AD8859" w:rsidR="00E45F31" w:rsidRPr="00B85FD6" w:rsidRDefault="00BF2BED" w:rsidP="00BF2BED">
      <w:pPr>
        <w:pStyle w:val="Body"/>
      </w:pPr>
      <w:r w:rsidRPr="00B85FD6">
        <w:t>Under the Addendum 2020–25, IHPA is required to continue reforms to integrate safety and quality into the pricing and funding approaches for public hospital services to further improve the health outcomes of patients and decrease avoidable demand for public hospital services.</w:t>
      </w:r>
    </w:p>
    <w:p w14:paraId="1E66782A" w14:textId="0204E885" w:rsidR="00B85FD6" w:rsidRPr="00B85FD6" w:rsidRDefault="00B85FD6" w:rsidP="00B85FD6">
      <w:pPr>
        <w:pStyle w:val="Body"/>
      </w:pPr>
      <w:r>
        <w:br w:type="column"/>
      </w:r>
      <w:r w:rsidRPr="00B85FD6">
        <w:lastRenderedPageBreak/>
        <w:t>The implementation of pricing and funding for safety and quality has been rolled out in stages as</w:t>
      </w:r>
      <w:r w:rsidR="006340E7">
        <w:t> </w:t>
      </w:r>
      <w:r w:rsidRPr="00B85FD6">
        <w:t>follows.</w:t>
      </w:r>
    </w:p>
    <w:p w14:paraId="5C1CA678" w14:textId="77777777" w:rsidR="00B85FD6" w:rsidRPr="00B85FD6" w:rsidRDefault="00B85FD6" w:rsidP="00B85FD6">
      <w:pPr>
        <w:pStyle w:val="Bullets"/>
      </w:pPr>
      <w:r w:rsidRPr="00B85FD6">
        <w:rPr>
          <w:b/>
          <w:bCs/>
        </w:rPr>
        <w:t>Sentinel events:</w:t>
      </w:r>
      <w:r w:rsidRPr="00B85FD6">
        <w:t xml:space="preserve"> Sentinel events are a subset of adverse patient safety events that are wholly preventable and result in serious harm to, or the death of, a patient.</w:t>
      </w:r>
    </w:p>
    <w:p w14:paraId="522B20CF" w14:textId="2B5ECB1F" w:rsidR="00B85FD6" w:rsidRPr="00B85FD6" w:rsidRDefault="00B85FD6" w:rsidP="00B85FD6">
      <w:pPr>
        <w:ind w:left="473"/>
        <w:rPr>
          <w:color w:val="1C1C1C"/>
          <w:sz w:val="18"/>
          <w:szCs w:val="18"/>
        </w:rPr>
      </w:pPr>
      <w:r w:rsidRPr="00B85FD6">
        <w:rPr>
          <w:color w:val="1C1C1C"/>
          <w:sz w:val="18"/>
          <w:szCs w:val="18"/>
        </w:rPr>
        <w:t>Since 1 July 2017, no Commonwealth funding has been provided for any public hospital episode that includes a sentinel event. This policy applies to both activity based and block</w:t>
      </w:r>
      <w:r w:rsidR="00C3723A">
        <w:rPr>
          <w:color w:val="1C1C1C"/>
          <w:sz w:val="18"/>
          <w:szCs w:val="18"/>
        </w:rPr>
        <w:t>-</w:t>
      </w:r>
      <w:r w:rsidRPr="00B85FD6">
        <w:rPr>
          <w:color w:val="1C1C1C"/>
          <w:sz w:val="18"/>
          <w:szCs w:val="18"/>
        </w:rPr>
        <w:t xml:space="preserve">funded hospitals. </w:t>
      </w:r>
    </w:p>
    <w:p w14:paraId="5B968F85" w14:textId="1995535D" w:rsidR="00B85FD6" w:rsidRPr="00B85FD6" w:rsidRDefault="00B85FD6" w:rsidP="00B85FD6">
      <w:pPr>
        <w:pStyle w:val="Bullets"/>
      </w:pPr>
      <w:r w:rsidRPr="00B85FD6">
        <w:rPr>
          <w:b/>
          <w:bCs/>
        </w:rPr>
        <w:t>Hospital acquired complications:</w:t>
      </w:r>
      <w:r w:rsidRPr="00B85FD6">
        <w:t xml:space="preserve"> A hospital acquired complication refers to</w:t>
      </w:r>
      <w:r w:rsidR="006340E7">
        <w:t> </w:t>
      </w:r>
      <w:r w:rsidRPr="00B85FD6">
        <w:t>a complication for which clinical risk mitigation strategies may reduce (but not necessarily eliminate) the risk of that complication occurring. IHPA has worked with the Australian Commission on Safety and Quality in Health Care and other stakeholders to develop an agreed list of hospital acquired complications.</w:t>
      </w:r>
    </w:p>
    <w:p w14:paraId="3A0CD7DB" w14:textId="79DB3704" w:rsidR="00B85FD6" w:rsidRPr="00B85FD6" w:rsidRDefault="00B85FD6" w:rsidP="00B85FD6">
      <w:pPr>
        <w:ind w:left="473"/>
        <w:rPr>
          <w:color w:val="1C1C1C"/>
          <w:sz w:val="18"/>
          <w:szCs w:val="18"/>
        </w:rPr>
      </w:pPr>
      <w:r w:rsidRPr="00B85FD6">
        <w:rPr>
          <w:color w:val="1C1C1C"/>
          <w:sz w:val="18"/>
          <w:szCs w:val="18"/>
        </w:rPr>
        <w:t xml:space="preserve">From 1 July 2018, funding </w:t>
      </w:r>
      <w:r w:rsidR="00473E79">
        <w:rPr>
          <w:color w:val="1C1C1C"/>
          <w:sz w:val="18"/>
          <w:szCs w:val="18"/>
        </w:rPr>
        <w:t>has been</w:t>
      </w:r>
      <w:r w:rsidRPr="00B85FD6">
        <w:rPr>
          <w:color w:val="1C1C1C"/>
          <w:sz w:val="18"/>
          <w:szCs w:val="18"/>
        </w:rPr>
        <w:t xml:space="preserve"> reduced for any episode of admitted acute</w:t>
      </w:r>
      <w:r w:rsidR="00473E79">
        <w:rPr>
          <w:color w:val="1C1C1C"/>
          <w:sz w:val="18"/>
          <w:szCs w:val="18"/>
        </w:rPr>
        <w:t> </w:t>
      </w:r>
      <w:r w:rsidRPr="00B85FD6">
        <w:rPr>
          <w:color w:val="1C1C1C"/>
          <w:sz w:val="18"/>
          <w:szCs w:val="18"/>
        </w:rPr>
        <w:t>care where hospital acquired complications such as falls, infections or</w:t>
      </w:r>
      <w:r w:rsidR="00473E79">
        <w:rPr>
          <w:color w:val="1C1C1C"/>
          <w:sz w:val="18"/>
          <w:szCs w:val="18"/>
        </w:rPr>
        <w:t> </w:t>
      </w:r>
      <w:r w:rsidRPr="00B85FD6">
        <w:rPr>
          <w:color w:val="1C1C1C"/>
          <w:sz w:val="18"/>
          <w:szCs w:val="18"/>
        </w:rPr>
        <w:t>pressure injuries occur during a hospital</w:t>
      </w:r>
      <w:r w:rsidR="00473E79">
        <w:rPr>
          <w:color w:val="1C1C1C"/>
          <w:sz w:val="18"/>
          <w:szCs w:val="18"/>
        </w:rPr>
        <w:t> </w:t>
      </w:r>
      <w:r w:rsidRPr="00B85FD6">
        <w:rPr>
          <w:color w:val="1C1C1C"/>
          <w:sz w:val="18"/>
          <w:szCs w:val="18"/>
        </w:rPr>
        <w:t>stay.</w:t>
      </w:r>
    </w:p>
    <w:p w14:paraId="19C1ADAD" w14:textId="570B620F" w:rsidR="00B85FD6" w:rsidRPr="00B85FD6" w:rsidRDefault="00B85FD6" w:rsidP="00B85FD6">
      <w:pPr>
        <w:pStyle w:val="Bullets"/>
      </w:pPr>
      <w:r w:rsidRPr="00B85FD6">
        <w:br w:type="column"/>
      </w:r>
      <w:r w:rsidRPr="00B85FD6">
        <w:rPr>
          <w:b/>
          <w:bCs/>
        </w:rPr>
        <w:t xml:space="preserve">Avoidable </w:t>
      </w:r>
      <w:r w:rsidR="00C3723A">
        <w:rPr>
          <w:b/>
          <w:bCs/>
        </w:rPr>
        <w:t xml:space="preserve">hospital </w:t>
      </w:r>
      <w:r w:rsidRPr="00B85FD6">
        <w:rPr>
          <w:b/>
          <w:bCs/>
        </w:rPr>
        <w:t>readmissions:</w:t>
      </w:r>
      <w:r w:rsidRPr="00B85FD6">
        <w:t xml:space="preserve"> Unplanned hospital readmissions are a measure of potential issues with the quality, continuity and integration of care provided to patients during or subsequent to their original hospital stay.</w:t>
      </w:r>
    </w:p>
    <w:p w14:paraId="36307368" w14:textId="77777777" w:rsidR="00B85FD6" w:rsidRPr="00B85FD6" w:rsidRDefault="00B85FD6" w:rsidP="00B85FD6">
      <w:pPr>
        <w:ind w:left="473"/>
        <w:rPr>
          <w:color w:val="1C1C1C"/>
          <w:sz w:val="18"/>
          <w:szCs w:val="18"/>
        </w:rPr>
      </w:pPr>
      <w:r w:rsidRPr="00B85FD6">
        <w:rPr>
          <w:color w:val="1C1C1C"/>
          <w:sz w:val="18"/>
          <w:szCs w:val="18"/>
        </w:rPr>
        <w:t>The 2017–20 Addendum required that IHPA develop pricing and funding adjustments to target avoidable hospital readmissions, which arise from complications of the management of the patient’s original hospital admission.</w:t>
      </w:r>
    </w:p>
    <w:p w14:paraId="7BC8210A" w14:textId="77777777" w:rsidR="00B85FD6" w:rsidRPr="00B85FD6" w:rsidRDefault="00B85FD6" w:rsidP="00B85FD6">
      <w:pPr>
        <w:ind w:left="473"/>
        <w:rPr>
          <w:color w:val="1C1C1C"/>
          <w:sz w:val="18"/>
          <w:szCs w:val="18"/>
        </w:rPr>
      </w:pPr>
      <w:r w:rsidRPr="00B85FD6">
        <w:rPr>
          <w:color w:val="1C1C1C"/>
          <w:sz w:val="18"/>
          <w:szCs w:val="18"/>
        </w:rPr>
        <w:t xml:space="preserve">A key feature of the 2020–25 Addendum was the agreement by all jurisdictions to implement the third tranche of pricing measures to support continued safety and quality improvements in Australia’s public hospital system. </w:t>
      </w:r>
    </w:p>
    <w:p w14:paraId="47A868AE" w14:textId="42432888" w:rsidR="00B85FD6" w:rsidRPr="00B85FD6" w:rsidRDefault="00B85FD6" w:rsidP="00B85FD6">
      <w:pPr>
        <w:ind w:left="473"/>
        <w:rPr>
          <w:color w:val="1C1C1C"/>
          <w:sz w:val="18"/>
          <w:szCs w:val="18"/>
        </w:rPr>
      </w:pPr>
      <w:r w:rsidRPr="00B85FD6">
        <w:rPr>
          <w:color w:val="1C1C1C"/>
          <w:sz w:val="18"/>
          <w:szCs w:val="18"/>
        </w:rPr>
        <w:t xml:space="preserve">IHPA commenced an analysis of three funding options intended to assist in </w:t>
      </w:r>
      <w:r w:rsidR="004403B5">
        <w:rPr>
          <w:color w:val="1C1C1C"/>
          <w:sz w:val="18"/>
          <w:szCs w:val="18"/>
        </w:rPr>
        <w:t>reducing</w:t>
      </w:r>
      <w:r w:rsidRPr="00B85FD6">
        <w:rPr>
          <w:color w:val="1C1C1C"/>
          <w:sz w:val="18"/>
          <w:szCs w:val="18"/>
        </w:rPr>
        <w:t xml:space="preserve"> avoidable hospital readmissions for two years from 1 July 2019.</w:t>
      </w:r>
    </w:p>
    <w:p w14:paraId="22C4B25B" w14:textId="26BBE0C3" w:rsidR="00B85FD6" w:rsidRPr="00B85FD6" w:rsidRDefault="00B85FD6" w:rsidP="00B85FD6">
      <w:pPr>
        <w:ind w:left="473"/>
        <w:rPr>
          <w:color w:val="1C1C1C"/>
          <w:sz w:val="18"/>
          <w:szCs w:val="18"/>
        </w:rPr>
      </w:pPr>
      <w:r w:rsidRPr="00B85FD6">
        <w:rPr>
          <w:color w:val="1C1C1C"/>
          <w:sz w:val="18"/>
          <w:szCs w:val="18"/>
        </w:rPr>
        <w:t>The analysis period allowed IHPA to assess the impacts of the proposed funding options based on cost and activity data, while providing the states and territories with a transitional arrangement prior to any</w:t>
      </w:r>
      <w:r w:rsidR="006340E7">
        <w:rPr>
          <w:color w:val="1C1C1C"/>
          <w:sz w:val="18"/>
          <w:szCs w:val="18"/>
        </w:rPr>
        <w:t> </w:t>
      </w:r>
      <w:r w:rsidRPr="00B85FD6">
        <w:rPr>
          <w:color w:val="1C1C1C"/>
          <w:sz w:val="18"/>
          <w:szCs w:val="18"/>
        </w:rPr>
        <w:t>decision on the introduction of the</w:t>
      </w:r>
      <w:r w:rsidR="00473E79">
        <w:rPr>
          <w:color w:val="1C1C1C"/>
          <w:sz w:val="18"/>
          <w:szCs w:val="18"/>
        </w:rPr>
        <w:t> </w:t>
      </w:r>
      <w:r w:rsidRPr="00B85FD6">
        <w:rPr>
          <w:color w:val="1C1C1C"/>
          <w:sz w:val="18"/>
          <w:szCs w:val="18"/>
        </w:rPr>
        <w:t xml:space="preserve">adjustment. </w:t>
      </w:r>
    </w:p>
    <w:p w14:paraId="6EFB0A0C" w14:textId="41219858" w:rsidR="00B85FD6" w:rsidRPr="00B85FD6" w:rsidRDefault="00B85FD6" w:rsidP="00B85FD6">
      <w:pPr>
        <w:ind w:left="473"/>
        <w:rPr>
          <w:color w:val="1C1C1C"/>
          <w:sz w:val="18"/>
          <w:szCs w:val="18"/>
        </w:rPr>
      </w:pPr>
      <w:r w:rsidRPr="00B85FD6">
        <w:rPr>
          <w:color w:val="1C1C1C"/>
          <w:sz w:val="18"/>
          <w:szCs w:val="18"/>
        </w:rPr>
        <w:t>From 1 July 2021, the national pricing model will include measures associated with avoidable readmissions, in addition to</w:t>
      </w:r>
      <w:r w:rsidR="000826EF">
        <w:rPr>
          <w:color w:val="1C1C1C"/>
          <w:sz w:val="18"/>
          <w:szCs w:val="18"/>
        </w:rPr>
        <w:t> </w:t>
      </w:r>
      <w:r w:rsidRPr="00B85FD6">
        <w:rPr>
          <w:color w:val="1C1C1C"/>
          <w:sz w:val="18"/>
          <w:szCs w:val="18"/>
        </w:rPr>
        <w:t>previously introduced measures for</w:t>
      </w:r>
      <w:r w:rsidR="000826EF">
        <w:rPr>
          <w:color w:val="1C1C1C"/>
          <w:sz w:val="18"/>
          <w:szCs w:val="18"/>
        </w:rPr>
        <w:t> </w:t>
      </w:r>
      <w:r w:rsidRPr="00B85FD6">
        <w:rPr>
          <w:color w:val="1C1C1C"/>
          <w:sz w:val="18"/>
          <w:szCs w:val="18"/>
        </w:rPr>
        <w:t>sentinel</w:t>
      </w:r>
      <w:r w:rsidR="000826EF">
        <w:rPr>
          <w:color w:val="1C1C1C"/>
          <w:sz w:val="18"/>
          <w:szCs w:val="18"/>
        </w:rPr>
        <w:t> </w:t>
      </w:r>
      <w:r w:rsidRPr="00B85FD6">
        <w:rPr>
          <w:color w:val="1C1C1C"/>
          <w:sz w:val="18"/>
          <w:szCs w:val="18"/>
        </w:rPr>
        <w:t>events and hospital acquired</w:t>
      </w:r>
      <w:r w:rsidR="000826EF">
        <w:rPr>
          <w:color w:val="1C1C1C"/>
          <w:sz w:val="18"/>
          <w:szCs w:val="18"/>
        </w:rPr>
        <w:t> </w:t>
      </w:r>
      <w:r w:rsidRPr="00B85FD6">
        <w:rPr>
          <w:color w:val="1C1C1C"/>
          <w:sz w:val="18"/>
          <w:szCs w:val="18"/>
        </w:rPr>
        <w:t xml:space="preserve">complications. </w:t>
      </w:r>
    </w:p>
    <w:p w14:paraId="04459129" w14:textId="77777777" w:rsidR="00B85FD6" w:rsidRDefault="00B85FD6" w:rsidP="00B85FD6">
      <w:pPr>
        <w:pStyle w:val="Body"/>
        <w:sectPr w:rsidR="00B85FD6" w:rsidSect="00441579">
          <w:footerReference w:type="default" r:id="rId51"/>
          <w:type w:val="continuous"/>
          <w:pgSz w:w="9979" w:h="14175"/>
          <w:pgMar w:top="1134" w:right="1134" w:bottom="1134" w:left="1134" w:header="709" w:footer="709" w:gutter="0"/>
          <w:cols w:num="2" w:space="708"/>
          <w:docGrid w:linePitch="360"/>
          <w15:footnoteColumns w:val="1"/>
        </w:sectPr>
      </w:pPr>
    </w:p>
    <w:p w14:paraId="1008C1AB" w14:textId="77777777" w:rsidR="00B85FD6" w:rsidRPr="00F977A9" w:rsidRDefault="00B85FD6" w:rsidP="00441579">
      <w:pPr>
        <w:pStyle w:val="Heading1"/>
        <w:rPr>
          <w:color w:val="7EC352" w:themeColor="background1"/>
        </w:rPr>
        <w:sectPr w:rsidR="00B85FD6" w:rsidRPr="00F977A9" w:rsidSect="00441579">
          <w:footerReference w:type="default" r:id="rId52"/>
          <w:pgSz w:w="9979" w:h="14175"/>
          <w:pgMar w:top="1134" w:right="1134" w:bottom="1134" w:left="1134" w:header="709" w:footer="709" w:gutter="0"/>
          <w:cols w:space="708"/>
          <w:docGrid w:linePitch="360"/>
        </w:sectPr>
      </w:pPr>
      <w:bookmarkStart w:id="43" w:name="_Responsible_Minister"/>
      <w:bookmarkStart w:id="44" w:name="_Toc44350170"/>
      <w:bookmarkStart w:id="45" w:name="_Toc50378062"/>
      <w:bookmarkStart w:id="46" w:name="_Toc84488733"/>
      <w:bookmarkEnd w:id="43"/>
      <w:r w:rsidRPr="00F977A9">
        <w:rPr>
          <w:color w:val="7EC352" w:themeColor="background1"/>
        </w:rPr>
        <w:lastRenderedPageBreak/>
        <w:t>Responsible Minister</w:t>
      </w:r>
      <w:bookmarkEnd w:id="44"/>
      <w:bookmarkEnd w:id="45"/>
      <w:bookmarkEnd w:id="46"/>
    </w:p>
    <w:p w14:paraId="48A29D5C" w14:textId="77777777" w:rsidR="00BF2BED" w:rsidRPr="00B85FD6" w:rsidRDefault="00BF2BED" w:rsidP="00BF2BED">
      <w:pPr>
        <w:rPr>
          <w:b/>
          <w:bCs/>
          <w:color w:val="1C1C1C"/>
          <w:sz w:val="18"/>
          <w:szCs w:val="18"/>
        </w:rPr>
      </w:pPr>
      <w:r w:rsidRPr="00B85FD6">
        <w:rPr>
          <w:b/>
          <w:bCs/>
          <w:color w:val="1C1C1C"/>
          <w:sz w:val="18"/>
          <w:szCs w:val="18"/>
        </w:rPr>
        <w:t>The Independent Hospital Pricing Authority sits within the Department of Health portfolio.</w:t>
      </w:r>
    </w:p>
    <w:p w14:paraId="02155CAD" w14:textId="3027E0BC" w:rsidR="00B85FD6" w:rsidRDefault="00B85FD6" w:rsidP="00B85FD6">
      <w:pPr>
        <w:rPr>
          <w:color w:val="1C1C1C"/>
          <w:sz w:val="18"/>
          <w:szCs w:val="18"/>
        </w:rPr>
      </w:pPr>
      <w:r w:rsidRPr="00B85FD6">
        <w:rPr>
          <w:color w:val="1C1C1C"/>
          <w:sz w:val="18"/>
          <w:szCs w:val="18"/>
        </w:rPr>
        <w:br w:type="column"/>
      </w:r>
      <w:r w:rsidR="00BF2BED" w:rsidRPr="00B85FD6">
        <w:rPr>
          <w:color w:val="1C1C1C"/>
          <w:sz w:val="18"/>
          <w:szCs w:val="18"/>
        </w:rPr>
        <w:t>The Minister responsible for this reporting period is the Hon Greg Hunt MP, Minister for Health and Aged Care.</w:t>
      </w:r>
    </w:p>
    <w:p w14:paraId="2D495BE0" w14:textId="77777777" w:rsidR="00B85FD6" w:rsidRDefault="00B85FD6" w:rsidP="00B85FD6">
      <w:pPr>
        <w:keepNext/>
        <w:keepLines/>
        <w:spacing w:before="100" w:beforeAutospacing="1" w:after="480" w:line="240" w:lineRule="auto"/>
        <w:outlineLvl w:val="0"/>
        <w:sectPr w:rsidR="00B85FD6" w:rsidSect="00B85FD6">
          <w:type w:val="continuous"/>
          <w:pgSz w:w="9979" w:h="14175"/>
          <w:pgMar w:top="1134" w:right="1134" w:bottom="1134" w:left="1134" w:header="709" w:footer="709" w:gutter="0"/>
          <w:cols w:num="2" w:space="708"/>
          <w:docGrid w:linePitch="360"/>
        </w:sectPr>
      </w:pPr>
    </w:p>
    <w:p w14:paraId="7867FAFF" w14:textId="49730122" w:rsidR="00B85FD6" w:rsidRDefault="004403B5" w:rsidP="00565DA2">
      <w:pPr>
        <w:pStyle w:val="Body"/>
      </w:pPr>
      <w:r>
        <w:rPr>
          <w:noProof/>
          <w:lang w:val="en-AU" w:eastAsia="en-AU"/>
        </w:rPr>
        <w:drawing>
          <wp:anchor distT="0" distB="0" distL="114300" distR="114300" simplePos="0" relativeHeight="251838464" behindDoc="1" locked="0" layoutInCell="1" allowOverlap="1" wp14:anchorId="0B9A9926" wp14:editId="1EB8A92C">
            <wp:simplePos x="0" y="0"/>
            <wp:positionH relativeFrom="margin">
              <wp:posOffset>-409575</wp:posOffset>
            </wp:positionH>
            <wp:positionV relativeFrom="paragraph">
              <wp:posOffset>339725</wp:posOffset>
            </wp:positionV>
            <wp:extent cx="5706527" cy="18510885"/>
            <wp:effectExtent l="0" t="0" r="8890" b="5715"/>
            <wp:wrapNone/>
            <wp:docPr id="162" name="Picture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BD3C3E" w14:textId="0054B095" w:rsidR="00950287" w:rsidRDefault="00950287" w:rsidP="00950287">
      <w:pPr>
        <w:pStyle w:val="Heading1"/>
        <w:rPr>
          <w:color w:val="7EC352" w:themeColor="background1"/>
        </w:rPr>
        <w:sectPr w:rsidR="00950287" w:rsidSect="00B85FD6">
          <w:type w:val="continuous"/>
          <w:pgSz w:w="9979" w:h="14175"/>
          <w:pgMar w:top="1134" w:right="1134" w:bottom="1134" w:left="1134" w:header="709" w:footer="709" w:gutter="0"/>
          <w:cols w:space="708"/>
          <w:docGrid w:linePitch="360"/>
        </w:sectPr>
      </w:pPr>
      <w:bookmarkStart w:id="47" w:name="_Toc50378063"/>
    </w:p>
    <w:p w14:paraId="625846C8" w14:textId="4DBC600A" w:rsidR="00B85FD6" w:rsidRPr="00AF52C3" w:rsidRDefault="00B85FD6" w:rsidP="00950287">
      <w:pPr>
        <w:pStyle w:val="Heading1"/>
        <w:rPr>
          <w:color w:val="7EC352" w:themeColor="background1"/>
        </w:rPr>
        <w:sectPr w:rsidR="00B85FD6" w:rsidRPr="00AF52C3" w:rsidSect="00950287">
          <w:footerReference w:type="default" r:id="rId53"/>
          <w:pgSz w:w="9979" w:h="14175"/>
          <w:pgMar w:top="1134" w:right="1134" w:bottom="1134" w:left="1134" w:header="709" w:footer="709" w:gutter="0"/>
          <w:cols w:space="708"/>
          <w:docGrid w:linePitch="360"/>
        </w:sectPr>
      </w:pPr>
      <w:bookmarkStart w:id="48" w:name="_Ministerial_directions_and"/>
      <w:bookmarkStart w:id="49" w:name="_Toc84488734"/>
      <w:bookmarkEnd w:id="48"/>
      <w:r w:rsidRPr="00AF52C3">
        <w:rPr>
          <w:color w:val="7EC352" w:themeColor="background1"/>
        </w:rPr>
        <w:lastRenderedPageBreak/>
        <w:t>Ministerial directions and government policy orders</w:t>
      </w:r>
      <w:bookmarkEnd w:id="47"/>
      <w:bookmarkEnd w:id="49"/>
    </w:p>
    <w:p w14:paraId="1253BDE2" w14:textId="04E55847" w:rsidR="00BF2BED" w:rsidRDefault="00BF2BED" w:rsidP="00BF2BED">
      <w:pPr>
        <w:pStyle w:val="Body"/>
      </w:pPr>
      <w:r>
        <w:t>On 29 January 2020,</w:t>
      </w:r>
      <w:r w:rsidR="00DD2C08">
        <w:t xml:space="preserve"> the</w:t>
      </w:r>
      <w:r>
        <w:t xml:space="preserve"> Independent Hospital Pricing Authority (IHPA) received a Ministerial Direction from the Hon Greg Hunt MP, under section 226(1) of the </w:t>
      </w:r>
      <w:r w:rsidRPr="00DD6F01">
        <w:rPr>
          <w:i/>
        </w:rPr>
        <w:t>National Health Reform Act</w:t>
      </w:r>
      <w:r w:rsidR="007223D5">
        <w:rPr>
          <w:i/>
        </w:rPr>
        <w:t> </w:t>
      </w:r>
      <w:r w:rsidRPr="00DD6F01">
        <w:rPr>
          <w:i/>
        </w:rPr>
        <w:t>2011</w:t>
      </w:r>
      <w:r>
        <w:t xml:space="preserve">. </w:t>
      </w:r>
    </w:p>
    <w:p w14:paraId="31A83017" w14:textId="6D78564F" w:rsidR="00BF2BED" w:rsidRDefault="00BF2BED" w:rsidP="00BF2BED">
      <w:pPr>
        <w:pStyle w:val="Body"/>
      </w:pPr>
      <w:r>
        <w:t xml:space="preserve">The direction required that IHPA study existing and projected costs for Nationally Funded </w:t>
      </w:r>
      <w:proofErr w:type="spellStart"/>
      <w:r>
        <w:t>Centres</w:t>
      </w:r>
      <w:proofErr w:type="spellEnd"/>
      <w:r>
        <w:t xml:space="preserve"> by 31 January 2021, recommending options regarding: </w:t>
      </w:r>
    </w:p>
    <w:p w14:paraId="1C49A38C" w14:textId="3C940F95" w:rsidR="00BF2BED" w:rsidRDefault="00BF2BED" w:rsidP="00BF2BED">
      <w:pPr>
        <w:pStyle w:val="Bullets"/>
        <w:ind w:right="-185"/>
      </w:pPr>
      <w:r>
        <w:t xml:space="preserve">whether Nationally Funded </w:t>
      </w:r>
      <w:proofErr w:type="spellStart"/>
      <w:r>
        <w:t>Centres</w:t>
      </w:r>
      <w:proofErr w:type="spellEnd"/>
      <w:r>
        <w:t>, individually and collectively, are more appropriately funded via activity based funding or block</w:t>
      </w:r>
      <w:r w:rsidR="00DD2C08">
        <w:t>-</w:t>
      </w:r>
      <w:r>
        <w:t xml:space="preserve">funding arrangements under the National Health Reform Agreement. </w:t>
      </w:r>
    </w:p>
    <w:p w14:paraId="5013E662" w14:textId="0D1E21A6" w:rsidR="00BF2BED" w:rsidRDefault="00BF2BED" w:rsidP="006544B5">
      <w:pPr>
        <w:pStyle w:val="Bullets"/>
      </w:pPr>
      <w:r>
        <w:t xml:space="preserve">the development and operation of cost models and pricing models for the Nationally Funded </w:t>
      </w:r>
      <w:proofErr w:type="spellStart"/>
      <w:r>
        <w:t>Centres</w:t>
      </w:r>
      <w:proofErr w:type="spellEnd"/>
      <w:r>
        <w:t>, covering both existing and potential future services delivered under the program. In issuing this direction, the Minister consulted with the COAG Health Council</w:t>
      </w:r>
      <w:r w:rsidR="00D5016A">
        <w:rPr>
          <w:rFonts w:ascii="ZWAdobeF" w:hAnsi="ZWAdobeF" w:cs="ZWAdobeF"/>
          <w:color w:val="auto"/>
          <w:sz w:val="2"/>
          <w:szCs w:val="2"/>
        </w:rPr>
        <w:t>1F</w:t>
      </w:r>
      <w:r w:rsidR="008B57A7">
        <w:rPr>
          <w:rStyle w:val="FootnoteReference"/>
        </w:rPr>
        <w:footnoteReference w:id="2"/>
      </w:r>
      <w:r>
        <w:t xml:space="preserve">. </w:t>
      </w:r>
    </w:p>
    <w:p w14:paraId="4E9EA050" w14:textId="2338EEAE" w:rsidR="00BF2BED" w:rsidRDefault="00F55362" w:rsidP="00BF2BED">
      <w:pPr>
        <w:pStyle w:val="Body"/>
      </w:pPr>
      <w:r>
        <w:br w:type="column"/>
      </w:r>
      <w:r w:rsidR="00BF2BED">
        <w:t>In compliance with the direction, IHPA has prepared an interim report for consideration of the Australian Health Ministers Advisory Council, which was delivered on 10 December 2020.</w:t>
      </w:r>
    </w:p>
    <w:p w14:paraId="367904FD" w14:textId="77777777" w:rsidR="00BF2BED" w:rsidRDefault="00BF2BED" w:rsidP="00BF2BED">
      <w:pPr>
        <w:pStyle w:val="Body"/>
      </w:pPr>
      <w:r>
        <w:t>IHPA did not receive any Ministerial Directions in 2020–21.</w:t>
      </w:r>
    </w:p>
    <w:p w14:paraId="6A45EEBF" w14:textId="5BC13546" w:rsidR="00B85FD6" w:rsidRDefault="00B85FD6" w:rsidP="00BF2BED">
      <w:pPr>
        <w:pStyle w:val="Body"/>
      </w:pPr>
    </w:p>
    <w:p w14:paraId="520D3201" w14:textId="77777777" w:rsidR="00730FCA" w:rsidRDefault="00730FCA" w:rsidP="00B85FD6">
      <w:pPr>
        <w:keepNext/>
        <w:keepLines/>
        <w:spacing w:before="100" w:beforeAutospacing="1" w:after="480" w:line="240" w:lineRule="auto"/>
        <w:outlineLvl w:val="0"/>
        <w:sectPr w:rsidR="00730FCA" w:rsidSect="00B85FD6">
          <w:type w:val="continuous"/>
          <w:pgSz w:w="9979" w:h="14175"/>
          <w:pgMar w:top="1134" w:right="1134" w:bottom="1134" w:left="1134" w:header="709" w:footer="709" w:gutter="0"/>
          <w:cols w:num="2" w:space="708"/>
          <w:docGrid w:linePitch="360"/>
          <w15:footnoteColumns w:val="1"/>
        </w:sectPr>
      </w:pPr>
    </w:p>
    <w:p w14:paraId="289AAC91" w14:textId="6B734237" w:rsidR="000E7BC9" w:rsidRPr="00F977A9" w:rsidRDefault="000E7BC9" w:rsidP="00F977A9">
      <w:pPr>
        <w:pStyle w:val="Heading1"/>
        <w:rPr>
          <w:color w:val="7EC352" w:themeColor="background1"/>
        </w:rPr>
        <w:sectPr w:rsidR="000E7BC9" w:rsidRPr="00F977A9" w:rsidSect="00441579">
          <w:footerReference w:type="default" r:id="rId54"/>
          <w:pgSz w:w="9979" w:h="14175"/>
          <w:pgMar w:top="1134" w:right="1134" w:bottom="1134" w:left="1134" w:header="709" w:footer="709" w:gutter="0"/>
          <w:cols w:space="708"/>
          <w:docGrid w:linePitch="360"/>
        </w:sectPr>
      </w:pPr>
      <w:bookmarkStart w:id="50" w:name="_Pricing_for_public"/>
      <w:bookmarkStart w:id="51" w:name="_Toc50378064"/>
      <w:bookmarkStart w:id="52" w:name="_Toc84488735"/>
      <w:bookmarkEnd w:id="50"/>
      <w:r w:rsidRPr="00F977A9">
        <w:rPr>
          <w:color w:val="7EC352" w:themeColor="background1"/>
        </w:rPr>
        <w:lastRenderedPageBreak/>
        <w:t>Pricing for public hospital services</w:t>
      </w:r>
      <w:bookmarkEnd w:id="51"/>
      <w:bookmarkEnd w:id="52"/>
    </w:p>
    <w:p w14:paraId="458C7E77" w14:textId="71D498AC" w:rsidR="00BF2BED" w:rsidRPr="000E7BC9" w:rsidRDefault="00BF2BED" w:rsidP="00BF2BED">
      <w:pPr>
        <w:rPr>
          <w:b/>
          <w:bCs/>
          <w:color w:val="1C1C1C"/>
          <w:sz w:val="18"/>
          <w:szCs w:val="18"/>
        </w:rPr>
      </w:pPr>
      <w:r w:rsidRPr="000E7BC9">
        <w:rPr>
          <w:b/>
          <w:bCs/>
          <w:color w:val="1C1C1C"/>
          <w:sz w:val="18"/>
          <w:szCs w:val="18"/>
        </w:rPr>
        <w:t xml:space="preserve">Under the National Health Reform Agreement, the </w:t>
      </w:r>
      <w:r w:rsidRPr="000E7BC9">
        <w:rPr>
          <w:b/>
          <w:color w:val="1C1C1C"/>
          <w:sz w:val="18"/>
          <w:szCs w:val="18"/>
        </w:rPr>
        <w:t>Independent Hospital Pricing Authority</w:t>
      </w:r>
      <w:r w:rsidRPr="000E7BC9">
        <w:rPr>
          <w:b/>
          <w:bCs/>
          <w:color w:val="1C1C1C"/>
          <w:sz w:val="18"/>
          <w:szCs w:val="18"/>
        </w:rPr>
        <w:t xml:space="preserve"> (IHPA) was established to contribute to significant reforms to improve the </w:t>
      </w:r>
      <w:r>
        <w:rPr>
          <w:b/>
          <w:bCs/>
          <w:color w:val="1C1C1C"/>
          <w:sz w:val="18"/>
          <w:szCs w:val="18"/>
        </w:rPr>
        <w:t>efficiency and</w:t>
      </w:r>
      <w:r w:rsidR="00067654">
        <w:rPr>
          <w:b/>
          <w:bCs/>
          <w:color w:val="1C1C1C"/>
          <w:sz w:val="18"/>
          <w:szCs w:val="18"/>
        </w:rPr>
        <w:t> </w:t>
      </w:r>
      <w:r w:rsidRPr="000E7BC9">
        <w:rPr>
          <w:b/>
          <w:bCs/>
          <w:color w:val="1C1C1C"/>
          <w:sz w:val="18"/>
          <w:szCs w:val="18"/>
        </w:rPr>
        <w:t>transparency of public hospital funding.</w:t>
      </w:r>
    </w:p>
    <w:p w14:paraId="39DC7346" w14:textId="77777777" w:rsidR="00BF2BED" w:rsidRPr="000E7BC9" w:rsidRDefault="00BF2BED" w:rsidP="00BF2BED">
      <w:pPr>
        <w:rPr>
          <w:color w:val="1C1C1C"/>
          <w:sz w:val="18"/>
          <w:szCs w:val="18"/>
        </w:rPr>
      </w:pPr>
      <w:r w:rsidRPr="000E7BC9">
        <w:rPr>
          <w:color w:val="1C1C1C"/>
          <w:sz w:val="18"/>
          <w:szCs w:val="18"/>
        </w:rPr>
        <w:t xml:space="preserve">A vital component of these reforms is the implementation of activity based funding for Australian public hospital services. </w:t>
      </w:r>
    </w:p>
    <w:p w14:paraId="593F0850" w14:textId="77777777" w:rsidR="00BF2BED" w:rsidRPr="000E7BC9" w:rsidRDefault="00BF2BED" w:rsidP="00BF2BED">
      <w:pPr>
        <w:rPr>
          <w:color w:val="1C1C1C"/>
          <w:sz w:val="18"/>
          <w:szCs w:val="18"/>
        </w:rPr>
      </w:pPr>
      <w:r w:rsidRPr="000E7BC9">
        <w:rPr>
          <w:color w:val="1C1C1C"/>
          <w:sz w:val="18"/>
          <w:szCs w:val="18"/>
        </w:rPr>
        <w:t>IHPA designs the pricing systems that underpin the</w:t>
      </w:r>
      <w:r>
        <w:rPr>
          <w:color w:val="1C1C1C"/>
          <w:sz w:val="18"/>
          <w:szCs w:val="18"/>
        </w:rPr>
        <w:t> </w:t>
      </w:r>
      <w:r w:rsidRPr="000E7BC9">
        <w:rPr>
          <w:color w:val="1C1C1C"/>
          <w:sz w:val="18"/>
          <w:szCs w:val="18"/>
        </w:rPr>
        <w:t>activity based funding approaches.</w:t>
      </w:r>
    </w:p>
    <w:p w14:paraId="622ED4A1" w14:textId="77777777" w:rsidR="00BF2BED" w:rsidRPr="000E7BC9" w:rsidRDefault="00BF2BED" w:rsidP="00BF2BED">
      <w:pPr>
        <w:pStyle w:val="H4"/>
      </w:pPr>
      <w:r w:rsidRPr="000E7BC9">
        <w:t>Activity based funding</w:t>
      </w:r>
    </w:p>
    <w:p w14:paraId="39A01016" w14:textId="77777777" w:rsidR="00BF2BED" w:rsidRPr="000E7BC9" w:rsidRDefault="00BF2BED" w:rsidP="00BF2BED">
      <w:pPr>
        <w:rPr>
          <w:color w:val="1C1C1C"/>
          <w:sz w:val="18"/>
          <w:szCs w:val="18"/>
        </w:rPr>
      </w:pPr>
      <w:r w:rsidRPr="000E7BC9">
        <w:rPr>
          <w:color w:val="1C1C1C"/>
          <w:sz w:val="18"/>
          <w:szCs w:val="18"/>
        </w:rPr>
        <w:t>Activity based funding describes the system by which hospitals are paid based on the number and complexity of patients they treat.</w:t>
      </w:r>
    </w:p>
    <w:p w14:paraId="4C95EF89" w14:textId="77777777" w:rsidR="00BF2BED" w:rsidRPr="000E7BC9" w:rsidRDefault="00BF2BED" w:rsidP="00BF2BED">
      <w:pPr>
        <w:rPr>
          <w:color w:val="1C1C1C"/>
          <w:sz w:val="18"/>
          <w:szCs w:val="18"/>
        </w:rPr>
      </w:pPr>
      <w:r w:rsidRPr="000E7BC9">
        <w:rPr>
          <w:color w:val="1C1C1C"/>
          <w:sz w:val="18"/>
          <w:szCs w:val="18"/>
        </w:rPr>
        <w:t>If a hospital treats more patients, it receives more funding. Activity based funding takes into account the fact that some patients are more complicated to treat than others.</w:t>
      </w:r>
    </w:p>
    <w:p w14:paraId="2F1348EA" w14:textId="77777777" w:rsidR="00BF2BED" w:rsidRPr="000E7BC9" w:rsidRDefault="00BF2BED" w:rsidP="00BF2BED">
      <w:pPr>
        <w:rPr>
          <w:color w:val="1C1C1C"/>
          <w:sz w:val="18"/>
          <w:szCs w:val="18"/>
        </w:rPr>
      </w:pPr>
      <w:r w:rsidRPr="000E7BC9">
        <w:rPr>
          <w:color w:val="1C1C1C"/>
          <w:sz w:val="18"/>
          <w:szCs w:val="18"/>
        </w:rPr>
        <w:t>Funding for public hospital services is based on the number of weighted services provided to patients and the price to be paid for delivering those services.</w:t>
      </w:r>
    </w:p>
    <w:p w14:paraId="11E1134D" w14:textId="17269CC6" w:rsidR="00BF2BED" w:rsidRPr="000E7BC9" w:rsidRDefault="00BF2BED" w:rsidP="00BF2BED">
      <w:pPr>
        <w:rPr>
          <w:color w:val="1C1C1C"/>
          <w:sz w:val="18"/>
          <w:szCs w:val="18"/>
        </w:rPr>
      </w:pPr>
      <w:r w:rsidRPr="000E7BC9">
        <w:rPr>
          <w:color w:val="1C1C1C"/>
          <w:sz w:val="18"/>
          <w:szCs w:val="18"/>
        </w:rPr>
        <w:t>Activity based funding enables efficiency comparisons to be made between hospital</w:t>
      </w:r>
      <w:r>
        <w:rPr>
          <w:color w:val="1C1C1C"/>
          <w:sz w:val="18"/>
          <w:szCs w:val="18"/>
        </w:rPr>
        <w:t>s</w:t>
      </w:r>
      <w:r w:rsidRPr="000E7BC9">
        <w:rPr>
          <w:color w:val="1C1C1C"/>
          <w:sz w:val="18"/>
          <w:szCs w:val="18"/>
        </w:rPr>
        <w:t xml:space="preserve"> and</w:t>
      </w:r>
      <w:r w:rsidR="00441438">
        <w:rPr>
          <w:color w:val="1C1C1C"/>
          <w:sz w:val="18"/>
          <w:szCs w:val="18"/>
        </w:rPr>
        <w:t> </w:t>
      </w:r>
      <w:r w:rsidRPr="000E7BC9">
        <w:rPr>
          <w:color w:val="1C1C1C"/>
          <w:sz w:val="18"/>
          <w:szCs w:val="18"/>
        </w:rPr>
        <w:t xml:space="preserve">allows system and hospital managers to identify inefficient practices, manage costs and </w:t>
      </w:r>
      <w:proofErr w:type="spellStart"/>
      <w:r w:rsidRPr="000E7BC9">
        <w:rPr>
          <w:color w:val="1C1C1C"/>
          <w:sz w:val="18"/>
          <w:szCs w:val="18"/>
        </w:rPr>
        <w:t>optimise</w:t>
      </w:r>
      <w:proofErr w:type="spellEnd"/>
      <w:r w:rsidRPr="000E7BC9">
        <w:rPr>
          <w:color w:val="1C1C1C"/>
          <w:sz w:val="18"/>
          <w:szCs w:val="18"/>
        </w:rPr>
        <w:t xml:space="preserve"> resource allocation. It is a useful tool to measure hospital performance and to establish appropriate benchmarks.</w:t>
      </w:r>
    </w:p>
    <w:p w14:paraId="141ECD27" w14:textId="02AE1FBB" w:rsidR="000E7BC9" w:rsidRPr="000E7BC9" w:rsidRDefault="00BF2BED" w:rsidP="00BF2BED">
      <w:pPr>
        <w:rPr>
          <w:color w:val="1C1C1C"/>
          <w:sz w:val="18"/>
          <w:szCs w:val="18"/>
        </w:rPr>
      </w:pPr>
      <w:r w:rsidRPr="000E7BC9">
        <w:rPr>
          <w:color w:val="1C1C1C"/>
          <w:sz w:val="18"/>
          <w:szCs w:val="18"/>
        </w:rPr>
        <w:t xml:space="preserve">The </w:t>
      </w:r>
      <w:hyperlink r:id="rId55" w:history="1">
        <w:r w:rsidRPr="000E7BC9">
          <w:rPr>
            <w:color w:val="008F54" w:themeColor="hyperlink"/>
            <w:sz w:val="18"/>
            <w:szCs w:val="18"/>
            <w:u w:val="single"/>
          </w:rPr>
          <w:t>national efficient price</w:t>
        </w:r>
      </w:hyperlink>
      <w:r w:rsidRPr="000E7BC9">
        <w:rPr>
          <w:color w:val="1C1C1C"/>
          <w:sz w:val="18"/>
          <w:szCs w:val="18"/>
        </w:rPr>
        <w:t xml:space="preserve"> underpins the implementation of activity based funding.</w:t>
      </w:r>
    </w:p>
    <w:p w14:paraId="38260432" w14:textId="77777777" w:rsidR="00BF2BED" w:rsidRPr="000E7BC9" w:rsidRDefault="00BF2BED" w:rsidP="00BF2BED">
      <w:pPr>
        <w:rPr>
          <w:color w:val="1C1C1C"/>
          <w:sz w:val="18"/>
          <w:szCs w:val="18"/>
        </w:rPr>
      </w:pPr>
      <w:r w:rsidRPr="000E7BC9">
        <w:rPr>
          <w:color w:val="1C1C1C"/>
          <w:sz w:val="18"/>
          <w:szCs w:val="18"/>
        </w:rPr>
        <w:t xml:space="preserve">Each financial year, IHPA releases the </w:t>
      </w:r>
      <w:r>
        <w:rPr>
          <w:color w:val="1C1C1C"/>
          <w:sz w:val="18"/>
          <w:szCs w:val="18"/>
        </w:rPr>
        <w:t>N</w:t>
      </w:r>
      <w:r w:rsidRPr="000E7BC9">
        <w:rPr>
          <w:color w:val="1C1C1C"/>
          <w:sz w:val="18"/>
          <w:szCs w:val="18"/>
        </w:rPr>
        <w:t>ational</w:t>
      </w:r>
      <w:r>
        <w:rPr>
          <w:color w:val="1C1C1C"/>
          <w:sz w:val="18"/>
          <w:szCs w:val="18"/>
        </w:rPr>
        <w:t> E</w:t>
      </w:r>
      <w:r w:rsidRPr="000E7BC9">
        <w:rPr>
          <w:color w:val="1C1C1C"/>
          <w:sz w:val="18"/>
          <w:szCs w:val="18"/>
        </w:rPr>
        <w:t xml:space="preserve">fficient </w:t>
      </w:r>
      <w:r>
        <w:rPr>
          <w:color w:val="1C1C1C"/>
          <w:sz w:val="18"/>
          <w:szCs w:val="18"/>
        </w:rPr>
        <w:t>P</w:t>
      </w:r>
      <w:r w:rsidRPr="000E7BC9">
        <w:rPr>
          <w:color w:val="1C1C1C"/>
          <w:sz w:val="18"/>
          <w:szCs w:val="18"/>
        </w:rPr>
        <w:t xml:space="preserve">rice and </w:t>
      </w:r>
      <w:r>
        <w:rPr>
          <w:color w:val="1C1C1C"/>
          <w:sz w:val="18"/>
          <w:szCs w:val="18"/>
        </w:rPr>
        <w:t>N</w:t>
      </w:r>
      <w:r w:rsidRPr="000E7BC9">
        <w:rPr>
          <w:color w:val="1C1C1C"/>
          <w:sz w:val="18"/>
          <w:szCs w:val="18"/>
        </w:rPr>
        <w:t xml:space="preserve">ational </w:t>
      </w:r>
      <w:r>
        <w:rPr>
          <w:color w:val="1C1C1C"/>
          <w:sz w:val="18"/>
          <w:szCs w:val="18"/>
        </w:rPr>
        <w:t>E</w:t>
      </w:r>
      <w:r w:rsidRPr="000E7BC9">
        <w:rPr>
          <w:color w:val="1C1C1C"/>
          <w:sz w:val="18"/>
          <w:szCs w:val="18"/>
        </w:rPr>
        <w:t xml:space="preserve">fficient </w:t>
      </w:r>
      <w:r>
        <w:rPr>
          <w:color w:val="1C1C1C"/>
          <w:sz w:val="18"/>
          <w:szCs w:val="18"/>
        </w:rPr>
        <w:t>C</w:t>
      </w:r>
      <w:r w:rsidRPr="000E7BC9">
        <w:rPr>
          <w:color w:val="1C1C1C"/>
          <w:sz w:val="18"/>
          <w:szCs w:val="18"/>
        </w:rPr>
        <w:t>ost</w:t>
      </w:r>
      <w:r>
        <w:rPr>
          <w:color w:val="1C1C1C"/>
          <w:sz w:val="18"/>
          <w:szCs w:val="18"/>
        </w:rPr>
        <w:t> </w:t>
      </w:r>
      <w:r w:rsidRPr="000E7BC9">
        <w:rPr>
          <w:color w:val="1C1C1C"/>
          <w:sz w:val="18"/>
          <w:szCs w:val="18"/>
        </w:rPr>
        <w:t>Determinations.</w:t>
      </w:r>
    </w:p>
    <w:p w14:paraId="257BB6A7" w14:textId="77777777" w:rsidR="00BF2BED" w:rsidRPr="000E7BC9" w:rsidRDefault="00BF2BED" w:rsidP="00A06824">
      <w:pPr>
        <w:ind w:right="-185"/>
        <w:rPr>
          <w:color w:val="1C1C1C"/>
          <w:sz w:val="18"/>
          <w:szCs w:val="18"/>
        </w:rPr>
      </w:pPr>
      <w:r w:rsidRPr="000E7BC9">
        <w:rPr>
          <w:color w:val="1C1C1C"/>
          <w:sz w:val="18"/>
          <w:szCs w:val="18"/>
        </w:rPr>
        <w:t>These Determinations, in conjunction with data regarding the actual v</w:t>
      </w:r>
      <w:r>
        <w:rPr>
          <w:color w:val="1C1C1C"/>
          <w:sz w:val="18"/>
          <w:szCs w:val="18"/>
        </w:rPr>
        <w:t>olume</w:t>
      </w:r>
      <w:r w:rsidRPr="000E7BC9">
        <w:rPr>
          <w:color w:val="1C1C1C"/>
          <w:sz w:val="18"/>
          <w:szCs w:val="18"/>
        </w:rPr>
        <w:t xml:space="preserve"> and type of hospital services provided by states and territories, are used by the Administrator of the National Health Funding Pool to calculate the Commonwealth funding contribution to public hospitals.</w:t>
      </w:r>
    </w:p>
    <w:p w14:paraId="161AD8E5" w14:textId="77777777" w:rsidR="00BF2BED" w:rsidRPr="000E7BC9" w:rsidRDefault="00BF2BED" w:rsidP="00BF2BED">
      <w:pPr>
        <w:rPr>
          <w:color w:val="1C1C1C"/>
          <w:sz w:val="18"/>
          <w:szCs w:val="18"/>
        </w:rPr>
      </w:pPr>
      <w:r w:rsidRPr="000E7BC9">
        <w:rPr>
          <w:color w:val="1C1C1C"/>
          <w:sz w:val="18"/>
          <w:szCs w:val="18"/>
        </w:rPr>
        <w:t>In 2020–21, national classifications were used to</w:t>
      </w:r>
      <w:r>
        <w:rPr>
          <w:color w:val="1C1C1C"/>
          <w:sz w:val="18"/>
          <w:szCs w:val="18"/>
        </w:rPr>
        <w:t> </w:t>
      </w:r>
      <w:r w:rsidRPr="000E7BC9">
        <w:rPr>
          <w:color w:val="1C1C1C"/>
          <w:sz w:val="18"/>
          <w:szCs w:val="18"/>
        </w:rPr>
        <w:t>fund the following service categories on an activity basis:</w:t>
      </w:r>
    </w:p>
    <w:p w14:paraId="1EFF93D3" w14:textId="77777777" w:rsidR="00BF2BED" w:rsidRPr="000E7BC9" w:rsidRDefault="00BF2BED" w:rsidP="00BF2BED">
      <w:pPr>
        <w:pStyle w:val="Bullets"/>
        <w:spacing w:after="0"/>
      </w:pPr>
      <w:r w:rsidRPr="000E7BC9">
        <w:t>admitted acute services</w:t>
      </w:r>
    </w:p>
    <w:p w14:paraId="4DD6B5D5" w14:textId="77777777" w:rsidR="00BF2BED" w:rsidRPr="000E7BC9" w:rsidRDefault="00BF2BED" w:rsidP="00BF2BED">
      <w:pPr>
        <w:pStyle w:val="Bullets"/>
        <w:spacing w:after="0"/>
      </w:pPr>
      <w:r w:rsidRPr="000E7BC9">
        <w:t>admitted mental health services</w:t>
      </w:r>
    </w:p>
    <w:p w14:paraId="410A7E5A" w14:textId="77777777" w:rsidR="00BF2BED" w:rsidRPr="000E7BC9" w:rsidRDefault="00BF2BED" w:rsidP="00BF2BED">
      <w:pPr>
        <w:pStyle w:val="Bullets"/>
        <w:spacing w:after="0"/>
      </w:pPr>
      <w:r w:rsidRPr="000E7BC9">
        <w:t>subacute and non-acute services</w:t>
      </w:r>
    </w:p>
    <w:p w14:paraId="4A9E1198" w14:textId="77777777" w:rsidR="00BF2BED" w:rsidRPr="000E7BC9" w:rsidRDefault="00BF2BED" w:rsidP="00BF2BED">
      <w:pPr>
        <w:pStyle w:val="Bullets"/>
        <w:spacing w:after="0"/>
      </w:pPr>
      <w:r w:rsidRPr="000E7BC9">
        <w:t>emergency department services</w:t>
      </w:r>
    </w:p>
    <w:p w14:paraId="097C29C5" w14:textId="5151F528" w:rsidR="000E7BC9" w:rsidRPr="000E7BC9" w:rsidRDefault="00BF2BED" w:rsidP="00BF2BED">
      <w:pPr>
        <w:pStyle w:val="Bulletslast"/>
      </w:pPr>
      <w:r w:rsidRPr="000E7BC9">
        <w:t>non-admitted services.</w:t>
      </w:r>
    </w:p>
    <w:p w14:paraId="7B5B332B" w14:textId="77777777" w:rsidR="000E7BC9" w:rsidRPr="000E7BC9" w:rsidRDefault="000E7BC9" w:rsidP="00F977A9">
      <w:pPr>
        <w:pStyle w:val="FigureHeading"/>
      </w:pPr>
      <w:bookmarkStart w:id="53" w:name="_Toc82510930"/>
      <w:r w:rsidRPr="000E7BC9">
        <w:t>Figure 1: National efficient price 2021–22</w:t>
      </w:r>
      <w:bookmarkEnd w:id="53"/>
    </w:p>
    <w:p w14:paraId="6C81FA9E" w14:textId="77777777" w:rsidR="00B25742" w:rsidRDefault="008858A7" w:rsidP="00565DA2">
      <w:pPr>
        <w:pStyle w:val="Body"/>
        <w:sectPr w:rsidR="00B25742" w:rsidSect="000E7BC9">
          <w:type w:val="continuous"/>
          <w:pgSz w:w="9979" w:h="14175"/>
          <w:pgMar w:top="1134" w:right="1134" w:bottom="1134" w:left="1134" w:header="709" w:footer="709" w:gutter="0"/>
          <w:cols w:num="2" w:space="708"/>
          <w:docGrid w:linePitch="360"/>
        </w:sectPr>
      </w:pPr>
      <w:r>
        <w:rPr>
          <w:noProof/>
          <w:lang w:val="en-AU" w:eastAsia="en-AU"/>
        </w:rPr>
        <w:drawing>
          <wp:inline distT="0" distB="0" distL="0" distR="0" wp14:anchorId="59048654" wp14:editId="6509B74C">
            <wp:extent cx="2219314" cy="2183287"/>
            <wp:effectExtent l="0" t="0" r="0" b="7620"/>
            <wp:docPr id="9" name="Picture 9" descr="National efficient price 2021–22. $5,320 – Average cost of an episode of care in a public hospital. 480 Australian public hospitals receive funding based on their activity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ational efficient price 2021–22. $5,320 – Average cost of an episode of care in a public hospital. 480 Australian public hospitals receive funding based on their activity levels."/>
                    <pic:cNvPicPr>
                      <a:picLocks noChangeAspect="1" noChangeArrowheads="1"/>
                    </pic:cNvPicPr>
                  </pic:nvPicPr>
                  <pic:blipFill>
                    <a:blip r:embed="rId56" cstate="print">
                      <a:extLst>
                        <a:ext uri="{28A0092B-C50C-407E-A947-70E740481C1C}">
                          <a14:useLocalDpi xmlns:a14="http://schemas.microsoft.com/office/drawing/2010/main"/>
                        </a:ext>
                      </a:extLst>
                    </a:blip>
                    <a:stretch>
                      <a:fillRect/>
                    </a:stretch>
                  </pic:blipFill>
                  <pic:spPr bwMode="auto">
                    <a:xfrm>
                      <a:off x="0" y="0"/>
                      <a:ext cx="2219314" cy="2183287"/>
                    </a:xfrm>
                    <a:prstGeom prst="rect">
                      <a:avLst/>
                    </a:prstGeom>
                    <a:noFill/>
                    <a:ln>
                      <a:noFill/>
                    </a:ln>
                  </pic:spPr>
                </pic:pic>
              </a:graphicData>
            </a:graphic>
          </wp:inline>
        </w:drawing>
      </w:r>
    </w:p>
    <w:p w14:paraId="59530904" w14:textId="77777777" w:rsidR="005B2B57" w:rsidRDefault="005B2B57" w:rsidP="00A5232B">
      <w:pPr>
        <w:pStyle w:val="H3"/>
        <w:spacing w:after="240"/>
        <w:jc w:val="center"/>
        <w:rPr>
          <w:color w:val="003F2C" w:themeColor="text2"/>
        </w:rPr>
        <w:sectPr w:rsidR="005B2B57" w:rsidSect="005B2B57">
          <w:type w:val="continuous"/>
          <w:pgSz w:w="9979" w:h="14175"/>
          <w:pgMar w:top="1134" w:right="1134" w:bottom="1134" w:left="1134" w:header="709" w:footer="709" w:gutter="0"/>
          <w:cols w:space="720"/>
          <w:docGrid w:linePitch="360"/>
        </w:sectPr>
      </w:pPr>
    </w:p>
    <w:p w14:paraId="3B1EC9D7" w14:textId="6E87584A" w:rsidR="00F12B73" w:rsidRDefault="00B25742" w:rsidP="005B2B57">
      <w:pPr>
        <w:pStyle w:val="H3"/>
        <w:spacing w:after="240"/>
        <w:rPr>
          <w:color w:val="003F2C" w:themeColor="text2"/>
        </w:rPr>
      </w:pPr>
      <w:r>
        <w:rPr>
          <w:color w:val="003F2C" w:themeColor="text2"/>
        </w:rPr>
        <w:lastRenderedPageBreak/>
        <w:t>Activity base</w:t>
      </w:r>
      <w:r w:rsidR="002B4037">
        <w:rPr>
          <w:color w:val="003F2C" w:themeColor="text2"/>
        </w:rPr>
        <w:t>d funding timeline</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Caption w:val="Activity based funding timeline"/>
        <w:tblDescription w:val="Activity based funding timeline"/>
      </w:tblPr>
      <w:tblGrid>
        <w:gridCol w:w="1098"/>
        <w:gridCol w:w="6613"/>
      </w:tblGrid>
      <w:tr w:rsidR="00BF2BED" w14:paraId="4A55CAC5" w14:textId="77777777" w:rsidTr="00FB79B1">
        <w:trPr>
          <w:trHeight w:val="1191"/>
          <w:tblHeader/>
        </w:trPr>
        <w:tc>
          <w:tcPr>
            <w:tcW w:w="712" w:type="pct"/>
          </w:tcPr>
          <w:p w14:paraId="49ABAC6F" w14:textId="77777777" w:rsidR="00BF2BED" w:rsidRDefault="00BF2BED" w:rsidP="00BF2BED">
            <w:pPr>
              <w:pStyle w:val="Body"/>
            </w:pPr>
            <w:r>
              <w:rPr>
                <w:noProof/>
                <w:lang w:val="en-AU" w:eastAsia="en-AU"/>
              </w:rPr>
              <w:drawing>
                <wp:inline distT="0" distB="0" distL="0" distR="0" wp14:anchorId="02AB5621" wp14:editId="41F58467">
                  <wp:extent cx="621030" cy="558598"/>
                  <wp:effectExtent l="0" t="0" r="7620" b="0"/>
                  <wp:docPr id="50" name="Picture 50" descr="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2008"/>
                          <pic:cNvPicPr>
                            <a:picLocks noChangeAspect="1" noChangeArrowheads="1"/>
                          </pic:cNvPicPr>
                        </pic:nvPicPr>
                        <pic:blipFill>
                          <a:blip r:embed="rId57"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3E75DAC0" w14:textId="276D7012" w:rsidR="00BF2BED" w:rsidRDefault="00BF2BED" w:rsidP="00BF2BED">
            <w:pPr>
              <w:pStyle w:val="Bulletslast"/>
              <w:spacing w:before="240" w:after="80"/>
            </w:pPr>
            <w:r w:rsidRPr="003542C9">
              <w:t>Activity based funding becomes a requirement of Commonwealth funding for public</w:t>
            </w:r>
            <w:r>
              <w:t> </w:t>
            </w:r>
            <w:r w:rsidRPr="003542C9">
              <w:t>hospitals</w:t>
            </w:r>
            <w:r w:rsidR="00100003">
              <w:t>.</w:t>
            </w:r>
          </w:p>
        </w:tc>
      </w:tr>
      <w:tr w:rsidR="00BF2BED" w14:paraId="7CECC918" w14:textId="77777777" w:rsidTr="004C7ABB">
        <w:trPr>
          <w:trHeight w:val="1191"/>
        </w:trPr>
        <w:tc>
          <w:tcPr>
            <w:tcW w:w="712" w:type="pct"/>
          </w:tcPr>
          <w:p w14:paraId="5850CB4B" w14:textId="77777777" w:rsidR="00BF2BED" w:rsidRDefault="00BF2BED" w:rsidP="00BF2BED">
            <w:pPr>
              <w:pStyle w:val="Body"/>
            </w:pPr>
            <w:r>
              <w:rPr>
                <w:noProof/>
                <w:lang w:val="en-AU" w:eastAsia="en-AU"/>
              </w:rPr>
              <mc:AlternateContent>
                <mc:Choice Requires="wps">
                  <w:drawing>
                    <wp:anchor distT="0" distB="0" distL="114300" distR="114300" simplePos="0" relativeHeight="251922432" behindDoc="1" locked="0" layoutInCell="1" allowOverlap="1" wp14:anchorId="4F4C6671" wp14:editId="418F177D">
                      <wp:simplePos x="0" y="0"/>
                      <wp:positionH relativeFrom="column">
                        <wp:posOffset>315718</wp:posOffset>
                      </wp:positionH>
                      <wp:positionV relativeFrom="paragraph">
                        <wp:posOffset>-428180</wp:posOffset>
                      </wp:positionV>
                      <wp:extent cx="0" cy="5296753"/>
                      <wp:effectExtent l="19050" t="0" r="19050" b="37465"/>
                      <wp:wrapNone/>
                      <wp:docPr id="37" name="Straight Connector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296753"/>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35A7FD" id="Straight Connector 37" o:spid="_x0000_s1026" alt="&quot;&quot;" style="position:absolute;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5pt,-33.7pt" to="24.85pt,3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" strokecolor="#7ec352 [3205]" strokeweight="2.25pt">
                      <v:stroke joinstyle="miter"/>
                    </v:line>
                  </w:pict>
                </mc:Fallback>
              </mc:AlternateContent>
            </w:r>
            <w:r>
              <w:rPr>
                <w:noProof/>
                <w:lang w:val="en-AU" w:eastAsia="en-AU"/>
              </w:rPr>
              <w:drawing>
                <wp:inline distT="0" distB="0" distL="0" distR="0" wp14:anchorId="232041D6" wp14:editId="18923A91">
                  <wp:extent cx="621030" cy="558598"/>
                  <wp:effectExtent l="0" t="0" r="7620" b="0"/>
                  <wp:docPr id="51" name="Picture 51" descr="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2011"/>
                          <pic:cNvPicPr>
                            <a:picLocks noChangeAspect="1" noChangeArrowheads="1"/>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2E93F362" w14:textId="2C711D5C" w:rsidR="00BF2BED" w:rsidRDefault="00BF2BED" w:rsidP="00BF2BED">
            <w:pPr>
              <w:pStyle w:val="Bulletslast"/>
              <w:spacing w:before="240"/>
            </w:pPr>
            <w:r w:rsidRPr="003542C9">
              <w:t>National Health Reform Agreement signed by all Australian governments; this</w:t>
            </w:r>
            <w:r>
              <w:t> </w:t>
            </w:r>
            <w:r w:rsidRPr="003542C9">
              <w:t>agreement outlines the establishment of IHPA</w:t>
            </w:r>
            <w:r w:rsidR="00100003">
              <w:t>.</w:t>
            </w:r>
          </w:p>
        </w:tc>
      </w:tr>
      <w:tr w:rsidR="00BF2BED" w14:paraId="3A957FCA" w14:textId="77777777" w:rsidTr="004C7ABB">
        <w:trPr>
          <w:trHeight w:val="1191"/>
        </w:trPr>
        <w:tc>
          <w:tcPr>
            <w:tcW w:w="712" w:type="pct"/>
          </w:tcPr>
          <w:p w14:paraId="22EB9D66" w14:textId="77777777" w:rsidR="00BF2BED" w:rsidRDefault="00BF2BED" w:rsidP="00BF2BED">
            <w:pPr>
              <w:pStyle w:val="Body"/>
            </w:pPr>
            <w:r>
              <w:rPr>
                <w:noProof/>
                <w:lang w:val="en-AU" w:eastAsia="en-AU"/>
              </w:rPr>
              <w:drawing>
                <wp:inline distT="0" distB="0" distL="0" distR="0" wp14:anchorId="03F7E3BC" wp14:editId="58226F24">
                  <wp:extent cx="621030" cy="558598"/>
                  <wp:effectExtent l="0" t="0" r="7620" b="0"/>
                  <wp:docPr id="68" name="Picture 68" descr="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2012"/>
                          <pic:cNvPicPr>
                            <a:picLocks noChangeAspect="1" noChangeArrowheads="1"/>
                          </pic:cNvPicPr>
                        </pic:nvPicPr>
                        <pic:blipFill>
                          <a:blip r:embed="rId59"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1F91E1F0" w14:textId="0A802A47" w:rsidR="00BF2BED" w:rsidRDefault="00BF2BED" w:rsidP="00BF2BED">
            <w:pPr>
              <w:pStyle w:val="Bulletslast"/>
              <w:spacing w:before="240" w:after="80"/>
            </w:pPr>
            <w:r w:rsidRPr="003542C9">
              <w:t>First national efficient price was established at $4,808</w:t>
            </w:r>
            <w:r w:rsidR="00100003">
              <w:t>.</w:t>
            </w:r>
          </w:p>
        </w:tc>
      </w:tr>
      <w:tr w:rsidR="00BF2BED" w14:paraId="432FF336" w14:textId="77777777" w:rsidTr="004C7ABB">
        <w:trPr>
          <w:trHeight w:val="1191"/>
        </w:trPr>
        <w:tc>
          <w:tcPr>
            <w:tcW w:w="712" w:type="pct"/>
          </w:tcPr>
          <w:p w14:paraId="14544CCA" w14:textId="77777777" w:rsidR="00BF2BED" w:rsidRDefault="00BF2BED" w:rsidP="00BF2BED">
            <w:pPr>
              <w:pStyle w:val="Body"/>
            </w:pPr>
            <w:r>
              <w:rPr>
                <w:noProof/>
                <w:lang w:val="en-AU" w:eastAsia="en-AU"/>
              </w:rPr>
              <w:drawing>
                <wp:inline distT="0" distB="0" distL="0" distR="0" wp14:anchorId="0616A9F6" wp14:editId="7F10A1A9">
                  <wp:extent cx="621030" cy="558598"/>
                  <wp:effectExtent l="0" t="0" r="7620" b="0"/>
                  <wp:docPr id="76" name="Picture 76" descr="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2013"/>
                          <pic:cNvPicPr>
                            <a:picLocks noChangeAspect="1" noChangeArrowheads="1"/>
                          </pic:cNvPicPr>
                        </pic:nvPicPr>
                        <pic:blipFill>
                          <a:blip r:embed="rId60"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0112A426" w14:textId="71E2AB70" w:rsidR="00BF2BED" w:rsidRDefault="00BF2BED" w:rsidP="00BF2BED">
            <w:pPr>
              <w:pStyle w:val="Bulletslast"/>
              <w:spacing w:before="240"/>
            </w:pPr>
            <w:r w:rsidRPr="003542C9">
              <w:t>First national efficient cost was established at $4.738 million</w:t>
            </w:r>
            <w:r w:rsidR="00100003">
              <w:t>.</w:t>
            </w:r>
          </w:p>
        </w:tc>
      </w:tr>
      <w:tr w:rsidR="00BF2BED" w14:paraId="13077745" w14:textId="77777777" w:rsidTr="004C7ABB">
        <w:trPr>
          <w:trHeight w:val="1191"/>
        </w:trPr>
        <w:tc>
          <w:tcPr>
            <w:tcW w:w="712" w:type="pct"/>
          </w:tcPr>
          <w:p w14:paraId="21923B4F" w14:textId="77777777" w:rsidR="00BF2BED" w:rsidRDefault="00BF2BED" w:rsidP="00BF2BED">
            <w:pPr>
              <w:pStyle w:val="Body"/>
            </w:pPr>
            <w:r>
              <w:rPr>
                <w:noProof/>
                <w:lang w:val="en-AU" w:eastAsia="en-AU"/>
              </w:rPr>
              <w:drawing>
                <wp:inline distT="0" distB="0" distL="0" distR="0" wp14:anchorId="709CD6F5" wp14:editId="0B1934AC">
                  <wp:extent cx="621030" cy="558598"/>
                  <wp:effectExtent l="0" t="0" r="7620" b="0"/>
                  <wp:docPr id="77" name="Picture 77" descr="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2017"/>
                          <pic:cNvPicPr>
                            <a:picLocks noChangeAspect="1" noChangeArrowheads="1"/>
                          </pic:cNvPicPr>
                        </pic:nvPicPr>
                        <pic:blipFill>
                          <a:blip r:embed="rId61"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23FBEEDE" w14:textId="1FD7CE61" w:rsidR="00BF2BED" w:rsidRDefault="00BF2BED" w:rsidP="00BF2BED">
            <w:pPr>
              <w:pStyle w:val="Bulletslast"/>
              <w:spacing w:before="240"/>
            </w:pPr>
            <w:r w:rsidRPr="003542C9">
              <w:t>From 2017, no Commonwealth funding has been provided for any public hospital episode that includes a sentinel event</w:t>
            </w:r>
            <w:r w:rsidR="00100003">
              <w:t>.</w:t>
            </w:r>
          </w:p>
        </w:tc>
      </w:tr>
      <w:tr w:rsidR="00BF2BED" w14:paraId="235AB9D8" w14:textId="77777777" w:rsidTr="004C7ABB">
        <w:trPr>
          <w:trHeight w:val="1191"/>
        </w:trPr>
        <w:tc>
          <w:tcPr>
            <w:tcW w:w="712" w:type="pct"/>
          </w:tcPr>
          <w:p w14:paraId="20774385" w14:textId="77777777" w:rsidR="00BF2BED" w:rsidRDefault="00BF2BED" w:rsidP="00BF2BED">
            <w:pPr>
              <w:pStyle w:val="Body"/>
            </w:pPr>
            <w:r>
              <w:rPr>
                <w:noProof/>
                <w:lang w:val="en-AU" w:eastAsia="en-AU"/>
              </w:rPr>
              <w:drawing>
                <wp:inline distT="0" distB="0" distL="0" distR="0" wp14:anchorId="3B6AAFB2" wp14:editId="64F15FF3">
                  <wp:extent cx="621030" cy="558598"/>
                  <wp:effectExtent l="0" t="0" r="7620" b="0"/>
                  <wp:docPr id="78" name="Picture 78" descr="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2018"/>
                          <pic:cNvPicPr>
                            <a:picLocks noChangeAspect="1" noChangeArrowheads="1"/>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5A199AF6" w14:textId="351523A6" w:rsidR="00BF2BED" w:rsidRDefault="00BF2BED" w:rsidP="00BF2BED">
            <w:pPr>
              <w:pStyle w:val="Bulletslast"/>
              <w:spacing w:before="240"/>
            </w:pPr>
            <w:r w:rsidRPr="003542C9">
              <w:t>From 2018, funding has been reduced for any episode of admitted acute care where hospital acquired complications occur during a hospital stay</w:t>
            </w:r>
            <w:r w:rsidR="00100003">
              <w:t>.</w:t>
            </w:r>
          </w:p>
        </w:tc>
      </w:tr>
      <w:tr w:rsidR="00BF2BED" w14:paraId="70078A08" w14:textId="77777777" w:rsidTr="004C7ABB">
        <w:trPr>
          <w:trHeight w:val="1191"/>
        </w:trPr>
        <w:tc>
          <w:tcPr>
            <w:tcW w:w="712" w:type="pct"/>
          </w:tcPr>
          <w:p w14:paraId="6A984B37" w14:textId="77777777" w:rsidR="00BF2BED" w:rsidRDefault="00BF2BED" w:rsidP="00BF2BED">
            <w:pPr>
              <w:pStyle w:val="Body"/>
            </w:pPr>
            <w:r>
              <w:rPr>
                <w:noProof/>
                <w:lang w:val="en-AU" w:eastAsia="en-AU"/>
              </w:rPr>
              <w:drawing>
                <wp:inline distT="0" distB="0" distL="0" distR="0" wp14:anchorId="4FFA6B2F" wp14:editId="3C3973B9">
                  <wp:extent cx="621030" cy="558598"/>
                  <wp:effectExtent l="0" t="0" r="7620" b="0"/>
                  <wp:docPr id="82" name="Picture 82" descr="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2020"/>
                          <pic:cNvPicPr>
                            <a:picLocks noChangeAspect="1" noChangeArrowheads="1"/>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2A007EA7" w14:textId="07056AEE" w:rsidR="00BF2BED" w:rsidRDefault="00BF2BED" w:rsidP="00BF2BED">
            <w:pPr>
              <w:pStyle w:val="Bulletslast"/>
              <w:spacing w:before="240" w:after="80"/>
            </w:pPr>
            <w:r w:rsidRPr="003542C9">
              <w:t>Refined national efficient cost model introduced under fixed-plus-variable model</w:t>
            </w:r>
            <w:r w:rsidR="00100003">
              <w:t>.</w:t>
            </w:r>
          </w:p>
        </w:tc>
      </w:tr>
      <w:tr w:rsidR="00BF2BED" w14:paraId="4B2C6F01" w14:textId="77777777" w:rsidTr="005B2B57">
        <w:trPr>
          <w:trHeight w:val="1077"/>
        </w:trPr>
        <w:tc>
          <w:tcPr>
            <w:tcW w:w="712" w:type="pct"/>
          </w:tcPr>
          <w:p w14:paraId="6C474C0A" w14:textId="77777777" w:rsidR="00BF2BED" w:rsidRDefault="00BF2BED" w:rsidP="00BF2BED">
            <w:pPr>
              <w:pStyle w:val="Body"/>
            </w:pPr>
            <w:r>
              <w:rPr>
                <w:noProof/>
                <w:lang w:val="en-AU" w:eastAsia="en-AU"/>
              </w:rPr>
              <w:drawing>
                <wp:inline distT="0" distB="0" distL="0" distR="0" wp14:anchorId="66CA9A95" wp14:editId="76A9CE92">
                  <wp:extent cx="621030" cy="558598"/>
                  <wp:effectExtent l="0" t="0" r="7620" b="0"/>
                  <wp:docPr id="83" name="Picture 83" descr="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2021"/>
                          <pic:cNvPicPr>
                            <a:picLocks noChangeAspect="1" noChangeArrowheads="1"/>
                          </pic:cNvPicPr>
                        </pic:nvPicPr>
                        <pic:blipFill>
                          <a:blip r:embed="rId64" cstate="print">
                            <a:extLst>
                              <a:ext uri="{28A0092B-C50C-407E-A947-70E740481C1C}">
                                <a14:useLocalDpi xmlns:a14="http://schemas.microsoft.com/office/drawing/2010/main"/>
                              </a:ext>
                            </a:extLst>
                          </a:blip>
                          <a:stretch>
                            <a:fillRect/>
                          </a:stretch>
                        </pic:blipFill>
                        <pic:spPr bwMode="auto">
                          <a:xfrm>
                            <a:off x="0" y="0"/>
                            <a:ext cx="621030" cy="558598"/>
                          </a:xfrm>
                          <a:prstGeom prst="rect">
                            <a:avLst/>
                          </a:prstGeom>
                          <a:noFill/>
                          <a:ln>
                            <a:noFill/>
                          </a:ln>
                        </pic:spPr>
                      </pic:pic>
                    </a:graphicData>
                  </a:graphic>
                </wp:inline>
              </w:drawing>
            </w:r>
          </w:p>
        </w:tc>
        <w:tc>
          <w:tcPr>
            <w:tcW w:w="4288" w:type="pct"/>
          </w:tcPr>
          <w:p w14:paraId="7ACC4D8F" w14:textId="75E3D4D8" w:rsidR="00BF2BED" w:rsidRDefault="00BF2BED" w:rsidP="00BF2BED">
            <w:pPr>
              <w:pStyle w:val="Bulletslast"/>
              <w:spacing w:after="120"/>
            </w:pPr>
            <w:r w:rsidRPr="003542C9">
              <w:t>Tenth national efficient price was established at $5,597</w:t>
            </w:r>
            <w:r w:rsidR="00100003">
              <w:t>.</w:t>
            </w:r>
          </w:p>
          <w:p w14:paraId="0AC86A74" w14:textId="40695F00" w:rsidR="00BF2BED" w:rsidRPr="00CC4CE5" w:rsidRDefault="00BF2BED" w:rsidP="00BF2BED">
            <w:pPr>
              <w:numPr>
                <w:ilvl w:val="0"/>
                <w:numId w:val="1"/>
              </w:numPr>
              <w:spacing w:after="80"/>
              <w:rPr>
                <w:color w:val="1C1C1C"/>
                <w:sz w:val="18"/>
                <w:szCs w:val="18"/>
              </w:rPr>
            </w:pPr>
            <w:r w:rsidRPr="00CC4CE5">
              <w:rPr>
                <w:color w:val="1C1C1C"/>
                <w:sz w:val="18"/>
                <w:szCs w:val="18"/>
              </w:rPr>
              <w:t xml:space="preserve">Ninth national efficient </w:t>
            </w:r>
            <w:r>
              <w:rPr>
                <w:color w:val="1C1C1C"/>
                <w:sz w:val="18"/>
                <w:szCs w:val="18"/>
              </w:rPr>
              <w:t xml:space="preserve">cost </w:t>
            </w:r>
            <w:r w:rsidRPr="00CC4CE5">
              <w:rPr>
                <w:color w:val="1C1C1C"/>
                <w:sz w:val="18"/>
                <w:szCs w:val="18"/>
              </w:rPr>
              <w:t>was established at $2.99 million fixed cost and $5,762 variable cost</w:t>
            </w:r>
            <w:r w:rsidR="00100003">
              <w:rPr>
                <w:color w:val="1C1C1C"/>
                <w:sz w:val="18"/>
                <w:szCs w:val="18"/>
              </w:rPr>
              <w:t>.</w:t>
            </w:r>
          </w:p>
          <w:p w14:paraId="5E284D5A" w14:textId="256E58A5" w:rsidR="00BF2BED" w:rsidRDefault="00BF2BED" w:rsidP="00BF2BED">
            <w:pPr>
              <w:pStyle w:val="Bulletslast"/>
            </w:pPr>
            <w:r w:rsidRPr="00CC4CE5">
              <w:t>From 2021, IHPA will implement a funding adjustment to apply where there is an avoidable hospital readmission to any hospital within the same jurisdiction</w:t>
            </w:r>
            <w:r w:rsidR="00100003">
              <w:t>.</w:t>
            </w:r>
          </w:p>
        </w:tc>
      </w:tr>
    </w:tbl>
    <w:p w14:paraId="42687D86" w14:textId="77777777" w:rsidR="003F57B6" w:rsidRDefault="003F57B6" w:rsidP="00B25742">
      <w:pPr>
        <w:pStyle w:val="Body"/>
      </w:pPr>
    </w:p>
    <w:p w14:paraId="52894012" w14:textId="548455FF" w:rsidR="00B25742" w:rsidRDefault="00B25742" w:rsidP="00B85FD6">
      <w:pPr>
        <w:keepNext/>
        <w:keepLines/>
        <w:spacing w:before="100" w:beforeAutospacing="1" w:after="480" w:line="240" w:lineRule="auto"/>
        <w:outlineLvl w:val="0"/>
        <w:sectPr w:rsidR="00B25742" w:rsidSect="005B2B57">
          <w:footerReference w:type="default" r:id="rId65"/>
          <w:pgSz w:w="9979" w:h="14175"/>
          <w:pgMar w:top="1134" w:right="1134" w:bottom="1134" w:left="1134" w:header="709" w:footer="709" w:gutter="0"/>
          <w:cols w:space="720"/>
          <w:docGrid w:linePitch="360"/>
        </w:sectPr>
      </w:pPr>
    </w:p>
    <w:p w14:paraId="6FE66CD6" w14:textId="77777777" w:rsidR="006A751C" w:rsidRPr="00E80A77" w:rsidRDefault="006A751C" w:rsidP="002377A1">
      <w:pPr>
        <w:pStyle w:val="H3"/>
        <w:spacing w:after="480"/>
        <w:rPr>
          <w:color w:val="003F2C" w:themeColor="text2"/>
          <w:lang w:val="en-US"/>
        </w:rPr>
      </w:pPr>
      <w:r>
        <w:rPr>
          <w:color w:val="003F2C" w:themeColor="text2"/>
        </w:rPr>
        <w:lastRenderedPageBreak/>
        <w:t>Building blocks for an activity based funding system</w:t>
      </w:r>
    </w:p>
    <w:p w14:paraId="5A22227C" w14:textId="3880E449" w:rsidR="00375B9F" w:rsidRDefault="00254D78" w:rsidP="00A5232B">
      <w:pPr>
        <w:jc w:val="center"/>
        <w:rPr>
          <w:color w:val="1C1C1C"/>
          <w:sz w:val="18"/>
          <w:szCs w:val="18"/>
        </w:rPr>
      </w:pPr>
      <w:r>
        <w:rPr>
          <w:noProof/>
          <w:color w:val="1C1C1C"/>
          <w:sz w:val="18"/>
          <w:szCs w:val="18"/>
          <w:lang w:val="en-AU" w:eastAsia="en-AU"/>
        </w:rPr>
        <w:drawing>
          <wp:inline distT="0" distB="0" distL="0" distR="0" wp14:anchorId="43C29C09" wp14:editId="66A8D6C6">
            <wp:extent cx="4896397" cy="5948679"/>
            <wp:effectExtent l="0" t="0" r="0" b="0"/>
            <wp:docPr id="84" name="Picture 84" descr="We design the pricing system to promote safe, efficient health care for all Australians. Data. IHPA collects hospital activity data for admitted episodes of care, including mental health and subacute services, emergency department presentations and non-admitted service events, where data can be accessed in real-time through the National Benchmarking Portal. Costing. In activity based funding it is essential to understand the total costs involved in providing hospital services to a patient and assign costs based on resource consumption. IHPA compiles the National Hospital Cost Data Collection annually. This information is used for developing the classification systems and for the national pricing model. Classification. IHPA develops classifications for six streams including admitted acute care, non-admitted care, emergency care, mental health care and teaching, training and research, which aim to provide better management, measurement and funding of high-quality health care. Pricing. The pricing model determines how much is paid for an average patient. The pricing model adequately recognises factors that increase the cost of care that may not be accounted for in the classification system. For example, the additional cost of providing health services in remote areas or to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We design the pricing system to promote safe, efficient health care for all Australians. Data. IHPA collects hospital activity data for admitted episodes of care, including mental health and subacute services, emergency department presentations and non-admitted service events, where data can be accessed in real-time through the National Benchmarking Portal. Costing. In activity based funding it is essential to understand the total costs involved in providing hospital services to a patient and assign costs based on resource consumption. IHPA compiles the National Hospital Cost Data Collection annually. This information is used for developing the classification systems and for the national pricing model. Classification. IHPA develops classifications for six streams including admitted acute care, non-admitted care, emergency care, mental health care and teaching, training and research, which aim to provide better management, measurement and funding of high-quality health care. Pricing. The pricing model determines how much is paid for an average patient. The pricing model adequately recognises factors that increase the cost of care that may not be accounted for in the classification system. For example, the additional cost of providing health services in remote areas or to children.  "/>
                    <pic:cNvPicPr/>
                  </pic:nvPicPr>
                  <pic:blipFill>
                    <a:blip r:embed="rId66">
                      <a:extLst>
                        <a:ext uri="{28A0092B-C50C-407E-A947-70E740481C1C}">
                          <a14:useLocalDpi xmlns:a14="http://schemas.microsoft.com/office/drawing/2010/main"/>
                        </a:ext>
                      </a:extLst>
                    </a:blip>
                    <a:stretch>
                      <a:fillRect/>
                    </a:stretch>
                  </pic:blipFill>
                  <pic:spPr>
                    <a:xfrm>
                      <a:off x="0" y="0"/>
                      <a:ext cx="4896397" cy="5948679"/>
                    </a:xfrm>
                    <a:prstGeom prst="rect">
                      <a:avLst/>
                    </a:prstGeom>
                  </pic:spPr>
                </pic:pic>
              </a:graphicData>
            </a:graphic>
          </wp:inline>
        </w:drawing>
      </w:r>
    </w:p>
    <w:p w14:paraId="2836084E" w14:textId="77777777" w:rsidR="006A751C" w:rsidRPr="00375B9F" w:rsidRDefault="006A751C" w:rsidP="0043338C">
      <w:pPr>
        <w:rPr>
          <w:color w:val="1C1C1C"/>
          <w:sz w:val="18"/>
          <w:szCs w:val="18"/>
        </w:rPr>
      </w:pPr>
    </w:p>
    <w:p w14:paraId="53666CBC" w14:textId="77777777" w:rsidR="00375B9F" w:rsidRDefault="00375B9F" w:rsidP="00B85FD6">
      <w:pPr>
        <w:keepNext/>
        <w:keepLines/>
        <w:spacing w:before="100" w:beforeAutospacing="1" w:after="480" w:line="240" w:lineRule="auto"/>
        <w:outlineLvl w:val="0"/>
        <w:sectPr w:rsidR="00375B9F" w:rsidSect="0043338C">
          <w:footerReference w:type="default" r:id="rId67"/>
          <w:pgSz w:w="9979" w:h="14175"/>
          <w:pgMar w:top="993" w:right="1134" w:bottom="1134" w:left="1134" w:header="709" w:footer="709" w:gutter="0"/>
          <w:cols w:space="708"/>
          <w:docGrid w:linePitch="360"/>
        </w:sectPr>
      </w:pPr>
    </w:p>
    <w:p w14:paraId="153BF366" w14:textId="3CF39C32" w:rsidR="00375B9F" w:rsidRDefault="00375B9F" w:rsidP="00375B9F">
      <w:pPr>
        <w:pStyle w:val="Body"/>
        <w:rPr>
          <w:rStyle w:val="Hyperlink"/>
        </w:rPr>
        <w:sectPr w:rsidR="00375B9F" w:rsidSect="0043338C">
          <w:type w:val="continuous"/>
          <w:pgSz w:w="9979" w:h="14175"/>
          <w:pgMar w:top="1134" w:right="1134" w:bottom="993" w:left="1134" w:header="709" w:footer="709" w:gutter="0"/>
          <w:cols w:space="708"/>
          <w:docGrid w:linePitch="360"/>
        </w:sectPr>
      </w:pPr>
      <w:r w:rsidRPr="00785DFA">
        <w:t xml:space="preserve">Further details </w:t>
      </w:r>
      <w:r w:rsidR="004403B5">
        <w:t>on</w:t>
      </w:r>
      <w:r w:rsidRPr="00785DFA">
        <w:t xml:space="preserve"> activity based funding, are available at </w:t>
      </w:r>
      <w:hyperlink r:id="rId68" w:history="1">
        <w:r>
          <w:rPr>
            <w:rStyle w:val="Hyperlink"/>
          </w:rPr>
          <w:t>www.ihpa.gov.au/what‑we‑do</w:t>
        </w:r>
      </w:hyperlink>
      <w:r w:rsidR="00EC791E" w:rsidRPr="00137322">
        <w:rPr>
          <w:rStyle w:val="Hyperlink"/>
          <w:color w:val="auto"/>
          <w:u w:val="none"/>
        </w:rPr>
        <w:t>.</w:t>
      </w:r>
    </w:p>
    <w:p w14:paraId="4974DC39" w14:textId="77777777" w:rsidR="002377A1" w:rsidRPr="00F977A9" w:rsidRDefault="002377A1" w:rsidP="002377A1">
      <w:pPr>
        <w:pStyle w:val="H3"/>
        <w:rPr>
          <w:color w:val="003F2C" w:themeColor="text2"/>
          <w:sz w:val="18"/>
          <w:szCs w:val="18"/>
        </w:rPr>
      </w:pPr>
      <w:r w:rsidRPr="00F977A9">
        <w:rPr>
          <w:color w:val="003F2C" w:themeColor="text2"/>
        </w:rPr>
        <w:lastRenderedPageBreak/>
        <w:t>Block funding</w:t>
      </w:r>
    </w:p>
    <w:p w14:paraId="23316514" w14:textId="77777777" w:rsidR="002377A1" w:rsidRPr="00375B9F" w:rsidRDefault="002377A1" w:rsidP="002377A1">
      <w:pPr>
        <w:rPr>
          <w:color w:val="1C1C1C"/>
          <w:sz w:val="18"/>
          <w:szCs w:val="18"/>
        </w:rPr>
      </w:pPr>
      <w:r w:rsidRPr="00375B9F">
        <w:rPr>
          <w:color w:val="1C1C1C"/>
          <w:sz w:val="18"/>
          <w:szCs w:val="18"/>
        </w:rPr>
        <w:t xml:space="preserve">The </w:t>
      </w:r>
      <w:hyperlink r:id="rId69" w:history="1">
        <w:r w:rsidRPr="00375B9F">
          <w:rPr>
            <w:color w:val="008F54" w:themeColor="hyperlink"/>
            <w:sz w:val="18"/>
            <w:szCs w:val="18"/>
            <w:u w:val="single"/>
          </w:rPr>
          <w:t>national efficient cost</w:t>
        </w:r>
      </w:hyperlink>
      <w:r w:rsidRPr="00375B9F">
        <w:rPr>
          <w:color w:val="1C1C1C"/>
          <w:sz w:val="18"/>
          <w:szCs w:val="18"/>
        </w:rPr>
        <w:t xml:space="preserve"> underpins funding for services that are not suitable for activity based funding, such as:</w:t>
      </w:r>
    </w:p>
    <w:p w14:paraId="38FF7919" w14:textId="77777777" w:rsidR="002377A1" w:rsidRPr="00375B9F" w:rsidRDefault="002377A1" w:rsidP="002377A1">
      <w:pPr>
        <w:pStyle w:val="Bullets"/>
      </w:pPr>
      <w:r w:rsidRPr="00375B9F">
        <w:t>small rural and regional hospitals</w:t>
      </w:r>
    </w:p>
    <w:p w14:paraId="3BD57CD7" w14:textId="77777777" w:rsidR="002377A1" w:rsidRPr="00375B9F" w:rsidRDefault="002377A1" w:rsidP="002377A1">
      <w:pPr>
        <w:pStyle w:val="Bullets"/>
      </w:pPr>
      <w:r w:rsidRPr="00375B9F">
        <w:t>teaching, training and research in public</w:t>
      </w:r>
      <w:r>
        <w:t> </w:t>
      </w:r>
      <w:r w:rsidRPr="00375B9F">
        <w:t>hospitals</w:t>
      </w:r>
    </w:p>
    <w:p w14:paraId="082305E5" w14:textId="77777777" w:rsidR="002377A1" w:rsidRPr="00375B9F" w:rsidRDefault="002377A1" w:rsidP="002377A1">
      <w:pPr>
        <w:numPr>
          <w:ilvl w:val="0"/>
          <w:numId w:val="1"/>
        </w:numPr>
        <w:spacing w:after="360"/>
        <w:rPr>
          <w:color w:val="1C1C1C"/>
          <w:sz w:val="18"/>
          <w:szCs w:val="18"/>
        </w:rPr>
      </w:pPr>
      <w:r w:rsidRPr="00375B9F">
        <w:rPr>
          <w:color w:val="1C1C1C"/>
          <w:sz w:val="18"/>
          <w:szCs w:val="18"/>
        </w:rPr>
        <w:t>non-admitted mental health</w:t>
      </w:r>
      <w:r>
        <w:rPr>
          <w:color w:val="1C1C1C"/>
          <w:sz w:val="18"/>
          <w:szCs w:val="18"/>
        </w:rPr>
        <w:t xml:space="preserve"> care</w:t>
      </w:r>
      <w:r w:rsidRPr="00375B9F">
        <w:rPr>
          <w:color w:val="1C1C1C"/>
          <w:sz w:val="18"/>
          <w:szCs w:val="18"/>
        </w:rPr>
        <w:t>.</w:t>
      </w:r>
    </w:p>
    <w:p w14:paraId="42A5E81A" w14:textId="3F592302" w:rsidR="002377A1" w:rsidRPr="00375B9F" w:rsidRDefault="002377A1" w:rsidP="002377A1">
      <w:pPr>
        <w:rPr>
          <w:color w:val="1C1C1C"/>
          <w:sz w:val="18"/>
          <w:szCs w:val="18"/>
        </w:rPr>
      </w:pPr>
      <w:r w:rsidRPr="00375B9F">
        <w:rPr>
          <w:color w:val="1C1C1C"/>
          <w:sz w:val="18"/>
          <w:szCs w:val="18"/>
        </w:rPr>
        <w:t>The national efficient cost represents the average cost of Commonwealth funding contribution on a block grant basis for small rural hospitals.</w:t>
      </w:r>
    </w:p>
    <w:p w14:paraId="71C5F2FA" w14:textId="77777777" w:rsidR="002377A1" w:rsidRPr="00375B9F" w:rsidRDefault="002377A1" w:rsidP="002377A1">
      <w:pPr>
        <w:rPr>
          <w:color w:val="1C1C1C"/>
          <w:sz w:val="18"/>
          <w:szCs w:val="18"/>
        </w:rPr>
      </w:pPr>
      <w:r w:rsidRPr="00375B9F">
        <w:rPr>
          <w:color w:val="1C1C1C"/>
          <w:sz w:val="18"/>
          <w:szCs w:val="18"/>
        </w:rPr>
        <w:t>The national efficient cost is determined using the</w:t>
      </w:r>
      <w:r>
        <w:rPr>
          <w:color w:val="1C1C1C"/>
          <w:sz w:val="18"/>
          <w:szCs w:val="18"/>
        </w:rPr>
        <w:t> </w:t>
      </w:r>
      <w:r w:rsidRPr="00375B9F">
        <w:rPr>
          <w:color w:val="1C1C1C"/>
          <w:sz w:val="18"/>
          <w:szCs w:val="18"/>
        </w:rPr>
        <w:t>in</w:t>
      </w:r>
      <w:r w:rsidRPr="00375B9F">
        <w:rPr>
          <w:rFonts w:ascii="Cambria Math" w:hAnsi="Cambria Math" w:cs="Cambria Math"/>
          <w:color w:val="1C1C1C"/>
          <w:sz w:val="18"/>
          <w:szCs w:val="18"/>
        </w:rPr>
        <w:t>‑</w:t>
      </w:r>
      <w:r w:rsidRPr="00375B9F">
        <w:rPr>
          <w:color w:val="1C1C1C"/>
          <w:sz w:val="18"/>
          <w:szCs w:val="18"/>
        </w:rPr>
        <w:t xml:space="preserve">scope activity and expenditure data for hospitals to be block funded. </w:t>
      </w:r>
    </w:p>
    <w:p w14:paraId="5207503D" w14:textId="31F327A0" w:rsidR="002377A1" w:rsidRPr="00375B9F" w:rsidRDefault="002377A1" w:rsidP="002377A1">
      <w:pPr>
        <w:rPr>
          <w:color w:val="1C1C1C"/>
          <w:sz w:val="18"/>
          <w:szCs w:val="18"/>
        </w:rPr>
      </w:pPr>
      <w:r w:rsidRPr="00375B9F">
        <w:rPr>
          <w:color w:val="1C1C1C"/>
          <w:sz w:val="18"/>
          <w:szCs w:val="18"/>
        </w:rPr>
        <w:t xml:space="preserve">For the 2020–21 national efficient cost, a new cost model based on a fixed-plus-variable structure </w:t>
      </w:r>
      <w:r w:rsidR="00CF39BF">
        <w:rPr>
          <w:color w:val="1C1C1C"/>
          <w:sz w:val="18"/>
          <w:szCs w:val="18"/>
        </w:rPr>
        <w:t xml:space="preserve">was </w:t>
      </w:r>
      <w:r w:rsidRPr="00375B9F">
        <w:rPr>
          <w:color w:val="1C1C1C"/>
          <w:sz w:val="18"/>
          <w:szCs w:val="18"/>
        </w:rPr>
        <w:t>introduced in consultation with</w:t>
      </w:r>
      <w:r>
        <w:rPr>
          <w:color w:val="1C1C1C"/>
          <w:sz w:val="18"/>
          <w:szCs w:val="18"/>
        </w:rPr>
        <w:t> </w:t>
      </w:r>
      <w:r w:rsidRPr="00375B9F">
        <w:rPr>
          <w:color w:val="1C1C1C"/>
          <w:sz w:val="18"/>
          <w:szCs w:val="18"/>
        </w:rPr>
        <w:t>states</w:t>
      </w:r>
      <w:r w:rsidR="00CF39BF">
        <w:rPr>
          <w:color w:val="1C1C1C"/>
          <w:sz w:val="18"/>
          <w:szCs w:val="18"/>
        </w:rPr>
        <w:t> </w:t>
      </w:r>
      <w:r w:rsidRPr="00375B9F">
        <w:rPr>
          <w:color w:val="1C1C1C"/>
          <w:sz w:val="18"/>
          <w:szCs w:val="18"/>
        </w:rPr>
        <w:t>and territories.</w:t>
      </w:r>
    </w:p>
    <w:p w14:paraId="71CAECCB" w14:textId="4437344A" w:rsidR="00375B9F" w:rsidRPr="00375B9F" w:rsidRDefault="002377A1" w:rsidP="002377A1">
      <w:pPr>
        <w:rPr>
          <w:color w:val="1C1C1C"/>
          <w:sz w:val="18"/>
          <w:szCs w:val="18"/>
        </w:rPr>
      </w:pPr>
      <w:r w:rsidRPr="00375B9F">
        <w:rPr>
          <w:color w:val="1C1C1C"/>
          <w:sz w:val="18"/>
          <w:szCs w:val="18"/>
        </w:rPr>
        <w:t>This new model has a more sophisticated approach in calculating block funding to better reflect the changes in activity delivered in small rural hospitals and it ensures there is no disincentive for states to provide services in</w:t>
      </w:r>
      <w:r w:rsidR="00CF39BF">
        <w:rPr>
          <w:color w:val="1C1C1C"/>
          <w:sz w:val="18"/>
          <w:szCs w:val="18"/>
        </w:rPr>
        <w:t> </w:t>
      </w:r>
      <w:r w:rsidRPr="00375B9F">
        <w:rPr>
          <w:color w:val="1C1C1C"/>
          <w:sz w:val="18"/>
          <w:szCs w:val="18"/>
        </w:rPr>
        <w:t>rural</w:t>
      </w:r>
      <w:r>
        <w:rPr>
          <w:color w:val="1C1C1C"/>
          <w:sz w:val="18"/>
          <w:szCs w:val="18"/>
        </w:rPr>
        <w:t> </w:t>
      </w:r>
      <w:r w:rsidRPr="00375B9F">
        <w:rPr>
          <w:color w:val="1C1C1C"/>
          <w:sz w:val="18"/>
          <w:szCs w:val="18"/>
        </w:rPr>
        <w:t>areas.</w:t>
      </w:r>
    </w:p>
    <w:p w14:paraId="1EBD21F0" w14:textId="10D3E617" w:rsidR="00375B9F" w:rsidRPr="00375B9F" w:rsidRDefault="00BE4CFB" w:rsidP="00C531E5">
      <w:pPr>
        <w:pStyle w:val="FigureHeading"/>
      </w:pPr>
      <w:r>
        <w:rPr>
          <w:noProof/>
          <w:lang w:val="en-AU" w:eastAsia="en-AU"/>
        </w:rPr>
        <w:drawing>
          <wp:anchor distT="0" distB="0" distL="114300" distR="114300" simplePos="0" relativeHeight="251842560" behindDoc="1" locked="0" layoutInCell="1" allowOverlap="1" wp14:anchorId="68103BEE" wp14:editId="7A98BB5D">
            <wp:simplePos x="0" y="0"/>
            <wp:positionH relativeFrom="margin">
              <wp:posOffset>-409575</wp:posOffset>
            </wp:positionH>
            <wp:positionV relativeFrom="paragraph">
              <wp:posOffset>180579</wp:posOffset>
            </wp:positionV>
            <wp:extent cx="5706527" cy="18510885"/>
            <wp:effectExtent l="0" t="0" r="8890" b="5715"/>
            <wp:wrapNone/>
            <wp:docPr id="164" name="Picture 1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5B9F" w:rsidRPr="00375B9F">
        <w:br w:type="column"/>
      </w:r>
      <w:bookmarkStart w:id="54" w:name="_Toc82510931"/>
      <w:r w:rsidR="00375B9F" w:rsidRPr="00375B9F">
        <w:t>Figure 2: National efficient cost 202</w:t>
      </w:r>
      <w:r w:rsidR="009A10E9">
        <w:t>1</w:t>
      </w:r>
      <w:r w:rsidR="00375B9F" w:rsidRPr="00375B9F">
        <w:t>–2</w:t>
      </w:r>
      <w:r w:rsidR="009A10E9">
        <w:t>2</w:t>
      </w:r>
      <w:bookmarkEnd w:id="54"/>
    </w:p>
    <w:p w14:paraId="77153780" w14:textId="77777777" w:rsidR="00696A70" w:rsidRDefault="00375B9F" w:rsidP="00375B9F">
      <w:pPr>
        <w:rPr>
          <w:color w:val="1C1C1C"/>
          <w:sz w:val="18"/>
          <w:szCs w:val="18"/>
        </w:rPr>
      </w:pPr>
      <w:r w:rsidRPr="00375B9F">
        <w:rPr>
          <w:noProof/>
          <w:color w:val="1C1C1C"/>
          <w:sz w:val="18"/>
          <w:szCs w:val="18"/>
          <w:lang w:val="en-AU" w:eastAsia="en-AU"/>
        </w:rPr>
        <w:drawing>
          <wp:inline distT="0" distB="0" distL="0" distR="0" wp14:anchorId="3E1DA7A5" wp14:editId="41266B85">
            <wp:extent cx="2260386" cy="2218798"/>
            <wp:effectExtent l="0" t="0" r="6985" b="0"/>
            <wp:docPr id="12" name="Picture 12" descr="National efficient cost 2021–22. $2.040 million fixed cost, $5,687 variable cost per national weighted activity unit. 373 small rural hospitals receive funding based on location, size and type of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National efficient cost 2021–22. $2.040 million fixed cost, $5,687 variable cost per national weighted activity unit. 373 small rural hospitals receive funding based on location, size and type of services."/>
                    <pic:cNvPicPr>
                      <a:picLocks noChangeAspect="1" noChangeArrowheads="1"/>
                    </pic:cNvPicPr>
                  </pic:nvPicPr>
                  <pic:blipFill>
                    <a:blip r:embed="rId70">
                      <a:extLst>
                        <a:ext uri="{28A0092B-C50C-407E-A947-70E740481C1C}">
                          <a14:useLocalDpi xmlns:a14="http://schemas.microsoft.com/office/drawing/2010/main"/>
                        </a:ext>
                      </a:extLst>
                    </a:blip>
                    <a:stretch>
                      <a:fillRect/>
                    </a:stretch>
                  </pic:blipFill>
                  <pic:spPr bwMode="auto">
                    <a:xfrm>
                      <a:off x="0" y="0"/>
                      <a:ext cx="2260386" cy="2218798"/>
                    </a:xfrm>
                    <a:prstGeom prst="rect">
                      <a:avLst/>
                    </a:prstGeom>
                    <a:noFill/>
                    <a:ln>
                      <a:noFill/>
                    </a:ln>
                  </pic:spPr>
                </pic:pic>
              </a:graphicData>
            </a:graphic>
          </wp:inline>
        </w:drawing>
      </w:r>
    </w:p>
    <w:p w14:paraId="58CBBD64" w14:textId="5696ED2A" w:rsidR="00375B9F" w:rsidRPr="00375B9F" w:rsidRDefault="00375B9F" w:rsidP="00375B9F">
      <w:pPr>
        <w:rPr>
          <w:color w:val="1C1C1C"/>
          <w:sz w:val="18"/>
          <w:szCs w:val="18"/>
        </w:rPr>
      </w:pPr>
    </w:p>
    <w:p w14:paraId="1B2D90ED" w14:textId="77777777" w:rsidR="00375B9F" w:rsidRPr="00375B9F" w:rsidRDefault="00375B9F" w:rsidP="00375B9F">
      <w:pPr>
        <w:rPr>
          <w:color w:val="1C1C1C"/>
          <w:sz w:val="18"/>
          <w:szCs w:val="18"/>
        </w:rPr>
        <w:sectPr w:rsidR="00375B9F" w:rsidRPr="00375B9F" w:rsidSect="00441579">
          <w:footerReference w:type="default" r:id="rId71"/>
          <w:pgSz w:w="9979" w:h="14175" w:code="13"/>
          <w:pgMar w:top="1134" w:right="1134" w:bottom="1134" w:left="1134" w:header="709" w:footer="709" w:gutter="0"/>
          <w:cols w:num="2" w:space="708"/>
          <w:docGrid w:linePitch="360"/>
        </w:sectPr>
      </w:pPr>
    </w:p>
    <w:p w14:paraId="3765A2E9" w14:textId="77777777" w:rsidR="00696A70" w:rsidRPr="00F977A9" w:rsidRDefault="00696A70" w:rsidP="00441579">
      <w:pPr>
        <w:pStyle w:val="Heading1"/>
        <w:rPr>
          <w:color w:val="7EC352" w:themeColor="background1"/>
        </w:rPr>
      </w:pPr>
      <w:bookmarkStart w:id="55" w:name="_Organisational_structure"/>
      <w:bookmarkStart w:id="56" w:name="_Toc44350174"/>
      <w:bookmarkStart w:id="57" w:name="_Toc50378065"/>
      <w:bookmarkStart w:id="58" w:name="_Toc84488736"/>
      <w:bookmarkEnd w:id="55"/>
      <w:proofErr w:type="spellStart"/>
      <w:r w:rsidRPr="00F977A9">
        <w:rPr>
          <w:color w:val="7EC352" w:themeColor="background1"/>
        </w:rPr>
        <w:lastRenderedPageBreak/>
        <w:t>Organisational</w:t>
      </w:r>
      <w:proofErr w:type="spellEnd"/>
      <w:r w:rsidRPr="00F977A9">
        <w:rPr>
          <w:color w:val="7EC352" w:themeColor="background1"/>
        </w:rPr>
        <w:t xml:space="preserve"> structure</w:t>
      </w:r>
      <w:bookmarkEnd w:id="56"/>
      <w:bookmarkEnd w:id="57"/>
      <w:bookmarkEnd w:id="58"/>
    </w:p>
    <w:p w14:paraId="41F79C4F" w14:textId="77777777" w:rsidR="00F977A9" w:rsidRDefault="00F977A9" w:rsidP="00F977A9">
      <w:pPr>
        <w:pStyle w:val="FigureHeading"/>
      </w:pPr>
      <w:bookmarkStart w:id="59" w:name="_Toc82510932"/>
      <w:r>
        <w:t xml:space="preserve">Figure 3: IHPA’s </w:t>
      </w:r>
      <w:proofErr w:type="spellStart"/>
      <w:r>
        <w:t>organisational</w:t>
      </w:r>
      <w:proofErr w:type="spellEnd"/>
      <w:r>
        <w:t xml:space="preserve"> structure as at 30 June </w:t>
      </w:r>
      <w:r w:rsidRPr="004F57E6">
        <w:t>202</w:t>
      </w:r>
      <w:r>
        <w:t>1</w:t>
      </w:r>
      <w:bookmarkEnd w:id="59"/>
    </w:p>
    <w:p w14:paraId="76769E0C" w14:textId="5441A28A" w:rsidR="00696A70" w:rsidRPr="00696A70" w:rsidRDefault="00134E66" w:rsidP="00696A70">
      <w:pPr>
        <w:spacing w:after="480"/>
        <w:rPr>
          <w:color w:val="1C1C1C"/>
          <w:sz w:val="18"/>
          <w:szCs w:val="18"/>
        </w:rPr>
      </w:pPr>
      <w:r>
        <w:rPr>
          <w:noProof/>
          <w:color w:val="1C1C1C"/>
          <w:sz w:val="18"/>
          <w:szCs w:val="18"/>
          <w:lang w:val="en-AU" w:eastAsia="en-AU"/>
        </w:rPr>
        <w:drawing>
          <wp:inline distT="0" distB="0" distL="0" distR="0" wp14:anchorId="75057B4B" wp14:editId="162A5BF4">
            <wp:extent cx="4896484" cy="3128388"/>
            <wp:effectExtent l="0" t="0" r="0" b="0"/>
            <wp:docPr id="5" name="Picture 5" descr="The Minister for Health is reported to by the Pricing Authority (Chair: Mr Shane Solomon). The Chief Executive Officer (Mr James Downie) reports to the Pricing Authority. Policy and Classification, Data Analytics and the Office of the CEO report to the CEO. Reporting to the Policy and Classification Branch are Acute Care Classifications, Classifications, Non-Admitted Care Classifications and Policy Development. Reporting to Data Analytics Branch are Analytics, Data Acquisition, Hospital Costing, Infrastructure and Pri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Minister for Health is reported to by the Pricing Authority (Chair: Mr Shane Solomon). The Chief Executive Officer (Mr James Downie) reports to the Pricing Authority. Policy and Classification, Data Analytics and the Office of the CEO report to the CEO. Reporting to the Policy and Classification Branch are Acute Care Classifications, Classifications, Non-Admitted Care Classifications and Policy Development. Reporting to Data Analytics Branch are Analytics, Data Acquisition, Hospital Costing, Infrastructure and Pricing."/>
                    <pic:cNvPicPr/>
                  </pic:nvPicPr>
                  <pic:blipFill>
                    <a:blip r:embed="rId72"/>
                    <a:stretch>
                      <a:fillRect/>
                    </a:stretch>
                  </pic:blipFill>
                  <pic:spPr>
                    <a:xfrm>
                      <a:off x="0" y="0"/>
                      <a:ext cx="4896484" cy="3128388"/>
                    </a:xfrm>
                    <a:prstGeom prst="rect">
                      <a:avLst/>
                    </a:prstGeom>
                  </pic:spPr>
                </pic:pic>
              </a:graphicData>
            </a:graphic>
          </wp:inline>
        </w:drawing>
      </w:r>
    </w:p>
    <w:p w14:paraId="1CF73B09" w14:textId="348677D7" w:rsidR="002377A1" w:rsidRPr="00696A70" w:rsidRDefault="002377A1" w:rsidP="002377A1">
      <w:pPr>
        <w:rPr>
          <w:color w:val="1C1C1C"/>
          <w:sz w:val="18"/>
          <w:szCs w:val="18"/>
        </w:rPr>
      </w:pPr>
      <w:r>
        <w:rPr>
          <w:color w:val="1C1C1C"/>
          <w:sz w:val="18"/>
          <w:szCs w:val="18"/>
        </w:rPr>
        <w:t xml:space="preserve">The Independent Hospital Pricing Authority (IHPA) </w:t>
      </w:r>
      <w:r w:rsidRPr="00696A70">
        <w:rPr>
          <w:color w:val="1C1C1C"/>
          <w:sz w:val="18"/>
          <w:szCs w:val="18"/>
        </w:rPr>
        <w:t xml:space="preserve">is a corporate Commonwealth entity consisting of a Chair, Deputy Chair and up to seven other members. See </w:t>
      </w:r>
      <w:hyperlink w:anchor="_About_the_Pricing" w:history="1">
        <w:r w:rsidRPr="00137322">
          <w:rPr>
            <w:rFonts w:ascii="Futura PT Demi" w:hAnsi="Futura PT Demi"/>
            <w:color w:val="008F54" w:themeColor="hyperlink"/>
            <w:sz w:val="18"/>
            <w:szCs w:val="18"/>
          </w:rPr>
          <w:t>p</w:t>
        </w:r>
        <w:r w:rsidR="00EC791E" w:rsidRPr="00137322">
          <w:rPr>
            <w:rFonts w:ascii="Futura PT Demi" w:hAnsi="Futura PT Demi"/>
            <w:color w:val="008F54" w:themeColor="hyperlink"/>
            <w:sz w:val="18"/>
            <w:szCs w:val="18"/>
          </w:rPr>
          <w:t>23</w:t>
        </w:r>
      </w:hyperlink>
      <w:r w:rsidRPr="00696A70">
        <w:rPr>
          <w:color w:val="1C1C1C"/>
          <w:sz w:val="18"/>
          <w:szCs w:val="18"/>
        </w:rPr>
        <w:t xml:space="preserve"> for more information.</w:t>
      </w:r>
    </w:p>
    <w:p w14:paraId="53A09718" w14:textId="77777777" w:rsidR="002377A1" w:rsidRPr="00696A70" w:rsidRDefault="002377A1" w:rsidP="002377A1">
      <w:pPr>
        <w:rPr>
          <w:color w:val="1C1C1C"/>
          <w:sz w:val="18"/>
          <w:szCs w:val="18"/>
        </w:rPr>
      </w:pPr>
      <w:r w:rsidRPr="00696A70">
        <w:rPr>
          <w:color w:val="1C1C1C"/>
          <w:sz w:val="18"/>
          <w:szCs w:val="18"/>
        </w:rPr>
        <w:t>The Chief Executive Officer is responsible for the day</w:t>
      </w:r>
      <w:r w:rsidRPr="00696A70">
        <w:rPr>
          <w:rFonts w:ascii="Cambria Math" w:hAnsi="Cambria Math" w:cs="Cambria Math"/>
          <w:color w:val="1C1C1C"/>
          <w:sz w:val="18"/>
          <w:szCs w:val="18"/>
        </w:rPr>
        <w:t>‑</w:t>
      </w:r>
      <w:r w:rsidRPr="00696A70">
        <w:rPr>
          <w:color w:val="1C1C1C"/>
          <w:sz w:val="18"/>
          <w:szCs w:val="18"/>
        </w:rPr>
        <w:t>to</w:t>
      </w:r>
      <w:r w:rsidRPr="00696A70">
        <w:rPr>
          <w:rFonts w:ascii="Cambria Math" w:hAnsi="Cambria Math" w:cs="Cambria Math"/>
          <w:color w:val="1C1C1C"/>
          <w:sz w:val="18"/>
          <w:szCs w:val="18"/>
        </w:rPr>
        <w:t>‑</w:t>
      </w:r>
      <w:r w:rsidRPr="00696A70">
        <w:rPr>
          <w:color w:val="1C1C1C"/>
          <w:sz w:val="18"/>
          <w:szCs w:val="18"/>
        </w:rPr>
        <w:t>day management of IHPA and its staff. Under s</w:t>
      </w:r>
      <w:r>
        <w:rPr>
          <w:color w:val="1C1C1C"/>
          <w:sz w:val="18"/>
          <w:szCs w:val="18"/>
        </w:rPr>
        <w:t>ection</w:t>
      </w:r>
      <w:r w:rsidRPr="00696A70">
        <w:rPr>
          <w:color w:val="1C1C1C"/>
          <w:sz w:val="18"/>
          <w:szCs w:val="18"/>
        </w:rPr>
        <w:t xml:space="preserve">163(4) of the </w:t>
      </w:r>
      <w:r w:rsidRPr="00696A70">
        <w:rPr>
          <w:i/>
          <w:iCs/>
          <w:color w:val="1C1C1C"/>
          <w:sz w:val="18"/>
          <w:szCs w:val="18"/>
        </w:rPr>
        <w:t>National Health Reform Act 2011</w:t>
      </w:r>
      <w:r w:rsidRPr="00696A70">
        <w:rPr>
          <w:color w:val="1C1C1C"/>
          <w:sz w:val="18"/>
          <w:szCs w:val="18"/>
        </w:rPr>
        <w:t xml:space="preserve">, the Chief Executive Officer is the accountable authority of IHPA for the purposes of the </w:t>
      </w:r>
      <w:r w:rsidRPr="00696A70">
        <w:rPr>
          <w:i/>
          <w:iCs/>
          <w:color w:val="1C1C1C"/>
          <w:sz w:val="18"/>
          <w:szCs w:val="18"/>
        </w:rPr>
        <w:t>P</w:t>
      </w:r>
      <w:r w:rsidRPr="00696A70">
        <w:rPr>
          <w:i/>
          <w:color w:val="1C1C1C"/>
          <w:sz w:val="18"/>
          <w:szCs w:val="18"/>
        </w:rPr>
        <w:t>ublic Governance, Performance and Accountability Act 2013</w:t>
      </w:r>
      <w:r w:rsidRPr="00696A70">
        <w:rPr>
          <w:color w:val="1C1C1C"/>
          <w:sz w:val="18"/>
          <w:szCs w:val="18"/>
        </w:rPr>
        <w:t xml:space="preserve"> and</w:t>
      </w:r>
      <w:r>
        <w:rPr>
          <w:color w:val="1C1C1C"/>
          <w:sz w:val="18"/>
          <w:szCs w:val="18"/>
        </w:rPr>
        <w:t> </w:t>
      </w:r>
      <w:r w:rsidRPr="00696A70">
        <w:rPr>
          <w:color w:val="1C1C1C"/>
          <w:sz w:val="18"/>
          <w:szCs w:val="18"/>
        </w:rPr>
        <w:t>therefore for th</w:t>
      </w:r>
      <w:r>
        <w:rPr>
          <w:color w:val="1C1C1C"/>
          <w:sz w:val="18"/>
          <w:szCs w:val="18"/>
        </w:rPr>
        <w:t xml:space="preserve">e purposes of this </w:t>
      </w:r>
      <w:r w:rsidRPr="00696A70">
        <w:rPr>
          <w:color w:val="1C1C1C"/>
          <w:sz w:val="18"/>
          <w:szCs w:val="18"/>
        </w:rPr>
        <w:t>annual report.</w:t>
      </w:r>
    </w:p>
    <w:p w14:paraId="52D150DB" w14:textId="77777777" w:rsidR="002377A1" w:rsidRPr="00696A70" w:rsidRDefault="002377A1" w:rsidP="002377A1">
      <w:pPr>
        <w:rPr>
          <w:color w:val="1C1C1C"/>
          <w:sz w:val="18"/>
          <w:szCs w:val="18"/>
        </w:rPr>
      </w:pPr>
      <w:r w:rsidRPr="00696A70">
        <w:rPr>
          <w:color w:val="1C1C1C"/>
          <w:sz w:val="18"/>
          <w:szCs w:val="18"/>
        </w:rPr>
        <w:t xml:space="preserve">To achieve its annual program of work, </w:t>
      </w:r>
      <w:r>
        <w:rPr>
          <w:color w:val="1C1C1C"/>
          <w:sz w:val="18"/>
          <w:szCs w:val="18"/>
        </w:rPr>
        <w:t>IHPA</w:t>
      </w:r>
      <w:r w:rsidRPr="00696A70">
        <w:rPr>
          <w:color w:val="1C1C1C"/>
          <w:sz w:val="18"/>
          <w:szCs w:val="18"/>
        </w:rPr>
        <w:t xml:space="preserve"> consults and collaborates with the Commonwealth</w:t>
      </w:r>
      <w:r>
        <w:rPr>
          <w:color w:val="1C1C1C"/>
          <w:sz w:val="18"/>
          <w:szCs w:val="18"/>
        </w:rPr>
        <w:t xml:space="preserve">, </w:t>
      </w:r>
      <w:r w:rsidRPr="00696A70">
        <w:rPr>
          <w:color w:val="1C1C1C"/>
          <w:sz w:val="18"/>
          <w:szCs w:val="18"/>
        </w:rPr>
        <w:t>state and territory governments, advisory committees, key stakeholders and the</w:t>
      </w:r>
      <w:r>
        <w:rPr>
          <w:color w:val="1C1C1C"/>
          <w:sz w:val="18"/>
          <w:szCs w:val="18"/>
        </w:rPr>
        <w:t> </w:t>
      </w:r>
      <w:r w:rsidRPr="00696A70">
        <w:rPr>
          <w:color w:val="1C1C1C"/>
          <w:sz w:val="18"/>
          <w:szCs w:val="18"/>
        </w:rPr>
        <w:t>public.</w:t>
      </w:r>
    </w:p>
    <w:p w14:paraId="48214E8E" w14:textId="4317B2EE" w:rsidR="00B85FD6" w:rsidRDefault="002377A1" w:rsidP="002377A1">
      <w:pPr>
        <w:pStyle w:val="Body"/>
      </w:pPr>
      <w:r w:rsidRPr="00696A70">
        <w:t xml:space="preserve">IHPA’s </w:t>
      </w:r>
      <w:r>
        <w:t xml:space="preserve">only facility is its </w:t>
      </w:r>
      <w:r w:rsidRPr="00696A70">
        <w:t>office in Sydney</w:t>
      </w:r>
      <w:r>
        <w:t xml:space="preserve"> where all</w:t>
      </w:r>
      <w:r w:rsidRPr="00696A70">
        <w:t xml:space="preserve"> </w:t>
      </w:r>
      <w:r>
        <w:t xml:space="preserve">its </w:t>
      </w:r>
      <w:r w:rsidRPr="00696A70">
        <w:t xml:space="preserve">major activities are </w:t>
      </w:r>
      <w:r>
        <w:t>conducted.</w:t>
      </w:r>
    </w:p>
    <w:p w14:paraId="76693C99" w14:textId="77777777" w:rsidR="00696A70" w:rsidRDefault="00696A70" w:rsidP="00696A70">
      <w:pPr>
        <w:pStyle w:val="Body"/>
        <w:sectPr w:rsidR="00696A70" w:rsidSect="00441579">
          <w:footerReference w:type="default" r:id="rId73"/>
          <w:pgSz w:w="9979" w:h="14175"/>
          <w:pgMar w:top="1134" w:right="1134" w:bottom="1134" w:left="1134" w:header="709" w:footer="709" w:gutter="0"/>
          <w:cols w:space="708"/>
          <w:docGrid w:linePitch="360"/>
        </w:sectPr>
      </w:pPr>
    </w:p>
    <w:p w14:paraId="1241D518" w14:textId="77777777" w:rsidR="00696A70" w:rsidRPr="00F977A9" w:rsidRDefault="00696A70" w:rsidP="00F977A9">
      <w:pPr>
        <w:pStyle w:val="Heading1"/>
        <w:rPr>
          <w:color w:val="7EC352" w:themeColor="background1"/>
        </w:rPr>
        <w:sectPr w:rsidR="00696A70" w:rsidRPr="00F977A9" w:rsidSect="00441579">
          <w:footerReference w:type="default" r:id="rId74"/>
          <w:pgSz w:w="9979" w:h="14175"/>
          <w:pgMar w:top="1134" w:right="1134" w:bottom="1134" w:left="1134" w:header="709" w:footer="709" w:gutter="0"/>
          <w:cols w:space="708"/>
          <w:docGrid w:linePitch="360"/>
        </w:sectPr>
      </w:pPr>
      <w:bookmarkStart w:id="60" w:name="_Toc44350175"/>
      <w:bookmarkStart w:id="61" w:name="_Toc50378066"/>
      <w:bookmarkStart w:id="62" w:name="_Toc84488737"/>
      <w:r w:rsidRPr="00F977A9">
        <w:rPr>
          <w:color w:val="7EC352" w:themeColor="background1"/>
        </w:rPr>
        <w:lastRenderedPageBreak/>
        <w:t>Committees and working groups</w:t>
      </w:r>
      <w:bookmarkEnd w:id="60"/>
      <w:bookmarkEnd w:id="61"/>
      <w:bookmarkEnd w:id="62"/>
    </w:p>
    <w:p w14:paraId="4CE4D9F7" w14:textId="25B037F7" w:rsidR="002377A1" w:rsidRPr="00696A70" w:rsidRDefault="002377A1" w:rsidP="004E121D">
      <w:pPr>
        <w:pStyle w:val="Body"/>
      </w:pPr>
      <w:r w:rsidRPr="00696A70">
        <w:t>The Independent Hospital Pricing Authority (IHPA) has developed a committee framework to assist in</w:t>
      </w:r>
      <w:r>
        <w:t> </w:t>
      </w:r>
      <w:r w:rsidRPr="00696A70">
        <w:t>providing expert advice and to ensure t</w:t>
      </w:r>
      <w:r>
        <w:t>ransparency in the delivery of its work program.</w:t>
      </w:r>
    </w:p>
    <w:p w14:paraId="028AAC81" w14:textId="1B99CF80" w:rsidR="002377A1" w:rsidRPr="00696A70" w:rsidRDefault="002377A1" w:rsidP="004E121D">
      <w:pPr>
        <w:pStyle w:val="Body"/>
      </w:pPr>
      <w:r w:rsidRPr="00696A70">
        <w:t xml:space="preserve">IHPA’s statutory committees </w:t>
      </w:r>
      <w:r w:rsidR="00551598">
        <w:t xml:space="preserve">comprise of </w:t>
      </w:r>
      <w:r w:rsidRPr="00696A70">
        <w:t>the Clinical Advisory Committee and the Jurisdictional Advisory Committee, established</w:t>
      </w:r>
      <w:r>
        <w:t xml:space="preserve"> </w:t>
      </w:r>
      <w:r w:rsidRPr="00696A70">
        <w:t>under Parts 4.10 and 4.11 of the </w:t>
      </w:r>
      <w:r w:rsidRPr="00696A70">
        <w:rPr>
          <w:i/>
          <w:iCs/>
        </w:rPr>
        <w:t>National Health Reform Act</w:t>
      </w:r>
      <w:r>
        <w:rPr>
          <w:i/>
          <w:iCs/>
        </w:rPr>
        <w:t> </w:t>
      </w:r>
      <w:r w:rsidRPr="00696A70">
        <w:rPr>
          <w:i/>
          <w:iCs/>
        </w:rPr>
        <w:t>2011</w:t>
      </w:r>
      <w:r>
        <w:rPr>
          <w:i/>
          <w:iCs/>
        </w:rPr>
        <w:t xml:space="preserve"> </w:t>
      </w:r>
      <w:r w:rsidRPr="00AC3A56">
        <w:rPr>
          <w:iCs/>
        </w:rPr>
        <w:t>respectively</w:t>
      </w:r>
      <w:r w:rsidRPr="001F1946">
        <w:t>.</w:t>
      </w:r>
    </w:p>
    <w:p w14:paraId="1D0892A7" w14:textId="77777777" w:rsidR="002377A1" w:rsidRPr="00696A70" w:rsidRDefault="002377A1" w:rsidP="004E121D">
      <w:pPr>
        <w:pStyle w:val="Body"/>
      </w:pPr>
      <w:r w:rsidRPr="00696A70">
        <w:t xml:space="preserve">Other advisory committees and working groups have been established to assist IHPA in the delivery of its work program, pursuant to Part 4.12 of the </w:t>
      </w:r>
      <w:r w:rsidRPr="00696A70">
        <w:rPr>
          <w:i/>
          <w:iCs/>
        </w:rPr>
        <w:t>National Health Reform Act 2011</w:t>
      </w:r>
      <w:r w:rsidRPr="00696A70">
        <w:t>. These include:</w:t>
      </w:r>
    </w:p>
    <w:p w14:paraId="6CEED693" w14:textId="77777777" w:rsidR="002377A1" w:rsidRPr="00696A70" w:rsidRDefault="002377A1" w:rsidP="002377A1">
      <w:pPr>
        <w:pStyle w:val="Bullets"/>
      </w:pPr>
      <w:r w:rsidRPr="00696A70">
        <w:t>Activity Based Funding Technical Advisory</w:t>
      </w:r>
      <w:r>
        <w:t> </w:t>
      </w:r>
      <w:r w:rsidRPr="00696A70">
        <w:t>Committee</w:t>
      </w:r>
    </w:p>
    <w:p w14:paraId="21AAC84E" w14:textId="77777777" w:rsidR="002377A1" w:rsidRPr="00696A70" w:rsidRDefault="002377A1" w:rsidP="002377A1">
      <w:pPr>
        <w:pStyle w:val="Bullets"/>
      </w:pPr>
      <w:r w:rsidRPr="00696A70">
        <w:t>Audit, Risk and Compliance Committee (internal)</w:t>
      </w:r>
    </w:p>
    <w:p w14:paraId="2FD31867" w14:textId="77777777" w:rsidR="002377A1" w:rsidRPr="00696A70" w:rsidRDefault="002377A1" w:rsidP="002377A1">
      <w:pPr>
        <w:pStyle w:val="Bullets"/>
      </w:pPr>
      <w:r w:rsidRPr="00696A70">
        <w:t>Classifications Clinical Advisory Group</w:t>
      </w:r>
    </w:p>
    <w:p w14:paraId="505BE682" w14:textId="77777777" w:rsidR="002377A1" w:rsidRPr="00696A70" w:rsidRDefault="002377A1" w:rsidP="002377A1">
      <w:pPr>
        <w:pStyle w:val="Bullets"/>
      </w:pPr>
      <w:r w:rsidRPr="00696A70">
        <w:t>Data Governance Steering Committee (internal)</w:t>
      </w:r>
    </w:p>
    <w:p w14:paraId="70A6E0D1" w14:textId="77777777" w:rsidR="002377A1" w:rsidRPr="00696A70" w:rsidRDefault="002377A1" w:rsidP="002377A1">
      <w:pPr>
        <w:pStyle w:val="Bullets"/>
      </w:pPr>
      <w:r w:rsidRPr="00696A70">
        <w:t>Diagnosis Related Groups Technical Group</w:t>
      </w:r>
    </w:p>
    <w:p w14:paraId="4D0B98BA" w14:textId="77777777" w:rsidR="002377A1" w:rsidRPr="00696A70" w:rsidRDefault="002377A1" w:rsidP="002377A1">
      <w:pPr>
        <w:pStyle w:val="Bullets"/>
      </w:pPr>
      <w:r w:rsidRPr="00696A70">
        <w:t>Emergency Care Advisory Working Group</w:t>
      </w:r>
    </w:p>
    <w:p w14:paraId="50EEF980" w14:textId="77777777" w:rsidR="002377A1" w:rsidRPr="00696A70" w:rsidRDefault="002377A1" w:rsidP="002377A1">
      <w:pPr>
        <w:pStyle w:val="Bullets"/>
      </w:pPr>
      <w:r w:rsidRPr="00696A70">
        <w:t>International Classification of Diseases Technical Group</w:t>
      </w:r>
    </w:p>
    <w:p w14:paraId="7AE68CD9" w14:textId="77777777" w:rsidR="002377A1" w:rsidRPr="00696A70" w:rsidRDefault="002377A1" w:rsidP="002377A1">
      <w:pPr>
        <w:pStyle w:val="Bullets"/>
      </w:pPr>
      <w:r w:rsidRPr="00696A70">
        <w:t>Mental Health Working Group</w:t>
      </w:r>
    </w:p>
    <w:p w14:paraId="79B64981" w14:textId="77777777" w:rsidR="002377A1" w:rsidRPr="00696A70" w:rsidRDefault="002377A1" w:rsidP="002377A1">
      <w:pPr>
        <w:pStyle w:val="Bullets"/>
      </w:pPr>
      <w:r w:rsidRPr="00696A70">
        <w:t>National Hospital Cost Data Collection Advisory Committee</w:t>
      </w:r>
    </w:p>
    <w:p w14:paraId="0AE56DA2" w14:textId="612ED09F" w:rsidR="00696A70" w:rsidRPr="00696A70" w:rsidRDefault="002377A1" w:rsidP="002377A1">
      <w:pPr>
        <w:pStyle w:val="Bullets"/>
      </w:pPr>
      <w:r>
        <w:t>Non-A</w:t>
      </w:r>
      <w:r w:rsidRPr="00696A70">
        <w:t>dmitted Care Advisory Working Group</w:t>
      </w:r>
    </w:p>
    <w:p w14:paraId="3632F7BB" w14:textId="77777777" w:rsidR="002377A1" w:rsidRPr="00696A70" w:rsidRDefault="002377A1" w:rsidP="002377A1">
      <w:pPr>
        <w:pStyle w:val="Bullets"/>
      </w:pPr>
      <w:r w:rsidRPr="00696A70">
        <w:t>Small Rural Hospitals Working Group</w:t>
      </w:r>
    </w:p>
    <w:p w14:paraId="5C56A496" w14:textId="77777777" w:rsidR="002377A1" w:rsidRPr="00696A70" w:rsidRDefault="002377A1" w:rsidP="002377A1">
      <w:pPr>
        <w:pStyle w:val="Bullets"/>
      </w:pPr>
      <w:r w:rsidRPr="00696A70">
        <w:t>Stakeholder Advisory Committee</w:t>
      </w:r>
    </w:p>
    <w:p w14:paraId="02F4FEAA" w14:textId="77777777" w:rsidR="002377A1" w:rsidRPr="00696A70" w:rsidRDefault="002377A1" w:rsidP="002377A1">
      <w:pPr>
        <w:pStyle w:val="Bullets"/>
      </w:pPr>
      <w:r w:rsidRPr="00696A70">
        <w:t>Subacute Care Working Group</w:t>
      </w:r>
    </w:p>
    <w:p w14:paraId="0BDA7004" w14:textId="05376E08" w:rsidR="002377A1" w:rsidRPr="00696A70" w:rsidRDefault="002377A1" w:rsidP="002377A1">
      <w:pPr>
        <w:pStyle w:val="Bullets"/>
      </w:pPr>
      <w:r w:rsidRPr="00696A70">
        <w:t>Teaching, Training and Research Working</w:t>
      </w:r>
      <w:r w:rsidR="007223D5">
        <w:t> </w:t>
      </w:r>
      <w:r w:rsidRPr="00696A70">
        <w:t>Group</w:t>
      </w:r>
    </w:p>
    <w:p w14:paraId="5607FC08" w14:textId="5A50E1CE" w:rsidR="002377A1" w:rsidRPr="00696A70" w:rsidRDefault="002377A1" w:rsidP="002377A1">
      <w:pPr>
        <w:numPr>
          <w:ilvl w:val="0"/>
          <w:numId w:val="1"/>
        </w:numPr>
        <w:spacing w:after="360"/>
        <w:rPr>
          <w:color w:val="1C1C1C"/>
          <w:sz w:val="18"/>
          <w:szCs w:val="18"/>
        </w:rPr>
      </w:pPr>
      <w:r w:rsidRPr="00696A70">
        <w:rPr>
          <w:color w:val="1C1C1C"/>
          <w:sz w:val="18"/>
          <w:szCs w:val="18"/>
        </w:rPr>
        <w:t>Work Health and Safety Committee (internal)</w:t>
      </w:r>
      <w:r w:rsidR="00551598">
        <w:rPr>
          <w:color w:val="1C1C1C"/>
          <w:sz w:val="18"/>
          <w:szCs w:val="18"/>
        </w:rPr>
        <w:t>.</w:t>
      </w:r>
    </w:p>
    <w:p w14:paraId="61F14FB7" w14:textId="76BA13A0" w:rsidR="00696A70" w:rsidRDefault="002377A1" w:rsidP="004E121D">
      <w:pPr>
        <w:pStyle w:val="Body"/>
      </w:pPr>
      <w:r w:rsidRPr="00696A70">
        <w:t>Committees and working groups are structured to</w:t>
      </w:r>
      <w:r w:rsidR="00D920B9">
        <w:t> </w:t>
      </w:r>
      <w:r w:rsidRPr="00696A70">
        <w:t>enhance IHPA’s statutory functions. Some committees and working groups may also have sub-committees to assist in the delivery of IHPA’s work program. All committees and working groups have Terms of Reference setting out their role, function, membership</w:t>
      </w:r>
      <w:r w:rsidR="00D920B9">
        <w:t xml:space="preserve"> </w:t>
      </w:r>
      <w:r w:rsidRPr="00696A70">
        <w:t>and</w:t>
      </w:r>
      <w:r w:rsidR="00D920B9">
        <w:t xml:space="preserve"> </w:t>
      </w:r>
      <w:r w:rsidRPr="00696A70">
        <w:t>reporting</w:t>
      </w:r>
      <w:r w:rsidR="00D920B9">
        <w:t xml:space="preserve"> </w:t>
      </w:r>
      <w:r w:rsidRPr="00696A70">
        <w:t>relationship, which are regularly updated.</w:t>
      </w:r>
    </w:p>
    <w:p w14:paraId="658E257A" w14:textId="77777777" w:rsidR="00696A70" w:rsidRDefault="00696A70" w:rsidP="00696A70">
      <w:pPr>
        <w:sectPr w:rsidR="00696A70" w:rsidSect="00696A70">
          <w:type w:val="continuous"/>
          <w:pgSz w:w="9979" w:h="14175"/>
          <w:pgMar w:top="1134" w:right="1134" w:bottom="1134" w:left="1134" w:header="709" w:footer="709" w:gutter="0"/>
          <w:cols w:num="2" w:space="708"/>
          <w:docGrid w:linePitch="360"/>
        </w:sectPr>
      </w:pPr>
    </w:p>
    <w:p w14:paraId="1DD4595B" w14:textId="77777777" w:rsidR="00696A70" w:rsidRPr="00696A70" w:rsidRDefault="00696A70" w:rsidP="00C531E5">
      <w:pPr>
        <w:pStyle w:val="FigureHeading"/>
        <w:spacing w:after="360"/>
      </w:pPr>
      <w:bookmarkStart w:id="63" w:name="_Toc82510933"/>
      <w:r w:rsidRPr="00696A70">
        <w:lastRenderedPageBreak/>
        <w:t>Figure 4: IHPA’s management, committees and working groups</w:t>
      </w:r>
      <w:bookmarkEnd w:id="63"/>
    </w:p>
    <w:p w14:paraId="78CDCB6F" w14:textId="5A95880C" w:rsidR="00696A70" w:rsidRDefault="00696A70" w:rsidP="00696A70">
      <w:pPr>
        <w:rPr>
          <w:color w:val="1C1C1C"/>
          <w:sz w:val="18"/>
          <w:szCs w:val="18"/>
        </w:rPr>
      </w:pPr>
      <w:r w:rsidRPr="00696A70">
        <w:rPr>
          <w:noProof/>
          <w:color w:val="1C1C1C"/>
          <w:sz w:val="18"/>
          <w:szCs w:val="18"/>
          <w:lang w:val="en-AU" w:eastAsia="en-AU"/>
        </w:rPr>
        <w:drawing>
          <wp:inline distT="0" distB="0" distL="0" distR="0" wp14:anchorId="0A02528B" wp14:editId="3681703A">
            <wp:extent cx="4857069" cy="5861219"/>
            <wp:effectExtent l="0" t="0" r="0" b="6350"/>
            <wp:docPr id="14" name="Picture 14" descr="Minister for Health, reported to by the Pricing Authority. The Clinical Advisory Committee (a statutory committee) reports to both the Minister for Health and the Pricing Authority. The Chief Executive Officer (CEO) reports to the Pricing Authority. The Audit Risk and Compliance Committee (a management committee) reports to the CEO. The Executive Committee (an internal management committee) reports to the CEO. The following reports to the IHPA Executive Committee:&#10;Work Health and Safety Committee (internal), Data Governance Steering Committee (internal) , Jurisdictional Advisory Committee (a statutory committee), NHCDC Advisory Committee (an advisory committee) and the Stakeholder Advisory Committee (an advisory committee). The following report to the Jurisdictional Advisory Committee (a statutory committee). Activity Based Funding Technical Advisory Committee (an advisory committee), and these working groups: Classifications Clinical Advisory Group, Diagnosis Related Groups Technical Group; Emergency Care Advisory Working Group, International Classification of Diseases Technical Group, Mental Health Working Group, Non-Admitted Care Advisory Working Group, Small Rural Hospitals Working Group; Subacute Care Working Group, Teaching, Training, Trainingand Research Working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inister for Health, reported to by the Pricing Authority. The Clinical Advisory Committee (a statutory committee) reports to both the Minister for Health and the Pricing Authority. The Chief Executive Officer (CEO) reports to the Pricing Authority. The Audit Risk and Compliance Committee (a management committee) reports to the CEO. The Executive Committee (an internal management committee) reports to the CEO. The following reports to the IHPA Executive Committee:&#10;Work Health and Safety Committee (internal), Data Governance Steering Committee (internal) , Jurisdictional Advisory Committee (a statutory committee), NHCDC Advisory Committee (an advisory committee) and the Stakeholder Advisory Committee (an advisory committee). The following report to the Jurisdictional Advisory Committee (a statutory committee). Activity Based Funding Technical Advisory Committee (an advisory committee), and these working groups: Classifications Clinical Advisory Group, Diagnosis Related Groups Technical Group; Emergency Care Advisory Working Group, International Classification of Diseases Technical Group, Mental Health Working Group, Non-Admitted Care Advisory Working Group, Small Rural Hospitals Working Group; Subacute Care Working Group, Teaching, Training, Trainingand Research Working Group."/>
                    <pic:cNvPicPr>
                      <a:picLocks noChangeAspect="1" noChangeArrowheads="1"/>
                    </pic:cNvPicPr>
                  </pic:nvPicPr>
                  <pic:blipFill>
                    <a:blip r:embed="rId75"/>
                    <a:stretch>
                      <a:fillRect/>
                    </a:stretch>
                  </pic:blipFill>
                  <pic:spPr bwMode="auto">
                    <a:xfrm>
                      <a:off x="0" y="0"/>
                      <a:ext cx="4857069" cy="5861219"/>
                    </a:xfrm>
                    <a:prstGeom prst="rect">
                      <a:avLst/>
                    </a:prstGeom>
                    <a:noFill/>
                    <a:ln>
                      <a:noFill/>
                    </a:ln>
                  </pic:spPr>
                </pic:pic>
              </a:graphicData>
            </a:graphic>
          </wp:inline>
        </w:drawing>
      </w:r>
    </w:p>
    <w:p w14:paraId="3591097B" w14:textId="77777777" w:rsidR="00696A70" w:rsidRPr="00696A70" w:rsidRDefault="00696A70" w:rsidP="00696A70">
      <w:pPr>
        <w:rPr>
          <w:color w:val="1C1C1C"/>
          <w:sz w:val="18"/>
          <w:szCs w:val="18"/>
        </w:rPr>
      </w:pPr>
    </w:p>
    <w:p w14:paraId="41D83CB4" w14:textId="77777777" w:rsidR="00696A70" w:rsidRDefault="00696A70" w:rsidP="00696A70">
      <w:pPr>
        <w:sectPr w:rsidR="00696A70" w:rsidSect="00441579">
          <w:footerReference w:type="default" r:id="rId76"/>
          <w:pgSz w:w="9979" w:h="14175"/>
          <w:pgMar w:top="1134" w:right="1134" w:bottom="1134" w:left="1134" w:header="709" w:footer="709" w:gutter="0"/>
          <w:cols w:space="708"/>
          <w:docGrid w:linePitch="360"/>
        </w:sectPr>
      </w:pPr>
    </w:p>
    <w:p w14:paraId="5DEB89E4" w14:textId="77777777" w:rsidR="002377A1" w:rsidRPr="00F977A9" w:rsidRDefault="002377A1" w:rsidP="002377A1">
      <w:pPr>
        <w:pStyle w:val="H3"/>
        <w:spacing w:before="120"/>
        <w:rPr>
          <w:color w:val="003F2C" w:themeColor="text1"/>
        </w:rPr>
      </w:pPr>
      <w:r w:rsidRPr="00F977A9">
        <w:rPr>
          <w:color w:val="003F2C" w:themeColor="text1"/>
        </w:rPr>
        <w:lastRenderedPageBreak/>
        <w:t>Clinical Advisory Committee</w:t>
      </w:r>
    </w:p>
    <w:p w14:paraId="3015C553" w14:textId="77777777" w:rsidR="002377A1" w:rsidRPr="00696A70" w:rsidRDefault="002377A1" w:rsidP="004E121D">
      <w:pPr>
        <w:pStyle w:val="Body"/>
      </w:pPr>
      <w:r w:rsidRPr="00696A70">
        <w:t xml:space="preserve">The Clinical Advisory Committee was established under section 176 of the </w:t>
      </w:r>
      <w:r w:rsidRPr="00696A70">
        <w:rPr>
          <w:i/>
          <w:iCs/>
        </w:rPr>
        <w:t>National Health Reform Act 2011</w:t>
      </w:r>
      <w:r w:rsidRPr="00696A70">
        <w:t>. Its functions include:</w:t>
      </w:r>
    </w:p>
    <w:p w14:paraId="4E3FBE4B" w14:textId="77777777" w:rsidR="002377A1" w:rsidRPr="00696A70" w:rsidRDefault="002377A1" w:rsidP="002377A1">
      <w:pPr>
        <w:pStyle w:val="Bullets"/>
      </w:pPr>
      <w:r w:rsidRPr="00696A70">
        <w:t>advising the Pricing Authority on developing and specifying classification systems for health care and other services provided by public hospitals</w:t>
      </w:r>
    </w:p>
    <w:p w14:paraId="7E742579" w14:textId="77777777" w:rsidR="002377A1" w:rsidRPr="00696A70" w:rsidRDefault="002377A1" w:rsidP="002377A1">
      <w:pPr>
        <w:pStyle w:val="Bullets"/>
      </w:pPr>
      <w:r w:rsidRPr="00696A70">
        <w:t>advising the Pricing Authority in relation to:</w:t>
      </w:r>
    </w:p>
    <w:p w14:paraId="48CE982E" w14:textId="77777777" w:rsidR="002377A1" w:rsidRPr="00696A70" w:rsidRDefault="002377A1" w:rsidP="002377A1">
      <w:pPr>
        <w:pStyle w:val="BulletsL2"/>
      </w:pPr>
      <w:r w:rsidRPr="00696A70">
        <w:t xml:space="preserve">matters related to the functions of the Pricing Authority </w:t>
      </w:r>
    </w:p>
    <w:p w14:paraId="38B0F50D" w14:textId="77777777" w:rsidR="002377A1" w:rsidRPr="00696A70" w:rsidRDefault="002377A1" w:rsidP="002377A1">
      <w:pPr>
        <w:pStyle w:val="BulletsL2"/>
      </w:pPr>
      <w:r w:rsidRPr="00696A70">
        <w:t>matters referred to it by the Pricing Authority.</w:t>
      </w:r>
    </w:p>
    <w:p w14:paraId="77B5D37A" w14:textId="77777777" w:rsidR="002377A1" w:rsidRPr="00696A70" w:rsidRDefault="002377A1" w:rsidP="004E121D">
      <w:pPr>
        <w:pStyle w:val="Body"/>
      </w:pPr>
      <w:r w:rsidRPr="00696A70">
        <w:t>Committee members are appointed by the Australian Government Minister for Health. At 30</w:t>
      </w:r>
      <w:r>
        <w:t> </w:t>
      </w:r>
      <w:r w:rsidRPr="00696A70">
        <w:t>June 2021, the Clinical Advisory Committee consist</w:t>
      </w:r>
      <w:r>
        <w:t>ed</w:t>
      </w:r>
      <w:r w:rsidRPr="00696A70">
        <w:t xml:space="preserve"> of 2</w:t>
      </w:r>
      <w:r>
        <w:t>2</w:t>
      </w:r>
      <w:r w:rsidRPr="00696A70">
        <w:t xml:space="preserve"> members.</w:t>
      </w:r>
    </w:p>
    <w:p w14:paraId="45C3F736" w14:textId="5B8FCED2" w:rsidR="00696A70" w:rsidRPr="00696A70" w:rsidRDefault="002377A1" w:rsidP="004E121D">
      <w:pPr>
        <w:pStyle w:val="Body"/>
      </w:pPr>
      <w:r w:rsidRPr="00696A70">
        <w:t xml:space="preserve">The Clinical Advisory Committee is required to report </w:t>
      </w:r>
      <w:r>
        <w:t xml:space="preserve">on its work </w:t>
      </w:r>
      <w:r w:rsidRPr="00696A70">
        <w:t>annually. The Clinical Advisory Committee Annual Report, including details of its</w:t>
      </w:r>
      <w:r>
        <w:t> </w:t>
      </w:r>
      <w:r w:rsidRPr="00696A70">
        <w:t>members</w:t>
      </w:r>
      <w:r>
        <w:t>hip</w:t>
      </w:r>
      <w:r w:rsidRPr="00696A70">
        <w:t xml:space="preserve"> and meetings, sits within the IHPA Annual Report, at </w:t>
      </w:r>
      <w:hyperlink w:anchor="_Letter_from_the" w:history="1">
        <w:r w:rsidRPr="00137322">
          <w:rPr>
            <w:rStyle w:val="Hyperlink"/>
            <w:rFonts w:ascii="Futura PT Demi" w:hAnsi="Futura PT Demi"/>
            <w:u w:val="none"/>
          </w:rPr>
          <w:t>p</w:t>
        </w:r>
        <w:r w:rsidR="00551598" w:rsidRPr="00137322">
          <w:rPr>
            <w:rStyle w:val="Hyperlink"/>
            <w:rFonts w:ascii="Futura PT Demi" w:hAnsi="Futura PT Demi"/>
            <w:u w:val="none"/>
          </w:rPr>
          <w:t>31</w:t>
        </w:r>
      </w:hyperlink>
      <w:r w:rsidRPr="00137322">
        <w:t>.</w:t>
      </w:r>
    </w:p>
    <w:p w14:paraId="1CBA2154" w14:textId="77777777" w:rsidR="002377A1" w:rsidRPr="00F977A9" w:rsidRDefault="00696A70" w:rsidP="002377A1">
      <w:pPr>
        <w:pStyle w:val="H3"/>
        <w:rPr>
          <w:color w:val="003F2C" w:themeColor="text1"/>
        </w:rPr>
      </w:pPr>
      <w:r w:rsidRPr="00696A70">
        <w:br w:type="column"/>
      </w:r>
      <w:r w:rsidR="002377A1" w:rsidRPr="00F977A9">
        <w:rPr>
          <w:color w:val="003F2C" w:themeColor="text1"/>
        </w:rPr>
        <w:t>Jurisdictional Advisory Committee</w:t>
      </w:r>
    </w:p>
    <w:p w14:paraId="2B9D5BF9" w14:textId="24484745" w:rsidR="002377A1" w:rsidRDefault="002377A1" w:rsidP="004E121D">
      <w:pPr>
        <w:pStyle w:val="Body"/>
      </w:pPr>
      <w:r w:rsidRPr="00696A70">
        <w:t xml:space="preserve">The Jurisdictional Advisory Committee was established under section 195 of the </w:t>
      </w:r>
      <w:r w:rsidRPr="00696A70">
        <w:rPr>
          <w:i/>
        </w:rPr>
        <w:t>National Health Reform Act 2011</w:t>
      </w:r>
      <w:r w:rsidRPr="00696A70">
        <w:t>. It consists of a Chair</w:t>
      </w:r>
      <w:r>
        <w:t>,</w:t>
      </w:r>
      <w:r w:rsidRPr="00696A70">
        <w:t xml:space="preserve"> appointed by the Pricing Authority and nine other</w:t>
      </w:r>
      <w:r w:rsidR="00DF53B9">
        <w:t> </w:t>
      </w:r>
      <w:r w:rsidRPr="00696A70">
        <w:t>members (one to represent each state and</w:t>
      </w:r>
      <w:r w:rsidR="00DF53B9">
        <w:t> </w:t>
      </w:r>
      <w:r w:rsidRPr="00696A70">
        <w:t xml:space="preserve">territory, and </w:t>
      </w:r>
      <w:r>
        <w:t xml:space="preserve">one representing </w:t>
      </w:r>
      <w:r w:rsidRPr="00696A70">
        <w:t xml:space="preserve">the </w:t>
      </w:r>
      <w:r w:rsidR="004A378E">
        <w:t>Commonwealth</w:t>
      </w:r>
      <w:r w:rsidR="004A378E" w:rsidRPr="00696A70">
        <w:t xml:space="preserve"> </w:t>
      </w:r>
      <w:r w:rsidRPr="00696A70">
        <w:t xml:space="preserve">Government). </w:t>
      </w:r>
    </w:p>
    <w:p w14:paraId="4EDE2BBC" w14:textId="77777777" w:rsidR="002377A1" w:rsidRPr="00696A70" w:rsidRDefault="002377A1" w:rsidP="004E121D">
      <w:pPr>
        <w:pStyle w:val="Body"/>
      </w:pPr>
      <w:r w:rsidRPr="00696A70">
        <w:t>Committee members are appointed by written instrument by the head of the health department of</w:t>
      </w:r>
      <w:r>
        <w:t> the</w:t>
      </w:r>
      <w:r w:rsidRPr="00696A70">
        <w:t xml:space="preserve"> jurisdiction</w:t>
      </w:r>
      <w:r>
        <w:t xml:space="preserve"> they represent</w:t>
      </w:r>
      <w:r w:rsidRPr="00696A70">
        <w:t>.</w:t>
      </w:r>
    </w:p>
    <w:p w14:paraId="3C40A1B1" w14:textId="77777777" w:rsidR="002377A1" w:rsidRPr="00696A70" w:rsidRDefault="002377A1" w:rsidP="004E121D">
      <w:pPr>
        <w:pStyle w:val="Body"/>
      </w:pPr>
      <w:r w:rsidRPr="00696A70">
        <w:t>The Jurisdictional Advisory Committee met on</w:t>
      </w:r>
      <w:r>
        <w:t xml:space="preserve"> 10 </w:t>
      </w:r>
      <w:r w:rsidRPr="00696A70">
        <w:t>occasions between 1 July 2020 and 30 June</w:t>
      </w:r>
      <w:r>
        <w:t> </w:t>
      </w:r>
      <w:r w:rsidRPr="00696A70">
        <w:t>2021.</w:t>
      </w:r>
    </w:p>
    <w:p w14:paraId="1687C757" w14:textId="77777777" w:rsidR="002377A1" w:rsidRPr="00696A70" w:rsidRDefault="002377A1" w:rsidP="004E121D">
      <w:pPr>
        <w:pStyle w:val="Body"/>
        <w:rPr>
          <w:b/>
          <w:bCs/>
        </w:rPr>
      </w:pPr>
      <w:r w:rsidRPr="00696A70">
        <w:rPr>
          <w:b/>
          <w:bCs/>
        </w:rPr>
        <w:t>Jurisdictional Advisory Committee members as of 30 June 2021:</w:t>
      </w:r>
    </w:p>
    <w:p w14:paraId="71F70562" w14:textId="24540FB0" w:rsidR="002377A1" w:rsidRPr="00696A70" w:rsidRDefault="00A33C9B" w:rsidP="002377A1">
      <w:pPr>
        <w:pStyle w:val="Bullets"/>
      </w:pPr>
      <w:proofErr w:type="spellStart"/>
      <w:r>
        <w:t>Mr</w:t>
      </w:r>
      <w:proofErr w:type="spellEnd"/>
      <w:r>
        <w:t xml:space="preserve"> </w:t>
      </w:r>
      <w:r w:rsidR="002377A1" w:rsidRPr="00696A70">
        <w:t xml:space="preserve">James </w:t>
      </w:r>
      <w:proofErr w:type="spellStart"/>
      <w:r w:rsidR="002377A1" w:rsidRPr="00696A70">
        <w:t>Downie</w:t>
      </w:r>
      <w:proofErr w:type="spellEnd"/>
      <w:r w:rsidR="002377A1" w:rsidRPr="00696A70">
        <w:t xml:space="preserve"> </w:t>
      </w:r>
      <w:r w:rsidR="002377A1">
        <w:t>(</w:t>
      </w:r>
      <w:r w:rsidR="002377A1" w:rsidRPr="00696A70">
        <w:t>Chair</w:t>
      </w:r>
      <w:r w:rsidR="002377A1">
        <w:t>)</w:t>
      </w:r>
    </w:p>
    <w:p w14:paraId="2C9663F5" w14:textId="55242292" w:rsidR="002377A1" w:rsidRPr="00696A70" w:rsidRDefault="00A33C9B" w:rsidP="002377A1">
      <w:pPr>
        <w:pStyle w:val="Bullets"/>
      </w:pPr>
      <w:proofErr w:type="spellStart"/>
      <w:r>
        <w:t>Mr</w:t>
      </w:r>
      <w:proofErr w:type="spellEnd"/>
      <w:r>
        <w:t xml:space="preserve"> </w:t>
      </w:r>
      <w:r w:rsidR="002377A1" w:rsidRPr="00696A70">
        <w:t>Rob Anderson (Western Australia)</w:t>
      </w:r>
    </w:p>
    <w:p w14:paraId="20858273" w14:textId="67D3E5D3" w:rsidR="002377A1" w:rsidRPr="00696A70" w:rsidRDefault="00A33C9B" w:rsidP="002377A1">
      <w:pPr>
        <w:pStyle w:val="Bullets"/>
      </w:pPr>
      <w:proofErr w:type="spellStart"/>
      <w:r>
        <w:t>Ms</w:t>
      </w:r>
      <w:proofErr w:type="spellEnd"/>
      <w:r>
        <w:t xml:space="preserve"> </w:t>
      </w:r>
      <w:r w:rsidR="002377A1" w:rsidRPr="00696A70">
        <w:t>Lynne Cowan (South Australia)</w:t>
      </w:r>
    </w:p>
    <w:p w14:paraId="3CEA4474" w14:textId="7353C68D" w:rsidR="002377A1" w:rsidRDefault="00A33C9B" w:rsidP="002377A1">
      <w:pPr>
        <w:pStyle w:val="Bullets"/>
      </w:pPr>
      <w:proofErr w:type="spellStart"/>
      <w:r>
        <w:t>Ms</w:t>
      </w:r>
      <w:proofErr w:type="spellEnd"/>
      <w:r>
        <w:t xml:space="preserve"> </w:t>
      </w:r>
      <w:r w:rsidR="002377A1" w:rsidRPr="00696A70">
        <w:t>Toni Cunningham (Queensland)</w:t>
      </w:r>
    </w:p>
    <w:p w14:paraId="0250E558" w14:textId="5CAA9757" w:rsidR="002377A1" w:rsidRDefault="00A33C9B" w:rsidP="002377A1">
      <w:pPr>
        <w:pStyle w:val="Bullets"/>
      </w:pPr>
      <w:proofErr w:type="spellStart"/>
      <w:r>
        <w:t>Ms</w:t>
      </w:r>
      <w:proofErr w:type="spellEnd"/>
      <w:r>
        <w:t xml:space="preserve"> </w:t>
      </w:r>
      <w:r w:rsidR="002377A1" w:rsidRPr="00696A70">
        <w:t>Denise Ferrier (Victoria)</w:t>
      </w:r>
    </w:p>
    <w:p w14:paraId="747B1438" w14:textId="18C1C1DF" w:rsidR="002377A1" w:rsidRPr="00696A70" w:rsidRDefault="00A33C9B" w:rsidP="002377A1">
      <w:pPr>
        <w:pStyle w:val="Bullets"/>
      </w:pPr>
      <w:proofErr w:type="spellStart"/>
      <w:r>
        <w:t>Ms</w:t>
      </w:r>
      <w:proofErr w:type="spellEnd"/>
      <w:r>
        <w:t xml:space="preserve"> </w:t>
      </w:r>
      <w:r w:rsidR="002377A1" w:rsidRPr="00696A70">
        <w:t>Bronwyn Field (</w:t>
      </w:r>
      <w:r w:rsidR="00A73EAC">
        <w:t>Commonwealth</w:t>
      </w:r>
      <w:r w:rsidR="00A73EAC" w:rsidRPr="00696A70">
        <w:t> </w:t>
      </w:r>
      <w:r w:rsidR="002377A1" w:rsidRPr="00696A70">
        <w:t>Government)</w:t>
      </w:r>
    </w:p>
    <w:p w14:paraId="30C38B7A" w14:textId="1C5FFF65" w:rsidR="002377A1" w:rsidRPr="00696A70" w:rsidRDefault="00A33C9B" w:rsidP="002377A1">
      <w:pPr>
        <w:pStyle w:val="Bullets"/>
      </w:pPr>
      <w:r>
        <w:t xml:space="preserve">Dr </w:t>
      </w:r>
      <w:r w:rsidR="002377A1" w:rsidRPr="00696A70">
        <w:t>Nigel Lyons (New South Wales)</w:t>
      </w:r>
    </w:p>
    <w:p w14:paraId="58CA9DB6" w14:textId="28295F79" w:rsidR="002377A1" w:rsidRPr="00696A70" w:rsidRDefault="00A33C9B" w:rsidP="002377A1">
      <w:pPr>
        <w:pStyle w:val="Bullets"/>
      </w:pPr>
      <w:proofErr w:type="spellStart"/>
      <w:r>
        <w:t>Mr</w:t>
      </w:r>
      <w:proofErr w:type="spellEnd"/>
      <w:r>
        <w:t xml:space="preserve"> </w:t>
      </w:r>
      <w:r w:rsidR="002377A1" w:rsidRPr="00696A70">
        <w:t>Peter O’Halloran (Australian Capital Territory)</w:t>
      </w:r>
    </w:p>
    <w:p w14:paraId="70113983" w14:textId="667691E7" w:rsidR="002377A1" w:rsidRPr="00696A70" w:rsidRDefault="00A33C9B" w:rsidP="002377A1">
      <w:pPr>
        <w:pStyle w:val="Bullets"/>
      </w:pPr>
      <w:proofErr w:type="spellStart"/>
      <w:r>
        <w:t>Mr</w:t>
      </w:r>
      <w:proofErr w:type="spellEnd"/>
      <w:r>
        <w:t xml:space="preserve"> </w:t>
      </w:r>
      <w:r w:rsidR="002377A1" w:rsidRPr="00696A70">
        <w:t>Ross Smith (Tasmania)</w:t>
      </w:r>
    </w:p>
    <w:p w14:paraId="5FD85418" w14:textId="20871E6F" w:rsidR="002377A1" w:rsidRPr="00696A70" w:rsidRDefault="00A33C9B" w:rsidP="002377A1">
      <w:pPr>
        <w:numPr>
          <w:ilvl w:val="0"/>
          <w:numId w:val="1"/>
        </w:numPr>
        <w:spacing w:after="360"/>
        <w:rPr>
          <w:color w:val="1C1C1C"/>
          <w:sz w:val="18"/>
          <w:szCs w:val="18"/>
        </w:rPr>
      </w:pPr>
      <w:proofErr w:type="spellStart"/>
      <w:r>
        <w:rPr>
          <w:color w:val="1C1C1C"/>
          <w:sz w:val="18"/>
          <w:szCs w:val="18"/>
        </w:rPr>
        <w:t>Mr</w:t>
      </w:r>
      <w:proofErr w:type="spellEnd"/>
      <w:r>
        <w:rPr>
          <w:color w:val="1C1C1C"/>
          <w:sz w:val="18"/>
          <w:szCs w:val="18"/>
        </w:rPr>
        <w:t xml:space="preserve"> </w:t>
      </w:r>
      <w:proofErr w:type="spellStart"/>
      <w:r w:rsidR="002377A1" w:rsidRPr="00696A70">
        <w:rPr>
          <w:color w:val="1C1C1C"/>
          <w:sz w:val="18"/>
          <w:szCs w:val="18"/>
        </w:rPr>
        <w:t>Stathi</w:t>
      </w:r>
      <w:proofErr w:type="spellEnd"/>
      <w:r w:rsidR="002377A1" w:rsidRPr="00696A70">
        <w:rPr>
          <w:color w:val="1C1C1C"/>
          <w:sz w:val="18"/>
          <w:szCs w:val="18"/>
        </w:rPr>
        <w:t xml:space="preserve"> Tsangaris (Northern Territory)</w:t>
      </w:r>
      <w:r w:rsidR="00A73EAC">
        <w:rPr>
          <w:color w:val="1C1C1C"/>
          <w:sz w:val="18"/>
          <w:szCs w:val="18"/>
        </w:rPr>
        <w:t>.</w:t>
      </w:r>
      <w:r w:rsidR="002377A1" w:rsidRPr="00696A70">
        <w:rPr>
          <w:color w:val="1C1C1C"/>
          <w:sz w:val="18"/>
          <w:szCs w:val="18"/>
        </w:rPr>
        <w:t xml:space="preserve"> </w:t>
      </w:r>
    </w:p>
    <w:p w14:paraId="27E10060" w14:textId="091F0027" w:rsidR="00696A70" w:rsidRDefault="002377A1" w:rsidP="002377A1">
      <w:pPr>
        <w:pStyle w:val="Body"/>
      </w:pPr>
      <w:r w:rsidRPr="00696A70">
        <w:t>During the reporting period, there w</w:t>
      </w:r>
      <w:r>
        <w:t xml:space="preserve">as one </w:t>
      </w:r>
      <w:r w:rsidRPr="00696A70">
        <w:t>change to the Commonwealth membership.</w:t>
      </w:r>
    </w:p>
    <w:p w14:paraId="7FF25F08" w14:textId="77777777" w:rsidR="00BD6CDD" w:rsidRDefault="00BD6CDD" w:rsidP="00696A70">
      <w:pPr>
        <w:rPr>
          <w:color w:val="1C1C1C"/>
          <w:sz w:val="18"/>
          <w:szCs w:val="18"/>
        </w:rPr>
        <w:sectPr w:rsidR="00BD6CDD" w:rsidSect="00441579">
          <w:footerReference w:type="default" r:id="rId77"/>
          <w:pgSz w:w="9979" w:h="14175" w:code="13"/>
          <w:pgMar w:top="1134" w:right="1134" w:bottom="1134" w:left="1134" w:header="709" w:footer="709" w:gutter="0"/>
          <w:cols w:num="2" w:space="708"/>
          <w:docGrid w:linePitch="360"/>
        </w:sectPr>
      </w:pPr>
    </w:p>
    <w:p w14:paraId="460E6292" w14:textId="17489C11" w:rsidR="00BD6CDD" w:rsidRDefault="006E6CC9" w:rsidP="00696A70">
      <w:pPr>
        <w:rPr>
          <w:color w:val="1C1C1C"/>
          <w:sz w:val="18"/>
          <w:szCs w:val="18"/>
        </w:rPr>
      </w:pPr>
      <w:r>
        <w:rPr>
          <w:noProof/>
          <w:lang w:val="en-AU" w:eastAsia="en-AU"/>
        </w:rPr>
        <w:lastRenderedPageBreak/>
        <w:drawing>
          <wp:anchor distT="0" distB="0" distL="114300" distR="114300" simplePos="0" relativeHeight="251969536" behindDoc="1" locked="0" layoutInCell="1" allowOverlap="1" wp14:anchorId="1CB51476" wp14:editId="25BCA2AA">
            <wp:simplePos x="0" y="0"/>
            <wp:positionH relativeFrom="column">
              <wp:posOffset>-363220</wp:posOffset>
            </wp:positionH>
            <wp:positionV relativeFrom="paragraph">
              <wp:posOffset>-219710</wp:posOffset>
            </wp:positionV>
            <wp:extent cx="5615940" cy="9448277"/>
            <wp:effectExtent l="0" t="0" r="3810" b="635"/>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15940" cy="9448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067FBB" w14:textId="0EEB2CD7" w:rsidR="00696A70" w:rsidRPr="00696A70" w:rsidRDefault="00696A70" w:rsidP="00696A70">
      <w:pPr>
        <w:rPr>
          <w:color w:val="1C1C1C"/>
          <w:sz w:val="18"/>
          <w:szCs w:val="18"/>
        </w:rPr>
        <w:sectPr w:rsidR="00696A70" w:rsidRPr="00696A70" w:rsidSect="00441579">
          <w:footerReference w:type="default" r:id="rId78"/>
          <w:pgSz w:w="9979" w:h="14175" w:code="13"/>
          <w:pgMar w:top="1134" w:right="1134" w:bottom="1134" w:left="1134" w:header="709" w:footer="709" w:gutter="0"/>
          <w:cols w:num="2" w:space="708"/>
          <w:docGrid w:linePitch="360"/>
        </w:sectPr>
      </w:pPr>
    </w:p>
    <w:p w14:paraId="5D2C7A0F" w14:textId="5FB85A9C" w:rsidR="0099561A" w:rsidRDefault="0099561A" w:rsidP="009A2D17">
      <w:pPr>
        <w:pStyle w:val="H1"/>
      </w:pPr>
      <w:bookmarkStart w:id="64" w:name="_Toc84488738"/>
      <w:r>
        <w:lastRenderedPageBreak/>
        <w:t>Pricing Authority</w:t>
      </w:r>
      <w:bookmarkEnd w:id="64"/>
      <w:r w:rsidR="001659E1">
        <w:rPr>
          <w:noProof/>
          <w:lang w:val="en-AU" w:eastAsia="en-AU"/>
        </w:rPr>
        <w:drawing>
          <wp:anchor distT="0" distB="0" distL="114300" distR="114300" simplePos="0" relativeHeight="251985920" behindDoc="1" locked="0" layoutInCell="1" allowOverlap="1" wp14:anchorId="3E790922" wp14:editId="08BC09C8">
            <wp:simplePos x="0" y="0"/>
            <wp:positionH relativeFrom="column">
              <wp:posOffset>-735965</wp:posOffset>
            </wp:positionH>
            <wp:positionV relativeFrom="paragraph">
              <wp:posOffset>-901065</wp:posOffset>
            </wp:positionV>
            <wp:extent cx="6362700" cy="9036519"/>
            <wp:effectExtent l="0" t="0" r="0"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67652" cy="90435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536E5D" w14:textId="6D4C543F" w:rsidR="0099561A" w:rsidRDefault="00AB3AE1" w:rsidP="0099561A">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2448D46C" wp14:editId="7AF56A1E">
            <wp:extent cx="1838325" cy="1652665"/>
            <wp:effectExtent l="0" t="0" r="0" b="5080"/>
            <wp:docPr id="16" name="Picture 16" descr="Chapt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pter 2"/>
                    <pic:cNvPicPr>
                      <a:picLocks noChangeAspect="1" noChangeArrowheads="1"/>
                    </pic:cNvPicPr>
                  </pic:nvPicPr>
                  <pic:blipFill>
                    <a:blip r:embed="rId80" cstate="print">
                      <a:extLst>
                        <a:ext uri="{28A0092B-C50C-407E-A947-70E740481C1C}">
                          <a14:useLocalDpi xmlns:a14="http://schemas.microsoft.com/office/drawing/2010/main"/>
                        </a:ext>
                      </a:extLst>
                    </a:blip>
                    <a:stretch>
                      <a:fillRect/>
                    </a:stretch>
                  </pic:blipFill>
                  <pic:spPr bwMode="auto">
                    <a:xfrm>
                      <a:off x="0" y="0"/>
                      <a:ext cx="1838325" cy="1652665"/>
                    </a:xfrm>
                    <a:prstGeom prst="rect">
                      <a:avLst/>
                    </a:prstGeom>
                    <a:noFill/>
                    <a:ln>
                      <a:noFill/>
                    </a:ln>
                  </pic:spPr>
                </pic:pic>
              </a:graphicData>
            </a:graphic>
          </wp:inline>
        </w:drawing>
      </w:r>
    </w:p>
    <w:p w14:paraId="34594C9A" w14:textId="41D06C15" w:rsidR="00F934E5" w:rsidRPr="0099561A" w:rsidRDefault="00F934E5" w:rsidP="0099561A">
      <w:pPr>
        <w:spacing w:before="1200" w:after="0"/>
        <w:jc w:val="center"/>
        <w:rPr>
          <w:color w:val="008F54" w:themeColor="accent1"/>
        </w:rPr>
        <w:sectPr w:rsidR="00F934E5" w:rsidRPr="0099561A" w:rsidSect="0099561A">
          <w:headerReference w:type="default" r:id="rId81"/>
          <w:footerReference w:type="default" r:id="rId82"/>
          <w:pgSz w:w="9979" w:h="14175"/>
          <w:pgMar w:top="1418" w:right="1134" w:bottom="1134" w:left="1134" w:header="709" w:footer="709" w:gutter="0"/>
          <w:cols w:space="708"/>
          <w:docGrid w:linePitch="360"/>
        </w:sectPr>
      </w:pPr>
    </w:p>
    <w:p w14:paraId="04D9F3BD" w14:textId="77777777" w:rsidR="0087219A" w:rsidRDefault="0087219A" w:rsidP="0099561A">
      <w:pPr>
        <w:pStyle w:val="Body"/>
        <w:sectPr w:rsidR="0087219A" w:rsidSect="00441579">
          <w:headerReference w:type="default" r:id="rId83"/>
          <w:footerReference w:type="default" r:id="rId84"/>
          <w:type w:val="continuous"/>
          <w:pgSz w:w="9979" w:h="14175"/>
          <w:pgMar w:top="1134" w:right="1134" w:bottom="1134" w:left="1134" w:header="709" w:footer="709" w:gutter="0"/>
          <w:cols w:num="2" w:space="708"/>
          <w:docGrid w:linePitch="360"/>
        </w:sectPr>
      </w:pPr>
    </w:p>
    <w:p w14:paraId="7BB8DE19" w14:textId="77777777" w:rsidR="002A7134" w:rsidRPr="0087219A" w:rsidRDefault="002A7134" w:rsidP="002A7134">
      <w:pPr>
        <w:pStyle w:val="H3"/>
      </w:pPr>
      <w:bookmarkStart w:id="65" w:name="Figure5"/>
      <w:r>
        <w:lastRenderedPageBreak/>
        <w:t>Sustainable growth in hospital costs</w:t>
      </w:r>
    </w:p>
    <w:p w14:paraId="7E2D59F7" w14:textId="5D071409" w:rsidR="002A7134" w:rsidRPr="0087219A" w:rsidRDefault="007F79DF" w:rsidP="002A7134">
      <w:pPr>
        <w:pStyle w:val="H4"/>
      </w:pPr>
      <w:r>
        <w:t>Growth in c</w:t>
      </w:r>
      <w:r w:rsidR="002A7134" w:rsidRPr="0087219A">
        <w:t xml:space="preserve">ost per National Weighted Activity Unit </w:t>
      </w:r>
    </w:p>
    <w:p w14:paraId="2CE166B9" w14:textId="0E8D8930" w:rsidR="002A7134" w:rsidRPr="0087219A" w:rsidRDefault="002A7134" w:rsidP="002A7134">
      <w:pPr>
        <w:rPr>
          <w:color w:val="1C1C1C"/>
          <w:sz w:val="18"/>
          <w:szCs w:val="18"/>
        </w:rPr>
      </w:pPr>
      <w:r w:rsidRPr="0087219A">
        <w:rPr>
          <w:color w:val="1C1C1C"/>
          <w:sz w:val="18"/>
          <w:szCs w:val="18"/>
        </w:rPr>
        <w:t xml:space="preserve">The </w:t>
      </w:r>
      <w:r w:rsidRPr="00245FC5">
        <w:rPr>
          <w:color w:val="1C1C1C"/>
          <w:sz w:val="18"/>
          <w:szCs w:val="18"/>
        </w:rPr>
        <w:t>National Weighted Activity Unit</w:t>
      </w:r>
      <w:r w:rsidRPr="0087219A">
        <w:rPr>
          <w:color w:val="1C1C1C"/>
          <w:sz w:val="18"/>
          <w:szCs w:val="18"/>
        </w:rPr>
        <w:t xml:space="preserve"> is a measure of health service activity expressed as a common</w:t>
      </w:r>
      <w:r w:rsidR="00C13CA4">
        <w:rPr>
          <w:color w:val="1C1C1C"/>
          <w:sz w:val="18"/>
          <w:szCs w:val="18"/>
        </w:rPr>
        <w:t> </w:t>
      </w:r>
      <w:r w:rsidRPr="0087219A">
        <w:rPr>
          <w:color w:val="1C1C1C"/>
          <w:sz w:val="18"/>
          <w:szCs w:val="18"/>
        </w:rPr>
        <w:t>unit, against which the national efficient price is determined. Figure 5 indicates a significant reduction</w:t>
      </w:r>
      <w:r w:rsidR="00C13CA4">
        <w:rPr>
          <w:color w:val="1C1C1C"/>
          <w:sz w:val="18"/>
          <w:szCs w:val="18"/>
        </w:rPr>
        <w:t> </w:t>
      </w:r>
      <w:r w:rsidRPr="0087219A">
        <w:rPr>
          <w:color w:val="1C1C1C"/>
          <w:sz w:val="18"/>
          <w:szCs w:val="18"/>
        </w:rPr>
        <w:t xml:space="preserve">in the rate of growth in costs since 2011–12, to a sustained growth rate of </w:t>
      </w:r>
      <w:r>
        <w:rPr>
          <w:color w:val="1C1C1C"/>
          <w:sz w:val="18"/>
          <w:szCs w:val="18"/>
        </w:rPr>
        <w:t>2.1</w:t>
      </w:r>
      <w:r w:rsidRPr="0087219A">
        <w:rPr>
          <w:color w:val="1C1C1C"/>
          <w:sz w:val="18"/>
          <w:szCs w:val="18"/>
        </w:rPr>
        <w:t xml:space="preserve"> per cent.</w:t>
      </w:r>
    </w:p>
    <w:p w14:paraId="286E5299" w14:textId="5E2E82C6" w:rsidR="0087219A" w:rsidRPr="0087219A" w:rsidRDefault="002A7134" w:rsidP="002A7134">
      <w:pPr>
        <w:pStyle w:val="FigureHeading"/>
      </w:pPr>
      <w:bookmarkStart w:id="66" w:name="_Toc77354558"/>
      <w:bookmarkStart w:id="67" w:name="_Toc82510934"/>
      <w:r w:rsidRPr="0087219A">
        <w:t>Figure 5: Cost per National Weighted Activity Unit</w:t>
      </w:r>
      <w:bookmarkEnd w:id="66"/>
      <w:bookmarkEnd w:id="67"/>
    </w:p>
    <w:bookmarkEnd w:id="65"/>
    <w:p w14:paraId="2B637626" w14:textId="5EB8DC80" w:rsidR="0087219A" w:rsidRPr="0087219A" w:rsidRDefault="00AB3F7D" w:rsidP="0087219A">
      <w:pPr>
        <w:rPr>
          <w:color w:val="1C1C1C"/>
          <w:sz w:val="18"/>
          <w:szCs w:val="18"/>
        </w:rPr>
      </w:pPr>
      <w:r>
        <w:rPr>
          <w:noProof/>
          <w:color w:val="1C1C1C"/>
          <w:sz w:val="18"/>
          <w:szCs w:val="18"/>
          <w:lang w:val="en-AU" w:eastAsia="en-AU"/>
        </w:rPr>
        <w:drawing>
          <wp:inline distT="0" distB="0" distL="0" distR="0" wp14:anchorId="3474E724" wp14:editId="577E8FFD">
            <wp:extent cx="4217705" cy="2075334"/>
            <wp:effectExtent l="0" t="0" r="0" b="0"/>
            <wp:docPr id="61" name="Picture 61" descr="2007-08 = 4.0%&#10;2008-09 = 5.6%&#10;2009-10 = 7.2%&#10;2010-11 = 2.0%&#10;2011-12 = 3.4%&#10;2012-13 = 1.7%&#10;2013-14 = 0.5%&#10;2014-15 = 2.2%&#10;2015-16 = 1.8%&#10;2016-17 = 1.8%&#10;2017-18 = 3.4%&#10;2018-19 = 3.3%&#10;2019-20 =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2007-08 = 4.0%&#10;2008-09 = 5.6%&#10;2009-10 = 7.2%&#10;2010-11 = 2.0%&#10;2011-12 = 3.4%&#10;2012-13 = 1.7%&#10;2013-14 = 0.5%&#10;2014-15 = 2.2%&#10;2015-16 = 1.8%&#10;2016-17 = 1.8%&#10;2017-18 = 3.4%&#10;2018-19 = 3.3%&#10;2019-20 = 2.7%"/>
                    <pic:cNvPicPr>
                      <a:picLocks noChangeAspect="1" noChangeArrowheads="1"/>
                    </pic:cNvPicPr>
                  </pic:nvPicPr>
                  <pic:blipFill>
                    <a:blip r:embed="rId85">
                      <a:extLst>
                        <a:ext uri="{28A0092B-C50C-407E-A947-70E740481C1C}">
                          <a14:useLocalDpi xmlns:a14="http://schemas.microsoft.com/office/drawing/2010/main"/>
                        </a:ext>
                      </a:extLst>
                    </a:blip>
                    <a:stretch>
                      <a:fillRect/>
                    </a:stretch>
                  </pic:blipFill>
                  <pic:spPr bwMode="auto">
                    <a:xfrm>
                      <a:off x="0" y="0"/>
                      <a:ext cx="4217705" cy="2075334"/>
                    </a:xfrm>
                    <a:prstGeom prst="rect">
                      <a:avLst/>
                    </a:prstGeom>
                    <a:noFill/>
                    <a:ln>
                      <a:noFill/>
                    </a:ln>
                  </pic:spPr>
                </pic:pic>
              </a:graphicData>
            </a:graphic>
          </wp:inline>
        </w:drawing>
      </w:r>
    </w:p>
    <w:p w14:paraId="16BC263A" w14:textId="77777777" w:rsidR="002A7134" w:rsidRPr="0087219A" w:rsidRDefault="002A7134" w:rsidP="002A7134">
      <w:pPr>
        <w:pStyle w:val="H4"/>
      </w:pPr>
      <w:bookmarkStart w:id="68" w:name="Figure6"/>
      <w:r w:rsidRPr="0087219A">
        <w:t>National efficient price</w:t>
      </w:r>
    </w:p>
    <w:p w14:paraId="4B1333AB" w14:textId="76DFF979" w:rsidR="002A7134" w:rsidRPr="0087219A" w:rsidRDefault="002A7134" w:rsidP="002A7134">
      <w:pPr>
        <w:rPr>
          <w:color w:val="1C1C1C"/>
          <w:sz w:val="18"/>
          <w:szCs w:val="18"/>
        </w:rPr>
      </w:pPr>
      <w:r w:rsidRPr="0087219A">
        <w:rPr>
          <w:color w:val="1C1C1C"/>
          <w:sz w:val="18"/>
          <w:szCs w:val="18"/>
        </w:rPr>
        <w:t xml:space="preserve">The national efficient price represents the average cost of a hospital admission across Australia and is a determinant (along with the volume of services delivered) of the </w:t>
      </w:r>
      <w:r w:rsidR="004A378E">
        <w:rPr>
          <w:color w:val="1C1C1C"/>
          <w:sz w:val="18"/>
          <w:szCs w:val="18"/>
        </w:rPr>
        <w:t>Commonwealth’s</w:t>
      </w:r>
      <w:r w:rsidRPr="0087219A">
        <w:rPr>
          <w:color w:val="1C1C1C"/>
          <w:sz w:val="18"/>
          <w:szCs w:val="18"/>
        </w:rPr>
        <w:t xml:space="preserve"> funding contribution to</w:t>
      </w:r>
      <w:r>
        <w:rPr>
          <w:color w:val="1C1C1C"/>
          <w:sz w:val="18"/>
          <w:szCs w:val="18"/>
        </w:rPr>
        <w:t> </w:t>
      </w:r>
      <w:r w:rsidRPr="0087219A">
        <w:rPr>
          <w:color w:val="1C1C1C"/>
          <w:sz w:val="18"/>
          <w:szCs w:val="18"/>
        </w:rPr>
        <w:t xml:space="preserve">public hospitals.  </w:t>
      </w:r>
    </w:p>
    <w:p w14:paraId="4532C2EC" w14:textId="53719079" w:rsidR="00807AD8" w:rsidRPr="0087219A" w:rsidRDefault="002A7134" w:rsidP="002A7134">
      <w:pPr>
        <w:rPr>
          <w:color w:val="1C1C1C"/>
          <w:sz w:val="18"/>
          <w:szCs w:val="18"/>
        </w:rPr>
      </w:pPr>
      <w:r w:rsidRPr="0087219A">
        <w:rPr>
          <w:color w:val="1C1C1C"/>
          <w:sz w:val="18"/>
          <w:szCs w:val="18"/>
        </w:rPr>
        <w:t>As required under the National Health Reform Agreement (cl</w:t>
      </w:r>
      <w:r w:rsidR="004E121D">
        <w:rPr>
          <w:color w:val="1C1C1C"/>
          <w:sz w:val="18"/>
          <w:szCs w:val="18"/>
        </w:rPr>
        <w:t>ause</w:t>
      </w:r>
      <w:r w:rsidRPr="0087219A">
        <w:rPr>
          <w:color w:val="1C1C1C"/>
          <w:sz w:val="18"/>
          <w:szCs w:val="18"/>
        </w:rPr>
        <w:t xml:space="preserve"> A40), IHPA back-casts the national efficient price whenever significant changes to the methodology or underlying data occur, to enable the fair calculation of the </w:t>
      </w:r>
      <w:r w:rsidR="004A378E">
        <w:rPr>
          <w:color w:val="1C1C1C"/>
          <w:sz w:val="18"/>
          <w:szCs w:val="18"/>
        </w:rPr>
        <w:t>Commonwealth’s</w:t>
      </w:r>
      <w:r w:rsidRPr="0087219A">
        <w:rPr>
          <w:color w:val="1C1C1C"/>
          <w:sz w:val="18"/>
          <w:szCs w:val="18"/>
        </w:rPr>
        <w:t xml:space="preserve"> growth funding.</w:t>
      </w:r>
    </w:p>
    <w:p w14:paraId="6AF0E346" w14:textId="77777777" w:rsidR="004B5D17" w:rsidRDefault="004B5D17" w:rsidP="009A4F8D">
      <w:pPr>
        <w:pStyle w:val="Heading1"/>
        <w:spacing w:before="0" w:beforeAutospacing="0"/>
        <w:ind w:right="-228"/>
        <w:rPr>
          <w:color w:val="008F54" w:themeColor="accent1"/>
        </w:rPr>
        <w:sectPr w:rsidR="004B5D17" w:rsidSect="00441579">
          <w:headerReference w:type="even" r:id="rId86"/>
          <w:headerReference w:type="default" r:id="rId87"/>
          <w:footerReference w:type="default" r:id="rId88"/>
          <w:pgSz w:w="9979" w:h="14175"/>
          <w:pgMar w:top="1134" w:right="1134" w:bottom="1134" w:left="1134" w:header="709" w:footer="709" w:gutter="0"/>
          <w:cols w:space="708"/>
          <w:docGrid w:linePitch="360"/>
        </w:sectPr>
      </w:pPr>
      <w:bookmarkStart w:id="69" w:name="_Toc50378069"/>
      <w:bookmarkEnd w:id="68"/>
    </w:p>
    <w:p w14:paraId="71ED60FE" w14:textId="3A33A941" w:rsidR="009A4F8D" w:rsidRDefault="009A4F8D" w:rsidP="009A4F8D">
      <w:pPr>
        <w:pStyle w:val="Heading1"/>
        <w:spacing w:before="0" w:beforeAutospacing="0"/>
        <w:ind w:right="-228"/>
        <w:rPr>
          <w:color w:val="008F54" w:themeColor="accent1"/>
        </w:rPr>
        <w:sectPr w:rsidR="009A4F8D" w:rsidSect="00441579">
          <w:footerReference w:type="default" r:id="rId89"/>
          <w:pgSz w:w="9979" w:h="14175"/>
          <w:pgMar w:top="1134" w:right="1134" w:bottom="1134" w:left="1134" w:header="709" w:footer="709" w:gutter="0"/>
          <w:cols w:space="708"/>
          <w:docGrid w:linePitch="360"/>
        </w:sectPr>
      </w:pPr>
      <w:bookmarkStart w:id="70" w:name="_About_the_Pricing"/>
      <w:bookmarkStart w:id="71" w:name="_Toc84488739"/>
      <w:bookmarkEnd w:id="70"/>
      <w:r w:rsidRPr="00936074">
        <w:rPr>
          <w:color w:val="008F54" w:themeColor="accent1"/>
        </w:rPr>
        <w:lastRenderedPageBreak/>
        <w:t>About the Pricing</w:t>
      </w:r>
      <w:r>
        <w:rPr>
          <w:color w:val="008F54" w:themeColor="accent1"/>
        </w:rPr>
        <w:t xml:space="preserve"> </w:t>
      </w:r>
      <w:r w:rsidRPr="00936074">
        <w:rPr>
          <w:color w:val="008F54" w:themeColor="accent1"/>
        </w:rPr>
        <w:t>Authority</w:t>
      </w:r>
      <w:bookmarkEnd w:id="69"/>
      <w:bookmarkEnd w:id="71"/>
    </w:p>
    <w:p w14:paraId="43A0215A" w14:textId="29B646D0" w:rsidR="002A7134" w:rsidRPr="00DE0720" w:rsidRDefault="002A7134" w:rsidP="002A7134">
      <w:pPr>
        <w:pStyle w:val="Body"/>
        <w:rPr>
          <w:b/>
          <w:bCs/>
        </w:rPr>
      </w:pPr>
      <w:r w:rsidRPr="00DE0720">
        <w:rPr>
          <w:b/>
          <w:bCs/>
        </w:rPr>
        <w:t>The Pricing Authority is responsible for promoting improved efficiency in</w:t>
      </w:r>
      <w:r w:rsidR="00D920B9">
        <w:rPr>
          <w:b/>
          <w:bCs/>
        </w:rPr>
        <w:t>,</w:t>
      </w:r>
      <w:r w:rsidRPr="00DE0720">
        <w:rPr>
          <w:b/>
          <w:bCs/>
        </w:rPr>
        <w:t xml:space="preserve"> and access to</w:t>
      </w:r>
      <w:r w:rsidR="00D920B9">
        <w:rPr>
          <w:b/>
          <w:bCs/>
        </w:rPr>
        <w:t>,</w:t>
      </w:r>
      <w:r>
        <w:rPr>
          <w:b/>
          <w:bCs/>
        </w:rPr>
        <w:t> </w:t>
      </w:r>
      <w:r w:rsidRPr="00DE0720">
        <w:rPr>
          <w:b/>
          <w:bCs/>
        </w:rPr>
        <w:t>public hospital services. Th</w:t>
      </w:r>
      <w:r w:rsidR="00F5160F">
        <w:rPr>
          <w:b/>
          <w:bCs/>
        </w:rPr>
        <w:t>is is achieved</w:t>
      </w:r>
      <w:r w:rsidRPr="00DE0720">
        <w:rPr>
          <w:b/>
          <w:bCs/>
        </w:rPr>
        <w:t xml:space="preserve"> by providing independent advice to Australian governments in relation to the efficient costs of services and developing and implementing robust systems to promote activity based funding for </w:t>
      </w:r>
      <w:r>
        <w:rPr>
          <w:b/>
          <w:bCs/>
        </w:rPr>
        <w:t>these </w:t>
      </w:r>
      <w:r w:rsidRPr="00DE0720">
        <w:rPr>
          <w:b/>
          <w:bCs/>
        </w:rPr>
        <w:t>services.</w:t>
      </w:r>
    </w:p>
    <w:p w14:paraId="433F68E6" w14:textId="4AD8C5F0" w:rsidR="009A4F8D" w:rsidRDefault="002A7134" w:rsidP="002A7134">
      <w:pPr>
        <w:pStyle w:val="Body"/>
        <w:ind w:right="-185"/>
      </w:pPr>
      <w:r>
        <w:t>The Pricing Authority consists of a Chair, a Deputy</w:t>
      </w:r>
      <w:r w:rsidR="00D8026B">
        <w:t> </w:t>
      </w:r>
      <w:r>
        <w:t>Chair and up to seven other members.</w:t>
      </w:r>
    </w:p>
    <w:p w14:paraId="0A5FEF81" w14:textId="63F244AC" w:rsidR="002A7134" w:rsidRDefault="00BE4CFB" w:rsidP="002A7134">
      <w:pPr>
        <w:pStyle w:val="Body"/>
        <w:ind w:right="-185"/>
      </w:pPr>
      <w:r>
        <w:rPr>
          <w:noProof/>
          <w:lang w:val="en-AU" w:eastAsia="en-AU"/>
        </w:rPr>
        <w:drawing>
          <wp:anchor distT="0" distB="0" distL="114300" distR="114300" simplePos="0" relativeHeight="251848704" behindDoc="1" locked="0" layoutInCell="1" allowOverlap="1" wp14:anchorId="3BA5B4D7" wp14:editId="490C4F52">
            <wp:simplePos x="0" y="0"/>
            <wp:positionH relativeFrom="margin">
              <wp:posOffset>-409575</wp:posOffset>
            </wp:positionH>
            <wp:positionV relativeFrom="paragraph">
              <wp:posOffset>2087179</wp:posOffset>
            </wp:positionV>
            <wp:extent cx="5706527" cy="18510885"/>
            <wp:effectExtent l="0" t="0" r="8890" b="5715"/>
            <wp:wrapNone/>
            <wp:docPr id="167" name="Picture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4F8D">
        <w:br w:type="column"/>
      </w:r>
      <w:r w:rsidR="002A7134">
        <w:t>Pricing Authority members are appointed for a period of up to five years. The Chair is appointed by the Australian Government Minister for Health, the Deputy Chair is appointed with the agreement of</w:t>
      </w:r>
      <w:r w:rsidR="00D8026B">
        <w:t> </w:t>
      </w:r>
      <w:r w:rsidR="002A7134">
        <w:t>First Ministers of all states and territories and the remaining Pricing Authority members are appointed with the agreement of the Prime Minister and First Ministers of the states and territories.</w:t>
      </w:r>
    </w:p>
    <w:p w14:paraId="1D73EF92" w14:textId="759ABF11" w:rsidR="002A7134" w:rsidRDefault="002A7134" w:rsidP="002A7134">
      <w:pPr>
        <w:pStyle w:val="Body"/>
        <w:ind w:right="-327"/>
      </w:pPr>
      <w:r>
        <w:t>Members of the Pricing Authority bring significant and varied expertise to their role, including substantial experience and knowledge of the health industry, healthcare needs and the provision of health care</w:t>
      </w:r>
      <w:r w:rsidR="00D8026B">
        <w:t> </w:t>
      </w:r>
      <w:r>
        <w:t>in regional and rural areas.</w:t>
      </w:r>
    </w:p>
    <w:p w14:paraId="03BA875D" w14:textId="0FD2C3D6" w:rsidR="002A7134" w:rsidRDefault="002A7134" w:rsidP="002A7134">
      <w:pPr>
        <w:pStyle w:val="Body"/>
        <w:ind w:right="-185"/>
      </w:pPr>
      <w:r>
        <w:t>The Pricing Authority is supported by a</w:t>
      </w:r>
      <w:r w:rsidR="00D920B9">
        <w:t xml:space="preserve"> </w:t>
      </w:r>
      <w:r>
        <w:t>Chief</w:t>
      </w:r>
      <w:r w:rsidR="00D8026B">
        <w:t> </w:t>
      </w:r>
      <w:r>
        <w:t>Executive Officer, who is responsible for the</w:t>
      </w:r>
      <w:r w:rsidR="00D8026B">
        <w:t> </w:t>
      </w:r>
      <w:r>
        <w:t>day</w:t>
      </w:r>
      <w:r w:rsidR="00D920B9">
        <w:noBreakHyphen/>
      </w:r>
      <w:r>
        <w:t>to</w:t>
      </w:r>
      <w:r w:rsidR="00D920B9">
        <w:noBreakHyphen/>
      </w:r>
      <w:r>
        <w:t>day running of IHPA.</w:t>
      </w:r>
    </w:p>
    <w:p w14:paraId="346A4C32" w14:textId="25E7ADAA" w:rsidR="009A4F8D" w:rsidRDefault="002A7134" w:rsidP="002A7134">
      <w:pPr>
        <w:pStyle w:val="Body"/>
        <w:ind w:right="-185"/>
      </w:pPr>
      <w:r>
        <w:t>All Pricing Authority members are non-executive.</w:t>
      </w:r>
    </w:p>
    <w:p w14:paraId="06433994" w14:textId="77777777" w:rsidR="009A4F8D" w:rsidRDefault="009A4F8D" w:rsidP="009A4F8D">
      <w:pPr>
        <w:pStyle w:val="Body"/>
        <w:sectPr w:rsidR="009A4F8D" w:rsidSect="009A4F8D">
          <w:type w:val="continuous"/>
          <w:pgSz w:w="9979" w:h="14175"/>
          <w:pgMar w:top="1418" w:right="1134" w:bottom="1134" w:left="1134" w:header="709" w:footer="709" w:gutter="0"/>
          <w:cols w:num="2" w:space="708"/>
          <w:docGrid w:linePitch="360"/>
        </w:sectPr>
      </w:pPr>
    </w:p>
    <w:p w14:paraId="14F1AB64" w14:textId="77777777" w:rsidR="002A7134" w:rsidRDefault="002A7134" w:rsidP="002A7134">
      <w:pPr>
        <w:pStyle w:val="H4"/>
      </w:pPr>
      <w:proofErr w:type="spellStart"/>
      <w:r>
        <w:lastRenderedPageBreak/>
        <w:t>Mr</w:t>
      </w:r>
      <w:proofErr w:type="spellEnd"/>
      <w:r>
        <w:t xml:space="preserve"> Shane Solomon (Chair)</w:t>
      </w:r>
    </w:p>
    <w:p w14:paraId="1648CF8E" w14:textId="0DE550A1" w:rsidR="002A7134" w:rsidRDefault="002A7134" w:rsidP="002A7134">
      <w:pPr>
        <w:pStyle w:val="Body"/>
      </w:pPr>
      <w:r>
        <w:t>Shane Solomon has over 30 years’ of international and national healthcare management expertise. Shane currently provides health strategy and advisory services and holds non‑executive director roles. Prior to this role, he was the founding Managing Director of Telstra Health, an e</w:t>
      </w:r>
      <w:r>
        <w:noBreakHyphen/>
        <w:t>health business within Telstra.</w:t>
      </w:r>
    </w:p>
    <w:p w14:paraId="024F4538" w14:textId="77777777" w:rsidR="002A7134" w:rsidRDefault="002A7134" w:rsidP="002A7134">
      <w:pPr>
        <w:pStyle w:val="Body"/>
      </w:pPr>
      <w:r>
        <w:t xml:space="preserve">Previously, Shane was KPMG’s Partner in Charge, Healthcare. In this role, he worked with state and Australian governments, along with private sector health </w:t>
      </w:r>
      <w:proofErr w:type="spellStart"/>
      <w:r>
        <w:t>organisations</w:t>
      </w:r>
      <w:proofErr w:type="spellEnd"/>
      <w:r>
        <w:t>.</w:t>
      </w:r>
    </w:p>
    <w:p w14:paraId="361F2586" w14:textId="77777777" w:rsidR="002A7134" w:rsidRDefault="002A7134" w:rsidP="002A7134">
      <w:pPr>
        <w:pStyle w:val="Body"/>
      </w:pPr>
      <w:r>
        <w:t xml:space="preserve">Shane was the Chief Executive of the Hong Kong Hospital Authority, managing Hong Kong’s 57,000 public hospital staff. During his five-year tenure, he implemented significant funding and service quality reforms, including a </w:t>
      </w:r>
      <w:proofErr w:type="spellStart"/>
      <w:r>
        <w:t>casemix</w:t>
      </w:r>
      <w:proofErr w:type="spellEnd"/>
      <w:r>
        <w:t xml:space="preserve"> pay‑for‑performance model and the ongoing development of a comprehensive integrated e</w:t>
      </w:r>
      <w:r>
        <w:noBreakHyphen/>
        <w:t>health system.</w:t>
      </w:r>
    </w:p>
    <w:p w14:paraId="63EF57A7" w14:textId="77777777" w:rsidR="002A7134" w:rsidRDefault="002A7134" w:rsidP="002A7134">
      <w:pPr>
        <w:pStyle w:val="Body"/>
      </w:pPr>
      <w:r>
        <w:t>In Victoria, Shane was Under-Secretary of Health at the Department of Human Services (as it then was), where he was responsible for managing the funding system (including </w:t>
      </w:r>
      <w:proofErr w:type="spellStart"/>
      <w:r>
        <w:t>casemix</w:t>
      </w:r>
      <w:proofErr w:type="spellEnd"/>
      <w:r>
        <w:t>) for Victoria, and performance and governance of Melbourne metropolitan health services. He was responsible for developing the Hospital Admission Risk Program and implementing governance reforms in Victoria’s public hospital system.</w:t>
      </w:r>
    </w:p>
    <w:p w14:paraId="3F94F440" w14:textId="77777777" w:rsidR="002A7134" w:rsidRDefault="007F1BB7" w:rsidP="002A7134">
      <w:pPr>
        <w:pStyle w:val="H4"/>
      </w:pPr>
      <w:r>
        <w:br w:type="column"/>
      </w:r>
      <w:proofErr w:type="spellStart"/>
      <w:r w:rsidR="002A7134">
        <w:t>Ms</w:t>
      </w:r>
      <w:proofErr w:type="spellEnd"/>
      <w:r w:rsidR="002A7134">
        <w:t xml:space="preserve"> Jennifer Williams (Deputy Chair)</w:t>
      </w:r>
    </w:p>
    <w:p w14:paraId="506B09B3" w14:textId="3152E6F6" w:rsidR="002A7134" w:rsidRPr="005D0B52" w:rsidRDefault="002A7134" w:rsidP="002A7134">
      <w:pPr>
        <w:pStyle w:val="H4"/>
        <w:rPr>
          <w:rFonts w:asciiTheme="minorHAnsi" w:hAnsiTheme="minorHAnsi"/>
          <w:bCs w:val="0"/>
          <w:sz w:val="18"/>
        </w:rPr>
      </w:pPr>
      <w:r w:rsidRPr="005D0B52">
        <w:rPr>
          <w:rFonts w:asciiTheme="minorHAnsi" w:hAnsiTheme="minorHAnsi"/>
          <w:bCs w:val="0"/>
          <w:sz w:val="18"/>
        </w:rPr>
        <w:t xml:space="preserve">Jennifer Williams is a </w:t>
      </w:r>
      <w:r>
        <w:rPr>
          <w:rFonts w:asciiTheme="minorHAnsi" w:hAnsiTheme="minorHAnsi"/>
          <w:bCs w:val="0"/>
          <w:sz w:val="18"/>
        </w:rPr>
        <w:t>n</w:t>
      </w:r>
      <w:r w:rsidRPr="005D0B52">
        <w:rPr>
          <w:rFonts w:asciiTheme="minorHAnsi" w:hAnsiTheme="minorHAnsi"/>
          <w:bCs w:val="0"/>
          <w:sz w:val="18"/>
        </w:rPr>
        <w:t>on-</w:t>
      </w:r>
      <w:r>
        <w:rPr>
          <w:rFonts w:asciiTheme="minorHAnsi" w:hAnsiTheme="minorHAnsi"/>
          <w:bCs w:val="0"/>
          <w:sz w:val="18"/>
        </w:rPr>
        <w:t>e</w:t>
      </w:r>
      <w:r w:rsidRPr="005D0B52">
        <w:rPr>
          <w:rFonts w:asciiTheme="minorHAnsi" w:hAnsiTheme="minorHAnsi"/>
          <w:bCs w:val="0"/>
          <w:sz w:val="18"/>
        </w:rPr>
        <w:t xml:space="preserve">xecutive </w:t>
      </w:r>
      <w:r>
        <w:rPr>
          <w:rFonts w:asciiTheme="minorHAnsi" w:hAnsiTheme="minorHAnsi"/>
          <w:bCs w:val="0"/>
          <w:sz w:val="18"/>
        </w:rPr>
        <w:t>d</w:t>
      </w:r>
      <w:r w:rsidRPr="005D0B52">
        <w:rPr>
          <w:rFonts w:asciiTheme="minorHAnsi" w:hAnsiTheme="minorHAnsi"/>
          <w:bCs w:val="0"/>
          <w:sz w:val="18"/>
        </w:rPr>
        <w:t>irector and holds a number of board positions including Chair of Northern Health and Chair</w:t>
      </w:r>
      <w:r>
        <w:rPr>
          <w:rFonts w:asciiTheme="minorHAnsi" w:hAnsiTheme="minorHAnsi"/>
          <w:bCs w:val="0"/>
          <w:sz w:val="18"/>
        </w:rPr>
        <w:t> </w:t>
      </w:r>
      <w:r w:rsidRPr="005D0B52">
        <w:rPr>
          <w:rFonts w:asciiTheme="minorHAnsi" w:hAnsiTheme="minorHAnsi"/>
          <w:bCs w:val="0"/>
          <w:sz w:val="18"/>
        </w:rPr>
        <w:t xml:space="preserve">of </w:t>
      </w:r>
      <w:proofErr w:type="spellStart"/>
      <w:r w:rsidRPr="005D0B52">
        <w:rPr>
          <w:rFonts w:asciiTheme="minorHAnsi" w:hAnsiTheme="minorHAnsi"/>
          <w:bCs w:val="0"/>
          <w:sz w:val="18"/>
        </w:rPr>
        <w:t>Yooralla</w:t>
      </w:r>
      <w:proofErr w:type="spellEnd"/>
      <w:r w:rsidRPr="005D0B52">
        <w:rPr>
          <w:rFonts w:asciiTheme="minorHAnsi" w:hAnsiTheme="minorHAnsi"/>
          <w:bCs w:val="0"/>
          <w:sz w:val="18"/>
        </w:rPr>
        <w:t>.</w:t>
      </w:r>
    </w:p>
    <w:p w14:paraId="355FF8B0" w14:textId="5473473A" w:rsidR="002A7134" w:rsidRDefault="002A7134" w:rsidP="002A7134">
      <w:pPr>
        <w:pStyle w:val="H4"/>
        <w:rPr>
          <w:rFonts w:asciiTheme="minorHAnsi" w:hAnsiTheme="minorHAnsi"/>
          <w:bCs w:val="0"/>
          <w:sz w:val="18"/>
        </w:rPr>
      </w:pPr>
      <w:r w:rsidRPr="005D0B52">
        <w:rPr>
          <w:rFonts w:asciiTheme="minorHAnsi" w:hAnsiTheme="minorHAnsi"/>
          <w:bCs w:val="0"/>
          <w:sz w:val="18"/>
        </w:rPr>
        <w:t>Her other board appointments are with the Australian Medical Research Advisory Board, Barwon Health</w:t>
      </w:r>
      <w:r>
        <w:rPr>
          <w:rFonts w:asciiTheme="minorHAnsi" w:hAnsiTheme="minorHAnsi"/>
          <w:bCs w:val="0"/>
          <w:sz w:val="18"/>
        </w:rPr>
        <w:t xml:space="preserve"> and the Victorian Health Building Authority Advisory Board</w:t>
      </w:r>
      <w:r w:rsidRPr="005D0B52">
        <w:rPr>
          <w:rFonts w:asciiTheme="minorHAnsi" w:hAnsiTheme="minorHAnsi"/>
          <w:bCs w:val="0"/>
          <w:sz w:val="18"/>
        </w:rPr>
        <w:t>. She has previously held the positions of Chief Executive of the Australian Red Cross Blood</w:t>
      </w:r>
      <w:r>
        <w:rPr>
          <w:rFonts w:asciiTheme="minorHAnsi" w:hAnsiTheme="minorHAnsi"/>
          <w:bCs w:val="0"/>
          <w:sz w:val="18"/>
        </w:rPr>
        <w:t> </w:t>
      </w:r>
      <w:r w:rsidRPr="005D0B52">
        <w:rPr>
          <w:rFonts w:asciiTheme="minorHAnsi" w:hAnsiTheme="minorHAnsi"/>
          <w:bCs w:val="0"/>
          <w:sz w:val="18"/>
        </w:rPr>
        <w:t>Service, Chief Executive of Alfred</w:t>
      </w:r>
      <w:r>
        <w:rPr>
          <w:rFonts w:asciiTheme="minorHAnsi" w:hAnsiTheme="minorHAnsi"/>
          <w:bCs w:val="0"/>
          <w:sz w:val="18"/>
        </w:rPr>
        <w:t> </w:t>
      </w:r>
      <w:r w:rsidRPr="005D0B52">
        <w:rPr>
          <w:rFonts w:asciiTheme="minorHAnsi" w:hAnsiTheme="minorHAnsi"/>
          <w:bCs w:val="0"/>
          <w:sz w:val="18"/>
        </w:rPr>
        <w:t>Health and</w:t>
      </w:r>
      <w:r>
        <w:rPr>
          <w:rFonts w:asciiTheme="minorHAnsi" w:hAnsiTheme="minorHAnsi"/>
          <w:bCs w:val="0"/>
          <w:sz w:val="18"/>
        </w:rPr>
        <w:t> </w:t>
      </w:r>
      <w:r w:rsidRPr="005D0B52">
        <w:rPr>
          <w:rFonts w:asciiTheme="minorHAnsi" w:hAnsiTheme="minorHAnsi"/>
          <w:bCs w:val="0"/>
          <w:sz w:val="18"/>
        </w:rPr>
        <w:t>Chief Executive of Austin</w:t>
      </w:r>
      <w:r>
        <w:rPr>
          <w:rFonts w:asciiTheme="minorHAnsi" w:hAnsiTheme="minorHAnsi"/>
          <w:bCs w:val="0"/>
          <w:sz w:val="18"/>
        </w:rPr>
        <w:t> </w:t>
      </w:r>
      <w:r w:rsidRPr="005D0B52">
        <w:rPr>
          <w:rFonts w:asciiTheme="minorHAnsi" w:hAnsiTheme="minorHAnsi"/>
          <w:bCs w:val="0"/>
          <w:sz w:val="18"/>
        </w:rPr>
        <w:t>Health.</w:t>
      </w:r>
    </w:p>
    <w:p w14:paraId="3DD4378D" w14:textId="77777777" w:rsidR="002A7134" w:rsidRDefault="002A7134" w:rsidP="002A7134">
      <w:pPr>
        <w:pStyle w:val="H4"/>
      </w:pPr>
      <w:proofErr w:type="spellStart"/>
      <w:r>
        <w:t>Mr</w:t>
      </w:r>
      <w:proofErr w:type="spellEnd"/>
      <w:r>
        <w:t xml:space="preserve"> Glenn Appleyard</w:t>
      </w:r>
    </w:p>
    <w:p w14:paraId="1163FE3B" w14:textId="77777777" w:rsidR="002A7134" w:rsidRDefault="002A7134" w:rsidP="002A7134">
      <w:pPr>
        <w:pStyle w:val="Body"/>
        <w:ind w:right="-185"/>
      </w:pPr>
      <w:r>
        <w:t>Glenn Appleyard was a member of the Australian Accounting Standards Board from 1 January 2003 to 31 December 2011.</w:t>
      </w:r>
    </w:p>
    <w:p w14:paraId="441CE763" w14:textId="0B662F8A" w:rsidR="002A7134" w:rsidRDefault="002A7134" w:rsidP="002A7134">
      <w:pPr>
        <w:pStyle w:val="Body"/>
      </w:pPr>
      <w:r>
        <w:t>Glenn has held several senior positions within the public service including Deputy Secretary in the Tasmanian and Victorian Departments of Treasury and Finance and Regional Director for the Australian Bureau of Statistics in Tasmania.</w:t>
      </w:r>
    </w:p>
    <w:p w14:paraId="23E5A585" w14:textId="6A3A731C" w:rsidR="002A7134" w:rsidRDefault="002A7134" w:rsidP="002A7134">
      <w:pPr>
        <w:pStyle w:val="Body"/>
      </w:pPr>
      <w:r>
        <w:t>He was a member of the Commonwealth Grants Commission for 11 years and was the Chair of the Tasmanian Economic Regulator.</w:t>
      </w:r>
    </w:p>
    <w:p w14:paraId="3C0BB004" w14:textId="77777777" w:rsidR="002A7134" w:rsidRDefault="002A7134" w:rsidP="002A7134">
      <w:pPr>
        <w:pStyle w:val="H4"/>
      </w:pPr>
      <w:r>
        <w:t xml:space="preserve">Associate Professor Bruce </w:t>
      </w:r>
      <w:proofErr w:type="spellStart"/>
      <w:r>
        <w:t>Chater</w:t>
      </w:r>
      <w:proofErr w:type="spellEnd"/>
    </w:p>
    <w:p w14:paraId="276C54FC" w14:textId="77777777" w:rsidR="002A7134" w:rsidRDefault="002A7134" w:rsidP="002A7134">
      <w:pPr>
        <w:pStyle w:val="Body"/>
        <w:ind w:right="-327"/>
      </w:pPr>
      <w:r>
        <w:t xml:space="preserve">Associate Professor Bruce </w:t>
      </w:r>
      <w:proofErr w:type="spellStart"/>
      <w:r>
        <w:t>Chater</w:t>
      </w:r>
      <w:proofErr w:type="spellEnd"/>
      <w:r>
        <w:t xml:space="preserve"> is Head of the Mayne Academy of Rural and Remote Medicine at the University of Queensland. He performs these tasks from his rural base of Theodore, Queensland, where he continues as a </w:t>
      </w:r>
      <w:proofErr w:type="spellStart"/>
      <w:r>
        <w:t>practising</w:t>
      </w:r>
      <w:proofErr w:type="spellEnd"/>
      <w:r>
        <w:t xml:space="preserve"> rural doctor.</w:t>
      </w:r>
    </w:p>
    <w:p w14:paraId="35D85847" w14:textId="3BDF4E77" w:rsidR="004B5D17" w:rsidRDefault="002A7134" w:rsidP="002A7134">
      <w:pPr>
        <w:pStyle w:val="Body"/>
        <w:sectPr w:rsidR="004B5D17" w:rsidSect="00441579">
          <w:footerReference w:type="default" r:id="rId90"/>
          <w:pgSz w:w="9979" w:h="14175"/>
          <w:pgMar w:top="1134" w:right="1134" w:bottom="1134" w:left="1134" w:header="709" w:footer="709" w:gutter="0"/>
          <w:cols w:num="2" w:space="708"/>
          <w:docGrid w:linePitch="360"/>
        </w:sectPr>
      </w:pPr>
      <w:r>
        <w:t>Bruce has been involved in ensuring that rural health services provide high</w:t>
      </w:r>
      <w:r w:rsidR="00754005">
        <w:t>-</w:t>
      </w:r>
      <w:r>
        <w:t xml:space="preserve">quality and professional services to rural </w:t>
      </w:r>
      <w:r w:rsidR="00754005">
        <w:t>communities</w:t>
      </w:r>
      <w:r>
        <w:t>. He</w:t>
      </w:r>
      <w:r w:rsidR="00E50445">
        <w:t> </w:t>
      </w:r>
      <w:r>
        <w:t>was</w:t>
      </w:r>
      <w:r w:rsidR="00E50445">
        <w:t> </w:t>
      </w:r>
      <w:r>
        <w:t>the</w:t>
      </w:r>
      <w:r w:rsidR="00D920B9">
        <w:t> </w:t>
      </w:r>
      <w:r>
        <w:t>founding convener of the Rural Doctors Association of Queensland and Australia, founding Chair of the National Rural Health Alliance, Chair of the Rural Working Party of the World Organization of Family Doctors and served as President of the Australian College of</w:t>
      </w:r>
      <w:r w:rsidR="00E50445">
        <w:t> </w:t>
      </w:r>
      <w:r>
        <w:t>Rural and Remote Medicine.</w:t>
      </w:r>
    </w:p>
    <w:p w14:paraId="2DBFA885" w14:textId="77777777" w:rsidR="002A7134" w:rsidRDefault="002A7134" w:rsidP="002A7134">
      <w:pPr>
        <w:pStyle w:val="H4"/>
      </w:pPr>
      <w:proofErr w:type="spellStart"/>
      <w:r>
        <w:lastRenderedPageBreak/>
        <w:t>Ms</w:t>
      </w:r>
      <w:proofErr w:type="spellEnd"/>
      <w:r>
        <w:t xml:space="preserve"> Prudence Ford</w:t>
      </w:r>
    </w:p>
    <w:p w14:paraId="2CB0B82E" w14:textId="33873CB4" w:rsidR="002A7134" w:rsidRDefault="002A7134" w:rsidP="002A7134">
      <w:pPr>
        <w:pStyle w:val="Body"/>
      </w:pPr>
      <w:r>
        <w:t>Prudence Ford is a member of the Health Consumers’ Council of WA. She was an inaugural member of the Medical Board of Australia</w:t>
      </w:r>
      <w:r w:rsidR="00D920B9">
        <w:t>,</w:t>
      </w:r>
      <w:r>
        <w:t xml:space="preserve"> and was previously a member of the National Blood Authority, the National Health and Medical Research Council, the Brightwater Care Group Board and the Western Australian Medical Board.</w:t>
      </w:r>
    </w:p>
    <w:p w14:paraId="12968997" w14:textId="2913CCA2" w:rsidR="002A7134" w:rsidRDefault="002A7134" w:rsidP="002A7134">
      <w:pPr>
        <w:pStyle w:val="Body"/>
      </w:pPr>
      <w:r>
        <w:t xml:space="preserve">Prudence has had 30 years’ experience in the public service at Commonwealth and state levels. She has held senior executive positions in the </w:t>
      </w:r>
      <w:r w:rsidR="00310719">
        <w:t>(</w:t>
      </w:r>
      <w:r>
        <w:t>then</w:t>
      </w:r>
      <w:r w:rsidR="00310719">
        <w:t>)</w:t>
      </w:r>
      <w:r>
        <w:t xml:space="preserve"> Commonwealth Departments of Community Services and Health, Finance, and the Attorney General and in the Western Australian Departments of Health and the Premier and Cabinet.</w:t>
      </w:r>
    </w:p>
    <w:p w14:paraId="34292745" w14:textId="77777777" w:rsidR="002A7134" w:rsidRDefault="002A7134" w:rsidP="002A7134">
      <w:pPr>
        <w:pStyle w:val="H4"/>
      </w:pPr>
      <w:r>
        <w:t>Professor Jane Hall</w:t>
      </w:r>
    </w:p>
    <w:p w14:paraId="29D44B7F" w14:textId="59273F4C" w:rsidR="002A7134" w:rsidRDefault="002A7134" w:rsidP="002A7134">
      <w:pPr>
        <w:pStyle w:val="Body"/>
        <w:ind w:right="-185"/>
      </w:pPr>
      <w:r>
        <w:t>Professor Jane Hall is Distinguished Professor of Health Economics in the Business School at the University of Technology, Sydney. She is a Fellow of the Academy of Social Sciences in Australia and a Fellow of the Australian Academy of Health and Medical Sciences.</w:t>
      </w:r>
    </w:p>
    <w:p w14:paraId="50612146" w14:textId="0C9F22CD" w:rsidR="002A7134" w:rsidRDefault="002A7134" w:rsidP="002A7134">
      <w:pPr>
        <w:pStyle w:val="Body"/>
        <w:ind w:right="-185"/>
      </w:pPr>
      <w:r>
        <w:t>Jane has worked across many areas of health economics, including health technology assessment, measurement of quality of life, end</w:t>
      </w:r>
      <w:r w:rsidR="00310719">
        <w:t>-</w:t>
      </w:r>
      <w:r>
        <w:t>of</w:t>
      </w:r>
      <w:r w:rsidR="00310719">
        <w:t>-</w:t>
      </w:r>
      <w:r>
        <w:t>life care, health workforce, economics of primary care and funding and financing issues.</w:t>
      </w:r>
    </w:p>
    <w:p w14:paraId="394667FA" w14:textId="32F7EE10" w:rsidR="002A7134" w:rsidRDefault="002A7134" w:rsidP="002A7134">
      <w:pPr>
        <w:pStyle w:val="Body"/>
        <w:ind w:right="-185"/>
      </w:pPr>
      <w:r>
        <w:t>Jane established the Centre for Health Economics Research and Evaluation in 1990 and she remains in</w:t>
      </w:r>
      <w:r w:rsidR="00D920B9">
        <w:t> </w:t>
      </w:r>
      <w:r>
        <w:t>the Centre as Director, Strategy. She is engaged in health policy issues internationally through her involvement with the Commonwealth Fund International Program in Health Policy and Practice.</w:t>
      </w:r>
    </w:p>
    <w:p w14:paraId="0D687B06" w14:textId="0A16FB97" w:rsidR="002A7134" w:rsidRDefault="00FE0445" w:rsidP="002A7134">
      <w:pPr>
        <w:pStyle w:val="H4"/>
      </w:pPr>
      <w:r>
        <w:br w:type="column"/>
      </w:r>
      <w:proofErr w:type="spellStart"/>
      <w:r w:rsidR="002A7134">
        <w:t>Ms</w:t>
      </w:r>
      <w:proofErr w:type="spellEnd"/>
      <w:r w:rsidR="002A7134">
        <w:t xml:space="preserve"> Jenny Richter</w:t>
      </w:r>
    </w:p>
    <w:p w14:paraId="7C4447AE" w14:textId="61DF72FB" w:rsidR="002A7134" w:rsidRDefault="002A7134" w:rsidP="002A7134">
      <w:pPr>
        <w:pStyle w:val="Body"/>
      </w:pPr>
      <w:r>
        <w:t>Jenny Richter is a non-executive director, and holds directorships with the South Australian Health and Medical Research Institute, Cancer Council SA (Deputy Chair), Cancer</w:t>
      </w:r>
      <w:r w:rsidR="00C80987">
        <w:t> </w:t>
      </w:r>
      <w:r>
        <w:t>Council Australia (Deputy Chair) and the</w:t>
      </w:r>
      <w:r w:rsidR="00C80987">
        <w:t> </w:t>
      </w:r>
      <w:r>
        <w:t>Southern Adelaide Local Health Network, where she also chairs the Clinical Governance Board Sub</w:t>
      </w:r>
      <w:r>
        <w:noBreakHyphen/>
        <w:t>Committee.</w:t>
      </w:r>
    </w:p>
    <w:p w14:paraId="627EC862" w14:textId="40131BA3" w:rsidR="002A7134" w:rsidRDefault="002A7134" w:rsidP="002A7134">
      <w:pPr>
        <w:pStyle w:val="Body"/>
      </w:pPr>
      <w:r>
        <w:t>Jenny Richter has previously held a number of</w:t>
      </w:r>
      <w:r w:rsidR="00E82A40">
        <w:t> </w:t>
      </w:r>
      <w:r>
        <w:t>executive roles, including five years as Deputy</w:t>
      </w:r>
      <w:r w:rsidR="00E82A40">
        <w:t> </w:t>
      </w:r>
      <w:r>
        <w:t>Chief Executive for SA Health</w:t>
      </w:r>
      <w:r w:rsidR="00D920B9">
        <w:t>,</w:t>
      </w:r>
      <w:r>
        <w:t xml:space="preserve"> and</w:t>
      </w:r>
      <w:r w:rsidR="00FC0D92">
        <w:t> </w:t>
      </w:r>
      <w:r>
        <w:t>more</w:t>
      </w:r>
      <w:r w:rsidR="00E82A40">
        <w:t> </w:t>
      </w:r>
      <w:r>
        <w:t>recently as Chief Executive Officer of</w:t>
      </w:r>
      <w:r w:rsidR="00FC0D92">
        <w:t> </w:t>
      </w:r>
      <w:r>
        <w:t>Central</w:t>
      </w:r>
      <w:r w:rsidR="00E82A40">
        <w:t> </w:t>
      </w:r>
      <w:r>
        <w:t xml:space="preserve">Adelaide Local Health Network. </w:t>
      </w:r>
    </w:p>
    <w:p w14:paraId="34DA4047" w14:textId="26200F66" w:rsidR="002A7134" w:rsidRDefault="002A7134" w:rsidP="002A7134">
      <w:pPr>
        <w:pStyle w:val="Body"/>
      </w:pPr>
      <w:r>
        <w:t>Jenny’s experience in the health sector commenced</w:t>
      </w:r>
      <w:r w:rsidR="00D920B9">
        <w:t xml:space="preserve"> </w:t>
      </w:r>
      <w:r>
        <w:t>as a registered nurse, following</w:t>
      </w:r>
      <w:r w:rsidR="00D730F3">
        <w:t> </w:t>
      </w:r>
      <w:r>
        <w:t>which</w:t>
      </w:r>
      <w:r w:rsidR="00D730F3">
        <w:t xml:space="preserve"> </w:t>
      </w:r>
      <w:r>
        <w:t>she gained significant leadership experience in areas of hospital and health service planning and performance both in Australia and</w:t>
      </w:r>
      <w:r w:rsidR="00D730F3">
        <w:t> </w:t>
      </w:r>
      <w:r>
        <w:t xml:space="preserve">the United Kingdom. </w:t>
      </w:r>
    </w:p>
    <w:p w14:paraId="4DF78D38" w14:textId="4DA8E49E" w:rsidR="00FE0445" w:rsidRDefault="00FE0445" w:rsidP="00FE0445">
      <w:pPr>
        <w:pStyle w:val="H4"/>
      </w:pPr>
      <w:r>
        <w:t>Dr Kate Taylor</w:t>
      </w:r>
    </w:p>
    <w:p w14:paraId="124120C6" w14:textId="0D8C3D01" w:rsidR="00310719" w:rsidRDefault="00FE0445" w:rsidP="00FE0445">
      <w:pPr>
        <w:pStyle w:val="Body"/>
        <w:ind w:right="-185"/>
      </w:pPr>
      <w:r w:rsidRPr="00FE0445">
        <w:t xml:space="preserve">Dr Kate Taylor is the Director of Eye Care Solutions for </w:t>
      </w:r>
      <w:proofErr w:type="spellStart"/>
      <w:r w:rsidRPr="00FE0445">
        <w:t>Revenio</w:t>
      </w:r>
      <w:proofErr w:type="spellEnd"/>
      <w:r w:rsidRPr="00FE0445">
        <w:t xml:space="preserve"> Group </w:t>
      </w:r>
      <w:proofErr w:type="spellStart"/>
      <w:r w:rsidRPr="00FE0445">
        <w:t>Oyj</w:t>
      </w:r>
      <w:proofErr w:type="spellEnd"/>
      <w:r w:rsidRPr="00FE0445">
        <w:t xml:space="preserve">, the global leader in ophthalmic equipment and solutions that acquired </w:t>
      </w:r>
      <w:proofErr w:type="spellStart"/>
      <w:r w:rsidRPr="00FE0445">
        <w:t>Oculo</w:t>
      </w:r>
      <w:proofErr w:type="spellEnd"/>
      <w:r w:rsidRPr="00FE0445">
        <w:t>, of which Kate was the Founder and Chief</w:t>
      </w:r>
      <w:r w:rsidR="003904B7">
        <w:t> </w:t>
      </w:r>
      <w:r w:rsidRPr="00FE0445">
        <w:t xml:space="preserve">Executive Officer. </w:t>
      </w:r>
      <w:proofErr w:type="spellStart"/>
      <w:r w:rsidRPr="00FE0445">
        <w:t>Oculo</w:t>
      </w:r>
      <w:proofErr w:type="spellEnd"/>
      <w:r w:rsidRPr="00FE0445">
        <w:t xml:space="preserve"> is an online platform to connect eye care professionals and their patients. Kate is a member of the Australian Digital Health</w:t>
      </w:r>
      <w:r w:rsidR="0069635A">
        <w:t> </w:t>
      </w:r>
      <w:r w:rsidRPr="00FE0445">
        <w:t>Agency’s Clinical and Technical Advisory</w:t>
      </w:r>
      <w:r w:rsidR="0069635A">
        <w:t> </w:t>
      </w:r>
      <w:r w:rsidRPr="00FE0445">
        <w:t>Committee.</w:t>
      </w:r>
    </w:p>
    <w:p w14:paraId="2CF16F9E" w14:textId="0DEFA3DC" w:rsidR="00FE0445" w:rsidRDefault="00FE0445" w:rsidP="00FE0445">
      <w:pPr>
        <w:pStyle w:val="Body"/>
        <w:ind w:right="-185"/>
      </w:pPr>
      <w:r w:rsidRPr="00FE0445">
        <w:t>She was previously involved with the</w:t>
      </w:r>
      <w:r w:rsidR="00727848">
        <w:t> </w:t>
      </w:r>
      <w:r w:rsidRPr="00FE0445">
        <w:t>Board of the Mental Health Cooperative Research</w:t>
      </w:r>
      <w:r w:rsidR="007D021D">
        <w:t> </w:t>
      </w:r>
      <w:r w:rsidRPr="00FE0445">
        <w:t>Centre in Australia, and internationally with</w:t>
      </w:r>
      <w:r w:rsidR="007D021D">
        <w:t> </w:t>
      </w:r>
      <w:r w:rsidRPr="00FE0445">
        <w:t xml:space="preserve">the </w:t>
      </w:r>
      <w:r w:rsidR="00310719">
        <w:t>B</w:t>
      </w:r>
      <w:r w:rsidRPr="00FE0445">
        <w:t>oards of Roll Back Malaria, Stop TB, and</w:t>
      </w:r>
      <w:r w:rsidR="007D021D">
        <w:t> </w:t>
      </w:r>
      <w:r w:rsidRPr="00FE0445">
        <w:t>the GAVI</w:t>
      </w:r>
      <w:r>
        <w:t> </w:t>
      </w:r>
      <w:r w:rsidRPr="00FE0445">
        <w:t>Alliance.</w:t>
      </w:r>
    </w:p>
    <w:p w14:paraId="2A2E2CD9" w14:textId="77777777" w:rsidR="007532FE" w:rsidRDefault="007532FE" w:rsidP="007F1BB7">
      <w:pPr>
        <w:pStyle w:val="Body"/>
        <w:sectPr w:rsidR="007532FE" w:rsidSect="004B5D17">
          <w:footerReference w:type="default" r:id="rId91"/>
          <w:type w:val="continuous"/>
          <w:pgSz w:w="9979" w:h="14175"/>
          <w:pgMar w:top="1134" w:right="1134" w:bottom="1134" w:left="1134" w:header="709" w:footer="709" w:gutter="0"/>
          <w:cols w:num="2" w:space="708"/>
          <w:docGrid w:linePitch="360"/>
        </w:sectPr>
      </w:pPr>
    </w:p>
    <w:p w14:paraId="2EF7CB3F" w14:textId="77777777" w:rsidR="007532FE" w:rsidRDefault="007532FE" w:rsidP="007532FE">
      <w:pPr>
        <w:pStyle w:val="Heading1"/>
        <w:sectPr w:rsidR="007532FE" w:rsidSect="007532FE">
          <w:footerReference w:type="default" r:id="rId92"/>
          <w:type w:val="continuous"/>
          <w:pgSz w:w="9979" w:h="14175"/>
          <w:pgMar w:top="1418" w:right="1134" w:bottom="1134" w:left="1134" w:header="709" w:footer="709" w:gutter="0"/>
          <w:cols w:space="708"/>
          <w:docGrid w:linePitch="360"/>
        </w:sectPr>
      </w:pPr>
      <w:bookmarkStart w:id="72" w:name="_Toc84488740"/>
      <w:r>
        <w:lastRenderedPageBreak/>
        <w:t>Meetings of the Pricing Authority 2020–21</w:t>
      </w:r>
      <w:bookmarkEnd w:id="72"/>
    </w:p>
    <w:p w14:paraId="0E0B3800" w14:textId="77777777" w:rsidR="002A7134" w:rsidRDefault="002A7134" w:rsidP="002A7134">
      <w:pPr>
        <w:pStyle w:val="FigureHeading"/>
      </w:pPr>
      <w:bookmarkStart w:id="73" w:name="_Toc77354560"/>
      <w:bookmarkStart w:id="74" w:name="_Toc82510935"/>
      <w:r w:rsidRPr="00F73532">
        <w:t>Table 1:</w:t>
      </w:r>
      <w:r>
        <w:t xml:space="preserve"> Meetings of the Pricing Authority 2020–21</w:t>
      </w:r>
      <w:bookmarkEnd w:id="73"/>
      <w:bookmarkEnd w:id="74"/>
    </w:p>
    <w:p w14:paraId="212F990C" w14:textId="7FA62EDE" w:rsidR="007532FE" w:rsidRDefault="002A7134" w:rsidP="0099380B">
      <w:pPr>
        <w:pStyle w:val="Body"/>
        <w:ind w:right="-227"/>
      </w:pPr>
      <w:r>
        <w:t>The Pricing Authority met on 10 occasions between 1 July 2020 and 30 June 2021. The Chief</w:t>
      </w:r>
      <w:r w:rsidR="00D730F3">
        <w:t> </w:t>
      </w:r>
      <w:r>
        <w:t>Executive</w:t>
      </w:r>
      <w:r w:rsidR="0099380B">
        <w:t xml:space="preserve"> </w:t>
      </w:r>
      <w:r>
        <w:t xml:space="preserve">Officer, </w:t>
      </w:r>
      <w:proofErr w:type="spellStart"/>
      <w:r w:rsidR="006C0D92">
        <w:t>Mr</w:t>
      </w:r>
      <w:proofErr w:type="spellEnd"/>
      <w:r w:rsidR="006C0D92">
        <w:t xml:space="preserve"> </w:t>
      </w:r>
      <w:r>
        <w:t xml:space="preserve">James </w:t>
      </w:r>
      <w:proofErr w:type="spellStart"/>
      <w:r>
        <w:t>Downie</w:t>
      </w:r>
      <w:proofErr w:type="spellEnd"/>
      <w:r>
        <w:t>, as the accountable authority, attended all 10 meetings.</w:t>
      </w:r>
    </w:p>
    <w:tbl>
      <w:tblPr>
        <w:tblStyle w:val="IHPATable"/>
        <w:tblW w:w="3686" w:type="dxa"/>
        <w:tblLayout w:type="fixed"/>
        <w:tblLook w:val="0020" w:firstRow="1" w:lastRow="0" w:firstColumn="0" w:lastColumn="0" w:noHBand="0" w:noVBand="0"/>
        <w:tblCaption w:val="Table 1"/>
        <w:tblDescription w:val="Meetings of the Pricing Authority 2020–21"/>
      </w:tblPr>
      <w:tblGrid>
        <w:gridCol w:w="1709"/>
        <w:gridCol w:w="993"/>
        <w:gridCol w:w="984"/>
      </w:tblGrid>
      <w:tr w:rsidR="007532FE" w:rsidRPr="00906A47" w14:paraId="2BA0B73B" w14:textId="77777777" w:rsidTr="00B449E2">
        <w:trPr>
          <w:cnfStyle w:val="100000000000" w:firstRow="1" w:lastRow="0" w:firstColumn="0" w:lastColumn="0" w:oddVBand="0" w:evenVBand="0" w:oddHBand="0" w:evenHBand="0" w:firstRowFirstColumn="0" w:firstRowLastColumn="0" w:lastRowFirstColumn="0" w:lastRowLastColumn="0"/>
          <w:trHeight w:val="20"/>
          <w:tblHeader/>
        </w:trPr>
        <w:tc>
          <w:tcPr>
            <w:tcW w:w="1709" w:type="dxa"/>
            <w:shd w:val="clear" w:color="auto" w:fill="008F54" w:themeFill="accent1"/>
          </w:tcPr>
          <w:p w14:paraId="58D45AD8" w14:textId="3A0F31C2" w:rsidR="007532FE" w:rsidRPr="00906A47" w:rsidRDefault="007532FE" w:rsidP="00C757AB">
            <w:pPr>
              <w:pStyle w:val="Body"/>
              <w:spacing w:before="120" w:after="120"/>
              <w:rPr>
                <w:rFonts w:ascii="Futura PT Book" w:hAnsi="Futura PT Book" w:cs="Futura PT Book"/>
                <w:b/>
                <w:bCs/>
                <w:color w:val="FFFFFF" w:themeColor="background2"/>
                <w:lang w:val="en-US"/>
              </w:rPr>
            </w:pPr>
            <w:r>
              <w:t>.</w:t>
            </w:r>
            <w:r>
              <w:br w:type="column"/>
            </w:r>
            <w:bookmarkStart w:id="75" w:name="_Hlk45635495"/>
            <w:r>
              <w:rPr>
                <w:b/>
                <w:bCs/>
                <w:color w:val="FFFFFF" w:themeColor="background2"/>
                <w:lang w:val="en-US"/>
              </w:rPr>
              <w:t>Member</w:t>
            </w:r>
          </w:p>
        </w:tc>
        <w:tc>
          <w:tcPr>
            <w:tcW w:w="993" w:type="dxa"/>
            <w:shd w:val="clear" w:color="auto" w:fill="008F54" w:themeFill="accent1"/>
          </w:tcPr>
          <w:p w14:paraId="65AE062E" w14:textId="77777777" w:rsidR="007532FE" w:rsidRPr="00906A47" w:rsidRDefault="007532FE" w:rsidP="00C757AB">
            <w:pPr>
              <w:pStyle w:val="Body"/>
              <w:spacing w:before="120" w:after="120"/>
              <w:jc w:val="right"/>
              <w:rPr>
                <w:rFonts w:ascii="Futura PT Book" w:hAnsi="Futura PT Book" w:cs="Futura PT Book"/>
                <w:b/>
                <w:bCs/>
                <w:color w:val="FFFFFF" w:themeColor="background2"/>
                <w:lang w:val="en-US"/>
              </w:rPr>
            </w:pPr>
            <w:r>
              <w:rPr>
                <w:b/>
                <w:bCs/>
                <w:color w:val="FFFFFF" w:themeColor="background2"/>
                <w:lang w:val="en-US"/>
              </w:rPr>
              <w:t>Meetings eligible</w:t>
            </w:r>
          </w:p>
        </w:tc>
        <w:tc>
          <w:tcPr>
            <w:tcW w:w="984" w:type="dxa"/>
            <w:shd w:val="clear" w:color="auto" w:fill="008F54" w:themeFill="accent1"/>
          </w:tcPr>
          <w:p w14:paraId="602FFA43" w14:textId="77777777" w:rsidR="007532FE" w:rsidRPr="00906A47" w:rsidRDefault="007532FE" w:rsidP="00C757AB">
            <w:pPr>
              <w:pStyle w:val="Body"/>
              <w:spacing w:before="120" w:after="120"/>
              <w:jc w:val="right"/>
              <w:rPr>
                <w:b/>
                <w:bCs/>
                <w:color w:val="FFFFFF" w:themeColor="background2"/>
                <w:lang w:val="en-US"/>
              </w:rPr>
            </w:pPr>
            <w:r>
              <w:rPr>
                <w:b/>
                <w:bCs/>
                <w:color w:val="FFFFFF" w:themeColor="background2"/>
                <w:lang w:val="en-US"/>
              </w:rPr>
              <w:t>Meetings attended</w:t>
            </w:r>
          </w:p>
        </w:tc>
      </w:tr>
      <w:tr w:rsidR="007532FE" w:rsidRPr="00906A47" w14:paraId="7161536A" w14:textId="77777777" w:rsidTr="00B449E2">
        <w:trPr>
          <w:cnfStyle w:val="000000100000" w:firstRow="0" w:lastRow="0" w:firstColumn="0" w:lastColumn="0" w:oddVBand="0" w:evenVBand="0" w:oddHBand="1" w:evenHBand="0" w:firstRowFirstColumn="0" w:firstRowLastColumn="0" w:lastRowFirstColumn="0" w:lastRowLastColumn="0"/>
          <w:trHeight w:val="20"/>
        </w:trPr>
        <w:tc>
          <w:tcPr>
            <w:tcW w:w="1709" w:type="dxa"/>
          </w:tcPr>
          <w:p w14:paraId="4FA21292" w14:textId="77777777" w:rsidR="007532FE" w:rsidRPr="00906A47" w:rsidRDefault="007532FE" w:rsidP="00C757AB">
            <w:pPr>
              <w:pStyle w:val="Body"/>
              <w:spacing w:before="120" w:after="120"/>
              <w:rPr>
                <w:rFonts w:ascii="Futura PT Book" w:hAnsi="Futura PT Book" w:cs="Futura PT Book"/>
                <w:color w:val="000000"/>
                <w:sz w:val="16"/>
                <w:szCs w:val="16"/>
                <w:lang w:val="en-US"/>
              </w:rPr>
            </w:pPr>
            <w:proofErr w:type="spellStart"/>
            <w:r w:rsidRPr="00A37EEE">
              <w:t>Mr</w:t>
            </w:r>
            <w:proofErr w:type="spellEnd"/>
            <w:r w:rsidRPr="00A37EEE">
              <w:t xml:space="preserve"> Shane Solomon (Chair)</w:t>
            </w:r>
          </w:p>
        </w:tc>
        <w:tc>
          <w:tcPr>
            <w:tcW w:w="993" w:type="dxa"/>
          </w:tcPr>
          <w:p w14:paraId="17AF5777" w14:textId="77777777" w:rsidR="007532FE" w:rsidRPr="00283C70" w:rsidRDefault="007532FE" w:rsidP="00C757AB">
            <w:pPr>
              <w:pStyle w:val="Body"/>
              <w:spacing w:before="120" w:after="120"/>
              <w:jc w:val="right"/>
              <w:rPr>
                <w:rFonts w:ascii="Futura PT Book" w:hAnsi="Futura PT Book" w:cs="Futura PT Book"/>
                <w:color w:val="000000"/>
                <w:sz w:val="16"/>
                <w:szCs w:val="16"/>
                <w:highlight w:val="yellow"/>
                <w:lang w:val="en-US"/>
              </w:rPr>
            </w:pPr>
            <w:r w:rsidRPr="00833BDD">
              <w:rPr>
                <w:rFonts w:ascii="Futura PT Book" w:hAnsi="Futura PT Book" w:cs="Futura PT Book"/>
                <w:color w:val="000000"/>
                <w:sz w:val="16"/>
                <w:szCs w:val="16"/>
                <w:lang w:val="en-US"/>
              </w:rPr>
              <w:t>10</w:t>
            </w:r>
          </w:p>
        </w:tc>
        <w:tc>
          <w:tcPr>
            <w:tcW w:w="984" w:type="dxa"/>
          </w:tcPr>
          <w:p w14:paraId="3CBB1D56" w14:textId="77777777" w:rsidR="007532FE" w:rsidRPr="00283C70" w:rsidRDefault="007532FE" w:rsidP="00C757AB">
            <w:pPr>
              <w:pStyle w:val="Body"/>
              <w:spacing w:before="120" w:after="120"/>
              <w:jc w:val="right"/>
              <w:rPr>
                <w:rFonts w:ascii="Futura PT Book" w:hAnsi="Futura PT Book" w:cs="Futura PT Book"/>
                <w:color w:val="000000"/>
                <w:sz w:val="16"/>
                <w:szCs w:val="16"/>
                <w:highlight w:val="yellow"/>
                <w:lang w:val="en-US"/>
              </w:rPr>
            </w:pPr>
            <w:r w:rsidRPr="00833BDD">
              <w:rPr>
                <w:rFonts w:ascii="Futura PT Book" w:hAnsi="Futura PT Book" w:cs="Futura PT Book"/>
                <w:color w:val="000000"/>
                <w:sz w:val="16"/>
                <w:szCs w:val="16"/>
                <w:lang w:val="en-US"/>
              </w:rPr>
              <w:t>10</w:t>
            </w:r>
          </w:p>
        </w:tc>
      </w:tr>
      <w:tr w:rsidR="007532FE" w:rsidRPr="00906A47" w14:paraId="34E6B886" w14:textId="77777777" w:rsidTr="00B449E2">
        <w:trPr>
          <w:cnfStyle w:val="000000010000" w:firstRow="0" w:lastRow="0" w:firstColumn="0" w:lastColumn="0" w:oddVBand="0" w:evenVBand="0" w:oddHBand="0" w:evenHBand="1" w:firstRowFirstColumn="0" w:firstRowLastColumn="0" w:lastRowFirstColumn="0" w:lastRowLastColumn="0"/>
          <w:trHeight w:val="20"/>
        </w:trPr>
        <w:tc>
          <w:tcPr>
            <w:tcW w:w="1709" w:type="dxa"/>
          </w:tcPr>
          <w:p w14:paraId="3DCA0E48" w14:textId="77777777" w:rsidR="007532FE" w:rsidRPr="00906A47" w:rsidRDefault="007532FE" w:rsidP="00C757AB">
            <w:pPr>
              <w:pStyle w:val="Body"/>
              <w:spacing w:before="120" w:after="120"/>
              <w:rPr>
                <w:rFonts w:ascii="Futura PT Book" w:hAnsi="Futura PT Book" w:cs="Futura PT Book"/>
                <w:color w:val="000000"/>
                <w:sz w:val="16"/>
                <w:szCs w:val="16"/>
                <w:lang w:val="en-US"/>
              </w:rPr>
            </w:pPr>
            <w:proofErr w:type="spellStart"/>
            <w:r w:rsidRPr="00A37EEE">
              <w:t>Ms</w:t>
            </w:r>
            <w:proofErr w:type="spellEnd"/>
            <w:r w:rsidRPr="00A37EEE">
              <w:t xml:space="preserve"> Jennifer Williams (Deputy Chair)</w:t>
            </w:r>
          </w:p>
        </w:tc>
        <w:tc>
          <w:tcPr>
            <w:tcW w:w="993" w:type="dxa"/>
          </w:tcPr>
          <w:p w14:paraId="0B92B4E7"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10</w:t>
            </w:r>
          </w:p>
        </w:tc>
        <w:tc>
          <w:tcPr>
            <w:tcW w:w="984" w:type="dxa"/>
          </w:tcPr>
          <w:p w14:paraId="1632C61B"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rPr>
                <w:rFonts w:ascii="Futura PT Book" w:hAnsi="Futura PT Book" w:cs="Futura PT Book"/>
                <w:color w:val="000000"/>
                <w:sz w:val="16"/>
                <w:szCs w:val="16"/>
                <w:lang w:val="en-US"/>
              </w:rPr>
              <w:t>10</w:t>
            </w:r>
          </w:p>
        </w:tc>
      </w:tr>
      <w:tr w:rsidR="007532FE" w:rsidRPr="00906A47" w14:paraId="283E57A6" w14:textId="77777777" w:rsidTr="00B449E2">
        <w:trPr>
          <w:cnfStyle w:val="000000100000" w:firstRow="0" w:lastRow="0" w:firstColumn="0" w:lastColumn="0" w:oddVBand="0" w:evenVBand="0" w:oddHBand="1" w:evenHBand="0" w:firstRowFirstColumn="0" w:firstRowLastColumn="0" w:lastRowFirstColumn="0" w:lastRowLastColumn="0"/>
          <w:trHeight w:val="20"/>
        </w:trPr>
        <w:tc>
          <w:tcPr>
            <w:tcW w:w="1709" w:type="dxa"/>
          </w:tcPr>
          <w:p w14:paraId="1241C7CC" w14:textId="77777777" w:rsidR="007532FE" w:rsidRPr="00906A47" w:rsidRDefault="007532FE" w:rsidP="00C757AB">
            <w:pPr>
              <w:pStyle w:val="Body"/>
              <w:spacing w:before="120" w:after="120"/>
              <w:rPr>
                <w:rFonts w:ascii="Futura PT Book" w:hAnsi="Futura PT Book" w:cs="Futura PT Book"/>
                <w:color w:val="000000"/>
                <w:sz w:val="16"/>
                <w:szCs w:val="16"/>
                <w:lang w:val="en-US"/>
              </w:rPr>
            </w:pPr>
            <w:proofErr w:type="spellStart"/>
            <w:r w:rsidRPr="00A37EEE">
              <w:t>Mr</w:t>
            </w:r>
            <w:proofErr w:type="spellEnd"/>
            <w:r w:rsidRPr="00A37EEE">
              <w:t xml:space="preserve"> Glenn Appleyard</w:t>
            </w:r>
          </w:p>
        </w:tc>
        <w:tc>
          <w:tcPr>
            <w:tcW w:w="993" w:type="dxa"/>
          </w:tcPr>
          <w:p w14:paraId="009A8BCB"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10</w:t>
            </w:r>
          </w:p>
        </w:tc>
        <w:tc>
          <w:tcPr>
            <w:tcW w:w="984" w:type="dxa"/>
          </w:tcPr>
          <w:p w14:paraId="43F1A471"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9</w:t>
            </w:r>
          </w:p>
        </w:tc>
      </w:tr>
      <w:tr w:rsidR="007532FE" w:rsidRPr="00906A47" w14:paraId="29BEEC09" w14:textId="77777777" w:rsidTr="00B449E2">
        <w:trPr>
          <w:cnfStyle w:val="000000010000" w:firstRow="0" w:lastRow="0" w:firstColumn="0" w:lastColumn="0" w:oddVBand="0" w:evenVBand="0" w:oddHBand="0" w:evenHBand="1" w:firstRowFirstColumn="0" w:firstRowLastColumn="0" w:lastRowFirstColumn="0" w:lastRowLastColumn="0"/>
          <w:trHeight w:val="20"/>
        </w:trPr>
        <w:tc>
          <w:tcPr>
            <w:tcW w:w="1709" w:type="dxa"/>
          </w:tcPr>
          <w:p w14:paraId="7AB53D03" w14:textId="77777777" w:rsidR="007532FE" w:rsidRPr="00906A47" w:rsidRDefault="007532FE" w:rsidP="00C757AB">
            <w:pPr>
              <w:pStyle w:val="Body"/>
              <w:spacing w:before="120" w:after="120"/>
              <w:rPr>
                <w:rFonts w:ascii="Futura PT Book" w:hAnsi="Futura PT Book" w:cs="Futura PT Book"/>
                <w:color w:val="000000"/>
                <w:sz w:val="16"/>
                <w:szCs w:val="16"/>
                <w:lang w:val="en-US"/>
              </w:rPr>
            </w:pPr>
            <w:r w:rsidRPr="00A37EEE">
              <w:t xml:space="preserve">A/Prof Bruce </w:t>
            </w:r>
            <w:proofErr w:type="spellStart"/>
            <w:r w:rsidRPr="00A37EEE">
              <w:t>Chater</w:t>
            </w:r>
            <w:proofErr w:type="spellEnd"/>
          </w:p>
        </w:tc>
        <w:tc>
          <w:tcPr>
            <w:tcW w:w="993" w:type="dxa"/>
          </w:tcPr>
          <w:p w14:paraId="15F2A7C2"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10</w:t>
            </w:r>
          </w:p>
        </w:tc>
        <w:tc>
          <w:tcPr>
            <w:tcW w:w="984" w:type="dxa"/>
          </w:tcPr>
          <w:p w14:paraId="191A8722"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10</w:t>
            </w:r>
          </w:p>
        </w:tc>
      </w:tr>
      <w:tr w:rsidR="007532FE" w:rsidRPr="00906A47" w14:paraId="75DF1333" w14:textId="77777777" w:rsidTr="00B449E2">
        <w:trPr>
          <w:cnfStyle w:val="000000100000" w:firstRow="0" w:lastRow="0" w:firstColumn="0" w:lastColumn="0" w:oddVBand="0" w:evenVBand="0" w:oddHBand="1" w:evenHBand="0" w:firstRowFirstColumn="0" w:firstRowLastColumn="0" w:lastRowFirstColumn="0" w:lastRowLastColumn="0"/>
          <w:trHeight w:val="20"/>
        </w:trPr>
        <w:tc>
          <w:tcPr>
            <w:tcW w:w="1709" w:type="dxa"/>
          </w:tcPr>
          <w:p w14:paraId="1C71D017" w14:textId="77777777" w:rsidR="007532FE" w:rsidRPr="00906A47" w:rsidRDefault="007532FE" w:rsidP="00C757AB">
            <w:pPr>
              <w:pStyle w:val="Body"/>
              <w:spacing w:before="120" w:after="120"/>
              <w:rPr>
                <w:rFonts w:ascii="Futura PT Book" w:hAnsi="Futura PT Book" w:cs="Futura PT Book"/>
                <w:color w:val="000000"/>
                <w:sz w:val="16"/>
                <w:szCs w:val="16"/>
                <w:lang w:val="en-US"/>
              </w:rPr>
            </w:pPr>
            <w:proofErr w:type="spellStart"/>
            <w:r w:rsidRPr="00A37EEE">
              <w:t>Ms</w:t>
            </w:r>
            <w:proofErr w:type="spellEnd"/>
            <w:r w:rsidRPr="00A37EEE">
              <w:t xml:space="preserve"> Prudence Ford</w:t>
            </w:r>
          </w:p>
        </w:tc>
        <w:tc>
          <w:tcPr>
            <w:tcW w:w="993" w:type="dxa"/>
          </w:tcPr>
          <w:p w14:paraId="5548CC62"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10</w:t>
            </w:r>
          </w:p>
        </w:tc>
        <w:tc>
          <w:tcPr>
            <w:tcW w:w="984" w:type="dxa"/>
          </w:tcPr>
          <w:p w14:paraId="64D5B71F" w14:textId="77777777" w:rsidR="007532FE" w:rsidRPr="00906A47" w:rsidRDefault="007532FE" w:rsidP="00C757AB">
            <w:pPr>
              <w:pStyle w:val="Body"/>
              <w:spacing w:before="120" w:after="120"/>
              <w:jc w:val="right"/>
              <w:rPr>
                <w:rFonts w:ascii="Futura PT Book" w:hAnsi="Futura PT Book" w:cs="Futura PT Book"/>
                <w:color w:val="000000"/>
                <w:sz w:val="16"/>
                <w:szCs w:val="16"/>
                <w:lang w:val="en-US"/>
              </w:rPr>
            </w:pPr>
            <w:r>
              <w:t>10</w:t>
            </w:r>
          </w:p>
        </w:tc>
      </w:tr>
      <w:tr w:rsidR="007532FE" w:rsidRPr="00906A47" w14:paraId="6CFF326D" w14:textId="77777777" w:rsidTr="00B449E2">
        <w:trPr>
          <w:cnfStyle w:val="000000010000" w:firstRow="0" w:lastRow="0" w:firstColumn="0" w:lastColumn="0" w:oddVBand="0" w:evenVBand="0" w:oddHBand="0" w:evenHBand="1" w:firstRowFirstColumn="0" w:firstRowLastColumn="0" w:lastRowFirstColumn="0" w:lastRowLastColumn="0"/>
          <w:trHeight w:val="20"/>
        </w:trPr>
        <w:tc>
          <w:tcPr>
            <w:tcW w:w="1709" w:type="dxa"/>
          </w:tcPr>
          <w:p w14:paraId="09F07DCC" w14:textId="77777777" w:rsidR="007532FE" w:rsidRPr="00A37EEE" w:rsidRDefault="007532FE" w:rsidP="00C757AB">
            <w:pPr>
              <w:pStyle w:val="Body"/>
              <w:spacing w:before="120" w:after="120"/>
            </w:pPr>
            <w:r w:rsidRPr="00962A5B">
              <w:t>Prof Jane Hall</w:t>
            </w:r>
          </w:p>
        </w:tc>
        <w:tc>
          <w:tcPr>
            <w:tcW w:w="993" w:type="dxa"/>
          </w:tcPr>
          <w:p w14:paraId="6A16AEBC" w14:textId="77777777" w:rsidR="007532FE" w:rsidRPr="00677C6A" w:rsidRDefault="007532FE" w:rsidP="00C757AB">
            <w:pPr>
              <w:pStyle w:val="Body"/>
              <w:spacing w:before="120" w:after="120"/>
              <w:jc w:val="right"/>
            </w:pPr>
            <w:r>
              <w:t>10</w:t>
            </w:r>
          </w:p>
        </w:tc>
        <w:tc>
          <w:tcPr>
            <w:tcW w:w="984" w:type="dxa"/>
          </w:tcPr>
          <w:p w14:paraId="033A41E9" w14:textId="77777777" w:rsidR="007532FE" w:rsidRPr="00647B4F" w:rsidRDefault="007532FE" w:rsidP="00C757AB">
            <w:pPr>
              <w:pStyle w:val="Body"/>
              <w:spacing w:before="120" w:after="120"/>
              <w:jc w:val="right"/>
            </w:pPr>
            <w:r>
              <w:t>10</w:t>
            </w:r>
          </w:p>
        </w:tc>
      </w:tr>
      <w:tr w:rsidR="007532FE" w:rsidRPr="00906A47" w14:paraId="54B2DB87" w14:textId="77777777" w:rsidTr="004B67A6">
        <w:trPr>
          <w:cnfStyle w:val="000000100000" w:firstRow="0" w:lastRow="0" w:firstColumn="0" w:lastColumn="0" w:oddVBand="0" w:evenVBand="0" w:oddHBand="1" w:evenHBand="0" w:firstRowFirstColumn="0" w:firstRowLastColumn="0" w:lastRowFirstColumn="0" w:lastRowLastColumn="0"/>
          <w:trHeight w:val="20"/>
        </w:trPr>
        <w:tc>
          <w:tcPr>
            <w:tcW w:w="1709" w:type="dxa"/>
          </w:tcPr>
          <w:p w14:paraId="153E74F1" w14:textId="77777777" w:rsidR="007532FE" w:rsidRPr="00A37EEE" w:rsidRDefault="007532FE" w:rsidP="00C757AB">
            <w:pPr>
              <w:pStyle w:val="Body"/>
              <w:spacing w:before="120" w:after="120"/>
            </w:pPr>
            <w:r w:rsidRPr="00962A5B">
              <w:t>Dr Kate Taylor</w:t>
            </w:r>
          </w:p>
        </w:tc>
        <w:tc>
          <w:tcPr>
            <w:tcW w:w="993" w:type="dxa"/>
          </w:tcPr>
          <w:p w14:paraId="1818F6FA" w14:textId="77777777" w:rsidR="007532FE" w:rsidRPr="00677C6A" w:rsidRDefault="007532FE" w:rsidP="00C757AB">
            <w:pPr>
              <w:pStyle w:val="Body"/>
              <w:spacing w:before="120" w:after="120"/>
              <w:jc w:val="right"/>
            </w:pPr>
            <w:r>
              <w:t>10</w:t>
            </w:r>
          </w:p>
        </w:tc>
        <w:tc>
          <w:tcPr>
            <w:tcW w:w="984" w:type="dxa"/>
          </w:tcPr>
          <w:p w14:paraId="10C79BDB" w14:textId="77777777" w:rsidR="007532FE" w:rsidRPr="00647B4F" w:rsidRDefault="007532FE" w:rsidP="00C757AB">
            <w:pPr>
              <w:pStyle w:val="Body"/>
              <w:spacing w:before="120" w:after="120"/>
              <w:jc w:val="right"/>
            </w:pPr>
            <w:r>
              <w:t>10</w:t>
            </w:r>
          </w:p>
        </w:tc>
      </w:tr>
      <w:tr w:rsidR="007532FE" w:rsidRPr="00906A47" w14:paraId="2E1A09D1" w14:textId="77777777" w:rsidTr="004B67A6">
        <w:trPr>
          <w:cnfStyle w:val="000000010000" w:firstRow="0" w:lastRow="0" w:firstColumn="0" w:lastColumn="0" w:oddVBand="0" w:evenVBand="0" w:oddHBand="0" w:evenHBand="1" w:firstRowFirstColumn="0" w:firstRowLastColumn="0" w:lastRowFirstColumn="0" w:lastRowLastColumn="0"/>
          <w:trHeight w:val="20"/>
        </w:trPr>
        <w:tc>
          <w:tcPr>
            <w:tcW w:w="1709" w:type="dxa"/>
            <w:tcBorders>
              <w:bottom w:val="single" w:sz="4" w:space="0" w:color="D9D9D9" w:themeColor="background2" w:themeShade="D9"/>
            </w:tcBorders>
          </w:tcPr>
          <w:p w14:paraId="6C9CA202" w14:textId="77777777" w:rsidR="007532FE" w:rsidRPr="00A37EEE" w:rsidRDefault="007532FE" w:rsidP="00C757AB">
            <w:pPr>
              <w:pStyle w:val="Body"/>
              <w:spacing w:before="120" w:after="120"/>
            </w:pPr>
            <w:proofErr w:type="spellStart"/>
            <w:r w:rsidRPr="00962A5B">
              <w:t>Ms</w:t>
            </w:r>
            <w:proofErr w:type="spellEnd"/>
            <w:r w:rsidRPr="00962A5B">
              <w:t xml:space="preserve"> Jenn</w:t>
            </w:r>
            <w:r>
              <w:t>y</w:t>
            </w:r>
            <w:r w:rsidRPr="00962A5B">
              <w:t xml:space="preserve"> Richter </w:t>
            </w:r>
          </w:p>
        </w:tc>
        <w:tc>
          <w:tcPr>
            <w:tcW w:w="993" w:type="dxa"/>
            <w:tcBorders>
              <w:bottom w:val="single" w:sz="4" w:space="0" w:color="D9D9D9" w:themeColor="background2" w:themeShade="D9"/>
            </w:tcBorders>
          </w:tcPr>
          <w:p w14:paraId="50000A02" w14:textId="77777777" w:rsidR="007532FE" w:rsidRPr="00677C6A" w:rsidRDefault="007532FE" w:rsidP="00C757AB">
            <w:pPr>
              <w:pStyle w:val="Body"/>
              <w:spacing w:before="120" w:after="120"/>
              <w:jc w:val="right"/>
            </w:pPr>
            <w:r>
              <w:t>10</w:t>
            </w:r>
          </w:p>
        </w:tc>
        <w:tc>
          <w:tcPr>
            <w:tcW w:w="984" w:type="dxa"/>
            <w:tcBorders>
              <w:bottom w:val="single" w:sz="4" w:space="0" w:color="D9D9D9" w:themeColor="background2" w:themeShade="D9"/>
            </w:tcBorders>
          </w:tcPr>
          <w:p w14:paraId="2C8CBC21" w14:textId="77777777" w:rsidR="007532FE" w:rsidRPr="00647B4F" w:rsidRDefault="007532FE" w:rsidP="00C757AB">
            <w:pPr>
              <w:pStyle w:val="Body"/>
              <w:spacing w:before="120" w:after="120"/>
              <w:jc w:val="right"/>
            </w:pPr>
            <w:r>
              <w:t>10</w:t>
            </w:r>
          </w:p>
        </w:tc>
      </w:tr>
      <w:bookmarkEnd w:id="75"/>
    </w:tbl>
    <w:p w14:paraId="0F43FCF7" w14:textId="77777777" w:rsidR="007532FE" w:rsidRDefault="007532FE" w:rsidP="007532FE">
      <w:pPr>
        <w:pStyle w:val="Body"/>
        <w:sectPr w:rsidR="007532FE" w:rsidSect="00655B71">
          <w:type w:val="continuous"/>
          <w:pgSz w:w="9979" w:h="14175"/>
          <w:pgMar w:top="1418" w:right="1134" w:bottom="1134" w:left="1134" w:header="709" w:footer="709" w:gutter="0"/>
          <w:cols w:space="708"/>
          <w:docGrid w:linePitch="360"/>
        </w:sectPr>
      </w:pPr>
    </w:p>
    <w:p w14:paraId="5B912D41" w14:textId="09F26313" w:rsidR="0000226A" w:rsidRDefault="0000226A" w:rsidP="009A2D17">
      <w:pPr>
        <w:pStyle w:val="H1"/>
        <w:spacing w:before="1680"/>
      </w:pPr>
      <w:bookmarkStart w:id="76" w:name="_Toc84488741"/>
      <w:r>
        <w:lastRenderedPageBreak/>
        <w:t>IHPA 202</w:t>
      </w:r>
      <w:r w:rsidR="00BC0DED">
        <w:t>0–</w:t>
      </w:r>
      <w:r>
        <w:t xml:space="preserve">21 </w:t>
      </w:r>
      <w:r w:rsidR="001659E1">
        <w:rPr>
          <w:noProof/>
          <w:lang w:val="en-AU" w:eastAsia="en-AU"/>
        </w:rPr>
        <w:drawing>
          <wp:anchor distT="0" distB="0" distL="114300" distR="114300" simplePos="0" relativeHeight="251987968" behindDoc="1" locked="0" layoutInCell="1" allowOverlap="1" wp14:anchorId="32CF7E82" wp14:editId="1592CF25">
            <wp:simplePos x="0" y="0"/>
            <wp:positionH relativeFrom="column">
              <wp:posOffset>-721995</wp:posOffset>
            </wp:positionH>
            <wp:positionV relativeFrom="paragraph">
              <wp:posOffset>-904875</wp:posOffset>
            </wp:positionV>
            <wp:extent cx="6334125" cy="8995936"/>
            <wp:effectExtent l="0" t="0" r="0" b="0"/>
            <wp:wrapNone/>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39815" cy="90040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4592">
        <w:t>o</w:t>
      </w:r>
      <w:r>
        <w:t>verview</w:t>
      </w:r>
      <w:bookmarkEnd w:id="76"/>
    </w:p>
    <w:p w14:paraId="6B81F180" w14:textId="13FB7F70" w:rsidR="0000226A" w:rsidRDefault="00AB3AE1" w:rsidP="0000226A">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3254B2A5" wp14:editId="6BB58392">
            <wp:extent cx="1838324" cy="1652665"/>
            <wp:effectExtent l="0" t="0" r="0" b="5080"/>
            <wp:docPr id="18" name="Picture 18" descr="Chapt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pter 3"/>
                    <pic:cNvPicPr>
                      <a:picLocks noChangeAspect="1" noChangeArrowheads="1"/>
                    </pic:cNvPicPr>
                  </pic:nvPicPr>
                  <pic:blipFill>
                    <a:blip r:embed="rId94" cstate="print">
                      <a:extLst>
                        <a:ext uri="{28A0092B-C50C-407E-A947-70E740481C1C}">
                          <a14:useLocalDpi xmlns:a14="http://schemas.microsoft.com/office/drawing/2010/main"/>
                        </a:ext>
                      </a:extLst>
                    </a:blip>
                    <a:stretch>
                      <a:fillRect/>
                    </a:stretch>
                  </pic:blipFill>
                  <pic:spPr bwMode="auto">
                    <a:xfrm>
                      <a:off x="0" y="0"/>
                      <a:ext cx="1838324" cy="1652665"/>
                    </a:xfrm>
                    <a:prstGeom prst="rect">
                      <a:avLst/>
                    </a:prstGeom>
                    <a:noFill/>
                    <a:ln>
                      <a:noFill/>
                    </a:ln>
                  </pic:spPr>
                </pic:pic>
              </a:graphicData>
            </a:graphic>
          </wp:inline>
        </w:drawing>
      </w:r>
    </w:p>
    <w:p w14:paraId="0BC2E92B" w14:textId="1CECCC43" w:rsidR="0000226A" w:rsidRPr="0000226A" w:rsidRDefault="0000226A" w:rsidP="0000226A">
      <w:pPr>
        <w:spacing w:before="1200" w:after="0"/>
        <w:jc w:val="center"/>
        <w:rPr>
          <w:color w:val="003F2C" w:themeColor="text2"/>
        </w:rPr>
      </w:pPr>
    </w:p>
    <w:p w14:paraId="623860AB" w14:textId="53E8243C" w:rsidR="0000226A" w:rsidRDefault="0000226A" w:rsidP="007532FE">
      <w:pPr>
        <w:pStyle w:val="Body"/>
        <w:sectPr w:rsidR="0000226A" w:rsidSect="007532FE">
          <w:headerReference w:type="default" r:id="rId95"/>
          <w:footerReference w:type="default" r:id="rId96"/>
          <w:pgSz w:w="9979" w:h="14175"/>
          <w:pgMar w:top="1418" w:right="1134" w:bottom="1134" w:left="1134" w:header="709" w:footer="709" w:gutter="0"/>
          <w:cols w:space="708"/>
          <w:docGrid w:linePitch="360"/>
        </w:sectPr>
      </w:pPr>
    </w:p>
    <w:p w14:paraId="0EEE0461" w14:textId="77777777" w:rsidR="00CC33E2" w:rsidRPr="00CC33E2" w:rsidRDefault="00CC33E2" w:rsidP="00441579">
      <w:pPr>
        <w:pStyle w:val="Heading1"/>
        <w:rPr>
          <w:color w:val="003F2C" w:themeColor="text1"/>
        </w:rPr>
        <w:sectPr w:rsidR="00CC33E2" w:rsidRPr="00CC33E2" w:rsidSect="00441579">
          <w:headerReference w:type="default" r:id="rId97"/>
          <w:footerReference w:type="default" r:id="rId98"/>
          <w:pgSz w:w="9979" w:h="14175"/>
          <w:pgMar w:top="1134" w:right="1134" w:bottom="1134" w:left="1134" w:header="709" w:footer="709" w:gutter="0"/>
          <w:cols w:space="708"/>
          <w:docGrid w:linePitch="360"/>
        </w:sectPr>
      </w:pPr>
      <w:bookmarkStart w:id="77" w:name="_Toc44350178"/>
      <w:bookmarkStart w:id="78" w:name="_Toc50378071"/>
      <w:bookmarkStart w:id="79" w:name="_Toc84488742"/>
      <w:r w:rsidRPr="00CC33E2">
        <w:rPr>
          <w:color w:val="003F2C" w:themeColor="text1"/>
        </w:rPr>
        <w:lastRenderedPageBreak/>
        <w:t>CEO</w:t>
      </w:r>
      <w:r w:rsidRPr="00CC33E2">
        <w:rPr>
          <w:color w:val="003F2C" w:themeColor="text1"/>
          <w:spacing w:val="-80"/>
        </w:rPr>
        <w:t>’</w:t>
      </w:r>
      <w:r w:rsidRPr="00CC33E2">
        <w:rPr>
          <w:color w:val="003F2C" w:themeColor="text1"/>
          <w:spacing w:val="0"/>
        </w:rPr>
        <w:t>s y</w:t>
      </w:r>
      <w:r w:rsidRPr="00CC33E2">
        <w:rPr>
          <w:color w:val="003F2C" w:themeColor="text1"/>
        </w:rPr>
        <w:t>ear in review</w:t>
      </w:r>
      <w:bookmarkEnd w:id="77"/>
      <w:bookmarkEnd w:id="78"/>
      <w:bookmarkEnd w:id="79"/>
    </w:p>
    <w:p w14:paraId="5BD748F4" w14:textId="77777777" w:rsidR="00CC33E2" w:rsidRPr="00CC33E2" w:rsidRDefault="00CC33E2" w:rsidP="00CC33E2">
      <w:pPr>
        <w:rPr>
          <w:color w:val="1C1C1C"/>
          <w:sz w:val="18"/>
          <w:szCs w:val="18"/>
        </w:rPr>
      </w:pPr>
      <w:r w:rsidRPr="00CC33E2">
        <w:rPr>
          <w:noProof/>
          <w:color w:val="1C1C1C"/>
          <w:sz w:val="18"/>
          <w:szCs w:val="18"/>
          <w:lang w:val="en-AU" w:eastAsia="en-AU"/>
        </w:rPr>
        <w:drawing>
          <wp:inline distT="0" distB="0" distL="0" distR="0" wp14:anchorId="1FE5142E" wp14:editId="2BD375E8">
            <wp:extent cx="1877274" cy="1685676"/>
            <wp:effectExtent l="0" t="0" r="8890" b="0"/>
            <wp:docPr id="25" name="Picture 25" descr="Photo of Mr James Downie, Chief Executive Office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Photo of Mr James Downie, Chief Executive Officer, Independent Hospital Pricing Authority"/>
                    <pic:cNvPicPr>
                      <a:picLocks noChangeAspect="1" noChangeArrowheads="1"/>
                    </pic:cNvPicPr>
                  </pic:nvPicPr>
                  <pic:blipFill>
                    <a:blip r:embed="rId99" cstate="print">
                      <a:extLst>
                        <a:ext uri="{28A0092B-C50C-407E-A947-70E740481C1C}">
                          <a14:useLocalDpi xmlns:a14="http://schemas.microsoft.com/office/drawing/2010/main"/>
                        </a:ext>
                      </a:extLst>
                    </a:blip>
                    <a:stretch>
                      <a:fillRect/>
                    </a:stretch>
                  </pic:blipFill>
                  <pic:spPr bwMode="auto">
                    <a:xfrm>
                      <a:off x="0" y="0"/>
                      <a:ext cx="1892932" cy="1699736"/>
                    </a:xfrm>
                    <a:prstGeom prst="rect">
                      <a:avLst/>
                    </a:prstGeom>
                    <a:noFill/>
                    <a:ln>
                      <a:noFill/>
                    </a:ln>
                  </pic:spPr>
                </pic:pic>
              </a:graphicData>
            </a:graphic>
          </wp:inline>
        </w:drawing>
      </w:r>
    </w:p>
    <w:p w14:paraId="77BFC829" w14:textId="77777777" w:rsidR="007059E7" w:rsidRPr="007059E7" w:rsidRDefault="007059E7" w:rsidP="007059E7">
      <w:pPr>
        <w:pStyle w:val="Body"/>
        <w:rPr>
          <w:b/>
          <w:bCs/>
        </w:rPr>
      </w:pPr>
      <w:r w:rsidRPr="007059E7">
        <w:rPr>
          <w:b/>
          <w:bCs/>
        </w:rPr>
        <w:t xml:space="preserve">In 2020–21, the Independent Hospital Pricing Authority (IHPA) delivered another full program of work, in addition to its swift response to the challenges presented by Coronavirus Disease 2019 (COVID-19) throughout the year. </w:t>
      </w:r>
    </w:p>
    <w:p w14:paraId="21F3F2B6" w14:textId="77777777" w:rsidR="007059E7" w:rsidRDefault="007059E7" w:rsidP="007059E7">
      <w:pPr>
        <w:pStyle w:val="Body"/>
      </w:pPr>
      <w:r w:rsidRPr="007059E7">
        <w:t>These priorities guided the strategic direction for our work as we continued to design the pricing systems to deliver high-quality, efficient and safe public hospital services for all Australians.</w:t>
      </w:r>
    </w:p>
    <w:p w14:paraId="0D23B64C" w14:textId="02A57E89" w:rsidR="002A7134" w:rsidRPr="00CC33E2" w:rsidRDefault="002A7134" w:rsidP="002A7134">
      <w:pPr>
        <w:pStyle w:val="H4"/>
      </w:pPr>
      <w:r w:rsidRPr="00CC33E2">
        <w:t>Responding to COVID-19</w:t>
      </w:r>
    </w:p>
    <w:p w14:paraId="2F139B4C" w14:textId="02D4755A" w:rsidR="007059E7" w:rsidRPr="007059E7" w:rsidRDefault="007059E7" w:rsidP="007059E7">
      <w:pPr>
        <w:rPr>
          <w:color w:val="1C1C1C"/>
          <w:sz w:val="18"/>
          <w:szCs w:val="18"/>
        </w:rPr>
      </w:pPr>
      <w:r w:rsidRPr="007059E7">
        <w:rPr>
          <w:color w:val="1C1C1C"/>
          <w:sz w:val="18"/>
          <w:szCs w:val="18"/>
        </w:rPr>
        <w:t xml:space="preserve">IHPA has worked closely with the Administrator of the National Health Funding Pool to provide assistance in implementing the National Partnership Agreement for COVID-19 </w:t>
      </w:r>
      <w:r w:rsidR="00E24FC6">
        <w:rPr>
          <w:color w:val="1C1C1C"/>
          <w:sz w:val="18"/>
          <w:szCs w:val="18"/>
        </w:rPr>
        <w:t>R</w:t>
      </w:r>
      <w:r w:rsidRPr="007059E7">
        <w:rPr>
          <w:color w:val="1C1C1C"/>
          <w:sz w:val="18"/>
          <w:szCs w:val="18"/>
        </w:rPr>
        <w:t>esponse.</w:t>
      </w:r>
    </w:p>
    <w:p w14:paraId="11D1B859" w14:textId="1AC2151F" w:rsidR="001907C4" w:rsidRPr="00CC33E2" w:rsidRDefault="001907C4" w:rsidP="001907C4">
      <w:pPr>
        <w:rPr>
          <w:color w:val="1C1C1C"/>
          <w:sz w:val="18"/>
          <w:szCs w:val="18"/>
        </w:rPr>
      </w:pPr>
      <w:r>
        <w:rPr>
          <w:color w:val="1C1C1C"/>
          <w:sz w:val="18"/>
          <w:szCs w:val="18"/>
        </w:rPr>
        <w:t xml:space="preserve">In the early stages of the outbreak, IHPA released emergency use codes to ensure critical information on COVID-19 patients was available in a timely manner. </w:t>
      </w:r>
      <w:r w:rsidRPr="00CC33E2">
        <w:rPr>
          <w:color w:val="1C1C1C"/>
          <w:sz w:val="18"/>
          <w:szCs w:val="18"/>
        </w:rPr>
        <w:t xml:space="preserve">We </w:t>
      </w:r>
      <w:r>
        <w:rPr>
          <w:color w:val="1C1C1C"/>
          <w:sz w:val="18"/>
          <w:szCs w:val="18"/>
        </w:rPr>
        <w:t xml:space="preserve">also </w:t>
      </w:r>
      <w:r w:rsidRPr="00CC33E2">
        <w:rPr>
          <w:color w:val="1C1C1C"/>
          <w:sz w:val="18"/>
          <w:szCs w:val="18"/>
        </w:rPr>
        <w:t>provided guidance to states and territories and public hospitals on how the costs of treating COVID-19 patients should be</w:t>
      </w:r>
      <w:r w:rsidR="00A75A9B">
        <w:rPr>
          <w:color w:val="1C1C1C"/>
          <w:sz w:val="18"/>
          <w:szCs w:val="18"/>
        </w:rPr>
        <w:t> </w:t>
      </w:r>
      <w:r w:rsidRPr="00CC33E2">
        <w:rPr>
          <w:color w:val="1C1C1C"/>
          <w:sz w:val="18"/>
          <w:szCs w:val="18"/>
        </w:rPr>
        <w:t>captured</w:t>
      </w:r>
      <w:r>
        <w:rPr>
          <w:color w:val="1C1C1C"/>
          <w:sz w:val="18"/>
          <w:szCs w:val="18"/>
        </w:rPr>
        <w:t>.</w:t>
      </w:r>
      <w:r w:rsidRPr="00CC33E2">
        <w:rPr>
          <w:color w:val="1C1C1C"/>
          <w:sz w:val="18"/>
          <w:szCs w:val="18"/>
        </w:rPr>
        <w:t xml:space="preserve"> </w:t>
      </w:r>
    </w:p>
    <w:p w14:paraId="1F1269AD" w14:textId="6D486CA7" w:rsidR="007059E7" w:rsidRPr="00CC33E2" w:rsidRDefault="007059E7" w:rsidP="007059E7">
      <w:pPr>
        <w:rPr>
          <w:color w:val="1C1C1C"/>
          <w:sz w:val="18"/>
          <w:szCs w:val="18"/>
        </w:rPr>
      </w:pPr>
      <w:r w:rsidRPr="007059E7">
        <w:rPr>
          <w:color w:val="1C1C1C"/>
          <w:sz w:val="18"/>
          <w:szCs w:val="18"/>
        </w:rPr>
        <w:t>The ongoing collaboration that took place in relation to submitting this cost and activity data has and will continue to be incredibly valuable as</w:t>
      </w:r>
      <w:r w:rsidR="00D920B9">
        <w:rPr>
          <w:color w:val="1C1C1C"/>
          <w:sz w:val="18"/>
          <w:szCs w:val="18"/>
        </w:rPr>
        <w:t> </w:t>
      </w:r>
      <w:r w:rsidRPr="007059E7">
        <w:rPr>
          <w:color w:val="1C1C1C"/>
          <w:sz w:val="18"/>
          <w:szCs w:val="18"/>
        </w:rPr>
        <w:t>we consider the impact of the pandemic on the delivery of all public hospital services in the short and long</w:t>
      </w:r>
      <w:r w:rsidR="004B0AEC">
        <w:rPr>
          <w:color w:val="1C1C1C"/>
          <w:sz w:val="18"/>
          <w:szCs w:val="18"/>
        </w:rPr>
        <w:t>-</w:t>
      </w:r>
      <w:r w:rsidRPr="007059E7">
        <w:rPr>
          <w:color w:val="1C1C1C"/>
          <w:sz w:val="18"/>
          <w:szCs w:val="18"/>
        </w:rPr>
        <w:t>term.</w:t>
      </w:r>
    </w:p>
    <w:p w14:paraId="5E102E9B" w14:textId="77777777" w:rsidR="000D3AC4" w:rsidRPr="00CC33E2" w:rsidRDefault="000D3AC4" w:rsidP="000D3AC4">
      <w:pPr>
        <w:pStyle w:val="H4"/>
      </w:pPr>
      <w:r w:rsidRPr="00CC33E2">
        <w:t>Key highlights</w:t>
      </w:r>
    </w:p>
    <w:p w14:paraId="2E84E03E" w14:textId="2CCEA52A" w:rsidR="007059E7" w:rsidRPr="007059E7" w:rsidRDefault="007059E7" w:rsidP="007059E7">
      <w:pPr>
        <w:pStyle w:val="Body"/>
      </w:pPr>
      <w:r w:rsidRPr="007059E7">
        <w:t>The Addendum to the National Health Reform Agreement 2020–25 maintains a commitment to</w:t>
      </w:r>
      <w:r w:rsidR="00A75A9B">
        <w:t> </w:t>
      </w:r>
      <w:r w:rsidRPr="007059E7">
        <w:t>activity based funding and reaffirms the role of</w:t>
      </w:r>
      <w:r w:rsidR="00A75A9B">
        <w:t> </w:t>
      </w:r>
      <w:r w:rsidRPr="007059E7">
        <w:t>IHPA. Our work program for 2020–21 continued reforms for improving health outcomes of patients, including reducing avoidable hospital admissions</w:t>
      </w:r>
      <w:r w:rsidR="00D920B9">
        <w:t>,</w:t>
      </w:r>
      <w:r w:rsidRPr="007059E7">
        <w:t xml:space="preserve"> and working for the provision of safe, high-quality care </w:t>
      </w:r>
      <w:r w:rsidR="00E40E17">
        <w:t>a</w:t>
      </w:r>
      <w:r w:rsidRPr="007059E7">
        <w:t>cross the Australian public hospital system, as</w:t>
      </w:r>
      <w:r w:rsidR="00D920B9">
        <w:t> </w:t>
      </w:r>
      <w:r w:rsidRPr="007059E7">
        <w:t>mandated by the safety and</w:t>
      </w:r>
      <w:r w:rsidR="00A75A9B">
        <w:t> </w:t>
      </w:r>
      <w:r w:rsidRPr="007059E7">
        <w:t>quality measures agreed upon by all Australian</w:t>
      </w:r>
      <w:r w:rsidR="00A75A9B">
        <w:t> </w:t>
      </w:r>
      <w:r w:rsidRPr="007059E7">
        <w:t>governments in</w:t>
      </w:r>
      <w:r w:rsidR="00D920B9">
        <w:t> </w:t>
      </w:r>
      <w:r w:rsidRPr="007059E7">
        <w:t xml:space="preserve">2017. </w:t>
      </w:r>
    </w:p>
    <w:p w14:paraId="6C926525" w14:textId="77777777" w:rsidR="001907C4" w:rsidRDefault="007059E7" w:rsidP="007059E7">
      <w:pPr>
        <w:pStyle w:val="Body"/>
      </w:pPr>
      <w:r w:rsidRPr="007059E7">
        <w:t xml:space="preserve">In March 2021 we released the National Efficient Price and National Efficient Cost Determinations, alongside the Pricing Framework for Australian Public Hospital Services for 2021–22. </w:t>
      </w:r>
    </w:p>
    <w:p w14:paraId="633B0746" w14:textId="7164EECE" w:rsidR="007059E7" w:rsidRDefault="007059E7" w:rsidP="007059E7">
      <w:pPr>
        <w:pStyle w:val="Body"/>
      </w:pPr>
      <w:r w:rsidRPr="007059E7">
        <w:t>In 2020–21, work was undertake</w:t>
      </w:r>
      <w:r w:rsidR="001907C4">
        <w:t>n</w:t>
      </w:r>
      <w:r w:rsidRPr="007059E7">
        <w:t xml:space="preserve"> to introduce the first version of the Australian Emergency Care Classification to price emergency department services from 1 July 2021. Shadow pricing of community mental health care using the first version of the Australian Mental Health Care Classification also commenced from 1 July 2021.</w:t>
      </w:r>
    </w:p>
    <w:p w14:paraId="2A089F15" w14:textId="3AC16C78" w:rsidR="007059E7" w:rsidRDefault="007059E7" w:rsidP="007059E7">
      <w:pPr>
        <w:pStyle w:val="Body"/>
      </w:pPr>
      <w:r w:rsidRPr="007059E7">
        <w:t>Development of the new versions of the subacute and non-acute and admitted care classifications also continued</w:t>
      </w:r>
      <w:r w:rsidR="00AC534F">
        <w:t>. These</w:t>
      </w:r>
      <w:r w:rsidRPr="007059E7">
        <w:t xml:space="preserve"> were informed by consultations with our stakeholders and the public on the proposed refinements to ensure they were clinically accurate and meaningful prior to being incorporated into the national pricing model.</w:t>
      </w:r>
    </w:p>
    <w:p w14:paraId="5E9DE107" w14:textId="3FCCCCA9" w:rsidR="007059E7" w:rsidRDefault="00CC33E2" w:rsidP="007059E7">
      <w:pPr>
        <w:pStyle w:val="Body"/>
      </w:pPr>
      <w:r>
        <w:br w:type="column"/>
      </w:r>
      <w:r w:rsidR="007059E7">
        <w:lastRenderedPageBreak/>
        <w:t xml:space="preserve">In 2021 we </w:t>
      </w:r>
      <w:proofErr w:type="spellStart"/>
      <w:r w:rsidR="001907C4">
        <w:t>finalised</w:t>
      </w:r>
      <w:proofErr w:type="spellEnd"/>
      <w:r w:rsidR="001907C4">
        <w:t xml:space="preserve"> </w:t>
      </w:r>
      <w:r w:rsidR="007059E7">
        <w:t>the 24-month shadow period to assess</w:t>
      </w:r>
      <w:r w:rsidR="00D920B9">
        <w:t> </w:t>
      </w:r>
      <w:r w:rsidR="007059E7">
        <w:t>three funding options to reduce avoidable hospital readmissions</w:t>
      </w:r>
      <w:r w:rsidR="001907C4">
        <w:t>.</w:t>
      </w:r>
    </w:p>
    <w:p w14:paraId="4237E870" w14:textId="38ECF046" w:rsidR="000D3AC4" w:rsidRPr="00CC33E2" w:rsidRDefault="007059E7" w:rsidP="007059E7">
      <w:pPr>
        <w:pStyle w:val="Body"/>
      </w:pPr>
      <w:r>
        <w:t xml:space="preserve">In addition to our regular work program, this year we also produced a pricing and costing study for the Nationally Funded </w:t>
      </w:r>
      <w:proofErr w:type="spellStart"/>
      <w:r>
        <w:t>Centres</w:t>
      </w:r>
      <w:proofErr w:type="spellEnd"/>
      <w:r>
        <w:t xml:space="preserve"> Program, which supports access to a small number of high</w:t>
      </w:r>
      <w:r w:rsidR="001907C4">
        <w:t>-</w:t>
      </w:r>
      <w:r>
        <w:t xml:space="preserve">cost and highly </w:t>
      </w:r>
      <w:proofErr w:type="spellStart"/>
      <w:r>
        <w:t>specialised</w:t>
      </w:r>
      <w:proofErr w:type="spellEnd"/>
      <w:r>
        <w:t>, low</w:t>
      </w:r>
      <w:r w:rsidR="001907C4">
        <w:t>-</w:t>
      </w:r>
      <w:r>
        <w:t>volume procedures for</w:t>
      </w:r>
      <w:r w:rsidR="00D920B9">
        <w:t> </w:t>
      </w:r>
      <w:r>
        <w:t>Australian patients.</w:t>
      </w:r>
    </w:p>
    <w:p w14:paraId="75DCDDF0" w14:textId="77777777" w:rsidR="000D3AC4" w:rsidRPr="00CC33E2" w:rsidRDefault="000D3AC4" w:rsidP="000D3AC4">
      <w:pPr>
        <w:pStyle w:val="H4"/>
      </w:pPr>
      <w:r w:rsidRPr="00CC33E2">
        <w:t>Investing in partnerships</w:t>
      </w:r>
    </w:p>
    <w:p w14:paraId="65AC799A" w14:textId="5A62555A" w:rsidR="007059E7" w:rsidRDefault="007059E7" w:rsidP="007059E7">
      <w:pPr>
        <w:pStyle w:val="Body"/>
      </w:pPr>
      <w:r>
        <w:t>As we pursued our many priorities for the preceding year, our partnership with stakeholders also grew and IHPA’s achievements throughout 2020–21 would not have been possible without</w:t>
      </w:r>
      <w:r w:rsidR="0004289A">
        <w:t> </w:t>
      </w:r>
      <w:r>
        <w:t xml:space="preserve">their input and collaboration to drive improvements in all areas of our work. </w:t>
      </w:r>
    </w:p>
    <w:p w14:paraId="55F641D5" w14:textId="54DBEDF1" w:rsidR="007059E7" w:rsidRPr="00CC33E2" w:rsidRDefault="007059E7" w:rsidP="007059E7">
      <w:pPr>
        <w:pStyle w:val="Body"/>
      </w:pPr>
      <w:r>
        <w:t>Despite the pandemic, we held our eighth Activity</w:t>
      </w:r>
      <w:r w:rsidR="00E90F8A">
        <w:t> </w:t>
      </w:r>
      <w:r>
        <w:t>Based Funding Conference, which was held in May 2021. It was a pleasure to host the virtual event for a record number of delegates–delivering valuable education for 2,171 professionals from across the world.</w:t>
      </w:r>
    </w:p>
    <w:p w14:paraId="3D66FF9D" w14:textId="77777777" w:rsidR="000D3AC4" w:rsidRPr="00CC33E2" w:rsidRDefault="00CC33E2" w:rsidP="000D3AC4">
      <w:pPr>
        <w:pStyle w:val="H4"/>
      </w:pPr>
      <w:r>
        <w:br w:type="column"/>
      </w:r>
      <w:r w:rsidR="000D3AC4" w:rsidRPr="00CC33E2">
        <w:t>Commendation</w:t>
      </w:r>
    </w:p>
    <w:p w14:paraId="7F0AA0E8" w14:textId="77777777" w:rsidR="007059E7" w:rsidRDefault="007059E7" w:rsidP="007059E7">
      <w:pPr>
        <w:pStyle w:val="Body"/>
      </w:pPr>
      <w:r>
        <w:t xml:space="preserve">I take this opportunity to acknowledge the expert advice and guidance of the Pricing Authority. </w:t>
      </w:r>
    </w:p>
    <w:p w14:paraId="55CBD652" w14:textId="1575441A" w:rsidR="007059E7" w:rsidRDefault="007059E7" w:rsidP="007059E7">
      <w:pPr>
        <w:pStyle w:val="Body"/>
      </w:pPr>
      <w:r>
        <w:t>I also wish to thank the Clinical Advisory Committee</w:t>
      </w:r>
      <w:r w:rsidR="001907C4">
        <w:t>,</w:t>
      </w:r>
      <w:r>
        <w:t xml:space="preserve"> and all of our committees and working groups, for their dedication in providing ongoing expert guidance to deliver a clinically-relevant annual program of work. I particularly want to thank the members of the committee whose terms</w:t>
      </w:r>
      <w:r w:rsidR="00E90F8A">
        <w:t> </w:t>
      </w:r>
      <w:r>
        <w:t>expired during 2021</w:t>
      </w:r>
      <w:r w:rsidR="001907C4">
        <w:t>,</w:t>
      </w:r>
      <w:r>
        <w:t xml:space="preserve"> Dr Philip Hoyle, </w:t>
      </w:r>
      <w:proofErr w:type="spellStart"/>
      <w:r>
        <w:t>M</w:t>
      </w:r>
      <w:r w:rsidR="00A810C5">
        <w:t>r</w:t>
      </w:r>
      <w:r>
        <w:t>s</w:t>
      </w:r>
      <w:proofErr w:type="spellEnd"/>
      <w:r w:rsidR="00E90F8A">
        <w:t> </w:t>
      </w:r>
      <w:r>
        <w:t>Jan</w:t>
      </w:r>
      <w:r w:rsidR="00E90F8A">
        <w:t> </w:t>
      </w:r>
      <w:r>
        <w:t>Erven, A/Prof Louis Irving, Prof</w:t>
      </w:r>
      <w:r w:rsidR="00E90F8A">
        <w:t> </w:t>
      </w:r>
      <w:r>
        <w:t>Daryl</w:t>
      </w:r>
      <w:r w:rsidR="00E90F8A">
        <w:t> </w:t>
      </w:r>
      <w:r>
        <w:t>Williams, Dr</w:t>
      </w:r>
      <w:r w:rsidR="00D920B9">
        <w:t> </w:t>
      </w:r>
      <w:r>
        <w:t>Ruth Vine and Dr</w:t>
      </w:r>
      <w:r w:rsidR="00E90F8A">
        <w:t> </w:t>
      </w:r>
      <w:r>
        <w:t>Amanda</w:t>
      </w:r>
      <w:r w:rsidR="00E90F8A">
        <w:t> </w:t>
      </w:r>
      <w:r>
        <w:t>Ling, all of whom have made significant contributions to IHPA’s success over</w:t>
      </w:r>
      <w:r w:rsidR="00E90F8A">
        <w:t> </w:t>
      </w:r>
      <w:r>
        <w:t>the</w:t>
      </w:r>
      <w:r w:rsidR="00E90F8A">
        <w:t> </w:t>
      </w:r>
      <w:r>
        <w:t>past 10 years.</w:t>
      </w:r>
    </w:p>
    <w:p w14:paraId="598D9025" w14:textId="1523F340" w:rsidR="000D3AC4" w:rsidRPr="00CC33E2" w:rsidRDefault="007059E7" w:rsidP="007059E7">
      <w:pPr>
        <w:pStyle w:val="Body"/>
      </w:pPr>
      <w:r>
        <w:t xml:space="preserve">My sincere thanks to all </w:t>
      </w:r>
      <w:r w:rsidR="005503E5">
        <w:t xml:space="preserve">of </w:t>
      </w:r>
      <w:r>
        <w:t>the staff at IHPA for</w:t>
      </w:r>
      <w:r w:rsidR="00E90F8A">
        <w:t> </w:t>
      </w:r>
      <w:r>
        <w:t>their support and commitment once again, especially during the challenging times we have faced throughout the COVID-19 pandemic. I am proud to be leading an agency with such a diverse and highly-skilled team.</w:t>
      </w:r>
    </w:p>
    <w:p w14:paraId="26DFBF9F" w14:textId="77777777" w:rsidR="000D3AC4" w:rsidRPr="00CC33E2" w:rsidRDefault="000D3AC4" w:rsidP="000D3AC4">
      <w:pPr>
        <w:pStyle w:val="H4"/>
      </w:pPr>
      <w:r w:rsidRPr="00CC33E2">
        <w:t>Year ahead</w:t>
      </w:r>
    </w:p>
    <w:p w14:paraId="27D8D20B" w14:textId="0A637F11" w:rsidR="007059E7" w:rsidRDefault="007059E7" w:rsidP="007059E7">
      <w:pPr>
        <w:pStyle w:val="Body"/>
      </w:pPr>
      <w:r>
        <w:t>IHPA will continue to work closely with all jurisdictions and the national agencies to progress</w:t>
      </w:r>
      <w:r w:rsidR="0091076C">
        <w:t> </w:t>
      </w:r>
      <w:r>
        <w:t>the implementation of the long</w:t>
      </w:r>
      <w:r w:rsidR="005503E5">
        <w:t>-</w:t>
      </w:r>
      <w:r>
        <w:t>term, key</w:t>
      </w:r>
      <w:r w:rsidR="0091076C">
        <w:t> </w:t>
      </w:r>
      <w:r>
        <w:t>principles outlined in the 2020–2</w:t>
      </w:r>
      <w:r w:rsidR="004431CE">
        <w:t>1</w:t>
      </w:r>
      <w:r>
        <w:t xml:space="preserve"> Addendum, and</w:t>
      </w:r>
      <w:r w:rsidR="0091076C">
        <w:t> </w:t>
      </w:r>
      <w:r>
        <w:t>continue to support funding arrangements under the National Partnership Agreement on COVID</w:t>
      </w:r>
      <w:r w:rsidR="005C5B6D">
        <w:noBreakHyphen/>
      </w:r>
      <w:r>
        <w:t>19 Response.</w:t>
      </w:r>
    </w:p>
    <w:p w14:paraId="78B3C889" w14:textId="50333727" w:rsidR="007059E7" w:rsidRPr="00CC33E2" w:rsidRDefault="007059E7" w:rsidP="007059E7">
      <w:pPr>
        <w:pStyle w:val="Body"/>
      </w:pPr>
      <w:r>
        <w:t>In the year ahead, we look forward to expanding this important work in the fields of aged care and</w:t>
      </w:r>
      <w:r w:rsidR="0091076C">
        <w:t> </w:t>
      </w:r>
      <w:r>
        <w:t xml:space="preserve">prostheses, </w:t>
      </w:r>
      <w:r w:rsidR="005503E5">
        <w:t>following the announcements outlined in the</w:t>
      </w:r>
      <w:r>
        <w:t xml:space="preserve"> Federal Budget</w:t>
      </w:r>
      <w:r w:rsidR="00762DB6">
        <w:t xml:space="preserve"> </w:t>
      </w:r>
      <w:r w:rsidR="00E2005A" w:rsidRPr="007059E7">
        <w:t>202</w:t>
      </w:r>
      <w:r w:rsidR="00A9038D">
        <w:t>1</w:t>
      </w:r>
      <w:r w:rsidR="00E2005A" w:rsidRPr="007059E7">
        <w:t>–2</w:t>
      </w:r>
      <w:r w:rsidR="00A9038D">
        <w:t>2</w:t>
      </w:r>
      <w:r w:rsidR="005503E5">
        <w:t>.</w:t>
      </w:r>
    </w:p>
    <w:p w14:paraId="0849482F" w14:textId="77777777" w:rsidR="00CC33E2" w:rsidRPr="00CC33E2" w:rsidRDefault="00CC33E2" w:rsidP="008A76BA">
      <w:pPr>
        <w:spacing w:before="360"/>
        <w:rPr>
          <w:color w:val="1C1C1C"/>
          <w:sz w:val="18"/>
          <w:szCs w:val="18"/>
        </w:rPr>
      </w:pPr>
      <w:r w:rsidRPr="00CC33E2">
        <w:rPr>
          <w:noProof/>
          <w:color w:val="1C1C1C"/>
          <w:sz w:val="18"/>
          <w:szCs w:val="18"/>
          <w:lang w:val="en-AU" w:eastAsia="en-AU"/>
        </w:rPr>
        <w:drawing>
          <wp:inline distT="0" distB="0" distL="0" distR="0" wp14:anchorId="1EE41F1B" wp14:editId="0A0183C8">
            <wp:extent cx="711770" cy="273050"/>
            <wp:effectExtent l="0" t="0" r="0" b="0"/>
            <wp:docPr id="26" name="Picture 26" descr="Signature of Mr James Downie, Chief Executive Office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ignature of Mr James Downie, Chief Executive Officer, Independent Hospital Pricing Authority"/>
                    <pic:cNvPicPr>
                      <a:picLocks noChangeAspect="1" noChangeArrowheads="1"/>
                    </pic:cNvPicPr>
                  </pic:nvPicPr>
                  <pic:blipFill>
                    <a:blip r:embed="rId100" cstate="print">
                      <a:extLst>
                        <a:ext uri="{28A0092B-C50C-407E-A947-70E740481C1C}">
                          <a14:useLocalDpi xmlns:a14="http://schemas.microsoft.com/office/drawing/2010/main"/>
                        </a:ext>
                      </a:extLst>
                    </a:blip>
                    <a:stretch>
                      <a:fillRect/>
                    </a:stretch>
                  </pic:blipFill>
                  <pic:spPr bwMode="auto">
                    <a:xfrm>
                      <a:off x="0" y="0"/>
                      <a:ext cx="711770" cy="273050"/>
                    </a:xfrm>
                    <a:prstGeom prst="rect">
                      <a:avLst/>
                    </a:prstGeom>
                    <a:noFill/>
                    <a:ln>
                      <a:noFill/>
                    </a:ln>
                  </pic:spPr>
                </pic:pic>
              </a:graphicData>
            </a:graphic>
          </wp:inline>
        </w:drawing>
      </w:r>
    </w:p>
    <w:p w14:paraId="1ED0AE15" w14:textId="77777777" w:rsidR="00B424D0" w:rsidRDefault="00B424D0" w:rsidP="00CC33E2">
      <w:pPr>
        <w:rPr>
          <w:color w:val="1C1C1C"/>
          <w:sz w:val="18"/>
          <w:szCs w:val="18"/>
        </w:rPr>
      </w:pPr>
      <w:proofErr w:type="spellStart"/>
      <w:r>
        <w:rPr>
          <w:b/>
          <w:bCs/>
          <w:color w:val="1C1C1C"/>
          <w:sz w:val="18"/>
          <w:szCs w:val="18"/>
        </w:rPr>
        <w:t>Mr</w:t>
      </w:r>
      <w:proofErr w:type="spellEnd"/>
      <w:r>
        <w:rPr>
          <w:b/>
          <w:bCs/>
          <w:color w:val="1C1C1C"/>
          <w:sz w:val="18"/>
          <w:szCs w:val="18"/>
        </w:rPr>
        <w:t xml:space="preserve"> </w:t>
      </w:r>
      <w:r w:rsidR="00CC33E2" w:rsidRPr="00CC33E2">
        <w:rPr>
          <w:b/>
          <w:bCs/>
          <w:color w:val="1C1C1C"/>
          <w:sz w:val="18"/>
          <w:szCs w:val="18"/>
        </w:rPr>
        <w:t xml:space="preserve">James </w:t>
      </w:r>
      <w:proofErr w:type="spellStart"/>
      <w:r w:rsidR="00CC33E2" w:rsidRPr="00CC33E2">
        <w:rPr>
          <w:b/>
          <w:bCs/>
          <w:color w:val="1C1C1C"/>
          <w:sz w:val="18"/>
          <w:szCs w:val="18"/>
        </w:rPr>
        <w:t>Downie</w:t>
      </w:r>
      <w:proofErr w:type="spellEnd"/>
    </w:p>
    <w:p w14:paraId="7E62E38D" w14:textId="4541D289" w:rsidR="00CC33E2" w:rsidRPr="00CC33E2" w:rsidRDefault="00CC33E2" w:rsidP="00CC33E2">
      <w:pPr>
        <w:rPr>
          <w:color w:val="1C1C1C"/>
          <w:sz w:val="18"/>
          <w:szCs w:val="18"/>
        </w:rPr>
      </w:pPr>
      <w:r w:rsidRPr="00CC33E2">
        <w:rPr>
          <w:color w:val="1C1C1C"/>
          <w:sz w:val="18"/>
          <w:szCs w:val="18"/>
        </w:rPr>
        <w:t>Chief Executive Officer</w:t>
      </w:r>
      <w:r w:rsidR="00B424D0">
        <w:rPr>
          <w:color w:val="1C1C1C"/>
          <w:sz w:val="18"/>
          <w:szCs w:val="18"/>
        </w:rPr>
        <w:br/>
      </w:r>
      <w:r w:rsidRPr="00CC33E2">
        <w:rPr>
          <w:color w:val="1C1C1C"/>
          <w:sz w:val="18"/>
          <w:szCs w:val="18"/>
        </w:rPr>
        <w:t>I</w:t>
      </w:r>
      <w:r w:rsidR="00B424D0">
        <w:rPr>
          <w:color w:val="1C1C1C"/>
          <w:sz w:val="18"/>
          <w:szCs w:val="18"/>
        </w:rPr>
        <w:t>ndependent Hospital Pricing Authority</w:t>
      </w:r>
      <w:r w:rsidRPr="00CC33E2">
        <w:rPr>
          <w:color w:val="1C1C1C"/>
          <w:sz w:val="18"/>
          <w:szCs w:val="18"/>
        </w:rPr>
        <w:br/>
      </w:r>
      <w:r w:rsidR="005503E5">
        <w:rPr>
          <w:color w:val="1C1C1C"/>
          <w:sz w:val="18"/>
          <w:szCs w:val="18"/>
        </w:rPr>
        <w:t>30 August 2021</w:t>
      </w:r>
    </w:p>
    <w:p w14:paraId="54AF36F2" w14:textId="77777777" w:rsidR="00C20068" w:rsidRDefault="00C20068" w:rsidP="00CC33E2">
      <w:pPr>
        <w:pStyle w:val="Body"/>
        <w:sectPr w:rsidR="00C20068" w:rsidSect="00441579">
          <w:footerReference w:type="default" r:id="rId101"/>
          <w:type w:val="continuous"/>
          <w:pgSz w:w="9979" w:h="14175"/>
          <w:pgMar w:top="1134" w:right="1134" w:bottom="1134" w:left="1134" w:header="709" w:footer="709" w:gutter="0"/>
          <w:cols w:num="2" w:space="708"/>
          <w:docGrid w:linePitch="360"/>
        </w:sectPr>
      </w:pPr>
    </w:p>
    <w:p w14:paraId="055E3528" w14:textId="25AE5795" w:rsidR="0087781D" w:rsidRPr="0087781D" w:rsidRDefault="0087781D" w:rsidP="004751AE">
      <w:pPr>
        <w:pStyle w:val="Heading1"/>
        <w:spacing w:before="0" w:beforeAutospacing="0" w:after="240"/>
        <w:rPr>
          <w:color w:val="003F2C" w:themeColor="text1"/>
        </w:rPr>
      </w:pPr>
      <w:bookmarkStart w:id="80" w:name="_Toc44350179"/>
      <w:bookmarkStart w:id="81" w:name="_Toc50378072"/>
      <w:bookmarkStart w:id="82" w:name="_Toc84488743"/>
      <w:r w:rsidRPr="0087781D">
        <w:rPr>
          <w:color w:val="003F2C" w:themeColor="text1"/>
        </w:rPr>
        <w:lastRenderedPageBreak/>
        <w:t>2020–21 highlights</w:t>
      </w:r>
      <w:bookmarkEnd w:id="80"/>
      <w:bookmarkEnd w:id="81"/>
      <w:bookmarkEnd w:id="82"/>
    </w:p>
    <w:p w14:paraId="0A29F4CF" w14:textId="77777777" w:rsidR="0087781D" w:rsidRDefault="0087781D" w:rsidP="004751AE">
      <w:pPr>
        <w:pStyle w:val="Body"/>
        <w:spacing w:after="360"/>
        <w:rPr>
          <w:b/>
          <w:bCs/>
        </w:rPr>
      </w:pPr>
      <w:r w:rsidRPr="00CF3EA7">
        <w:rPr>
          <w:b/>
          <w:bCs/>
        </w:rPr>
        <w:t xml:space="preserve">Some of the key achievements from IHPA’s Work Program for </w:t>
      </w:r>
      <w:r>
        <w:rPr>
          <w:b/>
          <w:bCs/>
        </w:rPr>
        <w:t>2020–21</w:t>
      </w:r>
      <w:r w:rsidRPr="00CF3EA7">
        <w:rPr>
          <w:b/>
          <w:bCs/>
        </w:rPr>
        <w:t xml:space="preserve"> include:</w:t>
      </w:r>
    </w:p>
    <w:tbl>
      <w:tblPr>
        <w:tblStyle w:val="TableGrid1"/>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Caption w:val="2020-21 highlights"/>
        <w:tblDescription w:val="Some of the key achievements from IHPA’s Work Program for 2020–21 include:"/>
      </w:tblPr>
      <w:tblGrid>
        <w:gridCol w:w="1100"/>
        <w:gridCol w:w="6613"/>
      </w:tblGrid>
      <w:tr w:rsidR="00EC666A" w14:paraId="3A48015D" w14:textId="77777777" w:rsidTr="00E325F6">
        <w:trPr>
          <w:trHeight w:val="1213"/>
          <w:tblHeader/>
        </w:trPr>
        <w:tc>
          <w:tcPr>
            <w:tcW w:w="713" w:type="pct"/>
          </w:tcPr>
          <w:p w14:paraId="15DF999C" w14:textId="1CFAA321" w:rsidR="00EC666A" w:rsidRDefault="00EC666A" w:rsidP="00EC666A">
            <w:pPr>
              <w:pStyle w:val="Body"/>
            </w:pPr>
            <w:r>
              <w:rPr>
                <w:noProof/>
                <w:lang w:val="en-AU" w:eastAsia="en-AU"/>
              </w:rPr>
              <w:drawing>
                <wp:inline distT="0" distB="0" distL="0" distR="0" wp14:anchorId="441E857A" wp14:editId="041825C5">
                  <wp:extent cx="621030" cy="559435"/>
                  <wp:effectExtent l="0" t="0" r="7620" b="0"/>
                  <wp:docPr id="174" name="Picture 174" descr="Ju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July"/>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tcPr>
          <w:p w14:paraId="5393D019" w14:textId="035DA22E" w:rsidR="00EC666A" w:rsidRPr="00CB1671" w:rsidRDefault="00EC666A" w:rsidP="00EC666A">
            <w:pPr>
              <w:pStyle w:val="Bullets"/>
              <w:spacing w:after="80"/>
            </w:pPr>
            <w:r w:rsidRPr="00CB1671">
              <w:t>Implementation of Australian Refined-Diagnosis Related Groups Version 10.0 for pricing admitted acute care</w:t>
            </w:r>
            <w:r w:rsidR="00DA0D2C">
              <w:t>.</w:t>
            </w:r>
            <w:r w:rsidRPr="00CB1671">
              <w:t xml:space="preserve"> </w:t>
            </w:r>
          </w:p>
          <w:p w14:paraId="49084802" w14:textId="3A238020" w:rsidR="00EC666A" w:rsidRPr="00CB1671" w:rsidRDefault="00EC666A" w:rsidP="00EC666A">
            <w:pPr>
              <w:pStyle w:val="Bullets"/>
              <w:spacing w:after="80"/>
            </w:pPr>
            <w:r w:rsidRPr="00CB1671">
              <w:t>Implementation of the new clauses under the Addendum to the National Health Reform Agreement 2020–25</w:t>
            </w:r>
            <w:r w:rsidR="00DA0D2C">
              <w:t>.</w:t>
            </w:r>
          </w:p>
        </w:tc>
      </w:tr>
      <w:tr w:rsidR="00EC666A" w14:paraId="68C343E4" w14:textId="77777777" w:rsidTr="00EC666A">
        <w:trPr>
          <w:trHeight w:val="1131"/>
        </w:trPr>
        <w:tc>
          <w:tcPr>
            <w:tcW w:w="713" w:type="pct"/>
            <w:vAlign w:val="center"/>
          </w:tcPr>
          <w:p w14:paraId="522BA46E" w14:textId="2C62C526" w:rsidR="00EC666A" w:rsidRDefault="00EC666A" w:rsidP="00EC666A">
            <w:pPr>
              <w:pStyle w:val="Body"/>
            </w:pPr>
            <w:r>
              <w:rPr>
                <w:noProof/>
                <w:lang w:val="en-AU" w:eastAsia="en-AU"/>
              </w:rPr>
              <mc:AlternateContent>
                <mc:Choice Requires="wps">
                  <w:drawing>
                    <wp:anchor distT="0" distB="0" distL="114300" distR="114300" simplePos="0" relativeHeight="251928576" behindDoc="1" locked="0" layoutInCell="1" allowOverlap="1" wp14:anchorId="0A6B412B" wp14:editId="1A947F9F">
                      <wp:simplePos x="0" y="0"/>
                      <wp:positionH relativeFrom="column">
                        <wp:posOffset>315718</wp:posOffset>
                      </wp:positionH>
                      <wp:positionV relativeFrom="paragraph">
                        <wp:posOffset>-428180</wp:posOffset>
                      </wp:positionV>
                      <wp:extent cx="0" cy="5296753"/>
                      <wp:effectExtent l="19050" t="0" r="19050" b="37465"/>
                      <wp:wrapNone/>
                      <wp:docPr id="183" name="Straight Connector 1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5296753"/>
                              </a:xfrm>
                              <a:prstGeom prst="line">
                                <a:avLst/>
                              </a:prstGeom>
                              <a:ln w="28575">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71F566" id="Straight Connector 183" o:spid="_x0000_s1026" alt="&quot;&quot;" style="position:absolute;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5pt,-33.7pt" to="24.85pt,38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" strokecolor="#7ec352 [3205]" strokeweight="2.25pt">
                      <v:stroke joinstyle="miter"/>
                    </v:line>
                  </w:pict>
                </mc:Fallback>
              </mc:AlternateContent>
            </w:r>
            <w:r>
              <w:rPr>
                <w:noProof/>
                <w:lang w:val="en-AU" w:eastAsia="en-AU"/>
              </w:rPr>
              <w:drawing>
                <wp:inline distT="0" distB="0" distL="0" distR="0" wp14:anchorId="7704BF78" wp14:editId="63FC5A61">
                  <wp:extent cx="621030" cy="559435"/>
                  <wp:effectExtent l="0" t="0" r="7620" b="0"/>
                  <wp:docPr id="175" name="Picture 175" descr="Aug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August"/>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vAlign w:val="center"/>
          </w:tcPr>
          <w:p w14:paraId="0FD9BAFB" w14:textId="7EF7150D" w:rsidR="00EC666A" w:rsidRPr="00CB1671" w:rsidRDefault="00EC666A" w:rsidP="00EC666A">
            <w:pPr>
              <w:pStyle w:val="Bulletslast"/>
              <w:spacing w:after="80"/>
            </w:pPr>
            <w:r w:rsidRPr="00CB1671">
              <w:t>Completion of the consultation and end-to-end review of the Australian Refined</w:t>
            </w:r>
            <w:r w:rsidR="00E20CB6">
              <w:noBreakHyphen/>
            </w:r>
            <w:r w:rsidRPr="00CB1671">
              <w:t>Diagnosis Related Groups Version and</w:t>
            </w:r>
            <w:r>
              <w:t xml:space="preserve"> </w:t>
            </w:r>
            <w:r w:rsidRPr="00CB1671">
              <w:t>ICD-10-AM/ACHI/ACS classification systems</w:t>
            </w:r>
            <w:r w:rsidR="00DA0D2C">
              <w:t>.</w:t>
            </w:r>
          </w:p>
        </w:tc>
      </w:tr>
      <w:tr w:rsidR="00EC666A" w14:paraId="26C69213" w14:textId="77777777" w:rsidTr="00EC666A">
        <w:trPr>
          <w:trHeight w:val="864"/>
        </w:trPr>
        <w:tc>
          <w:tcPr>
            <w:tcW w:w="713" w:type="pct"/>
            <w:vAlign w:val="center"/>
          </w:tcPr>
          <w:p w14:paraId="2EB3450E" w14:textId="616CD477" w:rsidR="00EC666A" w:rsidRDefault="00EC666A" w:rsidP="00EC666A">
            <w:pPr>
              <w:pStyle w:val="Body"/>
            </w:pPr>
            <w:r>
              <w:rPr>
                <w:noProof/>
                <w:lang w:val="en-AU" w:eastAsia="en-AU"/>
              </w:rPr>
              <w:drawing>
                <wp:inline distT="0" distB="0" distL="0" distR="0" wp14:anchorId="6E0B5187" wp14:editId="558829CE">
                  <wp:extent cx="621030" cy="559435"/>
                  <wp:effectExtent l="0" t="0" r="7620" b="0"/>
                  <wp:docPr id="177" name="Picture 177" descr="Dec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December"/>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vAlign w:val="center"/>
          </w:tcPr>
          <w:p w14:paraId="1B16D4AA" w14:textId="0D3AF216" w:rsidR="00EC666A" w:rsidRPr="00CB1671" w:rsidRDefault="00EC666A" w:rsidP="00EC666A">
            <w:pPr>
              <w:pStyle w:val="Bullets"/>
              <w:spacing w:after="80"/>
            </w:pPr>
            <w:r w:rsidRPr="00CB1671">
              <w:t>Governance framework for the development of</w:t>
            </w:r>
            <w:r>
              <w:t> </w:t>
            </w:r>
            <w:r w:rsidRPr="00CB1671">
              <w:t>the admitted care classifications</w:t>
            </w:r>
            <w:r w:rsidR="0099553C">
              <w:t> </w:t>
            </w:r>
            <w:r w:rsidRPr="00CB1671">
              <w:t>published</w:t>
            </w:r>
            <w:r w:rsidR="00DA0D2C">
              <w:t>.</w:t>
            </w:r>
          </w:p>
          <w:p w14:paraId="69CBE7FD" w14:textId="2965DB9C" w:rsidR="00EC666A" w:rsidRPr="00CB1671" w:rsidRDefault="00EC666A" w:rsidP="00EC666A">
            <w:pPr>
              <w:pStyle w:val="Bullets"/>
              <w:spacing w:after="80"/>
            </w:pPr>
            <w:r w:rsidRPr="00CB1671">
              <w:t xml:space="preserve">Completion of Nationally Funded </w:t>
            </w:r>
            <w:proofErr w:type="spellStart"/>
            <w:r w:rsidRPr="00CB1671">
              <w:t>Centres</w:t>
            </w:r>
            <w:proofErr w:type="spellEnd"/>
            <w:r w:rsidRPr="00CB1671">
              <w:t xml:space="preserve"> Program pricing and costing study</w:t>
            </w:r>
            <w:r w:rsidR="00DA0D2C">
              <w:t>.</w:t>
            </w:r>
          </w:p>
        </w:tc>
      </w:tr>
      <w:tr w:rsidR="00EC666A" w14:paraId="7777340E" w14:textId="77777777" w:rsidTr="00EC666A">
        <w:trPr>
          <w:trHeight w:val="1261"/>
        </w:trPr>
        <w:tc>
          <w:tcPr>
            <w:tcW w:w="713" w:type="pct"/>
            <w:vAlign w:val="center"/>
          </w:tcPr>
          <w:p w14:paraId="00466010" w14:textId="2F2D3547" w:rsidR="00EC666A" w:rsidRDefault="00EC666A" w:rsidP="00EC666A">
            <w:pPr>
              <w:pStyle w:val="Body"/>
            </w:pPr>
            <w:r>
              <w:rPr>
                <w:noProof/>
                <w:lang w:val="en-AU" w:eastAsia="en-AU"/>
              </w:rPr>
              <w:drawing>
                <wp:inline distT="0" distB="0" distL="0" distR="0" wp14:anchorId="580CF377" wp14:editId="37B6976D">
                  <wp:extent cx="621030" cy="559435"/>
                  <wp:effectExtent l="0" t="0" r="7620" b="0"/>
                  <wp:docPr id="178" name="Picture 178" descr="Febru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February"/>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vAlign w:val="center"/>
          </w:tcPr>
          <w:p w14:paraId="7B7D12E8" w14:textId="43A6AA31" w:rsidR="00EC666A" w:rsidRPr="00CB1671" w:rsidRDefault="00EC666A" w:rsidP="00EC666A">
            <w:pPr>
              <w:pStyle w:val="Bulletslast"/>
              <w:spacing w:after="80"/>
            </w:pPr>
            <w:r w:rsidRPr="00CB1671">
              <w:t>National Hospital Cost Data Collection, Round 23, Public Sector Report released</w:t>
            </w:r>
            <w:r w:rsidR="00DA0D2C">
              <w:t>.</w:t>
            </w:r>
          </w:p>
        </w:tc>
      </w:tr>
      <w:tr w:rsidR="00EC666A" w14:paraId="4183BCB9" w14:textId="77777777" w:rsidTr="00EC666A">
        <w:trPr>
          <w:trHeight w:val="1360"/>
        </w:trPr>
        <w:tc>
          <w:tcPr>
            <w:tcW w:w="713" w:type="pct"/>
          </w:tcPr>
          <w:p w14:paraId="6C3B82C8" w14:textId="12E8DA69" w:rsidR="00EC666A" w:rsidRDefault="00EC666A" w:rsidP="00EC666A">
            <w:pPr>
              <w:pStyle w:val="Body"/>
            </w:pPr>
            <w:r>
              <w:rPr>
                <w:noProof/>
                <w:lang w:val="en-AU" w:eastAsia="en-AU"/>
              </w:rPr>
              <w:drawing>
                <wp:inline distT="0" distB="0" distL="0" distR="0" wp14:anchorId="0E54B2AA" wp14:editId="5E37BD87">
                  <wp:extent cx="621030" cy="559435"/>
                  <wp:effectExtent l="0" t="0" r="7620" b="0"/>
                  <wp:docPr id="179" name="Picture 179" descr="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March"/>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tcPr>
          <w:p w14:paraId="2B724DBE" w14:textId="6BDBEE51" w:rsidR="00EC666A" w:rsidRPr="00CB1671" w:rsidRDefault="00EC666A" w:rsidP="00EC666A">
            <w:pPr>
              <w:pStyle w:val="Bullets"/>
              <w:spacing w:after="80"/>
            </w:pPr>
            <w:r w:rsidRPr="00CB1671">
              <w:t>Publication of Pricing Framework for Australian Public Hospital Services 2021–22</w:t>
            </w:r>
            <w:r w:rsidR="00DA0D2C">
              <w:t>.</w:t>
            </w:r>
          </w:p>
          <w:p w14:paraId="5B1D3588" w14:textId="6F52956E" w:rsidR="00EC666A" w:rsidRDefault="00EC666A" w:rsidP="00EC666A">
            <w:pPr>
              <w:pStyle w:val="Bullets"/>
              <w:spacing w:after="80"/>
            </w:pPr>
            <w:r w:rsidRPr="00CB1671">
              <w:t>Release of the National Efficient Price and National Efficient Cost Determinations for</w:t>
            </w:r>
            <w:r w:rsidR="00512D4A">
              <w:t> </w:t>
            </w:r>
            <w:r w:rsidRPr="00CB1671">
              <w:t>2021–</w:t>
            </w:r>
            <w:r w:rsidRPr="00CB1671">
              <w:rPr>
                <w:rFonts w:ascii="Arial" w:hAnsi="Arial" w:cs="Arial" w:hint="cs"/>
                <w:rtl/>
              </w:rPr>
              <w:t>‍</w:t>
            </w:r>
            <w:r w:rsidRPr="00CB1671">
              <w:t>22</w:t>
            </w:r>
            <w:r w:rsidR="00DA0D2C">
              <w:t>.</w:t>
            </w:r>
            <w:r w:rsidRPr="00CB1671">
              <w:t xml:space="preserve"> </w:t>
            </w:r>
          </w:p>
          <w:p w14:paraId="4BDDDF11" w14:textId="4E3B8E7A" w:rsidR="00EC666A" w:rsidRPr="00CB1671" w:rsidRDefault="00EC666A" w:rsidP="00EC666A">
            <w:pPr>
              <w:pStyle w:val="Bullets"/>
              <w:spacing w:after="80"/>
            </w:pPr>
            <w:r w:rsidRPr="00CB1671">
              <w:t xml:space="preserve">Rules for coding and reporting COVID-19 episodes of care </w:t>
            </w:r>
            <w:r w:rsidR="004A7250">
              <w:t>V</w:t>
            </w:r>
            <w:r w:rsidRPr="00CB1671">
              <w:t>ersion 2.0 published</w:t>
            </w:r>
            <w:r w:rsidR="00DA0D2C">
              <w:t>.</w:t>
            </w:r>
          </w:p>
        </w:tc>
      </w:tr>
      <w:tr w:rsidR="00EC666A" w14:paraId="2486C196" w14:textId="77777777" w:rsidTr="00EC666A">
        <w:trPr>
          <w:trHeight w:val="1139"/>
        </w:trPr>
        <w:tc>
          <w:tcPr>
            <w:tcW w:w="713" w:type="pct"/>
          </w:tcPr>
          <w:p w14:paraId="37EAC4C2" w14:textId="49B340C1" w:rsidR="00EC666A" w:rsidRDefault="00EC666A" w:rsidP="00EC666A">
            <w:pPr>
              <w:pStyle w:val="Body"/>
            </w:pPr>
            <w:r>
              <w:rPr>
                <w:noProof/>
                <w:lang w:val="en-AU" w:eastAsia="en-AU"/>
              </w:rPr>
              <w:drawing>
                <wp:inline distT="0" distB="0" distL="0" distR="0" wp14:anchorId="504AC1CE" wp14:editId="13DCCD1A">
                  <wp:extent cx="621030" cy="559435"/>
                  <wp:effectExtent l="0" t="0" r="7620" b="0"/>
                  <wp:docPr id="180" name="Picture 180" descr="Ap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pril"/>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tcPr>
          <w:p w14:paraId="0DC302FB" w14:textId="5DD5BF5A" w:rsidR="00EC666A" w:rsidRPr="00CB1671" w:rsidRDefault="00EC666A" w:rsidP="00EC666A">
            <w:pPr>
              <w:pStyle w:val="Bullets"/>
              <w:spacing w:after="80"/>
            </w:pPr>
            <w:r w:rsidRPr="00CB1671">
              <w:t>Consultation paper on the development of the Australian National Subacute and Non</w:t>
            </w:r>
            <w:r>
              <w:noBreakHyphen/>
            </w:r>
            <w:r w:rsidRPr="00CB1671">
              <w:t xml:space="preserve">Acute Patient Classification </w:t>
            </w:r>
            <w:r>
              <w:t>V</w:t>
            </w:r>
            <w:r w:rsidRPr="00CB1671">
              <w:t>ersion 5.0 released</w:t>
            </w:r>
            <w:r w:rsidR="00DA0D2C">
              <w:t>.</w:t>
            </w:r>
          </w:p>
          <w:p w14:paraId="79A6245A" w14:textId="6C1AC226" w:rsidR="00EC666A" w:rsidRPr="00CB1671" w:rsidRDefault="00EC666A" w:rsidP="00EC666A">
            <w:pPr>
              <w:pStyle w:val="Bullets"/>
              <w:spacing w:after="80"/>
            </w:pPr>
            <w:r w:rsidRPr="00CB1671">
              <w:t>National Hospital Cost Data Collection, Round</w:t>
            </w:r>
            <w:r>
              <w:t> </w:t>
            </w:r>
            <w:r w:rsidRPr="00CB1671">
              <w:t>23, Private Sector Report</w:t>
            </w:r>
            <w:r>
              <w:t xml:space="preserve"> released</w:t>
            </w:r>
            <w:r w:rsidR="00DA0D2C">
              <w:t>.</w:t>
            </w:r>
          </w:p>
        </w:tc>
      </w:tr>
      <w:tr w:rsidR="00EC666A" w14:paraId="59DDCB2C" w14:textId="77777777" w:rsidTr="00EC666A">
        <w:trPr>
          <w:trHeight w:val="1325"/>
        </w:trPr>
        <w:tc>
          <w:tcPr>
            <w:tcW w:w="713" w:type="pct"/>
          </w:tcPr>
          <w:p w14:paraId="7268E0E4" w14:textId="24126954" w:rsidR="00EC666A" w:rsidRDefault="00EC666A" w:rsidP="00EC666A">
            <w:pPr>
              <w:pStyle w:val="Body"/>
            </w:pPr>
            <w:r>
              <w:rPr>
                <w:noProof/>
                <w:lang w:val="en-AU" w:eastAsia="en-AU"/>
              </w:rPr>
              <w:drawing>
                <wp:inline distT="0" distB="0" distL="0" distR="0" wp14:anchorId="567508FF" wp14:editId="469AA571">
                  <wp:extent cx="621030" cy="559435"/>
                  <wp:effectExtent l="0" t="0" r="7620" b="0"/>
                  <wp:docPr id="181" name="Picture 181" descr="M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May"/>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tcPr>
          <w:p w14:paraId="37AA752A" w14:textId="77777777" w:rsidR="00EC666A" w:rsidRPr="00CB1671" w:rsidRDefault="00EC666A" w:rsidP="00EC666A">
            <w:pPr>
              <w:pStyle w:val="Bullets"/>
              <w:spacing w:after="80"/>
            </w:pPr>
            <w:r w:rsidRPr="00CB1671">
              <w:t xml:space="preserve">Activity Based Funding Conference 2021 held under the theme ‘Activity based funding </w:t>
            </w:r>
            <w:r w:rsidRPr="00CB1671">
              <w:rPr>
                <w:iCs/>
              </w:rPr>
              <w:t>into the</w:t>
            </w:r>
            <w:r>
              <w:rPr>
                <w:iCs/>
              </w:rPr>
              <w:t> </w:t>
            </w:r>
            <w:r w:rsidRPr="00CB1671">
              <w:rPr>
                <w:iCs/>
              </w:rPr>
              <w:t xml:space="preserve">future: Responsive. Relevant. Reliable.’ </w:t>
            </w:r>
          </w:p>
          <w:p w14:paraId="6B75EB21" w14:textId="59971F91" w:rsidR="00EC666A" w:rsidRPr="00CB1671" w:rsidRDefault="00EC666A" w:rsidP="00EC666A">
            <w:pPr>
              <w:pStyle w:val="Bullets"/>
              <w:spacing w:after="80"/>
            </w:pPr>
            <w:r w:rsidRPr="00CB1671">
              <w:t>Consultation paper on the development of updated versions of the admitted care classifications released</w:t>
            </w:r>
            <w:r w:rsidR="00DA0D2C">
              <w:t>.</w:t>
            </w:r>
          </w:p>
        </w:tc>
      </w:tr>
      <w:tr w:rsidR="00EC666A" w14:paraId="0E5AB2BC" w14:textId="77777777" w:rsidTr="00EC666A">
        <w:trPr>
          <w:trHeight w:val="1077"/>
        </w:trPr>
        <w:tc>
          <w:tcPr>
            <w:tcW w:w="713" w:type="pct"/>
          </w:tcPr>
          <w:p w14:paraId="41B61117" w14:textId="750B90AF" w:rsidR="00EC666A" w:rsidRDefault="00EC666A" w:rsidP="00EC666A">
            <w:pPr>
              <w:pStyle w:val="Body"/>
            </w:pPr>
            <w:r>
              <w:rPr>
                <w:noProof/>
                <w:lang w:val="en-AU" w:eastAsia="en-AU"/>
              </w:rPr>
              <w:drawing>
                <wp:inline distT="0" distB="0" distL="0" distR="0" wp14:anchorId="1F222F4D" wp14:editId="79309500">
                  <wp:extent cx="621030" cy="559435"/>
                  <wp:effectExtent l="0" t="0" r="7620" b="0"/>
                  <wp:docPr id="182" name="Picture 182" descr="J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June"/>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621030" cy="559435"/>
                          </a:xfrm>
                          <a:prstGeom prst="rect">
                            <a:avLst/>
                          </a:prstGeom>
                          <a:noFill/>
                          <a:ln>
                            <a:noFill/>
                          </a:ln>
                        </pic:spPr>
                      </pic:pic>
                    </a:graphicData>
                  </a:graphic>
                </wp:inline>
              </w:drawing>
            </w:r>
          </w:p>
        </w:tc>
        <w:tc>
          <w:tcPr>
            <w:tcW w:w="4287" w:type="pct"/>
          </w:tcPr>
          <w:p w14:paraId="1EFC52CD" w14:textId="15A2EFF2" w:rsidR="00EC666A" w:rsidRPr="00CB1671" w:rsidRDefault="00EC666A" w:rsidP="00EC666A">
            <w:pPr>
              <w:pStyle w:val="Bullets"/>
              <w:spacing w:after="80"/>
            </w:pPr>
            <w:r w:rsidRPr="00CB1671">
              <w:t>Completion of the two-year shadow period to</w:t>
            </w:r>
            <w:r>
              <w:t> </w:t>
            </w:r>
            <w:r w:rsidRPr="00CB1671">
              <w:t>assess</w:t>
            </w:r>
            <w:r w:rsidR="004A7250">
              <w:t xml:space="preserve"> the</w:t>
            </w:r>
            <w:r w:rsidRPr="00CB1671">
              <w:t xml:space="preserve"> impact of three funding options to measure avoidable hospital readmissions</w:t>
            </w:r>
            <w:r w:rsidR="00DA0D2C">
              <w:t>.</w:t>
            </w:r>
            <w:r w:rsidRPr="00CB1671">
              <w:t xml:space="preserve"> </w:t>
            </w:r>
          </w:p>
          <w:p w14:paraId="51014E73" w14:textId="26DBCA77" w:rsidR="00EC666A" w:rsidRPr="00CB1671" w:rsidRDefault="00EC666A" w:rsidP="00EC666A">
            <w:pPr>
              <w:pStyle w:val="Bullets"/>
              <w:spacing w:after="80"/>
            </w:pPr>
            <w:r w:rsidRPr="00CB1671">
              <w:t>Three Year Data Plan 2021–22 to 2023–24 published</w:t>
            </w:r>
            <w:r w:rsidR="00DA0D2C">
              <w:t>.</w:t>
            </w:r>
          </w:p>
          <w:p w14:paraId="3A2B72A9" w14:textId="58F30FDF" w:rsidR="00EC666A" w:rsidRPr="00CB1671" w:rsidRDefault="00EC666A" w:rsidP="00EC666A">
            <w:pPr>
              <w:pStyle w:val="Bullets"/>
              <w:spacing w:after="80"/>
            </w:pPr>
            <w:r w:rsidRPr="00CB1671">
              <w:t>Consultation Paper on Pricing Framework for Australian Public Hospital Services 2022–23 released</w:t>
            </w:r>
            <w:r w:rsidR="00DA0D2C">
              <w:t>.</w:t>
            </w:r>
          </w:p>
          <w:p w14:paraId="5977C623" w14:textId="7FB4B347" w:rsidR="00EC666A" w:rsidRPr="00CB1671" w:rsidRDefault="00EC666A" w:rsidP="00EC666A">
            <w:pPr>
              <w:pStyle w:val="Bullets"/>
              <w:spacing w:after="80"/>
            </w:pPr>
            <w:r w:rsidRPr="00CB1671">
              <w:t>IHPA’s Work Program and Corporate Plan for 2021–</w:t>
            </w:r>
            <w:r w:rsidRPr="00CB1671">
              <w:rPr>
                <w:rFonts w:ascii="Arial" w:hAnsi="Arial" w:cs="Arial" w:hint="cs"/>
                <w:rtl/>
              </w:rPr>
              <w:t>‍</w:t>
            </w:r>
            <w:r w:rsidRPr="00CB1671">
              <w:t>22 published</w:t>
            </w:r>
            <w:r w:rsidR="00DA0D2C">
              <w:t>.</w:t>
            </w:r>
          </w:p>
        </w:tc>
      </w:tr>
    </w:tbl>
    <w:p w14:paraId="1A5072E1" w14:textId="77777777" w:rsidR="00902497" w:rsidRDefault="00902497" w:rsidP="00902497">
      <w:pPr>
        <w:pStyle w:val="Body"/>
      </w:pPr>
    </w:p>
    <w:p w14:paraId="0BF15BFD" w14:textId="2384050E" w:rsidR="00565009" w:rsidRDefault="00565009" w:rsidP="00565009">
      <w:pPr>
        <w:pStyle w:val="Bulletslast"/>
        <w:numPr>
          <w:ilvl w:val="0"/>
          <w:numId w:val="0"/>
        </w:numPr>
        <w:ind w:left="473" w:hanging="360"/>
        <w:sectPr w:rsidR="00565009" w:rsidSect="004751AE">
          <w:footerReference w:type="default" r:id="rId110"/>
          <w:type w:val="continuous"/>
          <w:pgSz w:w="9979" w:h="14175"/>
          <w:pgMar w:top="993" w:right="1134" w:bottom="851" w:left="1134" w:header="709" w:footer="709" w:gutter="0"/>
          <w:cols w:space="282"/>
          <w:docGrid w:linePitch="360"/>
        </w:sectPr>
      </w:pPr>
    </w:p>
    <w:p w14:paraId="3A0ECD5C" w14:textId="477A6F1B" w:rsidR="00565009" w:rsidRDefault="001659E1" w:rsidP="009A2D17">
      <w:pPr>
        <w:pStyle w:val="H1"/>
        <w:spacing w:before="1680"/>
      </w:pPr>
      <w:bookmarkStart w:id="83" w:name="_Toc84488744"/>
      <w:r>
        <w:rPr>
          <w:noProof/>
          <w:lang w:val="en-AU" w:eastAsia="en-AU"/>
        </w:rPr>
        <w:lastRenderedPageBreak/>
        <w:drawing>
          <wp:anchor distT="0" distB="0" distL="114300" distR="114300" simplePos="0" relativeHeight="251990016" behindDoc="1" locked="0" layoutInCell="1" allowOverlap="1" wp14:anchorId="3F0533A1" wp14:editId="6385505E">
            <wp:simplePos x="0" y="0"/>
            <wp:positionH relativeFrom="column">
              <wp:posOffset>-720725</wp:posOffset>
            </wp:positionH>
            <wp:positionV relativeFrom="paragraph">
              <wp:posOffset>-901065</wp:posOffset>
            </wp:positionV>
            <wp:extent cx="6332079" cy="8991600"/>
            <wp:effectExtent l="0" t="0" r="0" b="0"/>
            <wp:wrapNone/>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a:extLst>
                        <a:ext uri="{C183D7F6-B498-43B3-948B-1728B52AA6E4}">
                          <adec:decorative xmlns:adec="http://schemas.microsoft.com/office/drawing/2017/decorative" val="1"/>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332079" cy="899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5009">
        <w:t>Clinical Advisory Committee</w:t>
      </w:r>
      <w:bookmarkEnd w:id="83"/>
    </w:p>
    <w:p w14:paraId="64E91E82" w14:textId="768F67F1" w:rsidR="00565009" w:rsidRDefault="00AB3AE1" w:rsidP="00565009">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769383A8" wp14:editId="74B3F718">
            <wp:extent cx="1838324" cy="1652665"/>
            <wp:effectExtent l="0" t="0" r="0" b="5080"/>
            <wp:docPr id="23" name="Picture 23" descr="Chapt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pter 4"/>
                    <pic:cNvPicPr>
                      <a:picLocks noChangeAspect="1" noChangeArrowheads="1"/>
                    </pic:cNvPicPr>
                  </pic:nvPicPr>
                  <pic:blipFill>
                    <a:blip r:embed="rId112" cstate="print">
                      <a:extLst>
                        <a:ext uri="{28A0092B-C50C-407E-A947-70E740481C1C}">
                          <a14:useLocalDpi xmlns:a14="http://schemas.microsoft.com/office/drawing/2010/main"/>
                        </a:ext>
                      </a:extLst>
                    </a:blip>
                    <a:stretch>
                      <a:fillRect/>
                    </a:stretch>
                  </pic:blipFill>
                  <pic:spPr bwMode="auto">
                    <a:xfrm>
                      <a:off x="0" y="0"/>
                      <a:ext cx="1838324" cy="1652665"/>
                    </a:xfrm>
                    <a:prstGeom prst="rect">
                      <a:avLst/>
                    </a:prstGeom>
                    <a:noFill/>
                    <a:ln>
                      <a:noFill/>
                    </a:ln>
                  </pic:spPr>
                </pic:pic>
              </a:graphicData>
            </a:graphic>
          </wp:inline>
        </w:drawing>
      </w:r>
    </w:p>
    <w:p w14:paraId="0D9491B0" w14:textId="298BA93B" w:rsidR="00CB1671" w:rsidRPr="00565009" w:rsidRDefault="00CB1671" w:rsidP="00565009">
      <w:pPr>
        <w:spacing w:before="1200" w:after="0"/>
        <w:jc w:val="center"/>
        <w:rPr>
          <w:color w:val="F47920" w:themeColor="accent4"/>
        </w:rPr>
      </w:pPr>
    </w:p>
    <w:p w14:paraId="790A0F4F" w14:textId="77777777" w:rsidR="00CB1671" w:rsidRPr="00565009" w:rsidRDefault="00CB1671" w:rsidP="00565009">
      <w:pPr>
        <w:pStyle w:val="Body"/>
        <w:jc w:val="center"/>
        <w:sectPr w:rsidR="00CB1671" w:rsidRPr="00565009" w:rsidSect="00CB1671">
          <w:headerReference w:type="default" r:id="rId113"/>
          <w:footerReference w:type="default" r:id="rId114"/>
          <w:pgSz w:w="9979" w:h="14175"/>
          <w:pgMar w:top="1418" w:right="1134" w:bottom="1134" w:left="1134" w:header="709" w:footer="709" w:gutter="0"/>
          <w:cols w:space="708"/>
          <w:docGrid w:linePitch="360"/>
        </w:sectPr>
      </w:pPr>
    </w:p>
    <w:p w14:paraId="1795DD3B" w14:textId="77777777" w:rsidR="0010199F" w:rsidRDefault="0010199F" w:rsidP="00A40DDC">
      <w:pPr>
        <w:pStyle w:val="Heading1"/>
        <w:rPr>
          <w:color w:val="F47920" w:themeColor="accent4"/>
        </w:rPr>
        <w:sectPr w:rsidR="0010199F" w:rsidSect="00441579">
          <w:headerReference w:type="default" r:id="rId115"/>
          <w:footerReference w:type="default" r:id="rId116"/>
          <w:pgSz w:w="9979" w:h="14175"/>
          <w:pgMar w:top="1134" w:right="1134" w:bottom="1134" w:left="1134" w:header="709" w:footer="709" w:gutter="0"/>
          <w:cols w:space="708"/>
          <w:docGrid w:linePitch="360"/>
        </w:sectPr>
      </w:pPr>
      <w:bookmarkStart w:id="84" w:name="_Letter_from_the"/>
      <w:bookmarkStart w:id="85" w:name="_Toc44350180"/>
      <w:bookmarkStart w:id="86" w:name="_Toc50378074"/>
      <w:bookmarkStart w:id="87" w:name="_Toc84488745"/>
      <w:bookmarkEnd w:id="84"/>
      <w:r w:rsidRPr="005C0F04">
        <w:rPr>
          <w:color w:val="F47920" w:themeColor="accent4"/>
        </w:rPr>
        <w:lastRenderedPageBreak/>
        <w:t>Letter from the Chair</w:t>
      </w:r>
      <w:bookmarkEnd w:id="85"/>
      <w:bookmarkEnd w:id="86"/>
      <w:bookmarkEnd w:id="87"/>
    </w:p>
    <w:p w14:paraId="7A49251C" w14:textId="77777777" w:rsidR="0010199F" w:rsidRDefault="0010199F" w:rsidP="0010199F">
      <w:pPr>
        <w:pStyle w:val="Body"/>
        <w:rPr>
          <w:b/>
          <w:bCs/>
        </w:rPr>
      </w:pPr>
      <w:r>
        <w:rPr>
          <w:noProof/>
          <w:lang w:val="en-AU" w:eastAsia="en-AU"/>
        </w:rPr>
        <w:drawing>
          <wp:inline distT="0" distB="0" distL="0" distR="0" wp14:anchorId="0B579812" wp14:editId="6216C44B">
            <wp:extent cx="2038348" cy="1830308"/>
            <wp:effectExtent l="0" t="0" r="635" b="0"/>
            <wp:docPr id="39" name="Picture 39" descr="Photo of Associate Professor Alasdair MacDonald, Chair, Clinical Advisor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hoto of Associate Professor Alasdair MacDonald, Chair, Clinical Advisory Committee"/>
                    <pic:cNvPicPr>
                      <a:picLocks noChangeAspect="1" noChangeArrowheads="1"/>
                    </pic:cNvPicPr>
                  </pic:nvPicPr>
                  <pic:blipFill>
                    <a:blip r:embed="rId117" cstate="print">
                      <a:extLst>
                        <a:ext uri="{28A0092B-C50C-407E-A947-70E740481C1C}">
                          <a14:useLocalDpi xmlns:a14="http://schemas.microsoft.com/office/drawing/2010/main"/>
                        </a:ext>
                      </a:extLst>
                    </a:blip>
                    <a:stretch>
                      <a:fillRect/>
                    </a:stretch>
                  </pic:blipFill>
                  <pic:spPr bwMode="auto">
                    <a:xfrm>
                      <a:off x="0" y="0"/>
                      <a:ext cx="2038348" cy="1830308"/>
                    </a:xfrm>
                    <a:prstGeom prst="rect">
                      <a:avLst/>
                    </a:prstGeom>
                    <a:noFill/>
                    <a:ln>
                      <a:noFill/>
                    </a:ln>
                  </pic:spPr>
                </pic:pic>
              </a:graphicData>
            </a:graphic>
          </wp:inline>
        </w:drawing>
      </w:r>
    </w:p>
    <w:p w14:paraId="710FA3EC" w14:textId="77777777" w:rsidR="002B0F0E" w:rsidRPr="00936074" w:rsidRDefault="002B0F0E" w:rsidP="002B0F0E">
      <w:pPr>
        <w:pStyle w:val="Body"/>
        <w:rPr>
          <w:b/>
          <w:bCs/>
        </w:rPr>
      </w:pPr>
      <w:r w:rsidRPr="00936074">
        <w:rPr>
          <w:b/>
          <w:bCs/>
        </w:rPr>
        <w:t xml:space="preserve">It is a privilege to </w:t>
      </w:r>
      <w:r>
        <w:rPr>
          <w:b/>
          <w:bCs/>
        </w:rPr>
        <w:t>C</w:t>
      </w:r>
      <w:r w:rsidRPr="00936074">
        <w:rPr>
          <w:b/>
          <w:bCs/>
        </w:rPr>
        <w:t>hair the Clinical Advisory Committee and to present our Annual Report for</w:t>
      </w:r>
      <w:r>
        <w:rPr>
          <w:b/>
          <w:bCs/>
        </w:rPr>
        <w:t> 2020–21</w:t>
      </w:r>
      <w:r w:rsidRPr="00936074">
        <w:rPr>
          <w:b/>
          <w:bCs/>
        </w:rPr>
        <w:t>.</w:t>
      </w:r>
    </w:p>
    <w:p w14:paraId="00107C70" w14:textId="77777777" w:rsidR="002B0F0E" w:rsidRDefault="002B0F0E" w:rsidP="002B0F0E">
      <w:pPr>
        <w:pStyle w:val="Body"/>
      </w:pPr>
      <w:r>
        <w:t>The Clinical Advisory Committee is a multidisciplinary group whose members have extensive clinical knowledge and skills across a wide range of areas in the health sector.</w:t>
      </w:r>
    </w:p>
    <w:p w14:paraId="13829727" w14:textId="77777777" w:rsidR="002B0F0E" w:rsidRDefault="002B0F0E" w:rsidP="002B0F0E">
      <w:pPr>
        <w:pStyle w:val="Body"/>
      </w:pPr>
      <w:r>
        <w:t>The committee draws on this expertise and experience to provide advice in relation to the Independent Hospital Pricing Authority’s (IHPA) program of work.</w:t>
      </w:r>
    </w:p>
    <w:p w14:paraId="13ED6B12" w14:textId="0EBA6F29" w:rsidR="002B0F0E" w:rsidRDefault="002B0F0E" w:rsidP="002B0F0E">
      <w:pPr>
        <w:pStyle w:val="Body"/>
      </w:pPr>
      <w:r>
        <w:t>This year we played a critical role in providing clinical input relating to the options for pricing and</w:t>
      </w:r>
      <w:r w:rsidR="00A810C5">
        <w:t> </w:t>
      </w:r>
      <w:r>
        <w:t xml:space="preserve">funding for the safety and quality reforms reaffirmed in the 2020–25 Addendum to the National Health Reform Agreement. </w:t>
      </w:r>
    </w:p>
    <w:p w14:paraId="5EADC27B" w14:textId="29644D08" w:rsidR="0010199F" w:rsidRDefault="002B0F0E" w:rsidP="002B0F0E">
      <w:pPr>
        <w:pStyle w:val="Body"/>
      </w:pPr>
      <w:r>
        <w:t>The committee provided clinical advice on IHPA’s three proposed funding options for reducing avoidable hospital readmissions. The committee will continue to advise IHPA in this area, as the agency concludes its analysis and commences the implementation period from 1 July 2021.</w:t>
      </w:r>
    </w:p>
    <w:p w14:paraId="112978FF" w14:textId="147BA4FE" w:rsidR="002B0F0E" w:rsidRDefault="0010199F" w:rsidP="002B0F0E">
      <w:pPr>
        <w:pStyle w:val="Body"/>
      </w:pPr>
      <w:r>
        <w:br w:type="column"/>
      </w:r>
      <w:r w:rsidR="002B0F0E">
        <w:t>The committee provided ongoing input to the Pricing Framework for Australian Public Hospital Services for 2021–22, ensuring the framework’s policies remained clinically relevant. We also provided advice on the determination of the national efficient price and national efficient cost, to allow IHPA to ensure they were fit</w:t>
      </w:r>
      <w:r w:rsidR="005E34BE">
        <w:t>-</w:t>
      </w:r>
      <w:r w:rsidR="002B0F0E">
        <w:t>for</w:t>
      </w:r>
      <w:r w:rsidR="005E34BE">
        <w:t>-</w:t>
      </w:r>
      <w:r w:rsidR="002B0F0E">
        <w:t>purpose.</w:t>
      </w:r>
    </w:p>
    <w:p w14:paraId="7F137944" w14:textId="1D1888A2" w:rsidR="002B0F0E" w:rsidRPr="00C84C18" w:rsidRDefault="002B0F0E" w:rsidP="002B0F0E">
      <w:pPr>
        <w:pStyle w:val="Body"/>
      </w:pPr>
      <w:r>
        <w:t xml:space="preserve">The Clinical Advisory Committee continued its work advising on classification systems. For 2020–21, this included contributing to the development of the new version of the </w:t>
      </w:r>
      <w:r w:rsidRPr="00B00157">
        <w:t xml:space="preserve">Australian Refined Diagnosis Related Groups </w:t>
      </w:r>
      <w:r>
        <w:t>classification</w:t>
      </w:r>
      <w:r w:rsidR="005E34BE">
        <w:t>.</w:t>
      </w:r>
      <w:r>
        <w:t xml:space="preserve"> </w:t>
      </w:r>
      <w:r w:rsidR="005E34BE">
        <w:t>T</w:t>
      </w:r>
      <w:r>
        <w:t xml:space="preserve">he new editions of the </w:t>
      </w:r>
      <w:r w:rsidRPr="00C84C18">
        <w:t>disease and intervention classifications</w:t>
      </w:r>
      <w:r>
        <w:t xml:space="preserve"> for admitted acute care for the agency’s public consultation paper </w:t>
      </w:r>
      <w:r w:rsidR="005E34BE">
        <w:t xml:space="preserve">were </w:t>
      </w:r>
      <w:r>
        <w:t>released in May 2020. Input was also provided for Version</w:t>
      </w:r>
      <w:r w:rsidR="009B0DB4">
        <w:t> </w:t>
      </w:r>
      <w:r>
        <w:t xml:space="preserve">5.0 of the </w:t>
      </w:r>
      <w:r w:rsidRPr="00C84C18">
        <w:t>Australian National Subacute and Non-Acute Patient Classification</w:t>
      </w:r>
      <w:r>
        <w:t xml:space="preserve">, which was consulted on in April 2021. </w:t>
      </w:r>
    </w:p>
    <w:p w14:paraId="29203378" w14:textId="766AF566" w:rsidR="002B0F0E" w:rsidRDefault="002B0F0E" w:rsidP="002B0F0E">
      <w:pPr>
        <w:pStyle w:val="Body"/>
      </w:pPr>
      <w:r>
        <w:t xml:space="preserve">Under the National Partnership on Coronavirus Disease 2019 (COVID-19) Response, committee members provided feedback </w:t>
      </w:r>
      <w:r w:rsidRPr="00833BDD">
        <w:t xml:space="preserve">on the national activity based funding classifications and </w:t>
      </w:r>
      <w:r>
        <w:t xml:space="preserve">the updates to the </w:t>
      </w:r>
      <w:r w:rsidRPr="00833BDD">
        <w:t>coding and classification systems for reporting COVID-19 in</w:t>
      </w:r>
      <w:r>
        <w:t> </w:t>
      </w:r>
      <w:r w:rsidRPr="00833BDD">
        <w:t xml:space="preserve">Australian </w:t>
      </w:r>
      <w:r w:rsidR="00DA0D2C">
        <w:t>public</w:t>
      </w:r>
      <w:r w:rsidR="006124B7">
        <w:t> </w:t>
      </w:r>
      <w:r w:rsidRPr="00833BDD">
        <w:t xml:space="preserve">hospitals, including </w:t>
      </w:r>
      <w:r>
        <w:t xml:space="preserve">admitted care, emergency and </w:t>
      </w:r>
      <w:r w:rsidRPr="00833BDD">
        <w:t>non</w:t>
      </w:r>
      <w:r w:rsidR="00D5016A">
        <w:noBreakHyphen/>
      </w:r>
      <w:r w:rsidRPr="00833BDD">
        <w:t>admitted</w:t>
      </w:r>
      <w:r>
        <w:t xml:space="preserve"> care. </w:t>
      </w:r>
    </w:p>
    <w:p w14:paraId="66D80953" w14:textId="5E342D6D" w:rsidR="0010199F" w:rsidRDefault="002B0F0E" w:rsidP="002B0F0E">
      <w:pPr>
        <w:pStyle w:val="Body"/>
      </w:pPr>
      <w:r>
        <w:t>I would like to express my sincere thanks to my fellow committee members for their meaningful contribution and thoughtful consideration of the</w:t>
      </w:r>
      <w:r w:rsidR="00414898">
        <w:t> </w:t>
      </w:r>
      <w:r>
        <w:t>complex, and at times highly technical, issues over the past year. I deeply appreciate their commitment to improving efficiency, accountability and transparency across the public healthcare system.</w:t>
      </w:r>
    </w:p>
    <w:p w14:paraId="6AB22901" w14:textId="0F387E4F" w:rsidR="002B0F0E" w:rsidRDefault="0010199F" w:rsidP="002B0F0E">
      <w:pPr>
        <w:pStyle w:val="Body"/>
      </w:pPr>
      <w:r>
        <w:br w:type="column"/>
      </w:r>
      <w:r w:rsidR="002B0F0E">
        <w:lastRenderedPageBreak/>
        <w:t>There were a few changes to the membership of</w:t>
      </w:r>
      <w:r w:rsidR="001F52D4">
        <w:t> </w:t>
      </w:r>
      <w:r w:rsidR="002B0F0E">
        <w:t>the committee over this past year. I would like</w:t>
      </w:r>
      <w:r w:rsidR="001F52D4">
        <w:t> </w:t>
      </w:r>
      <w:r w:rsidR="002B0F0E">
        <w:t>to</w:t>
      </w:r>
      <w:r w:rsidR="001F52D4">
        <w:t> </w:t>
      </w:r>
      <w:r w:rsidR="002B0F0E">
        <w:t xml:space="preserve">thank Dr Philip Hoyle, </w:t>
      </w:r>
      <w:proofErr w:type="spellStart"/>
      <w:r w:rsidR="002B0F0E">
        <w:t>Mrs</w:t>
      </w:r>
      <w:proofErr w:type="spellEnd"/>
      <w:r w:rsidR="002B0F0E">
        <w:t xml:space="preserve"> Jan Erven, A/Prof</w:t>
      </w:r>
      <w:r w:rsidR="001F52D4">
        <w:t> </w:t>
      </w:r>
      <w:r w:rsidR="002B0F0E">
        <w:t>Louis</w:t>
      </w:r>
      <w:r w:rsidR="001F52D4">
        <w:t> </w:t>
      </w:r>
      <w:r w:rsidR="002B0F0E">
        <w:t>Irving, Prof Daryl Williams, Dr</w:t>
      </w:r>
      <w:r w:rsidR="001F52D4">
        <w:t> </w:t>
      </w:r>
      <w:r w:rsidR="002B0F0E">
        <w:t>Ruth</w:t>
      </w:r>
      <w:r w:rsidR="001F52D4">
        <w:t> </w:t>
      </w:r>
      <w:r w:rsidR="002B0F0E">
        <w:t>Vine and Dr Amanda Ling for many years</w:t>
      </w:r>
      <w:r w:rsidR="001F52D4">
        <w:t> </w:t>
      </w:r>
      <w:r w:rsidR="002B0F0E">
        <w:t>of greatly valued service. I welcome A/Prof</w:t>
      </w:r>
      <w:r w:rsidR="001F52D4">
        <w:t> </w:t>
      </w:r>
      <w:r w:rsidR="002B0F0E">
        <w:t xml:space="preserve">Virginia Plummer, Dr Phil Sargent, </w:t>
      </w:r>
      <w:proofErr w:type="spellStart"/>
      <w:r w:rsidR="002B0F0E">
        <w:t>Ms</w:t>
      </w:r>
      <w:proofErr w:type="spellEnd"/>
      <w:r w:rsidR="001F52D4">
        <w:t> </w:t>
      </w:r>
      <w:r w:rsidR="002B0F0E">
        <w:t xml:space="preserve">Nicole Harwood and </w:t>
      </w:r>
      <w:proofErr w:type="spellStart"/>
      <w:r w:rsidR="002B0F0E">
        <w:t>Mr</w:t>
      </w:r>
      <w:proofErr w:type="spellEnd"/>
      <w:r w:rsidR="002B0F0E">
        <w:t> Christopher O’Donnell as new appointees to the committee.</w:t>
      </w:r>
    </w:p>
    <w:p w14:paraId="4FDBFD1B" w14:textId="7806B444" w:rsidR="002B0F0E" w:rsidRPr="00414898" w:rsidRDefault="002B0F0E" w:rsidP="00414898">
      <w:pPr>
        <w:pStyle w:val="Body"/>
        <w:ind w:right="-185"/>
        <w:rPr>
          <w:rFonts w:ascii="Arial" w:hAnsi="Arial" w:cs="Arial"/>
          <w:rtl/>
        </w:rPr>
      </w:pPr>
      <w:r>
        <w:t>On behalf of the Clinical Advisory Committee, I acknowledge and commend the Pricing</w:t>
      </w:r>
      <w:r w:rsidR="006C0D92">
        <w:t> </w:t>
      </w:r>
      <w:r>
        <w:t>Authority, the Chief Executive Officer</w:t>
      </w:r>
      <w:r w:rsidR="00D5016A">
        <w:t> </w:t>
      </w:r>
      <w:r>
        <w:t>and</w:t>
      </w:r>
      <w:r w:rsidR="006C0D92">
        <w:t> </w:t>
      </w:r>
      <w:r>
        <w:t>IHPA staff for delivering a successful</w:t>
      </w:r>
      <w:r w:rsidR="00D5016A">
        <w:t> </w:t>
      </w:r>
      <w:r>
        <w:t>program</w:t>
      </w:r>
      <w:r w:rsidR="00D5016A">
        <w:t> </w:t>
      </w:r>
      <w:r>
        <w:t>of work</w:t>
      </w:r>
      <w:r w:rsidR="00414898">
        <w:br/>
      </w:r>
      <w:r>
        <w:t>in</w:t>
      </w:r>
      <w:r w:rsidR="007D3E99">
        <w:t> </w:t>
      </w:r>
      <w:r>
        <w:t>2020–21.</w:t>
      </w:r>
    </w:p>
    <w:p w14:paraId="4589C44F" w14:textId="77777777" w:rsidR="002B0F0E" w:rsidRDefault="002B0F0E" w:rsidP="002B0F0E">
      <w:pPr>
        <w:pStyle w:val="Body"/>
      </w:pPr>
      <w:r>
        <w:t>I look forward to continuing to lead the work of the Clinical Advisory Committee in the coming year and welcome the opportunity to support the agency to drive its strategic agenda in the year ahead.</w:t>
      </w:r>
    </w:p>
    <w:p w14:paraId="349F114F" w14:textId="77777777" w:rsidR="0010199F" w:rsidRDefault="0010199F" w:rsidP="0010199F">
      <w:pPr>
        <w:pStyle w:val="Body"/>
      </w:pPr>
      <w:r>
        <w:rPr>
          <w:noProof/>
          <w:lang w:val="en-AU" w:eastAsia="en-AU"/>
        </w:rPr>
        <w:drawing>
          <wp:inline distT="0" distB="0" distL="0" distR="0" wp14:anchorId="31D9675F" wp14:editId="18FB0B9F">
            <wp:extent cx="1422400" cy="519175"/>
            <wp:effectExtent l="0" t="0" r="0" b="0"/>
            <wp:docPr id="24" name="Picture 24" descr="Signature of Associate Professor Alasdair MacDonald, Chair, Clinical Advisory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ignature of Associate Professor Alasdair MacDonald, Chair, Clinical Advisory Committee"/>
                    <pic:cNvPicPr>
                      <a:picLocks noChangeAspect="1" noChangeArrowheads="1"/>
                    </pic:cNvPicPr>
                  </pic:nvPicPr>
                  <pic:blipFill>
                    <a:blip r:embed="rId118" cstate="print">
                      <a:extLst>
                        <a:ext uri="{28A0092B-C50C-407E-A947-70E740481C1C}">
                          <a14:useLocalDpi xmlns:a14="http://schemas.microsoft.com/office/drawing/2010/main"/>
                        </a:ext>
                      </a:extLst>
                    </a:blip>
                    <a:stretch>
                      <a:fillRect/>
                    </a:stretch>
                  </pic:blipFill>
                  <pic:spPr bwMode="auto">
                    <a:xfrm>
                      <a:off x="0" y="0"/>
                      <a:ext cx="1422400" cy="519175"/>
                    </a:xfrm>
                    <a:prstGeom prst="rect">
                      <a:avLst/>
                    </a:prstGeom>
                    <a:noFill/>
                    <a:ln>
                      <a:noFill/>
                    </a:ln>
                  </pic:spPr>
                </pic:pic>
              </a:graphicData>
            </a:graphic>
          </wp:inline>
        </w:drawing>
      </w:r>
    </w:p>
    <w:p w14:paraId="75E4B7FE" w14:textId="77777777" w:rsidR="00A9038D" w:rsidRDefault="00BE4CFB" w:rsidP="0010199F">
      <w:pPr>
        <w:pStyle w:val="Body"/>
      </w:pPr>
      <w:r w:rsidRPr="004408B7">
        <w:rPr>
          <w:b/>
          <w:bCs/>
          <w:noProof/>
          <w:lang w:val="en-AU" w:eastAsia="en-AU"/>
        </w:rPr>
        <w:drawing>
          <wp:anchor distT="0" distB="0" distL="114300" distR="114300" simplePos="0" relativeHeight="251850752" behindDoc="1" locked="0" layoutInCell="1" allowOverlap="1" wp14:anchorId="6DA20EEA" wp14:editId="56651631">
            <wp:simplePos x="0" y="0"/>
            <wp:positionH relativeFrom="margin">
              <wp:posOffset>-409575</wp:posOffset>
            </wp:positionH>
            <wp:positionV relativeFrom="paragraph">
              <wp:posOffset>1210648</wp:posOffset>
            </wp:positionV>
            <wp:extent cx="5706527" cy="18510885"/>
            <wp:effectExtent l="0" t="0" r="8890" b="5715"/>
            <wp:wrapNone/>
            <wp:docPr id="168" name="Picture 1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199F" w:rsidRPr="004408B7">
        <w:rPr>
          <w:b/>
          <w:bCs/>
        </w:rPr>
        <w:t>Associate Professor</w:t>
      </w:r>
      <w:r w:rsidR="0010199F" w:rsidRPr="004D13E1">
        <w:rPr>
          <w:b/>
          <w:bCs/>
        </w:rPr>
        <w:br/>
      </w:r>
      <w:r w:rsidR="0010199F" w:rsidRPr="00A9038D">
        <w:rPr>
          <w:b/>
          <w:bCs/>
        </w:rPr>
        <w:t>Alasdair MacDonald</w:t>
      </w:r>
    </w:p>
    <w:p w14:paraId="4DCD88EE" w14:textId="46CB0752" w:rsidR="00CB1671" w:rsidRDefault="0010199F" w:rsidP="0010199F">
      <w:pPr>
        <w:pStyle w:val="Body"/>
      </w:pPr>
      <w:r>
        <w:t>Chair, Clinical Advisory Committee</w:t>
      </w:r>
      <w:r>
        <w:br/>
      </w:r>
      <w:r w:rsidR="004A7250" w:rsidRPr="00137322">
        <w:t>18</w:t>
      </w:r>
      <w:r w:rsidRPr="00137322">
        <w:t xml:space="preserve"> </w:t>
      </w:r>
      <w:r w:rsidR="004A7250" w:rsidRPr="00137322">
        <w:t>August</w:t>
      </w:r>
      <w:r w:rsidRPr="004A7250">
        <w:t xml:space="preserve"> 2</w:t>
      </w:r>
      <w:r>
        <w:t>02</w:t>
      </w:r>
      <w:r w:rsidR="00B17B02">
        <w:t>1</w:t>
      </w:r>
    </w:p>
    <w:p w14:paraId="292B96A9" w14:textId="77777777" w:rsidR="00B02A98" w:rsidRDefault="00B02A98" w:rsidP="0010199F">
      <w:pPr>
        <w:pStyle w:val="Body"/>
        <w:sectPr w:rsidR="00B02A98" w:rsidSect="00441579">
          <w:headerReference w:type="even" r:id="rId119"/>
          <w:headerReference w:type="default" r:id="rId120"/>
          <w:footerReference w:type="default" r:id="rId121"/>
          <w:type w:val="continuous"/>
          <w:pgSz w:w="9979" w:h="14175"/>
          <w:pgMar w:top="1134" w:right="1134" w:bottom="1134" w:left="1134" w:header="709" w:footer="709" w:gutter="0"/>
          <w:cols w:num="2" w:space="708"/>
          <w:docGrid w:linePitch="360"/>
        </w:sectPr>
      </w:pPr>
    </w:p>
    <w:p w14:paraId="00F156C8" w14:textId="61713EE8" w:rsidR="00AA07F9" w:rsidRDefault="00AA07F9" w:rsidP="00441579">
      <w:pPr>
        <w:pStyle w:val="Heading1"/>
        <w:rPr>
          <w:color w:val="F47920" w:themeColor="accent4"/>
        </w:rPr>
        <w:sectPr w:rsidR="00AA07F9" w:rsidSect="00441579">
          <w:headerReference w:type="default" r:id="rId122"/>
          <w:footerReference w:type="default" r:id="rId123"/>
          <w:pgSz w:w="9979" w:h="14175"/>
          <w:pgMar w:top="1134" w:right="1134" w:bottom="1134" w:left="1134" w:header="709" w:footer="709" w:gutter="0"/>
          <w:cols w:space="708"/>
          <w:docGrid w:linePitch="360"/>
        </w:sectPr>
      </w:pPr>
      <w:bookmarkStart w:id="88" w:name="_Toc44350181"/>
      <w:bookmarkStart w:id="89" w:name="_Toc50378075"/>
      <w:bookmarkStart w:id="90" w:name="_Toc84488746"/>
      <w:r w:rsidRPr="005C0F04">
        <w:rPr>
          <w:color w:val="F47920" w:themeColor="accent4"/>
        </w:rPr>
        <w:lastRenderedPageBreak/>
        <w:t>About the Clinical Advisory</w:t>
      </w:r>
      <w:r>
        <w:rPr>
          <w:color w:val="F47920" w:themeColor="accent4"/>
        </w:rPr>
        <w:t> </w:t>
      </w:r>
      <w:r w:rsidRPr="005C0F04">
        <w:rPr>
          <w:color w:val="F47920" w:themeColor="accent4"/>
        </w:rPr>
        <w:t>Committee</w:t>
      </w:r>
      <w:bookmarkEnd w:id="88"/>
      <w:bookmarkEnd w:id="89"/>
      <w:bookmarkEnd w:id="90"/>
    </w:p>
    <w:p w14:paraId="0BC5494D" w14:textId="177DFC08" w:rsidR="005919CF" w:rsidRPr="00EF17D1" w:rsidRDefault="005919CF" w:rsidP="00EF17D1">
      <w:pPr>
        <w:pStyle w:val="Body"/>
        <w:rPr>
          <w:b/>
          <w:bCs/>
        </w:rPr>
      </w:pPr>
      <w:r w:rsidRPr="00EF17D1">
        <w:rPr>
          <w:b/>
          <w:bCs/>
        </w:rPr>
        <w:t>Clinical Advisory Committee members provide high-level technical and clinical advice to the</w:t>
      </w:r>
      <w:r w:rsidR="00505F9D" w:rsidRPr="00EF17D1">
        <w:rPr>
          <w:b/>
          <w:bCs/>
        </w:rPr>
        <w:t> </w:t>
      </w:r>
      <w:r w:rsidRPr="00EF17D1">
        <w:rPr>
          <w:b/>
          <w:bCs/>
        </w:rPr>
        <w:t>Pricing Authority on a range of issues, such</w:t>
      </w:r>
      <w:r w:rsidR="00505F9D" w:rsidRPr="00EF17D1">
        <w:rPr>
          <w:b/>
          <w:bCs/>
        </w:rPr>
        <w:t> </w:t>
      </w:r>
      <w:r w:rsidRPr="00EF17D1">
        <w:rPr>
          <w:b/>
          <w:bCs/>
        </w:rPr>
        <w:t>as</w:t>
      </w:r>
      <w:r w:rsidR="00505F9D" w:rsidRPr="00EF17D1">
        <w:rPr>
          <w:b/>
          <w:bCs/>
        </w:rPr>
        <w:t> </w:t>
      </w:r>
      <w:r w:rsidRPr="00EF17D1">
        <w:rPr>
          <w:b/>
          <w:bCs/>
        </w:rPr>
        <w:t>activity based funding, classification development and policy development to inform the annual determination of the national efficient price and national efficient cost.</w:t>
      </w:r>
    </w:p>
    <w:p w14:paraId="2A99C466" w14:textId="77777777" w:rsidR="005919CF" w:rsidRPr="00AA07F9" w:rsidRDefault="005919CF" w:rsidP="00EF17D1">
      <w:pPr>
        <w:pStyle w:val="Body"/>
      </w:pPr>
      <w:r w:rsidRPr="00AA07F9">
        <w:t xml:space="preserve">The Clinical Advisory Committee is a statutory committee established under Part 4.10 of the </w:t>
      </w:r>
      <w:r w:rsidRPr="00AA07F9">
        <w:rPr>
          <w:i/>
          <w:iCs/>
        </w:rPr>
        <w:t>National Health Reform Act 2011</w:t>
      </w:r>
      <w:r w:rsidRPr="00AA07F9">
        <w:t>.</w:t>
      </w:r>
    </w:p>
    <w:p w14:paraId="68104416" w14:textId="77777777" w:rsidR="005919CF" w:rsidRPr="00AA07F9" w:rsidRDefault="005919CF" w:rsidP="00EF17D1">
      <w:pPr>
        <w:pStyle w:val="Body"/>
      </w:pPr>
      <w:r w:rsidRPr="00AA07F9">
        <w:t>The functions of the committee are described in</w:t>
      </w:r>
      <w:r>
        <w:t> </w:t>
      </w:r>
      <w:r w:rsidRPr="00AA07F9">
        <w:t>s</w:t>
      </w:r>
      <w:r>
        <w:t>ection</w:t>
      </w:r>
      <w:r w:rsidRPr="00AA07F9">
        <w:t>177:</w:t>
      </w:r>
    </w:p>
    <w:p w14:paraId="5310E153" w14:textId="3D9A19FB" w:rsidR="005919CF" w:rsidRPr="00AA07F9" w:rsidRDefault="005919CF" w:rsidP="005919CF">
      <w:pPr>
        <w:pStyle w:val="Bullets"/>
      </w:pPr>
      <w:r w:rsidRPr="00AA07F9">
        <w:t>to advise the Pricing Authority in relation to</w:t>
      </w:r>
      <w:r w:rsidR="00EF17D1">
        <w:t> </w:t>
      </w:r>
      <w:r w:rsidRPr="00AA07F9">
        <w:t>developing and specifying classification systems for health care and other services provided by public hospitals</w:t>
      </w:r>
    </w:p>
    <w:p w14:paraId="49A1051E" w14:textId="77777777" w:rsidR="005919CF" w:rsidRPr="00AA07F9" w:rsidRDefault="005919CF" w:rsidP="005919CF">
      <w:pPr>
        <w:pStyle w:val="Bullets"/>
      </w:pPr>
      <w:r w:rsidRPr="00AA07F9">
        <w:t>to advise the Pricing Authority in relation to matters that:</w:t>
      </w:r>
    </w:p>
    <w:p w14:paraId="414E332E" w14:textId="33936AB2" w:rsidR="005919CF" w:rsidRPr="00AA07F9" w:rsidRDefault="005919CF" w:rsidP="005919CF">
      <w:pPr>
        <w:pStyle w:val="BulletsL2"/>
      </w:pPr>
      <w:r w:rsidRPr="00AA07F9">
        <w:t>relate to the functions of the Pricing</w:t>
      </w:r>
      <w:r w:rsidR="00EF17D1">
        <w:t> </w:t>
      </w:r>
      <w:r w:rsidRPr="00AA07F9">
        <w:t>Authority</w:t>
      </w:r>
    </w:p>
    <w:p w14:paraId="700E3909" w14:textId="77777777" w:rsidR="005919CF" w:rsidRPr="00AA07F9" w:rsidRDefault="005919CF" w:rsidP="005919CF">
      <w:pPr>
        <w:pStyle w:val="BulletsL2"/>
      </w:pPr>
      <w:r w:rsidRPr="00AA07F9">
        <w:t>are referred to the Clinical Advisory Committee by the Pricing Authority</w:t>
      </w:r>
    </w:p>
    <w:p w14:paraId="6CAEF97D" w14:textId="77777777" w:rsidR="005919CF" w:rsidRPr="00AA07F9" w:rsidRDefault="005919CF" w:rsidP="005A69ED">
      <w:pPr>
        <w:numPr>
          <w:ilvl w:val="0"/>
          <w:numId w:val="1"/>
        </w:numPr>
        <w:spacing w:after="360"/>
        <w:ind w:right="-185"/>
        <w:rPr>
          <w:color w:val="1C1C1C"/>
          <w:sz w:val="18"/>
          <w:szCs w:val="18"/>
        </w:rPr>
      </w:pPr>
      <w:r w:rsidRPr="00AA07F9">
        <w:rPr>
          <w:color w:val="1C1C1C"/>
          <w:sz w:val="18"/>
          <w:szCs w:val="18"/>
        </w:rPr>
        <w:t>to do anything incidental to</w:t>
      </w:r>
      <w:r>
        <w:rPr>
          <w:color w:val="1C1C1C"/>
          <w:sz w:val="18"/>
          <w:szCs w:val="18"/>
        </w:rPr>
        <w:t>,</w:t>
      </w:r>
      <w:r w:rsidRPr="00AA07F9">
        <w:rPr>
          <w:color w:val="1C1C1C"/>
          <w:sz w:val="18"/>
          <w:szCs w:val="18"/>
        </w:rPr>
        <w:t xml:space="preserve"> or conducive to</w:t>
      </w:r>
      <w:r>
        <w:rPr>
          <w:color w:val="1C1C1C"/>
          <w:sz w:val="18"/>
          <w:szCs w:val="18"/>
        </w:rPr>
        <w:t>,</w:t>
      </w:r>
      <w:r w:rsidRPr="00AA07F9">
        <w:rPr>
          <w:color w:val="1C1C1C"/>
          <w:sz w:val="18"/>
          <w:szCs w:val="18"/>
        </w:rPr>
        <w:t xml:space="preserve"> the performance of the above functions.</w:t>
      </w:r>
    </w:p>
    <w:p w14:paraId="15EAD761" w14:textId="77777777" w:rsidR="005919CF" w:rsidRPr="00AA07F9" w:rsidRDefault="00AA07F9" w:rsidP="005919CF">
      <w:pPr>
        <w:rPr>
          <w:rFonts w:ascii="Futura PT Demi" w:hAnsi="Futura PT Demi"/>
          <w:bCs/>
          <w:color w:val="1C1C1C"/>
          <w:szCs w:val="18"/>
        </w:rPr>
      </w:pPr>
      <w:r w:rsidRPr="00AA07F9">
        <w:rPr>
          <w:rFonts w:ascii="Futura PT Demi" w:hAnsi="Futura PT Demi"/>
          <w:bCs/>
          <w:color w:val="1C1C1C"/>
          <w:szCs w:val="18"/>
        </w:rPr>
        <w:br w:type="column"/>
      </w:r>
      <w:r w:rsidR="005919CF" w:rsidRPr="00AA07F9">
        <w:rPr>
          <w:rFonts w:ascii="Futura PT Demi" w:hAnsi="Futura PT Demi"/>
          <w:bCs/>
          <w:color w:val="1C1C1C"/>
          <w:szCs w:val="18"/>
        </w:rPr>
        <w:t>Membership</w:t>
      </w:r>
    </w:p>
    <w:p w14:paraId="6D5574B5" w14:textId="4C5C970D" w:rsidR="005919CF" w:rsidRPr="00AA07F9" w:rsidRDefault="005919CF" w:rsidP="00EF17D1">
      <w:pPr>
        <w:pStyle w:val="Body"/>
      </w:pPr>
      <w:r w:rsidRPr="00AA07F9">
        <w:t>The members of the committee are appointed by the Australian</w:t>
      </w:r>
      <w:r>
        <w:t xml:space="preserve"> Government Minister for Health</w:t>
      </w:r>
      <w:r w:rsidR="009D0955">
        <w:t>,</w:t>
      </w:r>
      <w:r w:rsidRPr="00AA07F9">
        <w:t xml:space="preserve"> and are drawn from a range of clinical specialties and backgrounds to ensure the committee represents a wide range of clinical expertise.</w:t>
      </w:r>
    </w:p>
    <w:p w14:paraId="026B471B" w14:textId="29F4E6DF" w:rsidR="005919CF" w:rsidRPr="00AA07F9" w:rsidRDefault="005919CF" w:rsidP="00EF17D1">
      <w:pPr>
        <w:pStyle w:val="Body"/>
      </w:pPr>
      <w:r w:rsidRPr="00AA07F9">
        <w:t>Appointments are based on individual expertise</w:t>
      </w:r>
      <w:r w:rsidR="00414898">
        <w:t> </w:t>
      </w:r>
      <w:r w:rsidRPr="00AA07F9">
        <w:t>rather than as a representati</w:t>
      </w:r>
      <w:r>
        <w:t>on</w:t>
      </w:r>
      <w:r w:rsidRPr="00AA07F9">
        <w:t xml:space="preserve"> of an</w:t>
      </w:r>
      <w:r>
        <w:t>y</w:t>
      </w:r>
      <w:r w:rsidRPr="00AA07F9">
        <w:t> </w:t>
      </w:r>
      <w:proofErr w:type="spellStart"/>
      <w:r w:rsidRPr="00AA07F9">
        <w:t>organisation</w:t>
      </w:r>
      <w:proofErr w:type="spellEnd"/>
      <w:r w:rsidRPr="00AA07F9">
        <w:t>, peak body or jurisdiction. The Remuneration Tribunal determines remuneration.</w:t>
      </w:r>
    </w:p>
    <w:p w14:paraId="68939A51" w14:textId="77777777" w:rsidR="005919CF" w:rsidRDefault="005919CF" w:rsidP="00EF17D1">
      <w:pPr>
        <w:pStyle w:val="Body"/>
      </w:pPr>
      <w:r w:rsidRPr="00AA07F9">
        <w:t>The Chair of the committee, Associate Professor Alasdair MacDonald, reports to the Australian Government Minister for Health and is supported by IHPA staff.</w:t>
      </w:r>
    </w:p>
    <w:p w14:paraId="6F93672E" w14:textId="01940886" w:rsidR="00B02A98" w:rsidRDefault="00B02A98" w:rsidP="005919CF"/>
    <w:p w14:paraId="01123224" w14:textId="77777777" w:rsidR="00716E1B" w:rsidRDefault="00716E1B" w:rsidP="00AA07F9">
      <w:pPr>
        <w:pStyle w:val="Body"/>
        <w:sectPr w:rsidR="00716E1B" w:rsidSect="00AA07F9">
          <w:type w:val="continuous"/>
          <w:pgSz w:w="9979" w:h="14175"/>
          <w:pgMar w:top="1418" w:right="1134" w:bottom="1134" w:left="1134" w:header="709" w:footer="709" w:gutter="0"/>
          <w:cols w:num="2" w:space="708"/>
          <w:docGrid w:linePitch="360"/>
        </w:sectPr>
      </w:pPr>
    </w:p>
    <w:p w14:paraId="3FC41526" w14:textId="57FD88C3" w:rsidR="00716E1B" w:rsidRPr="00716E1B" w:rsidRDefault="00716E1B" w:rsidP="00153DC1">
      <w:pPr>
        <w:pStyle w:val="FigureHeading"/>
        <w:ind w:right="-227"/>
      </w:pPr>
      <w:bookmarkStart w:id="91" w:name="_Toc82510936"/>
      <w:r w:rsidRPr="00153DC1">
        <w:rPr>
          <w:rStyle w:val="FigureHeadingChar"/>
          <w:sz w:val="22"/>
          <w:szCs w:val="22"/>
        </w:rPr>
        <w:lastRenderedPageBreak/>
        <w:t>Table 2: Membership and meetings of the Clinical Advisory Committee in 2020–21</w:t>
      </w:r>
      <w:r w:rsidR="00D5016A">
        <w:rPr>
          <w:rStyle w:val="FigureHeadingChar"/>
          <w:rFonts w:ascii="ZWAdobeF" w:hAnsi="ZWAdobeF" w:cs="ZWAdobeF"/>
          <w:color w:val="auto"/>
          <w:sz w:val="2"/>
          <w:szCs w:val="2"/>
        </w:rPr>
        <w:t>2F</w:t>
      </w:r>
      <w:r w:rsidRPr="00716E1B">
        <w:rPr>
          <w:vertAlign w:val="superscript"/>
        </w:rPr>
        <w:footnoteReference w:id="3"/>
      </w:r>
      <w:bookmarkEnd w:id="91"/>
    </w:p>
    <w:tbl>
      <w:tblPr>
        <w:tblStyle w:val="IHPATable"/>
        <w:tblW w:w="7804" w:type="dxa"/>
        <w:tblLayout w:type="fixed"/>
        <w:tblLook w:val="0020" w:firstRow="1" w:lastRow="0" w:firstColumn="0" w:lastColumn="0" w:noHBand="0" w:noVBand="0"/>
        <w:tblCaption w:val="Table 2"/>
        <w:tblDescription w:val="Membership and meetings of the Clinical Advisory Committee in 2020–21"/>
      </w:tblPr>
      <w:tblGrid>
        <w:gridCol w:w="2135"/>
        <w:gridCol w:w="992"/>
        <w:gridCol w:w="2693"/>
        <w:gridCol w:w="992"/>
        <w:gridCol w:w="992"/>
      </w:tblGrid>
      <w:tr w:rsidR="00716E1B" w:rsidRPr="00683F14" w14:paraId="736F46D2" w14:textId="77777777" w:rsidTr="00735309">
        <w:trPr>
          <w:cnfStyle w:val="100000000000" w:firstRow="1" w:lastRow="0" w:firstColumn="0" w:lastColumn="0" w:oddVBand="0" w:evenVBand="0" w:oddHBand="0" w:evenHBand="0" w:firstRowFirstColumn="0" w:firstRowLastColumn="0" w:lastRowFirstColumn="0" w:lastRowLastColumn="0"/>
          <w:trHeight w:val="170"/>
          <w:tblHeader/>
        </w:trPr>
        <w:tc>
          <w:tcPr>
            <w:tcW w:w="2135" w:type="dxa"/>
          </w:tcPr>
          <w:p w14:paraId="606C3063" w14:textId="77777777" w:rsidR="00716E1B" w:rsidRPr="00683F14" w:rsidRDefault="00716E1B" w:rsidP="00780AAF">
            <w:pPr>
              <w:pStyle w:val="Body"/>
              <w:spacing w:before="40" w:after="40"/>
              <w:rPr>
                <w:rFonts w:ascii="Futura PT Book" w:hAnsi="Futura PT Book" w:cs="Futura PT Book"/>
                <w:color w:val="FFFFFF" w:themeColor="background2"/>
                <w:lang w:val="en-US"/>
              </w:rPr>
            </w:pPr>
            <w:r w:rsidRPr="00683F14">
              <w:rPr>
                <w:color w:val="FFFFFF" w:themeColor="background2"/>
                <w:lang w:val="en-US"/>
              </w:rPr>
              <w:t>Name</w:t>
            </w:r>
          </w:p>
        </w:tc>
        <w:tc>
          <w:tcPr>
            <w:tcW w:w="992" w:type="dxa"/>
          </w:tcPr>
          <w:p w14:paraId="31894126" w14:textId="77777777" w:rsidR="00716E1B" w:rsidRPr="00683F14" w:rsidRDefault="00716E1B" w:rsidP="00780AAF">
            <w:pPr>
              <w:pStyle w:val="Body"/>
              <w:spacing w:before="40" w:after="40"/>
              <w:rPr>
                <w:color w:val="FFFFFF" w:themeColor="background2"/>
                <w:lang w:val="en-US"/>
              </w:rPr>
            </w:pPr>
            <w:r w:rsidRPr="00683F14">
              <w:rPr>
                <w:color w:val="FFFFFF" w:themeColor="background2"/>
                <w:lang w:val="en-US"/>
              </w:rPr>
              <w:t>Position</w:t>
            </w:r>
          </w:p>
        </w:tc>
        <w:tc>
          <w:tcPr>
            <w:tcW w:w="2693" w:type="dxa"/>
          </w:tcPr>
          <w:p w14:paraId="799519F4" w14:textId="77777777" w:rsidR="00716E1B" w:rsidRPr="00683F14" w:rsidRDefault="00716E1B" w:rsidP="00780AAF">
            <w:pPr>
              <w:pStyle w:val="Body"/>
              <w:spacing w:before="40" w:after="40"/>
              <w:rPr>
                <w:color w:val="FFFFFF" w:themeColor="background2"/>
                <w:lang w:val="en-US"/>
              </w:rPr>
            </w:pPr>
            <w:r w:rsidRPr="00683F14">
              <w:rPr>
                <w:color w:val="FFFFFF" w:themeColor="background2"/>
                <w:lang w:val="en-US"/>
              </w:rPr>
              <w:t>Specialty</w:t>
            </w:r>
          </w:p>
        </w:tc>
        <w:tc>
          <w:tcPr>
            <w:tcW w:w="992" w:type="dxa"/>
          </w:tcPr>
          <w:p w14:paraId="6811ACF6" w14:textId="77777777" w:rsidR="00716E1B" w:rsidRPr="00683F14" w:rsidRDefault="00716E1B" w:rsidP="00780AAF">
            <w:pPr>
              <w:pStyle w:val="Body"/>
              <w:spacing w:before="40" w:after="40"/>
              <w:jc w:val="right"/>
              <w:rPr>
                <w:rFonts w:ascii="Futura PT Book" w:hAnsi="Futura PT Book" w:cs="Futura PT Book"/>
                <w:color w:val="FFFFFF" w:themeColor="background2"/>
                <w:lang w:val="en-US"/>
              </w:rPr>
            </w:pPr>
            <w:r w:rsidRPr="00683F14">
              <w:rPr>
                <w:color w:val="FFFFFF" w:themeColor="background2"/>
                <w:lang w:val="en-US"/>
              </w:rPr>
              <w:t>Meetings eligible</w:t>
            </w:r>
          </w:p>
        </w:tc>
        <w:tc>
          <w:tcPr>
            <w:tcW w:w="992" w:type="dxa"/>
          </w:tcPr>
          <w:p w14:paraId="09253502" w14:textId="77777777" w:rsidR="00716E1B" w:rsidRPr="00683F14" w:rsidRDefault="00716E1B" w:rsidP="00780AAF">
            <w:pPr>
              <w:pStyle w:val="Body"/>
              <w:spacing w:before="40" w:after="40"/>
              <w:jc w:val="right"/>
              <w:rPr>
                <w:color w:val="FFFFFF" w:themeColor="background2"/>
                <w:lang w:val="en-US"/>
              </w:rPr>
            </w:pPr>
            <w:r w:rsidRPr="00683F14">
              <w:rPr>
                <w:color w:val="FFFFFF" w:themeColor="background2"/>
                <w:lang w:val="en-US"/>
              </w:rPr>
              <w:t>Meetings attended</w:t>
            </w:r>
          </w:p>
        </w:tc>
      </w:tr>
      <w:tr w:rsidR="005919CF" w:rsidRPr="00683F14" w14:paraId="3C63C947"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0EFCCFDE" w14:textId="3465FBC2" w:rsidR="005919CF" w:rsidRPr="00936CA4" w:rsidRDefault="005919CF" w:rsidP="005919CF">
            <w:pPr>
              <w:pStyle w:val="Body"/>
              <w:spacing w:before="40" w:after="40"/>
              <w:rPr>
                <w:rFonts w:cs="Futura PT Book"/>
                <w:color w:val="000000"/>
                <w:sz w:val="15"/>
                <w:szCs w:val="15"/>
                <w:lang w:val="en-US"/>
              </w:rPr>
            </w:pPr>
            <w:r w:rsidRPr="00936CA4">
              <w:rPr>
                <w:sz w:val="15"/>
                <w:szCs w:val="15"/>
              </w:rPr>
              <w:t>A/Prof Alasdair MacDonald</w:t>
            </w:r>
          </w:p>
        </w:tc>
        <w:tc>
          <w:tcPr>
            <w:tcW w:w="992" w:type="dxa"/>
            <w:noWrap/>
          </w:tcPr>
          <w:p w14:paraId="13BF2894" w14:textId="660A609B" w:rsidR="005919CF" w:rsidRPr="00936CA4" w:rsidRDefault="005919CF" w:rsidP="005919CF">
            <w:pPr>
              <w:pStyle w:val="Body"/>
              <w:spacing w:before="40" w:after="40"/>
              <w:rPr>
                <w:sz w:val="15"/>
                <w:szCs w:val="15"/>
              </w:rPr>
            </w:pPr>
            <w:r w:rsidRPr="00936CA4">
              <w:rPr>
                <w:sz w:val="15"/>
                <w:szCs w:val="15"/>
              </w:rPr>
              <w:t>Chair</w:t>
            </w:r>
          </w:p>
        </w:tc>
        <w:tc>
          <w:tcPr>
            <w:tcW w:w="2693" w:type="dxa"/>
            <w:noWrap/>
          </w:tcPr>
          <w:p w14:paraId="278480B2" w14:textId="2C4F48CE" w:rsidR="005919CF" w:rsidRPr="00936CA4" w:rsidRDefault="005919CF" w:rsidP="005919CF">
            <w:pPr>
              <w:pStyle w:val="Body"/>
              <w:spacing w:before="40" w:after="40"/>
              <w:rPr>
                <w:sz w:val="15"/>
                <w:szCs w:val="15"/>
              </w:rPr>
            </w:pPr>
            <w:r w:rsidRPr="00936CA4">
              <w:rPr>
                <w:sz w:val="15"/>
                <w:szCs w:val="15"/>
              </w:rPr>
              <w:t xml:space="preserve">Internal </w:t>
            </w:r>
            <w:r w:rsidR="00B52AB4">
              <w:rPr>
                <w:sz w:val="15"/>
                <w:szCs w:val="15"/>
              </w:rPr>
              <w:t>m</w:t>
            </w:r>
            <w:r w:rsidRPr="00936CA4">
              <w:rPr>
                <w:sz w:val="15"/>
                <w:szCs w:val="15"/>
              </w:rPr>
              <w:t>edicine</w:t>
            </w:r>
          </w:p>
        </w:tc>
        <w:tc>
          <w:tcPr>
            <w:tcW w:w="992" w:type="dxa"/>
            <w:noWrap/>
          </w:tcPr>
          <w:p w14:paraId="2149F8B8" w14:textId="0073C979" w:rsidR="005919CF" w:rsidRPr="00936CA4" w:rsidRDefault="005919CF" w:rsidP="005919CF">
            <w:pPr>
              <w:pStyle w:val="Body"/>
              <w:spacing w:before="40" w:after="40"/>
              <w:jc w:val="right"/>
              <w:rPr>
                <w:rFonts w:cs="Futura PT Book"/>
                <w:color w:val="000000"/>
                <w:sz w:val="15"/>
                <w:szCs w:val="15"/>
                <w:lang w:val="en-US"/>
              </w:rPr>
            </w:pPr>
            <w:r w:rsidRPr="00936CA4">
              <w:rPr>
                <w:sz w:val="15"/>
                <w:szCs w:val="15"/>
              </w:rPr>
              <w:t>3</w:t>
            </w:r>
          </w:p>
        </w:tc>
        <w:tc>
          <w:tcPr>
            <w:tcW w:w="992" w:type="dxa"/>
            <w:noWrap/>
          </w:tcPr>
          <w:p w14:paraId="2DD76C55" w14:textId="535FA6F9" w:rsidR="005919CF" w:rsidRPr="00936CA4" w:rsidRDefault="005919CF" w:rsidP="005919CF">
            <w:pPr>
              <w:pStyle w:val="Body"/>
              <w:spacing w:before="40" w:after="40"/>
              <w:jc w:val="right"/>
              <w:rPr>
                <w:rFonts w:cs="Futura PT Book"/>
                <w:color w:val="000000"/>
                <w:sz w:val="15"/>
                <w:szCs w:val="15"/>
                <w:lang w:val="en-US"/>
              </w:rPr>
            </w:pPr>
            <w:r w:rsidRPr="00936CA4">
              <w:rPr>
                <w:rFonts w:cs="Futura PT Book"/>
                <w:color w:val="000000"/>
                <w:sz w:val="15"/>
                <w:szCs w:val="15"/>
                <w:lang w:val="en-US"/>
              </w:rPr>
              <w:t>3</w:t>
            </w:r>
          </w:p>
        </w:tc>
      </w:tr>
      <w:tr w:rsidR="005919CF" w:rsidRPr="00683F14" w14:paraId="0EB65C8A"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5B2D7ECF" w14:textId="6022E004" w:rsidR="005919CF" w:rsidRPr="00936CA4" w:rsidRDefault="005919CF" w:rsidP="005919CF">
            <w:pPr>
              <w:pStyle w:val="Body"/>
              <w:spacing w:before="40" w:after="40"/>
              <w:rPr>
                <w:rFonts w:cs="Futura PT Book"/>
                <w:color w:val="000000"/>
                <w:sz w:val="15"/>
                <w:szCs w:val="15"/>
                <w:lang w:val="en-US"/>
              </w:rPr>
            </w:pPr>
            <w:r w:rsidRPr="00936CA4">
              <w:rPr>
                <w:sz w:val="15"/>
                <w:szCs w:val="15"/>
              </w:rPr>
              <w:t>Prof Gerard Carroll</w:t>
            </w:r>
          </w:p>
        </w:tc>
        <w:tc>
          <w:tcPr>
            <w:tcW w:w="992" w:type="dxa"/>
            <w:noWrap/>
          </w:tcPr>
          <w:p w14:paraId="7B66B91E" w14:textId="4B0D9C0D"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2ED89FA6" w14:textId="01922098" w:rsidR="005919CF" w:rsidRPr="00936CA4" w:rsidRDefault="005919CF" w:rsidP="005919CF">
            <w:pPr>
              <w:pStyle w:val="Body"/>
              <w:spacing w:before="40" w:after="40"/>
              <w:rPr>
                <w:sz w:val="15"/>
                <w:szCs w:val="15"/>
              </w:rPr>
            </w:pPr>
            <w:r w:rsidRPr="00936CA4">
              <w:rPr>
                <w:sz w:val="15"/>
                <w:szCs w:val="15"/>
              </w:rPr>
              <w:t>Cardiology/</w:t>
            </w:r>
            <w:r w:rsidR="00B52AB4">
              <w:rPr>
                <w:sz w:val="15"/>
                <w:szCs w:val="15"/>
              </w:rPr>
              <w:t>r</w:t>
            </w:r>
            <w:r w:rsidRPr="00936CA4">
              <w:rPr>
                <w:sz w:val="15"/>
                <w:szCs w:val="15"/>
              </w:rPr>
              <w:t>ural</w:t>
            </w:r>
          </w:p>
        </w:tc>
        <w:tc>
          <w:tcPr>
            <w:tcW w:w="992" w:type="dxa"/>
            <w:noWrap/>
          </w:tcPr>
          <w:p w14:paraId="47715E93" w14:textId="5AC0EABA" w:rsidR="005919CF" w:rsidRPr="00936CA4" w:rsidRDefault="005919CF" w:rsidP="005919CF">
            <w:pPr>
              <w:pStyle w:val="Body"/>
              <w:spacing w:before="40" w:after="40"/>
              <w:jc w:val="right"/>
              <w:rPr>
                <w:rFonts w:cs="Futura PT Book"/>
                <w:color w:val="000000"/>
                <w:sz w:val="15"/>
                <w:szCs w:val="15"/>
                <w:lang w:val="en-US"/>
              </w:rPr>
            </w:pPr>
            <w:r w:rsidRPr="00936CA4">
              <w:rPr>
                <w:sz w:val="15"/>
                <w:szCs w:val="15"/>
              </w:rPr>
              <w:t>3</w:t>
            </w:r>
          </w:p>
        </w:tc>
        <w:tc>
          <w:tcPr>
            <w:tcW w:w="992" w:type="dxa"/>
            <w:noWrap/>
          </w:tcPr>
          <w:p w14:paraId="6345FAE0" w14:textId="4BBF387A" w:rsidR="005919CF" w:rsidRPr="00936CA4" w:rsidRDefault="005919CF" w:rsidP="005919CF">
            <w:pPr>
              <w:pStyle w:val="Body"/>
              <w:spacing w:before="40" w:after="40"/>
              <w:jc w:val="right"/>
              <w:rPr>
                <w:rFonts w:cs="Futura PT Book"/>
                <w:color w:val="000000"/>
                <w:sz w:val="15"/>
                <w:szCs w:val="15"/>
                <w:lang w:val="en-US"/>
              </w:rPr>
            </w:pPr>
            <w:r w:rsidRPr="00936CA4">
              <w:rPr>
                <w:rFonts w:cs="Futura PT Book"/>
                <w:color w:val="000000"/>
                <w:sz w:val="15"/>
                <w:szCs w:val="15"/>
                <w:lang w:val="en-US"/>
              </w:rPr>
              <w:t>0</w:t>
            </w:r>
          </w:p>
        </w:tc>
      </w:tr>
      <w:tr w:rsidR="005919CF" w:rsidRPr="00683F14" w14:paraId="46D0732E"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0508C299" w14:textId="00C6F5A2" w:rsidR="005919CF" w:rsidRPr="00936CA4" w:rsidRDefault="005919CF" w:rsidP="005919CF">
            <w:pPr>
              <w:pStyle w:val="Body"/>
              <w:spacing w:before="40" w:after="40"/>
              <w:rPr>
                <w:rFonts w:cs="Futura PT Book"/>
                <w:color w:val="000000"/>
                <w:sz w:val="15"/>
                <w:szCs w:val="15"/>
                <w:lang w:val="en-US"/>
              </w:rPr>
            </w:pPr>
            <w:proofErr w:type="spellStart"/>
            <w:r w:rsidRPr="00936CA4">
              <w:rPr>
                <w:sz w:val="15"/>
                <w:szCs w:val="15"/>
              </w:rPr>
              <w:t>Ms</w:t>
            </w:r>
            <w:proofErr w:type="spellEnd"/>
            <w:r w:rsidRPr="00936CA4">
              <w:rPr>
                <w:sz w:val="15"/>
                <w:szCs w:val="15"/>
              </w:rPr>
              <w:t xml:space="preserve"> Jan Erven</w:t>
            </w:r>
          </w:p>
        </w:tc>
        <w:tc>
          <w:tcPr>
            <w:tcW w:w="992" w:type="dxa"/>
            <w:noWrap/>
          </w:tcPr>
          <w:p w14:paraId="3C1E1E5B" w14:textId="3DCD18EB"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6A7F5A6E" w14:textId="36D8837A" w:rsidR="005919CF" w:rsidRPr="00936CA4" w:rsidRDefault="005919CF" w:rsidP="005919CF">
            <w:pPr>
              <w:pStyle w:val="Body"/>
              <w:spacing w:before="40" w:after="40"/>
              <w:rPr>
                <w:sz w:val="15"/>
                <w:szCs w:val="15"/>
              </w:rPr>
            </w:pPr>
            <w:r w:rsidRPr="00936CA4">
              <w:rPr>
                <w:sz w:val="15"/>
                <w:szCs w:val="15"/>
              </w:rPr>
              <w:t xml:space="preserve">Occupational </w:t>
            </w:r>
            <w:r w:rsidR="00B52AB4">
              <w:rPr>
                <w:sz w:val="15"/>
                <w:szCs w:val="15"/>
              </w:rPr>
              <w:t>t</w:t>
            </w:r>
            <w:r w:rsidRPr="00936CA4">
              <w:rPr>
                <w:sz w:val="15"/>
                <w:szCs w:val="15"/>
              </w:rPr>
              <w:t>herapy</w:t>
            </w:r>
          </w:p>
        </w:tc>
        <w:tc>
          <w:tcPr>
            <w:tcW w:w="992" w:type="dxa"/>
            <w:noWrap/>
          </w:tcPr>
          <w:p w14:paraId="32BD11D7" w14:textId="3E65F9F6" w:rsidR="005919CF" w:rsidRPr="00936CA4" w:rsidRDefault="005919CF" w:rsidP="005919CF">
            <w:pPr>
              <w:pStyle w:val="Body"/>
              <w:spacing w:before="40" w:after="40"/>
              <w:jc w:val="right"/>
              <w:rPr>
                <w:rFonts w:cs="Futura PT Book"/>
                <w:color w:val="000000"/>
                <w:sz w:val="15"/>
                <w:szCs w:val="15"/>
                <w:lang w:val="en-US"/>
              </w:rPr>
            </w:pPr>
            <w:r w:rsidRPr="00936CA4">
              <w:rPr>
                <w:sz w:val="15"/>
                <w:szCs w:val="15"/>
              </w:rPr>
              <w:t>3</w:t>
            </w:r>
          </w:p>
        </w:tc>
        <w:tc>
          <w:tcPr>
            <w:tcW w:w="992" w:type="dxa"/>
            <w:noWrap/>
          </w:tcPr>
          <w:p w14:paraId="1A6243D1" w14:textId="68F7B8A9" w:rsidR="005919CF" w:rsidRPr="00936CA4" w:rsidRDefault="005919CF" w:rsidP="005919CF">
            <w:pPr>
              <w:pStyle w:val="Body"/>
              <w:spacing w:before="40" w:after="40"/>
              <w:jc w:val="right"/>
              <w:rPr>
                <w:rFonts w:cs="Futura PT Book"/>
                <w:color w:val="000000"/>
                <w:sz w:val="15"/>
                <w:szCs w:val="15"/>
                <w:lang w:val="en-US"/>
              </w:rPr>
            </w:pPr>
            <w:r w:rsidRPr="00936CA4">
              <w:rPr>
                <w:rFonts w:cs="Futura PT Book"/>
                <w:color w:val="000000"/>
                <w:sz w:val="15"/>
                <w:szCs w:val="15"/>
                <w:lang w:val="en-US"/>
              </w:rPr>
              <w:t>3</w:t>
            </w:r>
          </w:p>
        </w:tc>
      </w:tr>
      <w:tr w:rsidR="005919CF" w:rsidRPr="00683F14" w14:paraId="1F66ED43"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45DF85C6" w14:textId="3A132849" w:rsidR="005919CF" w:rsidRPr="00936CA4" w:rsidRDefault="005919CF" w:rsidP="005919CF">
            <w:pPr>
              <w:pStyle w:val="Body"/>
              <w:spacing w:before="40" w:after="40"/>
              <w:rPr>
                <w:rFonts w:cs="Futura PT Book"/>
                <w:color w:val="000000"/>
                <w:sz w:val="15"/>
                <w:szCs w:val="15"/>
                <w:lang w:val="en-US"/>
              </w:rPr>
            </w:pPr>
            <w:proofErr w:type="spellStart"/>
            <w:r w:rsidRPr="00936CA4">
              <w:rPr>
                <w:sz w:val="15"/>
                <w:szCs w:val="15"/>
              </w:rPr>
              <w:t>Mr</w:t>
            </w:r>
            <w:proofErr w:type="spellEnd"/>
            <w:r w:rsidRPr="00936CA4">
              <w:rPr>
                <w:sz w:val="15"/>
                <w:szCs w:val="15"/>
              </w:rPr>
              <w:t xml:space="preserve"> Anthony Graham Fish</w:t>
            </w:r>
          </w:p>
        </w:tc>
        <w:tc>
          <w:tcPr>
            <w:tcW w:w="992" w:type="dxa"/>
            <w:noWrap/>
          </w:tcPr>
          <w:p w14:paraId="2B1BE382" w14:textId="0FBAE2B2"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67F3BF40" w14:textId="3B353F48" w:rsidR="005919CF" w:rsidRPr="00936CA4" w:rsidRDefault="005919CF" w:rsidP="005919CF">
            <w:pPr>
              <w:pStyle w:val="Body"/>
              <w:spacing w:before="40" w:after="40"/>
              <w:rPr>
                <w:sz w:val="15"/>
                <w:szCs w:val="15"/>
              </w:rPr>
            </w:pPr>
            <w:r w:rsidRPr="00936CA4">
              <w:rPr>
                <w:sz w:val="15"/>
                <w:szCs w:val="15"/>
              </w:rPr>
              <w:t xml:space="preserve">Allied </w:t>
            </w:r>
            <w:r w:rsidR="00B52AB4">
              <w:rPr>
                <w:sz w:val="15"/>
                <w:szCs w:val="15"/>
              </w:rPr>
              <w:t>h</w:t>
            </w:r>
            <w:r w:rsidRPr="00936CA4">
              <w:rPr>
                <w:sz w:val="15"/>
                <w:szCs w:val="15"/>
              </w:rPr>
              <w:t>ealth</w:t>
            </w:r>
          </w:p>
        </w:tc>
        <w:tc>
          <w:tcPr>
            <w:tcW w:w="992" w:type="dxa"/>
            <w:noWrap/>
          </w:tcPr>
          <w:p w14:paraId="0CFCEFF7" w14:textId="5C67B63A" w:rsidR="005919CF" w:rsidRPr="00936CA4" w:rsidRDefault="005919CF" w:rsidP="005919CF">
            <w:pPr>
              <w:pStyle w:val="Body"/>
              <w:spacing w:before="40" w:after="40"/>
              <w:jc w:val="right"/>
              <w:rPr>
                <w:rFonts w:cs="Futura PT Book"/>
                <w:color w:val="000000"/>
                <w:sz w:val="15"/>
                <w:szCs w:val="15"/>
                <w:lang w:val="en-US"/>
              </w:rPr>
            </w:pPr>
            <w:r w:rsidRPr="00936CA4">
              <w:rPr>
                <w:sz w:val="15"/>
                <w:szCs w:val="15"/>
              </w:rPr>
              <w:t>3</w:t>
            </w:r>
          </w:p>
        </w:tc>
        <w:tc>
          <w:tcPr>
            <w:tcW w:w="992" w:type="dxa"/>
            <w:noWrap/>
          </w:tcPr>
          <w:p w14:paraId="5E8E97EB" w14:textId="11E54F4C" w:rsidR="005919CF" w:rsidRPr="00936CA4" w:rsidRDefault="005919CF" w:rsidP="005919CF">
            <w:pPr>
              <w:pStyle w:val="Body"/>
              <w:spacing w:before="40" w:after="40"/>
              <w:jc w:val="right"/>
              <w:rPr>
                <w:rFonts w:cs="Futura PT Book"/>
                <w:color w:val="000000"/>
                <w:sz w:val="15"/>
                <w:szCs w:val="15"/>
                <w:lang w:val="en-US"/>
              </w:rPr>
            </w:pPr>
            <w:r w:rsidRPr="00936CA4">
              <w:rPr>
                <w:rFonts w:cs="Futura PT Book"/>
                <w:color w:val="000000"/>
                <w:sz w:val="15"/>
                <w:szCs w:val="15"/>
                <w:lang w:val="en-US"/>
              </w:rPr>
              <w:t>3</w:t>
            </w:r>
          </w:p>
        </w:tc>
      </w:tr>
      <w:tr w:rsidR="005919CF" w:rsidRPr="00683F14" w14:paraId="57FC7BAE"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4AA8E37A" w14:textId="4F480349" w:rsidR="005919CF" w:rsidRPr="00936CA4" w:rsidRDefault="005919CF" w:rsidP="005919CF">
            <w:pPr>
              <w:pStyle w:val="Body"/>
              <w:spacing w:before="40" w:after="40"/>
              <w:rPr>
                <w:rFonts w:cs="Futura PT Book"/>
                <w:color w:val="000000"/>
                <w:sz w:val="15"/>
                <w:szCs w:val="15"/>
                <w:lang w:val="en-US"/>
              </w:rPr>
            </w:pPr>
            <w:r w:rsidRPr="00936CA4">
              <w:rPr>
                <w:sz w:val="15"/>
                <w:szCs w:val="15"/>
              </w:rPr>
              <w:t>Prof Leon Flicker</w:t>
            </w:r>
          </w:p>
        </w:tc>
        <w:tc>
          <w:tcPr>
            <w:tcW w:w="992" w:type="dxa"/>
            <w:noWrap/>
          </w:tcPr>
          <w:p w14:paraId="4C2BABBE" w14:textId="2176985B"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42686B7E" w14:textId="410DA4AA" w:rsidR="005919CF" w:rsidRPr="00936CA4" w:rsidRDefault="005919CF" w:rsidP="005919CF">
            <w:pPr>
              <w:pStyle w:val="Body"/>
              <w:spacing w:before="40" w:after="40"/>
              <w:rPr>
                <w:sz w:val="15"/>
                <w:szCs w:val="15"/>
              </w:rPr>
            </w:pPr>
            <w:r w:rsidRPr="00936CA4">
              <w:rPr>
                <w:sz w:val="15"/>
                <w:szCs w:val="15"/>
              </w:rPr>
              <w:t xml:space="preserve">Geriatrics/Indigenous </w:t>
            </w:r>
            <w:r w:rsidR="00B52AB4">
              <w:rPr>
                <w:sz w:val="15"/>
                <w:szCs w:val="15"/>
              </w:rPr>
              <w:t>h</w:t>
            </w:r>
            <w:r w:rsidRPr="00936CA4">
              <w:rPr>
                <w:sz w:val="15"/>
                <w:szCs w:val="15"/>
              </w:rPr>
              <w:t>ealth</w:t>
            </w:r>
          </w:p>
        </w:tc>
        <w:tc>
          <w:tcPr>
            <w:tcW w:w="992" w:type="dxa"/>
            <w:noWrap/>
          </w:tcPr>
          <w:p w14:paraId="3AF0A7F3" w14:textId="1031A15E" w:rsidR="005919CF" w:rsidRPr="00936CA4" w:rsidRDefault="005919CF" w:rsidP="005919CF">
            <w:pPr>
              <w:pStyle w:val="Body"/>
              <w:spacing w:before="40" w:after="40"/>
              <w:jc w:val="right"/>
              <w:rPr>
                <w:rFonts w:cs="Futura PT Book"/>
                <w:color w:val="000000"/>
                <w:sz w:val="15"/>
                <w:szCs w:val="15"/>
                <w:lang w:val="en-US"/>
              </w:rPr>
            </w:pPr>
            <w:r w:rsidRPr="00936CA4">
              <w:rPr>
                <w:sz w:val="15"/>
                <w:szCs w:val="15"/>
              </w:rPr>
              <w:t>3</w:t>
            </w:r>
          </w:p>
        </w:tc>
        <w:tc>
          <w:tcPr>
            <w:tcW w:w="992" w:type="dxa"/>
            <w:noWrap/>
          </w:tcPr>
          <w:p w14:paraId="3D67F3B0" w14:textId="6808B41B" w:rsidR="005919CF" w:rsidRPr="00936CA4" w:rsidRDefault="005919CF" w:rsidP="005919CF">
            <w:pPr>
              <w:pStyle w:val="Body"/>
              <w:spacing w:before="40" w:after="40"/>
              <w:jc w:val="right"/>
              <w:rPr>
                <w:rFonts w:cs="Futura PT Book"/>
                <w:color w:val="000000"/>
                <w:sz w:val="15"/>
                <w:szCs w:val="15"/>
                <w:lang w:val="en-US"/>
              </w:rPr>
            </w:pPr>
            <w:r w:rsidRPr="00936CA4">
              <w:rPr>
                <w:rFonts w:cs="Futura PT Book"/>
                <w:color w:val="000000"/>
                <w:sz w:val="15"/>
                <w:szCs w:val="15"/>
                <w:lang w:val="en-US"/>
              </w:rPr>
              <w:t>2</w:t>
            </w:r>
          </w:p>
        </w:tc>
      </w:tr>
      <w:tr w:rsidR="005919CF" w:rsidRPr="00683F14" w14:paraId="396FB98C"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0C21ACC3" w14:textId="5B8165A5" w:rsidR="005919CF" w:rsidRPr="00936CA4" w:rsidRDefault="005919CF" w:rsidP="005919CF">
            <w:pPr>
              <w:pStyle w:val="Body"/>
              <w:spacing w:before="40" w:after="40"/>
              <w:rPr>
                <w:sz w:val="15"/>
                <w:szCs w:val="15"/>
              </w:rPr>
            </w:pPr>
            <w:proofErr w:type="spellStart"/>
            <w:r w:rsidRPr="00936CA4">
              <w:rPr>
                <w:sz w:val="15"/>
                <w:szCs w:val="15"/>
              </w:rPr>
              <w:t>Ms</w:t>
            </w:r>
            <w:proofErr w:type="spellEnd"/>
            <w:r w:rsidRPr="00936CA4">
              <w:rPr>
                <w:sz w:val="15"/>
                <w:szCs w:val="15"/>
              </w:rPr>
              <w:t xml:space="preserve"> Nicole Harwood</w:t>
            </w:r>
          </w:p>
        </w:tc>
        <w:tc>
          <w:tcPr>
            <w:tcW w:w="992" w:type="dxa"/>
            <w:noWrap/>
          </w:tcPr>
          <w:p w14:paraId="02ED738F" w14:textId="4A365703"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6A76E9B2" w14:textId="361B1126" w:rsidR="005919CF" w:rsidRPr="00936CA4" w:rsidRDefault="005919CF" w:rsidP="005919CF">
            <w:pPr>
              <w:pStyle w:val="Body"/>
              <w:spacing w:before="40" w:after="40"/>
              <w:rPr>
                <w:sz w:val="15"/>
                <w:szCs w:val="15"/>
              </w:rPr>
            </w:pPr>
            <w:r w:rsidRPr="00936CA4">
              <w:rPr>
                <w:sz w:val="15"/>
                <w:szCs w:val="15"/>
              </w:rPr>
              <w:t>Nursing</w:t>
            </w:r>
          </w:p>
        </w:tc>
        <w:tc>
          <w:tcPr>
            <w:tcW w:w="992" w:type="dxa"/>
            <w:noWrap/>
          </w:tcPr>
          <w:p w14:paraId="6EF04D12" w14:textId="55BEF5B8" w:rsidR="005919CF" w:rsidRPr="00936CA4" w:rsidRDefault="005919CF" w:rsidP="005919CF">
            <w:pPr>
              <w:pStyle w:val="Body"/>
              <w:spacing w:before="40" w:after="40"/>
              <w:jc w:val="right"/>
              <w:rPr>
                <w:sz w:val="15"/>
                <w:szCs w:val="15"/>
              </w:rPr>
            </w:pPr>
            <w:r w:rsidRPr="00936CA4">
              <w:rPr>
                <w:sz w:val="15"/>
                <w:szCs w:val="15"/>
              </w:rPr>
              <w:t>2</w:t>
            </w:r>
          </w:p>
        </w:tc>
        <w:tc>
          <w:tcPr>
            <w:tcW w:w="992" w:type="dxa"/>
            <w:noWrap/>
          </w:tcPr>
          <w:p w14:paraId="13C9A29A" w14:textId="11D5E270"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14:paraId="381A1D66"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0E2E1444" w14:textId="5EC27ADB" w:rsidR="005919CF" w:rsidRPr="00936CA4" w:rsidRDefault="005919CF" w:rsidP="005919CF">
            <w:pPr>
              <w:pStyle w:val="Body"/>
              <w:spacing w:before="40" w:after="40"/>
              <w:rPr>
                <w:sz w:val="15"/>
                <w:szCs w:val="15"/>
              </w:rPr>
            </w:pPr>
            <w:r w:rsidRPr="00936CA4">
              <w:rPr>
                <w:sz w:val="15"/>
                <w:szCs w:val="15"/>
              </w:rPr>
              <w:t>Dr Philip Hoyle</w:t>
            </w:r>
          </w:p>
        </w:tc>
        <w:tc>
          <w:tcPr>
            <w:tcW w:w="992" w:type="dxa"/>
            <w:noWrap/>
          </w:tcPr>
          <w:p w14:paraId="18CC3778" w14:textId="44D8ACB5"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6D78A3FF" w14:textId="3FF6A2AF" w:rsidR="005919CF" w:rsidRPr="00936CA4" w:rsidRDefault="005919CF" w:rsidP="005919CF">
            <w:pPr>
              <w:pStyle w:val="Body"/>
              <w:spacing w:before="40" w:after="40"/>
              <w:rPr>
                <w:sz w:val="15"/>
                <w:szCs w:val="15"/>
              </w:rPr>
            </w:pPr>
            <w:r w:rsidRPr="00936CA4">
              <w:rPr>
                <w:sz w:val="15"/>
                <w:szCs w:val="15"/>
              </w:rPr>
              <w:t>Administration</w:t>
            </w:r>
          </w:p>
        </w:tc>
        <w:tc>
          <w:tcPr>
            <w:tcW w:w="992" w:type="dxa"/>
            <w:noWrap/>
          </w:tcPr>
          <w:p w14:paraId="483870B0" w14:textId="730EF9C7"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3847DDF0" w14:textId="7FB8AD28" w:rsidR="005919CF" w:rsidRPr="00936CA4" w:rsidRDefault="005919CF" w:rsidP="005919CF">
            <w:pPr>
              <w:pStyle w:val="Body"/>
              <w:spacing w:before="40" w:after="40"/>
              <w:jc w:val="right"/>
              <w:rPr>
                <w:sz w:val="15"/>
                <w:szCs w:val="15"/>
              </w:rPr>
            </w:pPr>
            <w:r w:rsidRPr="00936CA4">
              <w:rPr>
                <w:sz w:val="15"/>
                <w:szCs w:val="15"/>
              </w:rPr>
              <w:t>0</w:t>
            </w:r>
          </w:p>
        </w:tc>
      </w:tr>
      <w:tr w:rsidR="005919CF" w:rsidRPr="00683F14" w14:paraId="17CE09E2"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5CE6AA65" w14:textId="75BE3624" w:rsidR="005919CF" w:rsidRPr="00936CA4" w:rsidRDefault="005919CF" w:rsidP="005919CF">
            <w:pPr>
              <w:pStyle w:val="Body"/>
              <w:spacing w:before="40" w:after="40"/>
              <w:rPr>
                <w:sz w:val="15"/>
                <w:szCs w:val="15"/>
              </w:rPr>
            </w:pPr>
            <w:r w:rsidRPr="00936CA4">
              <w:rPr>
                <w:sz w:val="15"/>
                <w:szCs w:val="15"/>
              </w:rPr>
              <w:t>A/Prof Louis Irving</w:t>
            </w:r>
          </w:p>
        </w:tc>
        <w:tc>
          <w:tcPr>
            <w:tcW w:w="992" w:type="dxa"/>
            <w:noWrap/>
          </w:tcPr>
          <w:p w14:paraId="1823C474" w14:textId="554E3AA9"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2F344EDD" w14:textId="29AA5013" w:rsidR="005919CF" w:rsidRPr="00936CA4" w:rsidRDefault="005919CF" w:rsidP="005919CF">
            <w:pPr>
              <w:pStyle w:val="Body"/>
              <w:spacing w:before="40" w:after="40"/>
              <w:rPr>
                <w:sz w:val="15"/>
                <w:szCs w:val="15"/>
              </w:rPr>
            </w:pPr>
            <w:r w:rsidRPr="00936CA4">
              <w:rPr>
                <w:sz w:val="15"/>
                <w:szCs w:val="15"/>
              </w:rPr>
              <w:t xml:space="preserve">Respiratory/Indigenous </w:t>
            </w:r>
            <w:r w:rsidR="00B52AB4">
              <w:rPr>
                <w:sz w:val="15"/>
                <w:szCs w:val="15"/>
              </w:rPr>
              <w:t>h</w:t>
            </w:r>
            <w:r w:rsidRPr="00936CA4">
              <w:rPr>
                <w:sz w:val="15"/>
                <w:szCs w:val="15"/>
              </w:rPr>
              <w:t>ealth</w:t>
            </w:r>
          </w:p>
        </w:tc>
        <w:tc>
          <w:tcPr>
            <w:tcW w:w="992" w:type="dxa"/>
            <w:noWrap/>
          </w:tcPr>
          <w:p w14:paraId="04C23B05" w14:textId="36D107A5"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2A5EF447" w14:textId="1F4BE315"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14:paraId="22C0002E"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565DDE85" w14:textId="4373A81B" w:rsidR="005919CF" w:rsidRPr="00936CA4" w:rsidRDefault="005919CF" w:rsidP="005919CF">
            <w:pPr>
              <w:pStyle w:val="Body"/>
              <w:spacing w:before="40" w:after="40"/>
              <w:rPr>
                <w:sz w:val="15"/>
                <w:szCs w:val="15"/>
              </w:rPr>
            </w:pPr>
            <w:r w:rsidRPr="00936CA4">
              <w:rPr>
                <w:sz w:val="15"/>
                <w:szCs w:val="15"/>
              </w:rPr>
              <w:t xml:space="preserve">Dr </w:t>
            </w:r>
            <w:proofErr w:type="spellStart"/>
            <w:r w:rsidRPr="00936CA4">
              <w:rPr>
                <w:sz w:val="15"/>
                <w:szCs w:val="15"/>
              </w:rPr>
              <w:t>Amod</w:t>
            </w:r>
            <w:proofErr w:type="spellEnd"/>
            <w:r w:rsidRPr="00936CA4">
              <w:rPr>
                <w:sz w:val="15"/>
                <w:szCs w:val="15"/>
              </w:rPr>
              <w:t xml:space="preserve"> </w:t>
            </w:r>
            <w:proofErr w:type="spellStart"/>
            <w:r w:rsidRPr="00936CA4">
              <w:rPr>
                <w:sz w:val="15"/>
                <w:szCs w:val="15"/>
              </w:rPr>
              <w:t>Karnik</w:t>
            </w:r>
            <w:proofErr w:type="spellEnd"/>
          </w:p>
        </w:tc>
        <w:tc>
          <w:tcPr>
            <w:tcW w:w="992" w:type="dxa"/>
            <w:noWrap/>
          </w:tcPr>
          <w:p w14:paraId="6A2E6FBA" w14:textId="22CA6EBB"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1281237E" w14:textId="39D4F6DC" w:rsidR="005919CF" w:rsidRPr="00936CA4" w:rsidRDefault="005919CF" w:rsidP="005919CF">
            <w:pPr>
              <w:pStyle w:val="Body"/>
              <w:spacing w:before="40" w:after="40"/>
              <w:rPr>
                <w:sz w:val="15"/>
                <w:szCs w:val="15"/>
              </w:rPr>
            </w:pPr>
            <w:r w:rsidRPr="00936CA4">
              <w:rPr>
                <w:sz w:val="15"/>
                <w:szCs w:val="15"/>
              </w:rPr>
              <w:t xml:space="preserve">Intensive </w:t>
            </w:r>
            <w:r w:rsidR="00B52AB4">
              <w:rPr>
                <w:sz w:val="15"/>
                <w:szCs w:val="15"/>
              </w:rPr>
              <w:t>c</w:t>
            </w:r>
            <w:r w:rsidRPr="00936CA4">
              <w:rPr>
                <w:sz w:val="15"/>
                <w:szCs w:val="15"/>
              </w:rPr>
              <w:t xml:space="preserve">are </w:t>
            </w:r>
            <w:r w:rsidR="00B52AB4">
              <w:rPr>
                <w:sz w:val="15"/>
                <w:szCs w:val="15"/>
              </w:rPr>
              <w:t>m</w:t>
            </w:r>
            <w:r w:rsidRPr="00936CA4">
              <w:rPr>
                <w:sz w:val="15"/>
                <w:szCs w:val="15"/>
              </w:rPr>
              <w:t>edicine</w:t>
            </w:r>
          </w:p>
        </w:tc>
        <w:tc>
          <w:tcPr>
            <w:tcW w:w="992" w:type="dxa"/>
            <w:noWrap/>
          </w:tcPr>
          <w:p w14:paraId="7F3B41FB" w14:textId="34B04B66"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1F5F36A4" w14:textId="1AEA2F20"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14:paraId="2E497E87"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3AD3ACF1" w14:textId="24A91526" w:rsidR="005919CF" w:rsidRPr="00936CA4" w:rsidRDefault="005919CF" w:rsidP="005919CF">
            <w:pPr>
              <w:pStyle w:val="Body"/>
              <w:spacing w:before="40" w:after="40"/>
              <w:rPr>
                <w:sz w:val="15"/>
                <w:szCs w:val="15"/>
              </w:rPr>
            </w:pPr>
            <w:r w:rsidRPr="00936CA4">
              <w:rPr>
                <w:sz w:val="15"/>
                <w:szCs w:val="15"/>
              </w:rPr>
              <w:t>Dr Amanda Ling</w:t>
            </w:r>
          </w:p>
        </w:tc>
        <w:tc>
          <w:tcPr>
            <w:tcW w:w="992" w:type="dxa"/>
            <w:noWrap/>
          </w:tcPr>
          <w:p w14:paraId="659E7749" w14:textId="76B2EB0C"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0B530E47" w14:textId="3D712B57" w:rsidR="005919CF" w:rsidRPr="00936CA4" w:rsidRDefault="005919CF" w:rsidP="005919CF">
            <w:pPr>
              <w:pStyle w:val="Body"/>
              <w:spacing w:before="40" w:after="40"/>
              <w:rPr>
                <w:sz w:val="15"/>
                <w:szCs w:val="15"/>
              </w:rPr>
            </w:pPr>
            <w:r w:rsidRPr="00936CA4">
              <w:rPr>
                <w:sz w:val="15"/>
                <w:szCs w:val="15"/>
              </w:rPr>
              <w:t>Administration</w:t>
            </w:r>
          </w:p>
        </w:tc>
        <w:tc>
          <w:tcPr>
            <w:tcW w:w="992" w:type="dxa"/>
            <w:noWrap/>
          </w:tcPr>
          <w:p w14:paraId="0C577CB5" w14:textId="2AA04349"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1357E71A" w14:textId="3FF58461"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14:paraId="67F69F2B"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5487CFB7" w14:textId="7C09FF22" w:rsidR="005919CF" w:rsidRPr="00936CA4" w:rsidRDefault="005919CF" w:rsidP="005919CF">
            <w:pPr>
              <w:pStyle w:val="Body"/>
              <w:spacing w:before="40" w:after="40"/>
              <w:rPr>
                <w:sz w:val="15"/>
                <w:szCs w:val="15"/>
              </w:rPr>
            </w:pPr>
            <w:proofErr w:type="spellStart"/>
            <w:r w:rsidRPr="00936CA4">
              <w:rPr>
                <w:sz w:val="15"/>
                <w:szCs w:val="15"/>
              </w:rPr>
              <w:t>Mr</w:t>
            </w:r>
            <w:proofErr w:type="spellEnd"/>
            <w:r w:rsidRPr="00936CA4">
              <w:rPr>
                <w:sz w:val="15"/>
                <w:szCs w:val="15"/>
              </w:rPr>
              <w:t xml:space="preserve"> Christopher O’Donnell</w:t>
            </w:r>
          </w:p>
        </w:tc>
        <w:tc>
          <w:tcPr>
            <w:tcW w:w="992" w:type="dxa"/>
            <w:noWrap/>
          </w:tcPr>
          <w:p w14:paraId="7938950A" w14:textId="22A99311"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0ABAA09D" w14:textId="4BD72242" w:rsidR="005919CF" w:rsidRPr="00936CA4" w:rsidRDefault="005919CF" w:rsidP="005919CF">
            <w:pPr>
              <w:pStyle w:val="Body"/>
              <w:spacing w:before="40" w:after="40"/>
              <w:rPr>
                <w:sz w:val="15"/>
                <w:szCs w:val="15"/>
              </w:rPr>
            </w:pPr>
            <w:r w:rsidRPr="00936CA4">
              <w:rPr>
                <w:sz w:val="15"/>
                <w:szCs w:val="15"/>
              </w:rPr>
              <w:t>Nursing</w:t>
            </w:r>
          </w:p>
        </w:tc>
        <w:tc>
          <w:tcPr>
            <w:tcW w:w="992" w:type="dxa"/>
            <w:noWrap/>
          </w:tcPr>
          <w:p w14:paraId="34B063CE" w14:textId="109A5D70" w:rsidR="005919CF" w:rsidRPr="00936CA4" w:rsidRDefault="005919CF" w:rsidP="005919CF">
            <w:pPr>
              <w:pStyle w:val="Body"/>
              <w:spacing w:before="40" w:after="40"/>
              <w:jc w:val="right"/>
              <w:rPr>
                <w:sz w:val="15"/>
                <w:szCs w:val="15"/>
              </w:rPr>
            </w:pPr>
            <w:r w:rsidRPr="00936CA4">
              <w:rPr>
                <w:sz w:val="15"/>
                <w:szCs w:val="15"/>
              </w:rPr>
              <w:t>2</w:t>
            </w:r>
          </w:p>
        </w:tc>
        <w:tc>
          <w:tcPr>
            <w:tcW w:w="992" w:type="dxa"/>
            <w:noWrap/>
          </w:tcPr>
          <w:p w14:paraId="6DF19539" w14:textId="382CCC82" w:rsidR="005919CF" w:rsidRPr="00936CA4" w:rsidRDefault="005919CF" w:rsidP="005919CF">
            <w:pPr>
              <w:pStyle w:val="Body"/>
              <w:spacing w:before="40" w:after="40"/>
              <w:jc w:val="right"/>
              <w:rPr>
                <w:sz w:val="15"/>
                <w:szCs w:val="15"/>
              </w:rPr>
            </w:pPr>
            <w:r w:rsidRPr="00936CA4">
              <w:rPr>
                <w:sz w:val="15"/>
                <w:szCs w:val="15"/>
              </w:rPr>
              <w:t>1</w:t>
            </w:r>
          </w:p>
        </w:tc>
      </w:tr>
      <w:tr w:rsidR="005919CF" w:rsidRPr="00683F14" w14:paraId="47488A64"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7B453160" w14:textId="2317D7A7" w:rsidR="005919CF" w:rsidRPr="00936CA4" w:rsidRDefault="005919CF" w:rsidP="005919CF">
            <w:pPr>
              <w:pStyle w:val="Body"/>
              <w:spacing w:before="40" w:after="40"/>
              <w:rPr>
                <w:sz w:val="15"/>
                <w:szCs w:val="15"/>
              </w:rPr>
            </w:pPr>
            <w:r w:rsidRPr="00936CA4">
              <w:rPr>
                <w:sz w:val="15"/>
                <w:szCs w:val="15"/>
              </w:rPr>
              <w:t>A/Prof Virginia Plummer</w:t>
            </w:r>
          </w:p>
        </w:tc>
        <w:tc>
          <w:tcPr>
            <w:tcW w:w="992" w:type="dxa"/>
            <w:noWrap/>
          </w:tcPr>
          <w:p w14:paraId="28841A46" w14:textId="256AB4DC"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6EF0C692" w14:textId="39E53E02" w:rsidR="005919CF" w:rsidRPr="00936CA4" w:rsidRDefault="005919CF" w:rsidP="005919CF">
            <w:pPr>
              <w:pStyle w:val="Body"/>
              <w:spacing w:before="40" w:after="40"/>
              <w:rPr>
                <w:sz w:val="15"/>
                <w:szCs w:val="15"/>
              </w:rPr>
            </w:pPr>
            <w:r w:rsidRPr="00936CA4">
              <w:rPr>
                <w:sz w:val="15"/>
                <w:szCs w:val="15"/>
              </w:rPr>
              <w:t>Nursing</w:t>
            </w:r>
          </w:p>
        </w:tc>
        <w:tc>
          <w:tcPr>
            <w:tcW w:w="992" w:type="dxa"/>
            <w:noWrap/>
          </w:tcPr>
          <w:p w14:paraId="25FEB265" w14:textId="5493D36A"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370EA123" w14:textId="2EE88EEA" w:rsidR="005919CF" w:rsidRPr="00936CA4" w:rsidRDefault="005919CF" w:rsidP="005919CF">
            <w:pPr>
              <w:pStyle w:val="Body"/>
              <w:spacing w:before="40" w:after="40"/>
              <w:jc w:val="right"/>
              <w:rPr>
                <w:sz w:val="15"/>
                <w:szCs w:val="15"/>
              </w:rPr>
            </w:pPr>
            <w:r w:rsidRPr="00936CA4">
              <w:rPr>
                <w:sz w:val="15"/>
                <w:szCs w:val="15"/>
              </w:rPr>
              <w:t>3</w:t>
            </w:r>
          </w:p>
        </w:tc>
      </w:tr>
      <w:tr w:rsidR="005919CF" w:rsidRPr="00683F14" w14:paraId="5324EBEA"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44F1ED87" w14:textId="0B272B67" w:rsidR="005919CF" w:rsidRPr="00936CA4" w:rsidRDefault="005919CF" w:rsidP="005919CF">
            <w:pPr>
              <w:pStyle w:val="Body"/>
              <w:spacing w:before="40" w:after="40"/>
              <w:rPr>
                <w:sz w:val="15"/>
                <w:szCs w:val="15"/>
              </w:rPr>
            </w:pPr>
            <w:proofErr w:type="spellStart"/>
            <w:r w:rsidRPr="00936CA4">
              <w:rPr>
                <w:sz w:val="15"/>
                <w:szCs w:val="15"/>
              </w:rPr>
              <w:t>Ms</w:t>
            </w:r>
            <w:proofErr w:type="spellEnd"/>
            <w:r w:rsidRPr="00936CA4">
              <w:rPr>
                <w:sz w:val="15"/>
                <w:szCs w:val="15"/>
              </w:rPr>
              <w:t xml:space="preserve"> Amber </w:t>
            </w:r>
            <w:proofErr w:type="spellStart"/>
            <w:r w:rsidRPr="00936CA4">
              <w:rPr>
                <w:sz w:val="15"/>
                <w:szCs w:val="15"/>
              </w:rPr>
              <w:t>Polles</w:t>
            </w:r>
            <w:proofErr w:type="spellEnd"/>
          </w:p>
        </w:tc>
        <w:tc>
          <w:tcPr>
            <w:tcW w:w="992" w:type="dxa"/>
            <w:noWrap/>
          </w:tcPr>
          <w:p w14:paraId="10322DA9" w14:textId="628324E8"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700E6929" w14:textId="1465950A" w:rsidR="005919CF" w:rsidRPr="00936CA4" w:rsidRDefault="005919CF" w:rsidP="005919CF">
            <w:pPr>
              <w:pStyle w:val="Body"/>
              <w:spacing w:before="40" w:after="40"/>
              <w:rPr>
                <w:sz w:val="15"/>
                <w:szCs w:val="15"/>
              </w:rPr>
            </w:pPr>
            <w:r w:rsidRPr="00936CA4">
              <w:rPr>
                <w:sz w:val="15"/>
                <w:szCs w:val="15"/>
              </w:rPr>
              <w:t>Pharmacy</w:t>
            </w:r>
          </w:p>
        </w:tc>
        <w:tc>
          <w:tcPr>
            <w:tcW w:w="992" w:type="dxa"/>
            <w:noWrap/>
          </w:tcPr>
          <w:p w14:paraId="73E52FA5" w14:textId="3929C0DC"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3A61C08E" w14:textId="3D70AB19"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rsidDel="003403D5" w14:paraId="0A929163"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4A7B522A" w14:textId="659F7FDF" w:rsidR="005919CF" w:rsidRPr="00936CA4" w:rsidDel="003403D5" w:rsidRDefault="005919CF" w:rsidP="005919CF">
            <w:pPr>
              <w:pStyle w:val="Body"/>
              <w:spacing w:before="40" w:after="40"/>
              <w:rPr>
                <w:sz w:val="15"/>
                <w:szCs w:val="15"/>
              </w:rPr>
            </w:pPr>
            <w:r w:rsidRPr="00936CA4">
              <w:rPr>
                <w:sz w:val="15"/>
                <w:szCs w:val="15"/>
              </w:rPr>
              <w:t>Dr Phil Sargent</w:t>
            </w:r>
          </w:p>
        </w:tc>
        <w:tc>
          <w:tcPr>
            <w:tcW w:w="992" w:type="dxa"/>
            <w:noWrap/>
          </w:tcPr>
          <w:p w14:paraId="780BED25" w14:textId="29C9318D" w:rsidR="005919CF" w:rsidRPr="00936CA4" w:rsidDel="003403D5" w:rsidRDefault="005919CF" w:rsidP="005919CF">
            <w:pPr>
              <w:pStyle w:val="Body"/>
              <w:spacing w:before="40" w:after="40"/>
              <w:rPr>
                <w:sz w:val="15"/>
                <w:szCs w:val="15"/>
              </w:rPr>
            </w:pPr>
            <w:r w:rsidRPr="00936CA4">
              <w:rPr>
                <w:sz w:val="15"/>
                <w:szCs w:val="15"/>
              </w:rPr>
              <w:t>Member</w:t>
            </w:r>
          </w:p>
        </w:tc>
        <w:tc>
          <w:tcPr>
            <w:tcW w:w="2693" w:type="dxa"/>
            <w:noWrap/>
          </w:tcPr>
          <w:p w14:paraId="7C95A71D" w14:textId="68102805" w:rsidR="005919CF" w:rsidRPr="00936CA4" w:rsidDel="003403D5" w:rsidRDefault="005919CF" w:rsidP="005919CF">
            <w:pPr>
              <w:pStyle w:val="Body"/>
              <w:spacing w:before="40" w:after="40"/>
              <w:rPr>
                <w:sz w:val="15"/>
                <w:szCs w:val="15"/>
              </w:rPr>
            </w:pPr>
            <w:proofErr w:type="spellStart"/>
            <w:r w:rsidRPr="00936CA4">
              <w:rPr>
                <w:sz w:val="15"/>
                <w:szCs w:val="15"/>
              </w:rPr>
              <w:t>Paediatrics</w:t>
            </w:r>
            <w:proofErr w:type="spellEnd"/>
          </w:p>
        </w:tc>
        <w:tc>
          <w:tcPr>
            <w:tcW w:w="992" w:type="dxa"/>
            <w:noWrap/>
          </w:tcPr>
          <w:p w14:paraId="1438FB59" w14:textId="6E76F687" w:rsidR="005919CF" w:rsidRPr="00936CA4" w:rsidDel="003403D5" w:rsidRDefault="005919CF" w:rsidP="005919CF">
            <w:pPr>
              <w:pStyle w:val="Body"/>
              <w:spacing w:before="40" w:after="40"/>
              <w:jc w:val="right"/>
              <w:rPr>
                <w:sz w:val="15"/>
                <w:szCs w:val="15"/>
              </w:rPr>
            </w:pPr>
            <w:r w:rsidRPr="00936CA4">
              <w:rPr>
                <w:sz w:val="15"/>
                <w:szCs w:val="15"/>
              </w:rPr>
              <w:t>3</w:t>
            </w:r>
          </w:p>
        </w:tc>
        <w:tc>
          <w:tcPr>
            <w:tcW w:w="992" w:type="dxa"/>
            <w:noWrap/>
          </w:tcPr>
          <w:p w14:paraId="690F49E4" w14:textId="7C29AC10" w:rsidR="005919CF" w:rsidRPr="00936CA4" w:rsidDel="003403D5" w:rsidRDefault="005919CF" w:rsidP="005919CF">
            <w:pPr>
              <w:pStyle w:val="Body"/>
              <w:spacing w:before="40" w:after="40"/>
              <w:jc w:val="right"/>
              <w:rPr>
                <w:sz w:val="15"/>
                <w:szCs w:val="15"/>
              </w:rPr>
            </w:pPr>
            <w:r w:rsidRPr="00936CA4">
              <w:rPr>
                <w:sz w:val="15"/>
                <w:szCs w:val="15"/>
              </w:rPr>
              <w:t>3</w:t>
            </w:r>
          </w:p>
        </w:tc>
      </w:tr>
      <w:tr w:rsidR="005919CF" w:rsidRPr="00683F14" w14:paraId="132DB9EF"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33E04979" w14:textId="4E4F5BAF" w:rsidR="005919CF" w:rsidRPr="00936CA4" w:rsidRDefault="005919CF" w:rsidP="005919CF">
            <w:pPr>
              <w:pStyle w:val="Body"/>
              <w:spacing w:before="40" w:after="40"/>
              <w:rPr>
                <w:sz w:val="15"/>
                <w:szCs w:val="15"/>
              </w:rPr>
            </w:pPr>
            <w:r w:rsidRPr="00936CA4">
              <w:rPr>
                <w:sz w:val="15"/>
                <w:szCs w:val="15"/>
              </w:rPr>
              <w:t>A/Prof Melinda Truesdale</w:t>
            </w:r>
          </w:p>
        </w:tc>
        <w:tc>
          <w:tcPr>
            <w:tcW w:w="992" w:type="dxa"/>
            <w:noWrap/>
          </w:tcPr>
          <w:p w14:paraId="3E6F7DE0" w14:textId="3D75A47B"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563CC8D3" w14:textId="7393FE6A" w:rsidR="005919CF" w:rsidRPr="00936CA4" w:rsidRDefault="005919CF" w:rsidP="005919CF">
            <w:pPr>
              <w:pStyle w:val="Body"/>
              <w:spacing w:before="40" w:after="40"/>
              <w:rPr>
                <w:sz w:val="15"/>
                <w:szCs w:val="15"/>
              </w:rPr>
            </w:pPr>
            <w:r w:rsidRPr="00936CA4">
              <w:rPr>
                <w:sz w:val="15"/>
                <w:szCs w:val="15"/>
              </w:rPr>
              <w:t xml:space="preserve">Emergency </w:t>
            </w:r>
            <w:r w:rsidR="00B52AB4">
              <w:rPr>
                <w:sz w:val="15"/>
                <w:szCs w:val="15"/>
              </w:rPr>
              <w:t>m</w:t>
            </w:r>
            <w:r w:rsidRPr="00936CA4">
              <w:rPr>
                <w:sz w:val="15"/>
                <w:szCs w:val="15"/>
              </w:rPr>
              <w:t>edicine</w:t>
            </w:r>
          </w:p>
        </w:tc>
        <w:tc>
          <w:tcPr>
            <w:tcW w:w="992" w:type="dxa"/>
            <w:noWrap/>
          </w:tcPr>
          <w:p w14:paraId="74F1274F" w14:textId="6B7C431E"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627DE7AD" w14:textId="276A5F56"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14:paraId="1F02F36D"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5C42B062" w14:textId="1E19FA18" w:rsidR="005919CF" w:rsidRPr="00936CA4" w:rsidRDefault="005919CF" w:rsidP="005919CF">
            <w:pPr>
              <w:pStyle w:val="Body"/>
              <w:spacing w:before="40" w:after="40"/>
              <w:rPr>
                <w:sz w:val="15"/>
                <w:szCs w:val="15"/>
              </w:rPr>
            </w:pPr>
            <w:r w:rsidRPr="00936CA4">
              <w:rPr>
                <w:sz w:val="15"/>
                <w:szCs w:val="15"/>
              </w:rPr>
              <w:t>A/Prof Paul Varghese</w:t>
            </w:r>
          </w:p>
        </w:tc>
        <w:tc>
          <w:tcPr>
            <w:tcW w:w="992" w:type="dxa"/>
            <w:noWrap/>
          </w:tcPr>
          <w:p w14:paraId="0575800A" w14:textId="30959D78"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07BDAA59" w14:textId="406C5124" w:rsidR="005919CF" w:rsidRPr="00936CA4" w:rsidRDefault="005919CF" w:rsidP="005919CF">
            <w:pPr>
              <w:pStyle w:val="Body"/>
              <w:spacing w:before="40" w:after="40"/>
              <w:rPr>
                <w:sz w:val="15"/>
                <w:szCs w:val="15"/>
              </w:rPr>
            </w:pPr>
            <w:r w:rsidRPr="00936CA4">
              <w:rPr>
                <w:sz w:val="15"/>
                <w:szCs w:val="15"/>
              </w:rPr>
              <w:t>Geriatrics/</w:t>
            </w:r>
            <w:r w:rsidR="00B52AB4">
              <w:rPr>
                <w:sz w:val="15"/>
                <w:szCs w:val="15"/>
              </w:rPr>
              <w:t>r</w:t>
            </w:r>
            <w:r w:rsidRPr="00936CA4">
              <w:rPr>
                <w:sz w:val="15"/>
                <w:szCs w:val="15"/>
              </w:rPr>
              <w:t>ehabilitation</w:t>
            </w:r>
          </w:p>
        </w:tc>
        <w:tc>
          <w:tcPr>
            <w:tcW w:w="992" w:type="dxa"/>
            <w:noWrap/>
          </w:tcPr>
          <w:p w14:paraId="123CB9FA" w14:textId="1D7E15B0"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3EB774A7" w14:textId="2EBF8B40" w:rsidR="005919CF" w:rsidRPr="00936CA4" w:rsidRDefault="005919CF" w:rsidP="005919CF">
            <w:pPr>
              <w:pStyle w:val="Body"/>
              <w:spacing w:before="40" w:after="40"/>
              <w:jc w:val="right"/>
              <w:rPr>
                <w:sz w:val="15"/>
                <w:szCs w:val="15"/>
              </w:rPr>
            </w:pPr>
            <w:r w:rsidRPr="00936CA4">
              <w:rPr>
                <w:sz w:val="15"/>
                <w:szCs w:val="15"/>
              </w:rPr>
              <w:t>3</w:t>
            </w:r>
          </w:p>
        </w:tc>
      </w:tr>
      <w:tr w:rsidR="005919CF" w:rsidRPr="00683F14" w14:paraId="77D6F5B9"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4F415E62" w14:textId="15AAE5F3" w:rsidR="005919CF" w:rsidRPr="00936CA4" w:rsidRDefault="005919CF" w:rsidP="005919CF">
            <w:pPr>
              <w:pStyle w:val="Body"/>
              <w:spacing w:before="40" w:after="40"/>
              <w:rPr>
                <w:sz w:val="15"/>
                <w:szCs w:val="15"/>
              </w:rPr>
            </w:pPr>
            <w:r w:rsidRPr="00936CA4">
              <w:rPr>
                <w:sz w:val="15"/>
                <w:szCs w:val="15"/>
              </w:rPr>
              <w:t>Dr Ruth Vine</w:t>
            </w:r>
          </w:p>
        </w:tc>
        <w:tc>
          <w:tcPr>
            <w:tcW w:w="992" w:type="dxa"/>
            <w:noWrap/>
          </w:tcPr>
          <w:p w14:paraId="19CEC1E0" w14:textId="5228F5C8"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2BF073E9" w14:textId="5F453C69" w:rsidR="005919CF" w:rsidRPr="00936CA4" w:rsidRDefault="005919CF" w:rsidP="005919CF">
            <w:pPr>
              <w:pStyle w:val="Body"/>
              <w:spacing w:before="40" w:after="40"/>
              <w:rPr>
                <w:sz w:val="15"/>
                <w:szCs w:val="15"/>
              </w:rPr>
            </w:pPr>
            <w:r w:rsidRPr="00936CA4">
              <w:rPr>
                <w:sz w:val="15"/>
                <w:szCs w:val="15"/>
              </w:rPr>
              <w:t>Psychiatry</w:t>
            </w:r>
          </w:p>
        </w:tc>
        <w:tc>
          <w:tcPr>
            <w:tcW w:w="992" w:type="dxa"/>
            <w:noWrap/>
          </w:tcPr>
          <w:p w14:paraId="429B7AB3" w14:textId="63493BF9"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61BF02B0" w14:textId="7B92A823" w:rsidR="005919CF" w:rsidRPr="00936CA4" w:rsidRDefault="005919CF" w:rsidP="005919CF">
            <w:pPr>
              <w:pStyle w:val="Body"/>
              <w:spacing w:before="40" w:after="40"/>
              <w:jc w:val="right"/>
              <w:rPr>
                <w:sz w:val="15"/>
                <w:szCs w:val="15"/>
              </w:rPr>
            </w:pPr>
            <w:r w:rsidRPr="00936CA4">
              <w:rPr>
                <w:sz w:val="15"/>
                <w:szCs w:val="15"/>
              </w:rPr>
              <w:t>1</w:t>
            </w:r>
          </w:p>
        </w:tc>
      </w:tr>
      <w:tr w:rsidR="005919CF" w:rsidRPr="00683F14" w14:paraId="40610AB2"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0C9DA79B" w14:textId="48104FB1" w:rsidR="005919CF" w:rsidRPr="00936CA4" w:rsidRDefault="005919CF" w:rsidP="005919CF">
            <w:pPr>
              <w:pStyle w:val="Body"/>
              <w:spacing w:before="40" w:after="40"/>
              <w:rPr>
                <w:sz w:val="15"/>
                <w:szCs w:val="15"/>
              </w:rPr>
            </w:pPr>
            <w:r w:rsidRPr="00936CA4">
              <w:rPr>
                <w:sz w:val="15"/>
                <w:szCs w:val="15"/>
              </w:rPr>
              <w:t>A/Prof Andrew Wei</w:t>
            </w:r>
          </w:p>
        </w:tc>
        <w:tc>
          <w:tcPr>
            <w:tcW w:w="992" w:type="dxa"/>
            <w:noWrap/>
          </w:tcPr>
          <w:p w14:paraId="1733A048" w14:textId="5E57198E"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32989BC3" w14:textId="0EBC5FB6" w:rsidR="005919CF" w:rsidRPr="00936CA4" w:rsidRDefault="005919CF" w:rsidP="005919CF">
            <w:pPr>
              <w:pStyle w:val="Body"/>
              <w:spacing w:before="40" w:after="40"/>
              <w:rPr>
                <w:sz w:val="15"/>
                <w:szCs w:val="15"/>
              </w:rPr>
            </w:pPr>
            <w:proofErr w:type="spellStart"/>
            <w:r w:rsidRPr="00936CA4">
              <w:rPr>
                <w:sz w:val="15"/>
                <w:szCs w:val="15"/>
              </w:rPr>
              <w:t>Haematology</w:t>
            </w:r>
            <w:proofErr w:type="spellEnd"/>
          </w:p>
        </w:tc>
        <w:tc>
          <w:tcPr>
            <w:tcW w:w="992" w:type="dxa"/>
            <w:noWrap/>
          </w:tcPr>
          <w:p w14:paraId="239C44C2" w14:textId="6EC7EC72"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3D0693CE" w14:textId="129880D7" w:rsidR="005919CF" w:rsidRPr="00936CA4" w:rsidRDefault="005919CF" w:rsidP="005919CF">
            <w:pPr>
              <w:pStyle w:val="Body"/>
              <w:spacing w:before="40" w:after="40"/>
              <w:jc w:val="right"/>
              <w:rPr>
                <w:sz w:val="15"/>
                <w:szCs w:val="15"/>
              </w:rPr>
            </w:pPr>
            <w:r w:rsidRPr="00936CA4">
              <w:rPr>
                <w:sz w:val="15"/>
                <w:szCs w:val="15"/>
              </w:rPr>
              <w:t>3</w:t>
            </w:r>
          </w:p>
        </w:tc>
      </w:tr>
      <w:tr w:rsidR="005919CF" w:rsidRPr="00683F14" w14:paraId="113A84E5"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65E425BB" w14:textId="57A10D22" w:rsidR="005919CF" w:rsidRPr="00936CA4" w:rsidRDefault="005919CF" w:rsidP="005919CF">
            <w:pPr>
              <w:pStyle w:val="Body"/>
              <w:spacing w:before="40" w:after="40"/>
              <w:rPr>
                <w:sz w:val="15"/>
                <w:szCs w:val="15"/>
              </w:rPr>
            </w:pPr>
            <w:r w:rsidRPr="00936CA4">
              <w:rPr>
                <w:sz w:val="15"/>
                <w:szCs w:val="15"/>
              </w:rPr>
              <w:t>A/Prof Bernard Whitfield</w:t>
            </w:r>
          </w:p>
        </w:tc>
        <w:tc>
          <w:tcPr>
            <w:tcW w:w="992" w:type="dxa"/>
            <w:noWrap/>
          </w:tcPr>
          <w:p w14:paraId="7C885351" w14:textId="0379F27E"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14F14935" w14:textId="5E350A78" w:rsidR="005919CF" w:rsidRPr="00936CA4" w:rsidRDefault="005919CF" w:rsidP="005919CF">
            <w:pPr>
              <w:pStyle w:val="Body"/>
              <w:spacing w:before="40" w:after="40"/>
              <w:rPr>
                <w:sz w:val="15"/>
                <w:szCs w:val="15"/>
              </w:rPr>
            </w:pPr>
            <w:r w:rsidRPr="00936CA4">
              <w:rPr>
                <w:sz w:val="15"/>
                <w:szCs w:val="15"/>
              </w:rPr>
              <w:t xml:space="preserve">Ear </w:t>
            </w:r>
            <w:r w:rsidR="00B52AB4">
              <w:rPr>
                <w:sz w:val="15"/>
                <w:szCs w:val="15"/>
              </w:rPr>
              <w:t>n</w:t>
            </w:r>
            <w:r w:rsidRPr="00936CA4">
              <w:rPr>
                <w:sz w:val="15"/>
                <w:szCs w:val="15"/>
              </w:rPr>
              <w:t xml:space="preserve">ose and </w:t>
            </w:r>
            <w:r w:rsidR="00B52AB4">
              <w:rPr>
                <w:sz w:val="15"/>
                <w:szCs w:val="15"/>
              </w:rPr>
              <w:t>t</w:t>
            </w:r>
            <w:r w:rsidRPr="00936CA4">
              <w:rPr>
                <w:sz w:val="15"/>
                <w:szCs w:val="15"/>
              </w:rPr>
              <w:t xml:space="preserve">hroat </w:t>
            </w:r>
            <w:r w:rsidR="00B52AB4">
              <w:rPr>
                <w:sz w:val="15"/>
                <w:szCs w:val="15"/>
              </w:rPr>
              <w:t>s</w:t>
            </w:r>
            <w:r w:rsidRPr="00936CA4">
              <w:rPr>
                <w:sz w:val="15"/>
                <w:szCs w:val="15"/>
              </w:rPr>
              <w:t xml:space="preserve">urgery/ </w:t>
            </w:r>
            <w:r w:rsidR="00B52AB4">
              <w:rPr>
                <w:sz w:val="15"/>
                <w:szCs w:val="15"/>
              </w:rPr>
              <w:t>i</w:t>
            </w:r>
            <w:r w:rsidRPr="00936CA4">
              <w:rPr>
                <w:sz w:val="15"/>
                <w:szCs w:val="15"/>
              </w:rPr>
              <w:t>njuries/</w:t>
            </w:r>
            <w:r w:rsidR="00B52AB4">
              <w:rPr>
                <w:sz w:val="15"/>
                <w:szCs w:val="15"/>
              </w:rPr>
              <w:t>t</w:t>
            </w:r>
            <w:r w:rsidRPr="00936CA4">
              <w:rPr>
                <w:sz w:val="15"/>
                <w:szCs w:val="15"/>
              </w:rPr>
              <w:t>rauma</w:t>
            </w:r>
          </w:p>
        </w:tc>
        <w:tc>
          <w:tcPr>
            <w:tcW w:w="992" w:type="dxa"/>
            <w:noWrap/>
          </w:tcPr>
          <w:p w14:paraId="0792369F" w14:textId="675B9B47"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0F46265D" w14:textId="5F2F36A6" w:rsidR="005919CF" w:rsidRPr="00936CA4" w:rsidRDefault="005919CF" w:rsidP="005919CF">
            <w:pPr>
              <w:pStyle w:val="Body"/>
              <w:spacing w:before="40" w:after="40"/>
              <w:jc w:val="right"/>
              <w:rPr>
                <w:sz w:val="15"/>
                <w:szCs w:val="15"/>
              </w:rPr>
            </w:pPr>
            <w:r w:rsidRPr="00936CA4">
              <w:rPr>
                <w:sz w:val="15"/>
                <w:szCs w:val="15"/>
              </w:rPr>
              <w:t>2</w:t>
            </w:r>
          </w:p>
        </w:tc>
      </w:tr>
      <w:tr w:rsidR="005919CF" w:rsidRPr="00683F14" w14:paraId="099A3043"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noWrap/>
          </w:tcPr>
          <w:p w14:paraId="0D090722" w14:textId="7352299A" w:rsidR="005919CF" w:rsidRPr="00936CA4" w:rsidRDefault="005919CF" w:rsidP="005919CF">
            <w:pPr>
              <w:pStyle w:val="Body"/>
              <w:spacing w:before="40" w:after="40"/>
              <w:rPr>
                <w:sz w:val="15"/>
                <w:szCs w:val="15"/>
              </w:rPr>
            </w:pPr>
            <w:r w:rsidRPr="00936CA4">
              <w:rPr>
                <w:sz w:val="15"/>
                <w:szCs w:val="15"/>
              </w:rPr>
              <w:t>A/Prof Daryl Williams</w:t>
            </w:r>
          </w:p>
        </w:tc>
        <w:tc>
          <w:tcPr>
            <w:tcW w:w="992" w:type="dxa"/>
            <w:noWrap/>
          </w:tcPr>
          <w:p w14:paraId="2E6350D6" w14:textId="19A2BE86"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3320DF09" w14:textId="4C7CD35E" w:rsidR="005919CF" w:rsidRPr="00936CA4" w:rsidRDefault="005919CF" w:rsidP="005919CF">
            <w:pPr>
              <w:pStyle w:val="Body"/>
              <w:spacing w:before="40" w:after="40"/>
              <w:rPr>
                <w:sz w:val="15"/>
                <w:szCs w:val="15"/>
              </w:rPr>
            </w:pPr>
            <w:proofErr w:type="spellStart"/>
            <w:r w:rsidRPr="00936CA4">
              <w:rPr>
                <w:sz w:val="15"/>
                <w:szCs w:val="15"/>
              </w:rPr>
              <w:t>Anaesthesia</w:t>
            </w:r>
            <w:proofErr w:type="spellEnd"/>
            <w:r w:rsidRPr="00936CA4">
              <w:rPr>
                <w:sz w:val="15"/>
                <w:szCs w:val="15"/>
              </w:rPr>
              <w:t xml:space="preserve"> and </w:t>
            </w:r>
            <w:r w:rsidR="00B52AB4">
              <w:rPr>
                <w:sz w:val="15"/>
                <w:szCs w:val="15"/>
              </w:rPr>
              <w:t>p</w:t>
            </w:r>
            <w:r w:rsidRPr="00936CA4">
              <w:rPr>
                <w:sz w:val="15"/>
                <w:szCs w:val="15"/>
              </w:rPr>
              <w:t xml:space="preserve">ain </w:t>
            </w:r>
            <w:r w:rsidR="00B52AB4">
              <w:rPr>
                <w:sz w:val="15"/>
                <w:szCs w:val="15"/>
              </w:rPr>
              <w:t>m</w:t>
            </w:r>
            <w:r w:rsidRPr="00936CA4">
              <w:rPr>
                <w:sz w:val="15"/>
                <w:szCs w:val="15"/>
              </w:rPr>
              <w:t>anagement</w:t>
            </w:r>
          </w:p>
        </w:tc>
        <w:tc>
          <w:tcPr>
            <w:tcW w:w="992" w:type="dxa"/>
            <w:noWrap/>
          </w:tcPr>
          <w:p w14:paraId="0F192614" w14:textId="55EFA056"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52D67D85" w14:textId="0699ED5E" w:rsidR="005919CF" w:rsidRPr="00936CA4" w:rsidRDefault="005919CF" w:rsidP="005919CF">
            <w:pPr>
              <w:pStyle w:val="Body"/>
              <w:spacing w:before="40" w:after="40"/>
              <w:jc w:val="right"/>
              <w:rPr>
                <w:sz w:val="15"/>
                <w:szCs w:val="15"/>
              </w:rPr>
            </w:pPr>
            <w:r w:rsidRPr="00936CA4">
              <w:rPr>
                <w:sz w:val="15"/>
                <w:szCs w:val="15"/>
              </w:rPr>
              <w:t>0</w:t>
            </w:r>
          </w:p>
        </w:tc>
      </w:tr>
      <w:tr w:rsidR="005919CF" w:rsidRPr="00683F14" w14:paraId="7BDEE9DB" w14:textId="77777777" w:rsidTr="00780AAF">
        <w:trPr>
          <w:cnfStyle w:val="000000100000" w:firstRow="0" w:lastRow="0" w:firstColumn="0" w:lastColumn="0" w:oddVBand="0" w:evenVBand="0" w:oddHBand="1" w:evenHBand="0" w:firstRowFirstColumn="0" w:firstRowLastColumn="0" w:lastRowFirstColumn="0" w:lastRowLastColumn="0"/>
          <w:trHeight w:val="283"/>
        </w:trPr>
        <w:tc>
          <w:tcPr>
            <w:tcW w:w="2135" w:type="dxa"/>
            <w:noWrap/>
          </w:tcPr>
          <w:p w14:paraId="125B1FB3" w14:textId="129B5089" w:rsidR="005919CF" w:rsidRPr="00936CA4" w:rsidRDefault="005919CF" w:rsidP="005919CF">
            <w:pPr>
              <w:pStyle w:val="Body"/>
              <w:spacing w:before="40" w:after="40"/>
              <w:rPr>
                <w:sz w:val="15"/>
                <w:szCs w:val="15"/>
              </w:rPr>
            </w:pPr>
            <w:r w:rsidRPr="00936CA4">
              <w:rPr>
                <w:sz w:val="15"/>
                <w:szCs w:val="15"/>
              </w:rPr>
              <w:t>Dr Jo Wright</w:t>
            </w:r>
          </w:p>
        </w:tc>
        <w:tc>
          <w:tcPr>
            <w:tcW w:w="992" w:type="dxa"/>
            <w:noWrap/>
          </w:tcPr>
          <w:p w14:paraId="4CDBDE2F" w14:textId="5A5FA7E5" w:rsidR="005919CF" w:rsidRPr="00936CA4" w:rsidRDefault="005919CF" w:rsidP="005919CF">
            <w:pPr>
              <w:pStyle w:val="Body"/>
              <w:spacing w:before="40" w:after="40"/>
              <w:rPr>
                <w:sz w:val="15"/>
                <w:szCs w:val="15"/>
              </w:rPr>
            </w:pPr>
            <w:r w:rsidRPr="00936CA4">
              <w:rPr>
                <w:sz w:val="15"/>
                <w:szCs w:val="15"/>
              </w:rPr>
              <w:t>Member</w:t>
            </w:r>
          </w:p>
        </w:tc>
        <w:tc>
          <w:tcPr>
            <w:tcW w:w="2693" w:type="dxa"/>
            <w:noWrap/>
          </w:tcPr>
          <w:p w14:paraId="29E787D8" w14:textId="4C555129" w:rsidR="005919CF" w:rsidRPr="00936CA4" w:rsidRDefault="005919CF" w:rsidP="005919CF">
            <w:pPr>
              <w:pStyle w:val="Body"/>
              <w:spacing w:before="40" w:after="40"/>
              <w:rPr>
                <w:sz w:val="15"/>
                <w:szCs w:val="15"/>
              </w:rPr>
            </w:pPr>
            <w:r w:rsidRPr="00936CA4">
              <w:rPr>
                <w:sz w:val="15"/>
                <w:szCs w:val="15"/>
              </w:rPr>
              <w:t xml:space="preserve">Rural </w:t>
            </w:r>
            <w:r w:rsidR="00B52AB4">
              <w:rPr>
                <w:sz w:val="15"/>
                <w:szCs w:val="15"/>
              </w:rPr>
              <w:t>m</w:t>
            </w:r>
            <w:r w:rsidRPr="00936CA4">
              <w:rPr>
                <w:sz w:val="15"/>
                <w:szCs w:val="15"/>
              </w:rPr>
              <w:t xml:space="preserve">edical </w:t>
            </w:r>
            <w:r w:rsidR="00B52AB4">
              <w:rPr>
                <w:sz w:val="15"/>
                <w:szCs w:val="15"/>
              </w:rPr>
              <w:t>p</w:t>
            </w:r>
            <w:r w:rsidRPr="00936CA4">
              <w:rPr>
                <w:sz w:val="15"/>
                <w:szCs w:val="15"/>
              </w:rPr>
              <w:t>ractice</w:t>
            </w:r>
          </w:p>
        </w:tc>
        <w:tc>
          <w:tcPr>
            <w:tcW w:w="992" w:type="dxa"/>
            <w:noWrap/>
          </w:tcPr>
          <w:p w14:paraId="325329FC" w14:textId="6058641D" w:rsidR="005919CF" w:rsidRPr="00936CA4" w:rsidRDefault="005919CF" w:rsidP="005919CF">
            <w:pPr>
              <w:pStyle w:val="Body"/>
              <w:spacing w:before="40" w:after="40"/>
              <w:jc w:val="right"/>
              <w:rPr>
                <w:sz w:val="15"/>
                <w:szCs w:val="15"/>
              </w:rPr>
            </w:pPr>
            <w:r w:rsidRPr="00936CA4">
              <w:rPr>
                <w:sz w:val="15"/>
                <w:szCs w:val="15"/>
              </w:rPr>
              <w:t>3</w:t>
            </w:r>
          </w:p>
        </w:tc>
        <w:tc>
          <w:tcPr>
            <w:tcW w:w="992" w:type="dxa"/>
            <w:noWrap/>
          </w:tcPr>
          <w:p w14:paraId="3B7E6B15" w14:textId="0505F441" w:rsidR="005919CF" w:rsidRPr="00936CA4" w:rsidRDefault="005919CF" w:rsidP="005919CF">
            <w:pPr>
              <w:pStyle w:val="Body"/>
              <w:spacing w:before="40" w:after="40"/>
              <w:jc w:val="right"/>
              <w:rPr>
                <w:sz w:val="15"/>
                <w:szCs w:val="15"/>
              </w:rPr>
            </w:pPr>
            <w:r w:rsidRPr="00936CA4">
              <w:rPr>
                <w:sz w:val="15"/>
                <w:szCs w:val="15"/>
              </w:rPr>
              <w:t>3</w:t>
            </w:r>
          </w:p>
        </w:tc>
      </w:tr>
      <w:tr w:rsidR="005919CF" w:rsidRPr="00683F14" w14:paraId="6EC6D7D0" w14:textId="77777777" w:rsidTr="00780AAF">
        <w:trPr>
          <w:cnfStyle w:val="000000010000" w:firstRow="0" w:lastRow="0" w:firstColumn="0" w:lastColumn="0" w:oddVBand="0" w:evenVBand="0" w:oddHBand="0" w:evenHBand="1" w:firstRowFirstColumn="0" w:firstRowLastColumn="0" w:lastRowFirstColumn="0" w:lastRowLastColumn="0"/>
          <w:trHeight w:val="283"/>
        </w:trPr>
        <w:tc>
          <w:tcPr>
            <w:tcW w:w="2135" w:type="dxa"/>
            <w:tcBorders>
              <w:bottom w:val="single" w:sz="4" w:space="0" w:color="D9D9D9" w:themeColor="background2" w:themeShade="D9"/>
            </w:tcBorders>
            <w:noWrap/>
          </w:tcPr>
          <w:p w14:paraId="7DC757F6" w14:textId="271C0411" w:rsidR="005919CF" w:rsidRPr="00936CA4" w:rsidRDefault="005919CF" w:rsidP="005919CF">
            <w:pPr>
              <w:pStyle w:val="Body"/>
              <w:spacing w:before="40" w:after="40"/>
              <w:rPr>
                <w:sz w:val="15"/>
                <w:szCs w:val="15"/>
              </w:rPr>
            </w:pPr>
            <w:r w:rsidRPr="00936CA4">
              <w:rPr>
                <w:sz w:val="15"/>
                <w:szCs w:val="15"/>
              </w:rPr>
              <w:t xml:space="preserve">Dr Kathryn </w:t>
            </w:r>
            <w:proofErr w:type="spellStart"/>
            <w:r w:rsidRPr="00936CA4">
              <w:rPr>
                <w:sz w:val="15"/>
                <w:szCs w:val="15"/>
              </w:rPr>
              <w:t>Zeitz</w:t>
            </w:r>
            <w:proofErr w:type="spellEnd"/>
          </w:p>
        </w:tc>
        <w:tc>
          <w:tcPr>
            <w:tcW w:w="992" w:type="dxa"/>
            <w:tcBorders>
              <w:bottom w:val="single" w:sz="4" w:space="0" w:color="D9D9D9" w:themeColor="background2" w:themeShade="D9"/>
            </w:tcBorders>
            <w:noWrap/>
          </w:tcPr>
          <w:p w14:paraId="63866F94" w14:textId="17696C63" w:rsidR="005919CF" w:rsidRPr="00936CA4" w:rsidRDefault="005919CF" w:rsidP="005919CF">
            <w:pPr>
              <w:pStyle w:val="Body"/>
              <w:spacing w:before="40" w:after="40"/>
              <w:rPr>
                <w:sz w:val="15"/>
                <w:szCs w:val="15"/>
              </w:rPr>
            </w:pPr>
            <w:r w:rsidRPr="00936CA4">
              <w:rPr>
                <w:sz w:val="15"/>
                <w:szCs w:val="15"/>
              </w:rPr>
              <w:t>Member</w:t>
            </w:r>
          </w:p>
        </w:tc>
        <w:tc>
          <w:tcPr>
            <w:tcW w:w="2693" w:type="dxa"/>
            <w:tcBorders>
              <w:bottom w:val="single" w:sz="4" w:space="0" w:color="D9D9D9" w:themeColor="background2" w:themeShade="D9"/>
            </w:tcBorders>
            <w:noWrap/>
          </w:tcPr>
          <w:p w14:paraId="37735A4E" w14:textId="58C7A5C0" w:rsidR="005919CF" w:rsidRPr="00936CA4" w:rsidRDefault="005919CF" w:rsidP="005919CF">
            <w:pPr>
              <w:pStyle w:val="Body"/>
              <w:spacing w:before="40" w:after="40"/>
              <w:rPr>
                <w:sz w:val="15"/>
                <w:szCs w:val="15"/>
              </w:rPr>
            </w:pPr>
            <w:r w:rsidRPr="00936CA4">
              <w:rPr>
                <w:sz w:val="15"/>
                <w:szCs w:val="15"/>
              </w:rPr>
              <w:t>Nursing</w:t>
            </w:r>
          </w:p>
        </w:tc>
        <w:tc>
          <w:tcPr>
            <w:tcW w:w="992" w:type="dxa"/>
            <w:tcBorders>
              <w:bottom w:val="single" w:sz="4" w:space="0" w:color="D9D9D9" w:themeColor="background2" w:themeShade="D9"/>
            </w:tcBorders>
            <w:noWrap/>
          </w:tcPr>
          <w:p w14:paraId="5F5C3E7F" w14:textId="5E19E3BF" w:rsidR="005919CF" w:rsidRPr="00936CA4" w:rsidRDefault="005919CF" w:rsidP="005919CF">
            <w:pPr>
              <w:pStyle w:val="Body"/>
              <w:spacing w:before="40" w:after="40"/>
              <w:jc w:val="right"/>
              <w:rPr>
                <w:sz w:val="15"/>
                <w:szCs w:val="15"/>
              </w:rPr>
            </w:pPr>
            <w:r w:rsidRPr="00936CA4">
              <w:rPr>
                <w:sz w:val="15"/>
                <w:szCs w:val="15"/>
              </w:rPr>
              <w:t>3</w:t>
            </w:r>
          </w:p>
        </w:tc>
        <w:tc>
          <w:tcPr>
            <w:tcW w:w="992" w:type="dxa"/>
            <w:tcBorders>
              <w:bottom w:val="single" w:sz="4" w:space="0" w:color="D9D9D9" w:themeColor="background2" w:themeShade="D9"/>
            </w:tcBorders>
            <w:noWrap/>
          </w:tcPr>
          <w:p w14:paraId="70D67802" w14:textId="7F7396CE" w:rsidR="005919CF" w:rsidRPr="00936CA4" w:rsidRDefault="005919CF" w:rsidP="005919CF">
            <w:pPr>
              <w:pStyle w:val="Body"/>
              <w:spacing w:before="40" w:after="40"/>
              <w:jc w:val="right"/>
              <w:rPr>
                <w:sz w:val="15"/>
                <w:szCs w:val="15"/>
              </w:rPr>
            </w:pPr>
            <w:r w:rsidRPr="00936CA4">
              <w:rPr>
                <w:sz w:val="15"/>
                <w:szCs w:val="15"/>
              </w:rPr>
              <w:t>2</w:t>
            </w:r>
          </w:p>
        </w:tc>
      </w:tr>
    </w:tbl>
    <w:p w14:paraId="6F169B4A" w14:textId="77777777" w:rsidR="00A40DDC" w:rsidRDefault="00A40DDC" w:rsidP="00AA07F9">
      <w:pPr>
        <w:pStyle w:val="Body"/>
      </w:pPr>
    </w:p>
    <w:tbl>
      <w:tblPr>
        <w:tblStyle w:val="TableGrid"/>
        <w:tblW w:w="4994" w:type="pct"/>
        <w:tblBorders>
          <w:top w:val="single" w:sz="8" w:space="0" w:color="F47920" w:themeColor="accent4"/>
          <w:left w:val="single" w:sz="8" w:space="0" w:color="F47920" w:themeColor="accent4"/>
          <w:bottom w:val="single" w:sz="8" w:space="0" w:color="F47920" w:themeColor="accent4"/>
          <w:right w:val="single" w:sz="8" w:space="0" w:color="F47920" w:themeColor="accent4"/>
        </w:tblBorders>
        <w:shd w:val="clear" w:color="auto" w:fill="FFFFFF" w:themeFill="background2"/>
        <w:tblLook w:val="04A0" w:firstRow="1" w:lastRow="0" w:firstColumn="1" w:lastColumn="0" w:noHBand="0" w:noVBand="1"/>
        <w:tblCaption w:val="Clinical Advisory Committee meetings 2020–21"/>
        <w:tblDescription w:val="Clinical Advisory Committee meetings 2020–21"/>
      </w:tblPr>
      <w:tblGrid>
        <w:gridCol w:w="7682"/>
      </w:tblGrid>
      <w:tr w:rsidR="00B17B02" w14:paraId="0BF2BEC8" w14:textId="77777777" w:rsidTr="000A1C4F">
        <w:trPr>
          <w:cnfStyle w:val="100000000000" w:firstRow="1" w:lastRow="0" w:firstColumn="0" w:lastColumn="0" w:oddVBand="0" w:evenVBand="0" w:oddHBand="0" w:evenHBand="0" w:firstRowFirstColumn="0" w:firstRowLastColumn="0" w:lastRowFirstColumn="0" w:lastRowLastColumn="0"/>
          <w:trHeight w:val="491"/>
        </w:trPr>
        <w:tc>
          <w:tcPr>
            <w:tcW w:w="5000" w:type="pct"/>
            <w:tcBorders>
              <w:bottom w:val="single" w:sz="4" w:space="0" w:color="D9D9D9" w:themeColor="background2" w:themeShade="D9"/>
            </w:tcBorders>
            <w:shd w:val="clear" w:color="auto" w:fill="FFFFFF" w:themeFill="background2"/>
          </w:tcPr>
          <w:p w14:paraId="4B7CC086" w14:textId="43F04429" w:rsidR="00B17B02" w:rsidRPr="000A1C4F" w:rsidRDefault="00B17B02" w:rsidP="000A1C4F">
            <w:pPr>
              <w:pStyle w:val="H3"/>
              <w:spacing w:before="120" w:after="120"/>
              <w:rPr>
                <w:color w:val="F47920" w:themeColor="accent4"/>
              </w:rPr>
            </w:pPr>
            <w:r w:rsidRPr="00153DC1">
              <w:rPr>
                <w:color w:val="F47920" w:themeColor="accent4"/>
              </w:rPr>
              <w:t>Clinical Advisory Committee meetings 2020–21</w:t>
            </w:r>
          </w:p>
        </w:tc>
      </w:tr>
      <w:tr w:rsidR="000A1C4F" w14:paraId="14E00598" w14:textId="77777777" w:rsidTr="000A1C4F">
        <w:trPr>
          <w:cnfStyle w:val="100000000000" w:firstRow="1" w:lastRow="0" w:firstColumn="0" w:lastColumn="0" w:oddVBand="0" w:evenVBand="0" w:oddHBand="0" w:evenHBand="0" w:firstRowFirstColumn="0" w:firstRowLastColumn="0" w:lastRowFirstColumn="0" w:lastRowLastColumn="0"/>
          <w:trHeight w:val="122"/>
        </w:trPr>
        <w:tc>
          <w:tcPr>
            <w:tcW w:w="5000" w:type="pct"/>
            <w:tcBorders>
              <w:top w:val="single" w:sz="4" w:space="0" w:color="D9D9D9" w:themeColor="background2" w:themeShade="D9"/>
              <w:bottom w:val="single" w:sz="4" w:space="0" w:color="D9D9D9" w:themeColor="background2" w:themeShade="D9"/>
            </w:tcBorders>
            <w:shd w:val="clear" w:color="auto" w:fill="FFFFFF" w:themeFill="background2"/>
          </w:tcPr>
          <w:p w14:paraId="68C97D7D" w14:textId="27DD6A37" w:rsidR="000A1C4F" w:rsidRPr="000A1C4F" w:rsidRDefault="000A1C4F" w:rsidP="002A4162">
            <w:pPr>
              <w:spacing w:before="80" w:after="80"/>
              <w:rPr>
                <w:color w:val="1C1C1C"/>
                <w:sz w:val="18"/>
                <w:szCs w:val="18"/>
              </w:rPr>
            </w:pPr>
            <w:r w:rsidRPr="00780AAF">
              <w:rPr>
                <w:color w:val="1C1C1C"/>
                <w:sz w:val="18"/>
                <w:szCs w:val="18"/>
              </w:rPr>
              <w:t>18 August 2020</w:t>
            </w:r>
          </w:p>
        </w:tc>
      </w:tr>
      <w:tr w:rsidR="000A1C4F" w14:paraId="5758D3DC" w14:textId="77777777" w:rsidTr="000A1C4F">
        <w:trPr>
          <w:cnfStyle w:val="100000000000" w:firstRow="1" w:lastRow="0" w:firstColumn="0" w:lastColumn="0" w:oddVBand="0" w:evenVBand="0" w:oddHBand="0" w:evenHBand="0" w:firstRowFirstColumn="0" w:firstRowLastColumn="0" w:lastRowFirstColumn="0" w:lastRowLastColumn="0"/>
          <w:trHeight w:val="121"/>
        </w:trPr>
        <w:tc>
          <w:tcPr>
            <w:tcW w:w="5000" w:type="pct"/>
            <w:tcBorders>
              <w:top w:val="single" w:sz="4" w:space="0" w:color="D9D9D9" w:themeColor="background2" w:themeShade="D9"/>
              <w:bottom w:val="single" w:sz="4" w:space="0" w:color="D9D9D9" w:themeColor="background2" w:themeShade="D9"/>
            </w:tcBorders>
            <w:shd w:val="clear" w:color="auto" w:fill="FFFFFF" w:themeFill="background2"/>
          </w:tcPr>
          <w:p w14:paraId="78C276E9" w14:textId="602E01EC" w:rsidR="000A1C4F" w:rsidRPr="00780AAF" w:rsidRDefault="000A1C4F" w:rsidP="002A4162">
            <w:pPr>
              <w:spacing w:before="80" w:after="80"/>
              <w:rPr>
                <w:color w:val="1C1C1C"/>
                <w:sz w:val="18"/>
                <w:szCs w:val="18"/>
              </w:rPr>
            </w:pPr>
            <w:r w:rsidRPr="00780AAF">
              <w:rPr>
                <w:color w:val="1C1C1C"/>
                <w:sz w:val="18"/>
                <w:szCs w:val="18"/>
              </w:rPr>
              <w:t>3 February 2021</w:t>
            </w:r>
          </w:p>
        </w:tc>
      </w:tr>
      <w:tr w:rsidR="000A1C4F" w14:paraId="580CA929" w14:textId="77777777" w:rsidTr="000A1C4F">
        <w:trPr>
          <w:cnfStyle w:val="100000000000" w:firstRow="1" w:lastRow="0" w:firstColumn="0" w:lastColumn="0" w:oddVBand="0" w:evenVBand="0" w:oddHBand="0" w:evenHBand="0" w:firstRowFirstColumn="0" w:firstRowLastColumn="0" w:lastRowFirstColumn="0" w:lastRowLastColumn="0"/>
          <w:trHeight w:val="121"/>
        </w:trPr>
        <w:tc>
          <w:tcPr>
            <w:tcW w:w="5000" w:type="pct"/>
            <w:tcBorders>
              <w:top w:val="single" w:sz="4" w:space="0" w:color="D9D9D9" w:themeColor="background2" w:themeShade="D9"/>
              <w:bottom w:val="single" w:sz="8" w:space="0" w:color="F47920" w:themeColor="accent4"/>
            </w:tcBorders>
            <w:shd w:val="clear" w:color="auto" w:fill="FFFFFF" w:themeFill="background2"/>
          </w:tcPr>
          <w:p w14:paraId="26A9B836" w14:textId="2A855BE3" w:rsidR="000A1C4F" w:rsidRPr="00780AAF" w:rsidRDefault="000A1C4F" w:rsidP="002A4162">
            <w:pPr>
              <w:spacing w:before="80" w:after="80"/>
              <w:rPr>
                <w:color w:val="1C1C1C"/>
                <w:sz w:val="18"/>
                <w:szCs w:val="18"/>
              </w:rPr>
            </w:pPr>
            <w:r w:rsidRPr="00780AAF">
              <w:rPr>
                <w:color w:val="1C1C1C"/>
                <w:sz w:val="18"/>
                <w:szCs w:val="18"/>
              </w:rPr>
              <w:t>19 May 2021</w:t>
            </w:r>
          </w:p>
        </w:tc>
      </w:tr>
    </w:tbl>
    <w:p w14:paraId="5E61FA38" w14:textId="5150486A" w:rsidR="00B17B02" w:rsidRDefault="00B17B02" w:rsidP="00AA07F9">
      <w:pPr>
        <w:pStyle w:val="Body"/>
        <w:sectPr w:rsidR="00B17B02" w:rsidSect="00441579">
          <w:footerReference w:type="default" r:id="rId124"/>
          <w:pgSz w:w="9979" w:h="14175"/>
          <w:pgMar w:top="1134" w:right="1134" w:bottom="1134" w:left="1134" w:header="709" w:footer="709" w:gutter="0"/>
          <w:cols w:space="708"/>
          <w:docGrid w:linePitch="360"/>
        </w:sectPr>
      </w:pPr>
    </w:p>
    <w:p w14:paraId="779DAA8D" w14:textId="77777777" w:rsidR="0004038E" w:rsidRPr="00153DC1" w:rsidRDefault="0004038E" w:rsidP="00FB0E91">
      <w:pPr>
        <w:pStyle w:val="Heading1"/>
        <w:spacing w:after="360"/>
        <w:rPr>
          <w:color w:val="F47920" w:themeColor="accent4"/>
        </w:rPr>
      </w:pPr>
      <w:bookmarkStart w:id="92" w:name="_Toc44350182"/>
      <w:bookmarkStart w:id="93" w:name="_Toc50378076"/>
      <w:bookmarkStart w:id="94" w:name="_Toc84488747"/>
      <w:r w:rsidRPr="00153DC1">
        <w:rPr>
          <w:color w:val="F47920" w:themeColor="accent4"/>
        </w:rPr>
        <w:lastRenderedPageBreak/>
        <w:t>2020–21 highlights</w:t>
      </w:r>
      <w:bookmarkEnd w:id="92"/>
      <w:bookmarkEnd w:id="93"/>
      <w:bookmarkEnd w:id="94"/>
    </w:p>
    <w:p w14:paraId="049EE0C3" w14:textId="5863BB42" w:rsidR="0004038E" w:rsidRPr="00153DC1" w:rsidRDefault="0004038E" w:rsidP="00153DC1">
      <w:pPr>
        <w:pStyle w:val="Body"/>
        <w:sectPr w:rsidR="0004038E" w:rsidRPr="00153DC1" w:rsidSect="00441579">
          <w:footerReference w:type="default" r:id="rId125"/>
          <w:pgSz w:w="9979" w:h="14175"/>
          <w:pgMar w:top="1134" w:right="1134" w:bottom="1134" w:left="1134" w:header="709" w:footer="709" w:gutter="0"/>
          <w:cols w:space="708"/>
          <w:docGrid w:linePitch="360"/>
        </w:sectPr>
      </w:pPr>
      <w:r w:rsidRPr="00153DC1">
        <w:t>In 2020–21, the Clinical Advisory Committee supported IHPA’s work program to deliver the following key</w:t>
      </w:r>
      <w:r w:rsidR="00190C9B">
        <w:t> </w:t>
      </w:r>
      <w:r w:rsidRPr="00153DC1">
        <w:t>achievements:</w:t>
      </w:r>
    </w:p>
    <w:tbl>
      <w:tblPr>
        <w:tblStyle w:val="TableGrid1"/>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Caption w:val="2020-21 highlights"/>
        <w:tblDescription w:val="In 2020–21, the Clinical Advisory Committee supported IHPA’s work program to deliver the following key achievements: "/>
      </w:tblPr>
      <w:tblGrid>
        <w:gridCol w:w="1100"/>
        <w:gridCol w:w="6613"/>
      </w:tblGrid>
      <w:tr w:rsidR="005919CF" w14:paraId="399CDB28" w14:textId="77777777" w:rsidTr="00760CF7">
        <w:trPr>
          <w:trHeight w:val="1213"/>
          <w:tblHeader/>
        </w:trPr>
        <w:tc>
          <w:tcPr>
            <w:tcW w:w="713" w:type="pct"/>
          </w:tcPr>
          <w:p w14:paraId="2E04B768" w14:textId="77777777" w:rsidR="005919CF" w:rsidRDefault="005919CF" w:rsidP="005919CF">
            <w:pPr>
              <w:pStyle w:val="Body"/>
            </w:pPr>
            <w:r>
              <w:rPr>
                <w:noProof/>
                <w:lang w:val="en-AU" w:eastAsia="en-AU"/>
              </w:rPr>
              <w:drawing>
                <wp:inline distT="0" distB="0" distL="0" distR="0" wp14:anchorId="17B25934" wp14:editId="5B50CCBD">
                  <wp:extent cx="621030" cy="557100"/>
                  <wp:effectExtent l="0" t="0" r="7620" b="0"/>
                  <wp:docPr id="100" name="Picture 100" descr="Octob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October 2020"/>
                          <pic:cNvPicPr>
                            <a:picLocks noChangeAspect="1" noChangeArrowheads="1"/>
                          </pic:cNvPicPr>
                        </pic:nvPicPr>
                        <pic:blipFill>
                          <a:blip r:embed="rId126" cstate="print">
                            <a:extLst>
                              <a:ext uri="{28A0092B-C50C-407E-A947-70E740481C1C}">
                                <a14:useLocalDpi xmlns:a14="http://schemas.microsoft.com/office/drawing/2010/main"/>
                              </a:ext>
                            </a:extLst>
                          </a:blip>
                          <a:stretch>
                            <a:fillRect/>
                          </a:stretch>
                        </pic:blipFill>
                        <pic:spPr bwMode="auto">
                          <a:xfrm>
                            <a:off x="0" y="0"/>
                            <a:ext cx="621030" cy="557100"/>
                          </a:xfrm>
                          <a:prstGeom prst="rect">
                            <a:avLst/>
                          </a:prstGeom>
                          <a:noFill/>
                          <a:ln>
                            <a:noFill/>
                          </a:ln>
                        </pic:spPr>
                      </pic:pic>
                    </a:graphicData>
                  </a:graphic>
                </wp:inline>
              </w:drawing>
            </w:r>
          </w:p>
        </w:tc>
        <w:tc>
          <w:tcPr>
            <w:tcW w:w="4287" w:type="pct"/>
          </w:tcPr>
          <w:p w14:paraId="2FB913C0" w14:textId="68BC741D" w:rsidR="005919CF" w:rsidRPr="002D7EA2" w:rsidRDefault="005919CF" w:rsidP="005919CF">
            <w:pPr>
              <w:pStyle w:val="Bulletslast"/>
              <w:spacing w:before="120" w:after="80"/>
            </w:pPr>
            <w:r w:rsidRPr="006341A0">
              <w:t xml:space="preserve">Advice on the assessment of new health technologies to ensure pricing of public hospital services responds to </w:t>
            </w:r>
            <w:r w:rsidR="00B90123">
              <w:t xml:space="preserve">the </w:t>
            </w:r>
            <w:r w:rsidRPr="006341A0">
              <w:t>introduction of new evidence-based technology and</w:t>
            </w:r>
            <w:r w:rsidR="00414898">
              <w:t> </w:t>
            </w:r>
            <w:r w:rsidRPr="006341A0">
              <w:t>innovations in the models of care in a timely manner</w:t>
            </w:r>
            <w:r w:rsidR="000A1C4F">
              <w:t>.</w:t>
            </w:r>
          </w:p>
        </w:tc>
      </w:tr>
      <w:tr w:rsidR="005919CF" w14:paraId="660B9AAC" w14:textId="77777777" w:rsidTr="005919CF">
        <w:trPr>
          <w:trHeight w:val="3124"/>
        </w:trPr>
        <w:tc>
          <w:tcPr>
            <w:tcW w:w="713" w:type="pct"/>
            <w:vAlign w:val="center"/>
          </w:tcPr>
          <w:p w14:paraId="519058D5" w14:textId="77777777" w:rsidR="005919CF" w:rsidRDefault="005919CF" w:rsidP="005919CF">
            <w:pPr>
              <w:pStyle w:val="Body"/>
            </w:pPr>
            <w:r>
              <w:rPr>
                <w:noProof/>
                <w:lang w:val="en-AU" w:eastAsia="en-AU"/>
              </w:rPr>
              <mc:AlternateContent>
                <mc:Choice Requires="wps">
                  <w:drawing>
                    <wp:anchor distT="0" distB="0" distL="114300" distR="114300" simplePos="0" relativeHeight="251934720" behindDoc="1" locked="0" layoutInCell="1" allowOverlap="1" wp14:anchorId="2DF1614D" wp14:editId="5F971237">
                      <wp:simplePos x="0" y="0"/>
                      <wp:positionH relativeFrom="column">
                        <wp:posOffset>313055</wp:posOffset>
                      </wp:positionH>
                      <wp:positionV relativeFrom="paragraph">
                        <wp:posOffset>-433070</wp:posOffset>
                      </wp:positionV>
                      <wp:extent cx="0" cy="3481070"/>
                      <wp:effectExtent l="19050" t="0" r="19050" b="24130"/>
                      <wp:wrapNone/>
                      <wp:docPr id="99" name="Straight Connector 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3481070"/>
                              </a:xfrm>
                              <a:prstGeom prst="line">
                                <a:avLst/>
                              </a:prstGeom>
                              <a:ln w="28575">
                                <a:solidFill>
                                  <a:schemeClr val="accent4">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F2FEDB" id="Straight Connector 99" o:spid="_x0000_s1026" alt="&quot;&quot;" style="position:absolute;z-index:-25138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5pt,-34.1pt" to="24.65pt,2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" strokecolor="#f8ae78 [1943]" strokeweight="2.25pt">
                      <v:stroke joinstyle="miter"/>
                    </v:line>
                  </w:pict>
                </mc:Fallback>
              </mc:AlternateContent>
            </w:r>
            <w:r>
              <w:rPr>
                <w:noProof/>
                <w:lang w:val="en-AU" w:eastAsia="en-AU"/>
              </w:rPr>
              <w:drawing>
                <wp:inline distT="0" distB="0" distL="0" distR="0" wp14:anchorId="331F13D0" wp14:editId="68B57ADE">
                  <wp:extent cx="621030" cy="557100"/>
                  <wp:effectExtent l="0" t="0" r="7620" b="0"/>
                  <wp:docPr id="109" name="Picture 109" descr="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March 2021"/>
                          <pic:cNvPicPr>
                            <a:picLocks noChangeAspect="1" noChangeArrowheads="1"/>
                          </pic:cNvPicPr>
                        </pic:nvPicPr>
                        <pic:blipFill>
                          <a:blip r:embed="rId127" cstate="print">
                            <a:extLst>
                              <a:ext uri="{28A0092B-C50C-407E-A947-70E740481C1C}">
                                <a14:useLocalDpi xmlns:a14="http://schemas.microsoft.com/office/drawing/2010/main"/>
                              </a:ext>
                            </a:extLst>
                          </a:blip>
                          <a:stretch>
                            <a:fillRect/>
                          </a:stretch>
                        </pic:blipFill>
                        <pic:spPr bwMode="auto">
                          <a:xfrm>
                            <a:off x="0" y="0"/>
                            <a:ext cx="621030" cy="557100"/>
                          </a:xfrm>
                          <a:prstGeom prst="rect">
                            <a:avLst/>
                          </a:prstGeom>
                          <a:noFill/>
                          <a:ln>
                            <a:noFill/>
                          </a:ln>
                        </pic:spPr>
                      </pic:pic>
                    </a:graphicData>
                  </a:graphic>
                </wp:inline>
              </w:drawing>
            </w:r>
          </w:p>
        </w:tc>
        <w:tc>
          <w:tcPr>
            <w:tcW w:w="4287" w:type="pct"/>
          </w:tcPr>
          <w:p w14:paraId="61A5AE22" w14:textId="20BF5BC5" w:rsidR="005919CF" w:rsidRPr="006341A0" w:rsidRDefault="005919CF" w:rsidP="005919CF">
            <w:pPr>
              <w:numPr>
                <w:ilvl w:val="0"/>
                <w:numId w:val="1"/>
              </w:numPr>
              <w:spacing w:after="120"/>
              <w:rPr>
                <w:color w:val="1C1C1C"/>
                <w:sz w:val="18"/>
                <w:szCs w:val="18"/>
              </w:rPr>
            </w:pPr>
            <w:r w:rsidRPr="006341A0">
              <w:rPr>
                <w:color w:val="1C1C1C"/>
                <w:sz w:val="18"/>
                <w:szCs w:val="18"/>
              </w:rPr>
              <w:t>Advice on the Pricing Framework for Australian Public Hospital Services 2021–22</w:t>
            </w:r>
            <w:r w:rsidR="000A1C4F">
              <w:rPr>
                <w:color w:val="1C1C1C"/>
                <w:sz w:val="18"/>
                <w:szCs w:val="18"/>
              </w:rPr>
              <w:t>.</w:t>
            </w:r>
          </w:p>
          <w:p w14:paraId="2C163C7F" w14:textId="6830693C" w:rsidR="005919CF" w:rsidRPr="006341A0" w:rsidRDefault="005919CF" w:rsidP="005919CF">
            <w:pPr>
              <w:numPr>
                <w:ilvl w:val="0"/>
                <w:numId w:val="1"/>
              </w:numPr>
              <w:spacing w:after="120"/>
              <w:rPr>
                <w:color w:val="1C1C1C"/>
                <w:sz w:val="18"/>
                <w:szCs w:val="18"/>
              </w:rPr>
            </w:pPr>
            <w:r w:rsidRPr="006341A0">
              <w:rPr>
                <w:color w:val="1C1C1C"/>
                <w:sz w:val="18"/>
                <w:szCs w:val="18"/>
              </w:rPr>
              <w:t>Input to inform the National Efficient Price and National Efficient Cost Determination</w:t>
            </w:r>
            <w:r w:rsidR="000A1C4F">
              <w:rPr>
                <w:color w:val="1C1C1C"/>
                <w:sz w:val="18"/>
                <w:szCs w:val="18"/>
              </w:rPr>
              <w:t>s</w:t>
            </w:r>
            <w:r w:rsidRPr="006341A0">
              <w:rPr>
                <w:color w:val="1C1C1C"/>
                <w:sz w:val="18"/>
                <w:szCs w:val="18"/>
              </w:rPr>
              <w:t xml:space="preserve"> for 2021–22</w:t>
            </w:r>
            <w:r w:rsidR="000A1C4F">
              <w:rPr>
                <w:color w:val="1C1C1C"/>
                <w:sz w:val="18"/>
                <w:szCs w:val="18"/>
              </w:rPr>
              <w:t>.</w:t>
            </w:r>
          </w:p>
          <w:p w14:paraId="6C1BAE6C" w14:textId="24420661" w:rsidR="005919CF" w:rsidRPr="006341A0" w:rsidRDefault="005919CF" w:rsidP="005919CF">
            <w:pPr>
              <w:numPr>
                <w:ilvl w:val="0"/>
                <w:numId w:val="1"/>
              </w:numPr>
              <w:spacing w:after="120"/>
              <w:rPr>
                <w:color w:val="1C1C1C"/>
                <w:sz w:val="18"/>
                <w:szCs w:val="18"/>
              </w:rPr>
            </w:pPr>
            <w:r w:rsidRPr="006341A0">
              <w:rPr>
                <w:color w:val="1C1C1C"/>
                <w:sz w:val="18"/>
                <w:szCs w:val="18"/>
              </w:rPr>
              <w:t>Input to the COVID-19 Response—Rules for coding and reporting COVID-19 episodes of care</w:t>
            </w:r>
            <w:r w:rsidR="000A1C4F">
              <w:rPr>
                <w:color w:val="1C1C1C"/>
                <w:sz w:val="18"/>
                <w:szCs w:val="18"/>
              </w:rPr>
              <w:t>.</w:t>
            </w:r>
          </w:p>
          <w:p w14:paraId="7CFF60B6" w14:textId="13FB7A14" w:rsidR="005919CF" w:rsidRPr="006341A0" w:rsidRDefault="005919CF" w:rsidP="005919CF">
            <w:pPr>
              <w:numPr>
                <w:ilvl w:val="0"/>
                <w:numId w:val="1"/>
              </w:numPr>
              <w:spacing w:after="120"/>
              <w:rPr>
                <w:color w:val="1C1C1C"/>
                <w:sz w:val="18"/>
                <w:szCs w:val="18"/>
              </w:rPr>
            </w:pPr>
            <w:r w:rsidRPr="006341A0">
              <w:rPr>
                <w:color w:val="1C1C1C"/>
                <w:sz w:val="18"/>
                <w:szCs w:val="18"/>
              </w:rPr>
              <w:t xml:space="preserve">Advice on price </w:t>
            </w:r>
            <w:proofErr w:type="spellStart"/>
            <w:r w:rsidRPr="006341A0">
              <w:rPr>
                <w:color w:val="1C1C1C"/>
                <w:sz w:val="18"/>
                <w:szCs w:val="18"/>
              </w:rPr>
              <w:t>harmonisation</w:t>
            </w:r>
            <w:proofErr w:type="spellEnd"/>
            <w:r w:rsidRPr="006341A0">
              <w:rPr>
                <w:color w:val="1C1C1C"/>
                <w:sz w:val="18"/>
                <w:szCs w:val="18"/>
              </w:rPr>
              <w:t xml:space="preserve"> to ensure consistent pricing of similar same-day services</w:t>
            </w:r>
            <w:r w:rsidR="00414898">
              <w:rPr>
                <w:color w:val="1C1C1C"/>
                <w:sz w:val="18"/>
                <w:szCs w:val="18"/>
              </w:rPr>
              <w:t> </w:t>
            </w:r>
            <w:r w:rsidRPr="006341A0">
              <w:rPr>
                <w:color w:val="1C1C1C"/>
                <w:sz w:val="18"/>
                <w:szCs w:val="18"/>
              </w:rPr>
              <w:t>across different settings of care, specifically investigating chemotherapy and</w:t>
            </w:r>
            <w:r w:rsidR="00414898">
              <w:rPr>
                <w:color w:val="1C1C1C"/>
                <w:sz w:val="18"/>
                <w:szCs w:val="18"/>
              </w:rPr>
              <w:t> </w:t>
            </w:r>
            <w:r w:rsidRPr="006341A0">
              <w:rPr>
                <w:color w:val="1C1C1C"/>
                <w:sz w:val="18"/>
                <w:szCs w:val="18"/>
              </w:rPr>
              <w:t>renal</w:t>
            </w:r>
            <w:r w:rsidR="00414898">
              <w:rPr>
                <w:color w:val="1C1C1C"/>
                <w:sz w:val="18"/>
                <w:szCs w:val="18"/>
              </w:rPr>
              <w:t> </w:t>
            </w:r>
            <w:r w:rsidRPr="006341A0">
              <w:rPr>
                <w:color w:val="1C1C1C"/>
                <w:sz w:val="18"/>
                <w:szCs w:val="18"/>
              </w:rPr>
              <w:t>dialysis</w:t>
            </w:r>
            <w:r w:rsidR="000A1C4F">
              <w:rPr>
                <w:color w:val="1C1C1C"/>
                <w:sz w:val="18"/>
                <w:szCs w:val="18"/>
              </w:rPr>
              <w:t>.</w:t>
            </w:r>
          </w:p>
          <w:p w14:paraId="6CE5DB09" w14:textId="318705A4" w:rsidR="005919CF" w:rsidRPr="002D7EA2" w:rsidRDefault="005919CF" w:rsidP="005919CF">
            <w:pPr>
              <w:pStyle w:val="Bulletslast"/>
              <w:spacing w:after="120"/>
            </w:pPr>
            <w:r w:rsidRPr="006341A0">
              <w:t>Investigations into alternative funding models to activity based funding for the future, including bundled payments and capitation models</w:t>
            </w:r>
            <w:r w:rsidR="000A1C4F">
              <w:t>.</w:t>
            </w:r>
          </w:p>
        </w:tc>
      </w:tr>
      <w:tr w:rsidR="005919CF" w14:paraId="198BB290" w14:textId="77777777" w:rsidTr="005919CF">
        <w:trPr>
          <w:trHeight w:val="986"/>
        </w:trPr>
        <w:tc>
          <w:tcPr>
            <w:tcW w:w="713" w:type="pct"/>
            <w:vAlign w:val="center"/>
          </w:tcPr>
          <w:p w14:paraId="6639B11E" w14:textId="77777777" w:rsidR="005919CF" w:rsidRDefault="005919CF" w:rsidP="005919CF">
            <w:pPr>
              <w:pStyle w:val="Body"/>
            </w:pPr>
            <w:r>
              <w:rPr>
                <w:noProof/>
                <w:lang w:val="en-AU" w:eastAsia="en-AU"/>
              </w:rPr>
              <w:drawing>
                <wp:inline distT="0" distB="0" distL="0" distR="0" wp14:anchorId="405CAA18" wp14:editId="119642E8">
                  <wp:extent cx="621030" cy="557100"/>
                  <wp:effectExtent l="0" t="0" r="7620" b="0"/>
                  <wp:docPr id="115" name="Picture 115" descr="April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April 2021"/>
                          <pic:cNvPicPr>
                            <a:picLocks noChangeAspect="1" noChangeArrowheads="1"/>
                          </pic:cNvPicPr>
                        </pic:nvPicPr>
                        <pic:blipFill>
                          <a:blip r:embed="rId128" cstate="print">
                            <a:extLst>
                              <a:ext uri="{28A0092B-C50C-407E-A947-70E740481C1C}">
                                <a14:useLocalDpi xmlns:a14="http://schemas.microsoft.com/office/drawing/2010/main"/>
                              </a:ext>
                            </a:extLst>
                          </a:blip>
                          <a:stretch>
                            <a:fillRect/>
                          </a:stretch>
                        </pic:blipFill>
                        <pic:spPr bwMode="auto">
                          <a:xfrm>
                            <a:off x="0" y="0"/>
                            <a:ext cx="621030" cy="557100"/>
                          </a:xfrm>
                          <a:prstGeom prst="rect">
                            <a:avLst/>
                          </a:prstGeom>
                          <a:noFill/>
                          <a:ln>
                            <a:noFill/>
                          </a:ln>
                        </pic:spPr>
                      </pic:pic>
                    </a:graphicData>
                  </a:graphic>
                </wp:inline>
              </w:drawing>
            </w:r>
          </w:p>
        </w:tc>
        <w:tc>
          <w:tcPr>
            <w:tcW w:w="4287" w:type="pct"/>
          </w:tcPr>
          <w:p w14:paraId="28C19AFC" w14:textId="23F03D25" w:rsidR="005919CF" w:rsidRPr="00EC4756" w:rsidRDefault="005919CF" w:rsidP="005919CF">
            <w:pPr>
              <w:pStyle w:val="Bulletslast"/>
              <w:spacing w:before="240" w:after="80"/>
            </w:pPr>
            <w:r w:rsidRPr="006341A0">
              <w:t>Advice on the development of the Australian National Subacute and Non-Acute Patient Classification Version 5.0</w:t>
            </w:r>
            <w:r w:rsidR="000A1C4F">
              <w:t>.</w:t>
            </w:r>
          </w:p>
        </w:tc>
      </w:tr>
      <w:tr w:rsidR="005919CF" w14:paraId="200BABBA" w14:textId="77777777" w:rsidTr="005919CF">
        <w:trPr>
          <w:trHeight w:val="1261"/>
        </w:trPr>
        <w:tc>
          <w:tcPr>
            <w:tcW w:w="713" w:type="pct"/>
            <w:vAlign w:val="center"/>
          </w:tcPr>
          <w:p w14:paraId="1F4DEE32" w14:textId="77777777" w:rsidR="005919CF" w:rsidRDefault="005919CF" w:rsidP="005919CF">
            <w:pPr>
              <w:pStyle w:val="Body"/>
            </w:pPr>
            <w:r>
              <w:rPr>
                <w:noProof/>
                <w:lang w:val="en-AU" w:eastAsia="en-AU"/>
              </w:rPr>
              <w:drawing>
                <wp:inline distT="0" distB="0" distL="0" distR="0" wp14:anchorId="2B6D4B0D" wp14:editId="14E3D9E3">
                  <wp:extent cx="621030" cy="557100"/>
                  <wp:effectExtent l="0" t="0" r="7620" b="0"/>
                  <wp:docPr id="144" name="Picture 144" descr="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June 2021"/>
                          <pic:cNvPicPr>
                            <a:picLocks noChangeAspect="1" noChangeArrowheads="1"/>
                          </pic:cNvPicPr>
                        </pic:nvPicPr>
                        <pic:blipFill>
                          <a:blip r:embed="rId129" cstate="print">
                            <a:extLst>
                              <a:ext uri="{28A0092B-C50C-407E-A947-70E740481C1C}">
                                <a14:useLocalDpi xmlns:a14="http://schemas.microsoft.com/office/drawing/2010/main"/>
                              </a:ext>
                            </a:extLst>
                          </a:blip>
                          <a:stretch>
                            <a:fillRect/>
                          </a:stretch>
                        </pic:blipFill>
                        <pic:spPr bwMode="auto">
                          <a:xfrm>
                            <a:off x="0" y="0"/>
                            <a:ext cx="621030" cy="557100"/>
                          </a:xfrm>
                          <a:prstGeom prst="rect">
                            <a:avLst/>
                          </a:prstGeom>
                          <a:noFill/>
                          <a:ln>
                            <a:noFill/>
                          </a:ln>
                        </pic:spPr>
                      </pic:pic>
                    </a:graphicData>
                  </a:graphic>
                </wp:inline>
              </w:drawing>
            </w:r>
          </w:p>
        </w:tc>
        <w:tc>
          <w:tcPr>
            <w:tcW w:w="4287" w:type="pct"/>
            <w:vAlign w:val="center"/>
          </w:tcPr>
          <w:p w14:paraId="5158DEFA" w14:textId="526682BE" w:rsidR="005919CF" w:rsidRPr="00EC4756" w:rsidRDefault="005919CF" w:rsidP="005919CF">
            <w:pPr>
              <w:pStyle w:val="Bulletslast"/>
              <w:spacing w:before="240"/>
            </w:pPr>
            <w:r w:rsidRPr="006341A0">
              <w:t>Consultation on the development of the AR</w:t>
            </w:r>
            <w:r w:rsidR="00F9124F">
              <w:t>-</w:t>
            </w:r>
            <w:r w:rsidRPr="006341A0">
              <w:t>DRG and ICD-10-AM/ACHI/ACS classification systems</w:t>
            </w:r>
            <w:r w:rsidR="000A1C4F">
              <w:t>.</w:t>
            </w:r>
          </w:p>
        </w:tc>
      </w:tr>
    </w:tbl>
    <w:p w14:paraId="51BDF436" w14:textId="77777777" w:rsidR="000431F3" w:rsidRDefault="000431F3" w:rsidP="000431F3">
      <w:pPr>
        <w:pStyle w:val="Body"/>
      </w:pPr>
    </w:p>
    <w:p w14:paraId="052BBFDB" w14:textId="77777777" w:rsidR="005E4F26" w:rsidRDefault="005E4F26" w:rsidP="0004038E">
      <w:pPr>
        <w:pStyle w:val="Body"/>
        <w:sectPr w:rsidR="005E4F26" w:rsidSect="00FB0E91">
          <w:type w:val="continuous"/>
          <w:pgSz w:w="9979" w:h="14175"/>
          <w:pgMar w:top="1418" w:right="1134" w:bottom="1134" w:left="1134" w:header="709" w:footer="709" w:gutter="0"/>
          <w:cols w:space="708"/>
          <w:docGrid w:linePitch="360"/>
        </w:sectPr>
      </w:pPr>
    </w:p>
    <w:p w14:paraId="7F8E1DD3" w14:textId="59B8F841" w:rsidR="001837C4" w:rsidRDefault="001659E1" w:rsidP="009A2D17">
      <w:pPr>
        <w:pStyle w:val="H1"/>
        <w:spacing w:before="1680"/>
      </w:pPr>
      <w:bookmarkStart w:id="95" w:name="_Toc84488748"/>
      <w:r>
        <w:rPr>
          <w:noProof/>
          <w:lang w:val="en-AU" w:eastAsia="en-AU"/>
        </w:rPr>
        <w:lastRenderedPageBreak/>
        <w:drawing>
          <wp:anchor distT="0" distB="0" distL="114300" distR="114300" simplePos="0" relativeHeight="251992064" behindDoc="1" locked="0" layoutInCell="1" allowOverlap="1" wp14:anchorId="2818AE8E" wp14:editId="0B5F42EC">
            <wp:simplePos x="0" y="0"/>
            <wp:positionH relativeFrom="column">
              <wp:posOffset>-735330</wp:posOffset>
            </wp:positionH>
            <wp:positionV relativeFrom="paragraph">
              <wp:posOffset>-901065</wp:posOffset>
            </wp:positionV>
            <wp:extent cx="6361043" cy="9032731"/>
            <wp:effectExtent l="0" t="0" r="1905" b="0"/>
            <wp:wrapNone/>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a:extLst>
                        <a:ext uri="{C183D7F6-B498-43B3-948B-1728B52AA6E4}">
                          <adec:decorative xmlns:adec="http://schemas.microsoft.com/office/drawing/2017/decorative" val="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386034" cy="90682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37C4">
        <w:t xml:space="preserve">Annual </w:t>
      </w:r>
      <w:r w:rsidR="008A51CF">
        <w:t>p</w:t>
      </w:r>
      <w:r w:rsidR="001837C4">
        <w:t xml:space="preserve">erformance </w:t>
      </w:r>
      <w:r w:rsidR="008A51CF">
        <w:t>s</w:t>
      </w:r>
      <w:r w:rsidR="001837C4">
        <w:t>tatements</w:t>
      </w:r>
      <w:bookmarkEnd w:id="95"/>
    </w:p>
    <w:p w14:paraId="0A1B3007" w14:textId="746FF54E" w:rsidR="001837C4" w:rsidRDefault="00AB3AE1" w:rsidP="001837C4">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0622A2DB" wp14:editId="25859312">
            <wp:extent cx="1838324" cy="1652665"/>
            <wp:effectExtent l="0" t="0" r="0" b="5080"/>
            <wp:docPr id="27" name="Picture 27" descr="Chapt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pter 5"/>
                    <pic:cNvPicPr>
                      <a:picLocks noChangeAspect="1" noChangeArrowheads="1"/>
                    </pic:cNvPicPr>
                  </pic:nvPicPr>
                  <pic:blipFill>
                    <a:blip r:embed="rId131" cstate="print">
                      <a:extLst>
                        <a:ext uri="{28A0092B-C50C-407E-A947-70E740481C1C}">
                          <a14:useLocalDpi xmlns:a14="http://schemas.microsoft.com/office/drawing/2010/main"/>
                        </a:ext>
                      </a:extLst>
                    </a:blip>
                    <a:stretch>
                      <a:fillRect/>
                    </a:stretch>
                  </pic:blipFill>
                  <pic:spPr bwMode="auto">
                    <a:xfrm>
                      <a:off x="0" y="0"/>
                      <a:ext cx="1838324" cy="1652665"/>
                    </a:xfrm>
                    <a:prstGeom prst="rect">
                      <a:avLst/>
                    </a:prstGeom>
                    <a:noFill/>
                    <a:ln>
                      <a:noFill/>
                    </a:ln>
                  </pic:spPr>
                </pic:pic>
              </a:graphicData>
            </a:graphic>
          </wp:inline>
        </w:drawing>
      </w:r>
    </w:p>
    <w:p w14:paraId="1A6EFEE6" w14:textId="380F0887" w:rsidR="005E4F26" w:rsidRPr="001837C4" w:rsidRDefault="005E4F26" w:rsidP="001837C4">
      <w:pPr>
        <w:pStyle w:val="Body"/>
        <w:spacing w:before="1200" w:after="0"/>
        <w:jc w:val="center"/>
        <w:rPr>
          <w:color w:val="5E2F7E" w:themeColor="accent5"/>
        </w:rPr>
      </w:pPr>
    </w:p>
    <w:p w14:paraId="49FD340A" w14:textId="77777777" w:rsidR="005E4F26" w:rsidRDefault="005E4F26" w:rsidP="0004038E">
      <w:pPr>
        <w:pStyle w:val="Body"/>
        <w:sectPr w:rsidR="005E4F26" w:rsidSect="005E4F26">
          <w:headerReference w:type="default" r:id="rId132"/>
          <w:footerReference w:type="default" r:id="rId133"/>
          <w:pgSz w:w="9979" w:h="14175"/>
          <w:pgMar w:top="1418" w:right="1134" w:bottom="1134" w:left="1134" w:header="709" w:footer="709" w:gutter="0"/>
          <w:cols w:space="708"/>
          <w:docGrid w:linePitch="360"/>
        </w:sectPr>
      </w:pPr>
    </w:p>
    <w:p w14:paraId="0C248B21" w14:textId="49D0E177" w:rsidR="00A953CA" w:rsidRDefault="00A953CA" w:rsidP="00950287">
      <w:pPr>
        <w:pStyle w:val="Heading1"/>
        <w:rPr>
          <w:color w:val="5E2F7E" w:themeColor="accent5"/>
        </w:rPr>
        <w:sectPr w:rsidR="00A953CA" w:rsidSect="00441579">
          <w:headerReference w:type="default" r:id="rId134"/>
          <w:footerReference w:type="default" r:id="rId135"/>
          <w:pgSz w:w="9979" w:h="14175"/>
          <w:pgMar w:top="1134" w:right="1134" w:bottom="1134" w:left="1134" w:header="709" w:footer="709" w:gutter="0"/>
          <w:cols w:space="708"/>
          <w:docGrid w:linePitch="360"/>
        </w:sectPr>
      </w:pPr>
      <w:bookmarkStart w:id="96" w:name="_Toc44350183"/>
      <w:bookmarkStart w:id="97" w:name="_Toc50378078"/>
      <w:bookmarkStart w:id="98" w:name="_Toc84488749"/>
      <w:r w:rsidRPr="00A953CA">
        <w:rPr>
          <w:color w:val="5E2F7E" w:themeColor="accent5"/>
        </w:rPr>
        <w:lastRenderedPageBreak/>
        <w:t xml:space="preserve">Introductory </w:t>
      </w:r>
      <w:r w:rsidR="008A51CF">
        <w:rPr>
          <w:color w:val="5E2F7E" w:themeColor="accent5"/>
        </w:rPr>
        <w:t>s</w:t>
      </w:r>
      <w:r w:rsidRPr="00A953CA">
        <w:rPr>
          <w:color w:val="5E2F7E" w:themeColor="accent5"/>
        </w:rPr>
        <w:t>tatement</w:t>
      </w:r>
      <w:bookmarkEnd w:id="96"/>
      <w:bookmarkEnd w:id="97"/>
      <w:bookmarkEnd w:id="98"/>
    </w:p>
    <w:p w14:paraId="28FB5CF9" w14:textId="2D8424A7" w:rsidR="005919CF" w:rsidRPr="00153DC1" w:rsidRDefault="005919CF" w:rsidP="005919CF">
      <w:pPr>
        <w:pStyle w:val="Body"/>
        <w:rPr>
          <w:b/>
          <w:bCs/>
        </w:rPr>
      </w:pPr>
      <w:r w:rsidRPr="00153DC1">
        <w:rPr>
          <w:b/>
          <w:bCs/>
        </w:rPr>
        <w:t xml:space="preserve">I, </w:t>
      </w:r>
      <w:proofErr w:type="spellStart"/>
      <w:r w:rsidR="00C022DE">
        <w:rPr>
          <w:b/>
          <w:bCs/>
        </w:rPr>
        <w:t>Mr</w:t>
      </w:r>
      <w:proofErr w:type="spellEnd"/>
      <w:r w:rsidR="00C022DE">
        <w:rPr>
          <w:b/>
          <w:bCs/>
        </w:rPr>
        <w:t xml:space="preserve"> </w:t>
      </w:r>
      <w:r w:rsidRPr="00153DC1">
        <w:rPr>
          <w:b/>
          <w:bCs/>
        </w:rPr>
        <w:t xml:space="preserve">James </w:t>
      </w:r>
      <w:proofErr w:type="spellStart"/>
      <w:r w:rsidRPr="00153DC1">
        <w:rPr>
          <w:b/>
          <w:bCs/>
        </w:rPr>
        <w:t>Downie</w:t>
      </w:r>
      <w:proofErr w:type="spellEnd"/>
      <w:r w:rsidRPr="00153DC1">
        <w:rPr>
          <w:b/>
          <w:bCs/>
        </w:rPr>
        <w:t>, as the accountable authority of the Independent Hospital Pricing Authority (IHPA), present the 2020–21 annual</w:t>
      </w:r>
      <w:r w:rsidR="00BB0656">
        <w:rPr>
          <w:b/>
          <w:bCs/>
        </w:rPr>
        <w:t> </w:t>
      </w:r>
      <w:r w:rsidRPr="00153DC1">
        <w:rPr>
          <w:b/>
          <w:bCs/>
        </w:rPr>
        <w:t>performance statements of IHPA, as</w:t>
      </w:r>
      <w:r w:rsidR="00BB0656">
        <w:rPr>
          <w:b/>
          <w:bCs/>
        </w:rPr>
        <w:t> </w:t>
      </w:r>
      <w:r w:rsidRPr="00153DC1">
        <w:rPr>
          <w:b/>
          <w:bCs/>
        </w:rPr>
        <w:t>required</w:t>
      </w:r>
      <w:r w:rsidR="00BB0656">
        <w:rPr>
          <w:b/>
          <w:bCs/>
        </w:rPr>
        <w:t> </w:t>
      </w:r>
      <w:r w:rsidRPr="00153DC1">
        <w:rPr>
          <w:b/>
          <w:bCs/>
        </w:rPr>
        <w:t>under paragraph 39(1)(a) of the</w:t>
      </w:r>
      <w:r w:rsidR="002C254A">
        <w:rPr>
          <w:b/>
          <w:bCs/>
        </w:rPr>
        <w:t> </w:t>
      </w:r>
      <w:r w:rsidRPr="00153DC1">
        <w:rPr>
          <w:b/>
          <w:bCs/>
          <w:i/>
          <w:iCs/>
        </w:rPr>
        <w:t>Public</w:t>
      </w:r>
      <w:r w:rsidR="00BB0656">
        <w:rPr>
          <w:b/>
          <w:bCs/>
          <w:i/>
          <w:iCs/>
        </w:rPr>
        <w:t> </w:t>
      </w:r>
      <w:r w:rsidRPr="00153DC1">
        <w:rPr>
          <w:b/>
          <w:bCs/>
          <w:i/>
          <w:iCs/>
        </w:rPr>
        <w:t>Governance, Performance and Accountability Act 2013</w:t>
      </w:r>
      <w:r w:rsidRPr="00153DC1">
        <w:rPr>
          <w:b/>
          <w:bCs/>
        </w:rPr>
        <w:t> (PGPA Act).</w:t>
      </w:r>
    </w:p>
    <w:p w14:paraId="41D8C423" w14:textId="1936DE50" w:rsidR="00A953CA" w:rsidRPr="00A953CA" w:rsidRDefault="00A953CA" w:rsidP="00153DC1">
      <w:pPr>
        <w:pStyle w:val="Body"/>
      </w:pPr>
      <w:r w:rsidRPr="00A953CA">
        <w:br w:type="column"/>
      </w:r>
      <w:r w:rsidR="005919CF" w:rsidRPr="00A953CA">
        <w:t>In my opinion, these annual performance statements are based on properly maintained records, accurately reflect the performance of the entity, and comply with</w:t>
      </w:r>
      <w:r w:rsidR="000A6316">
        <w:t> </w:t>
      </w:r>
      <w:r w:rsidR="005919CF" w:rsidRPr="00A953CA">
        <w:t>subsection 39(2) of the PGPA Act.</w:t>
      </w:r>
    </w:p>
    <w:p w14:paraId="2265A549" w14:textId="77777777" w:rsidR="00B571C8" w:rsidRDefault="00B571C8" w:rsidP="0004038E">
      <w:pPr>
        <w:pStyle w:val="Body"/>
        <w:sectPr w:rsidR="00B571C8" w:rsidSect="00A953CA">
          <w:type w:val="continuous"/>
          <w:pgSz w:w="9979" w:h="14175"/>
          <w:pgMar w:top="1418" w:right="1134" w:bottom="1134" w:left="1134" w:header="709" w:footer="709" w:gutter="0"/>
          <w:cols w:num="2" w:space="708"/>
          <w:docGrid w:linePitch="360"/>
        </w:sectPr>
      </w:pPr>
    </w:p>
    <w:p w14:paraId="2F80DB31" w14:textId="138B4696" w:rsidR="003C10EC" w:rsidRDefault="00BE4CFB" w:rsidP="00565DA2">
      <w:pPr>
        <w:pStyle w:val="Body"/>
        <w:rPr>
          <w:color w:val="5E2F7E" w:themeColor="accent5"/>
        </w:rPr>
        <w:sectPr w:rsidR="003C10EC" w:rsidSect="004E67F4">
          <w:type w:val="continuous"/>
          <w:pgSz w:w="9979" w:h="14175"/>
          <w:pgMar w:top="1418" w:right="1134" w:bottom="1134" w:left="1134" w:header="709" w:footer="709" w:gutter="0"/>
          <w:cols w:space="708"/>
          <w:docGrid w:linePitch="360"/>
        </w:sectPr>
      </w:pPr>
      <w:bookmarkStart w:id="99" w:name="_Toc77354676"/>
      <w:bookmarkStart w:id="100" w:name="_Toc50378079"/>
      <w:r>
        <w:rPr>
          <w:noProof/>
          <w:lang w:val="en-AU" w:eastAsia="en-AU"/>
        </w:rPr>
        <w:drawing>
          <wp:anchor distT="0" distB="0" distL="114300" distR="114300" simplePos="0" relativeHeight="251854848" behindDoc="1" locked="0" layoutInCell="1" allowOverlap="1" wp14:anchorId="611F92FA" wp14:editId="1067D197">
            <wp:simplePos x="0" y="0"/>
            <wp:positionH relativeFrom="margin">
              <wp:posOffset>-409575</wp:posOffset>
            </wp:positionH>
            <wp:positionV relativeFrom="paragraph">
              <wp:posOffset>213756</wp:posOffset>
            </wp:positionV>
            <wp:extent cx="5706527" cy="18510885"/>
            <wp:effectExtent l="0" t="0" r="8890" b="5715"/>
            <wp:wrapNone/>
            <wp:docPr id="170" name="Pictur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9"/>
    </w:p>
    <w:p w14:paraId="2AA3CF89" w14:textId="77777777" w:rsidR="005919CF" w:rsidRPr="00153DC1" w:rsidRDefault="005919CF" w:rsidP="005919CF">
      <w:pPr>
        <w:pStyle w:val="Heading1"/>
        <w:rPr>
          <w:color w:val="5E2F7E" w:themeColor="accent5"/>
        </w:rPr>
      </w:pPr>
      <w:bookmarkStart w:id="101" w:name="_Performance_in_2020–21"/>
      <w:bookmarkStart w:id="102" w:name="_Toc84488750"/>
      <w:bookmarkEnd w:id="100"/>
      <w:bookmarkEnd w:id="101"/>
      <w:r w:rsidRPr="00153DC1">
        <w:rPr>
          <w:color w:val="5E2F7E" w:themeColor="accent5"/>
        </w:rPr>
        <w:lastRenderedPageBreak/>
        <w:t>Pe</w:t>
      </w:r>
      <w:r w:rsidRPr="00153DC1">
        <w:rPr>
          <w:color w:val="5E2F7E" w:themeColor="accent5"/>
          <w:spacing w:val="20"/>
        </w:rPr>
        <w:t>rf</w:t>
      </w:r>
      <w:r w:rsidRPr="00153DC1">
        <w:rPr>
          <w:color w:val="5E2F7E" w:themeColor="accent5"/>
        </w:rPr>
        <w:t>ormance in 2020–21</w:t>
      </w:r>
      <w:bookmarkEnd w:id="102"/>
    </w:p>
    <w:p w14:paraId="695D7D01" w14:textId="455642A7" w:rsidR="005919CF" w:rsidRPr="00153DC1" w:rsidRDefault="005919CF" w:rsidP="005919CF">
      <w:pPr>
        <w:pStyle w:val="Body"/>
        <w:rPr>
          <w:b/>
          <w:bCs/>
        </w:rPr>
      </w:pPr>
      <w:r w:rsidRPr="00153DC1">
        <w:rPr>
          <w:b/>
          <w:bCs/>
        </w:rPr>
        <w:t>This year the Independent Hospital Pricing Authority (IHPA) made significant steps in driving improvements of the efficiency of public hospital services by meeting its performance criteria and</w:t>
      </w:r>
      <w:r w:rsidR="00FB23C5">
        <w:rPr>
          <w:b/>
          <w:bCs/>
        </w:rPr>
        <w:t> </w:t>
      </w:r>
      <w:r w:rsidRPr="00153DC1">
        <w:rPr>
          <w:b/>
          <w:bCs/>
        </w:rPr>
        <w:t>deliverables outli</w:t>
      </w:r>
      <w:r>
        <w:rPr>
          <w:b/>
          <w:bCs/>
        </w:rPr>
        <w:t>ned in its Work Program 2020–21</w:t>
      </w:r>
      <w:r w:rsidRPr="00153DC1">
        <w:rPr>
          <w:b/>
          <w:bCs/>
        </w:rPr>
        <w:t xml:space="preserve"> and its requirements as part of the National</w:t>
      </w:r>
      <w:r w:rsidR="00FB23C5">
        <w:rPr>
          <w:b/>
          <w:bCs/>
        </w:rPr>
        <w:t> </w:t>
      </w:r>
      <w:r w:rsidRPr="00153DC1">
        <w:rPr>
          <w:b/>
          <w:bCs/>
        </w:rPr>
        <w:t xml:space="preserve">Partnership on </w:t>
      </w:r>
      <w:r w:rsidR="001356C9">
        <w:rPr>
          <w:b/>
          <w:bCs/>
        </w:rPr>
        <w:t xml:space="preserve">(Coronavirus Disease 2019) </w:t>
      </w:r>
      <w:r w:rsidRPr="00153DC1">
        <w:rPr>
          <w:b/>
          <w:bCs/>
        </w:rPr>
        <w:t>COVID-</w:t>
      </w:r>
      <w:r w:rsidRPr="00153DC1">
        <w:rPr>
          <w:rFonts w:ascii="Arial" w:hAnsi="Arial" w:cs="Arial" w:hint="cs"/>
          <w:b/>
          <w:bCs/>
          <w:rtl/>
        </w:rPr>
        <w:t>‍</w:t>
      </w:r>
      <w:r w:rsidRPr="00153DC1">
        <w:rPr>
          <w:b/>
          <w:bCs/>
        </w:rPr>
        <w:t xml:space="preserve">19 Response. </w:t>
      </w:r>
    </w:p>
    <w:p w14:paraId="42917F15" w14:textId="1947E91F" w:rsidR="005919CF" w:rsidRDefault="005919CF" w:rsidP="005919CF">
      <w:pPr>
        <w:pStyle w:val="Body"/>
      </w:pPr>
      <w:r w:rsidRPr="00DA135D">
        <w:t xml:space="preserve">The IHPA Work Program 2020–21 provides a more detailed account of </w:t>
      </w:r>
      <w:r w:rsidR="0049603E">
        <w:t xml:space="preserve">the </w:t>
      </w:r>
      <w:r w:rsidRPr="00DA135D">
        <w:t>objectives and deliverables to</w:t>
      </w:r>
      <w:r w:rsidR="0049603E">
        <w:t> </w:t>
      </w:r>
      <w:r w:rsidRPr="00DA135D">
        <w:t>those included in the Portfolio Budget Statements and IHPA’s Corporate Plan. It</w:t>
      </w:r>
      <w:r>
        <w:t> </w:t>
      </w:r>
      <w:r w:rsidRPr="00DA135D">
        <w:t>is developed each year through a consultative process with government</w:t>
      </w:r>
      <w:r>
        <w:t xml:space="preserve"> and health sector stakeholders</w:t>
      </w:r>
      <w:r w:rsidRPr="00DA135D">
        <w:t xml:space="preserve"> and is published on the IHPA</w:t>
      </w:r>
      <w:r w:rsidR="00343FFD">
        <w:t> </w:t>
      </w:r>
      <w:r w:rsidRPr="00DA135D">
        <w:t>website (see</w:t>
      </w:r>
      <w:r>
        <w:t> </w:t>
      </w:r>
      <w:hyperlink r:id="rId136" w:history="1">
        <w:r w:rsidRPr="00DA135D">
          <w:rPr>
            <w:color w:val="008F54" w:themeColor="hyperlink"/>
            <w:u w:val="single"/>
          </w:rPr>
          <w:t>www.ihpa.gov.au/publications</w:t>
        </w:r>
      </w:hyperlink>
      <w:r w:rsidRPr="00DA135D">
        <w:t>).</w:t>
      </w:r>
    </w:p>
    <w:p w14:paraId="62C51BCC" w14:textId="7E93B760" w:rsidR="005919CF" w:rsidRPr="00DA135D" w:rsidRDefault="005919CF" w:rsidP="005919CF">
      <w:pPr>
        <w:pStyle w:val="FigureHeading"/>
      </w:pPr>
      <w:bookmarkStart w:id="103" w:name="_Toc77354562"/>
      <w:bookmarkStart w:id="104" w:name="_Toc82510937"/>
      <w:r>
        <w:t xml:space="preserve">Figure </w:t>
      </w:r>
      <w:r w:rsidR="00A30F40">
        <w:t>6</w:t>
      </w:r>
      <w:r>
        <w:t xml:space="preserve">: </w:t>
      </w:r>
      <w:r w:rsidRPr="004E67F4">
        <w:t xml:space="preserve">Relationship between </w:t>
      </w:r>
      <w:r>
        <w:t>the s</w:t>
      </w:r>
      <w:r w:rsidRPr="00942D0D">
        <w:t>ources of reporting for the Annual Report 2020–21 Performance Statement</w:t>
      </w:r>
      <w:bookmarkEnd w:id="103"/>
      <w:bookmarkEnd w:id="104"/>
    </w:p>
    <w:p w14:paraId="4A77EF6E" w14:textId="3EC852C7" w:rsidR="00B571C8" w:rsidRPr="00220A32" w:rsidRDefault="005919CF" w:rsidP="005919CF">
      <w:pPr>
        <w:pStyle w:val="H4"/>
        <w:rPr>
          <w:color w:val="5E2F7E" w:themeColor="accent5"/>
        </w:rPr>
      </w:pPr>
      <w:r w:rsidRPr="00220A32">
        <w:rPr>
          <w:color w:val="5E2F7E" w:themeColor="accent5"/>
          <w:lang w:val="en-US"/>
        </w:rPr>
        <w:t>Portfolio Budget Statements 2020–21</w:t>
      </w:r>
    </w:p>
    <w:tbl>
      <w:tblPr>
        <w:tblStyle w:val="TableGrid"/>
        <w:tblW w:w="4964" w:type="pct"/>
        <w:tblCellMar>
          <w:top w:w="113" w:type="dxa"/>
        </w:tblCellMar>
        <w:tblLook w:val="04A0" w:firstRow="1" w:lastRow="0" w:firstColumn="1" w:lastColumn="0" w:noHBand="0" w:noVBand="1"/>
        <w:tblCaption w:val="Figure 6"/>
        <w:tblDescription w:val="Outcome"/>
      </w:tblPr>
      <w:tblGrid>
        <w:gridCol w:w="2687"/>
        <w:gridCol w:w="417"/>
        <w:gridCol w:w="1449"/>
        <w:gridCol w:w="417"/>
        <w:gridCol w:w="2663"/>
      </w:tblGrid>
      <w:tr w:rsidR="00BB7C84" w14:paraId="7A19C59B" w14:textId="210199B9" w:rsidTr="00BB7C84">
        <w:trPr>
          <w:cnfStyle w:val="100000000000" w:firstRow="1" w:lastRow="0" w:firstColumn="0" w:lastColumn="0" w:oddVBand="0" w:evenVBand="0" w:oddHBand="0" w:evenHBand="0" w:firstRowFirstColumn="0" w:firstRowLastColumn="0" w:lastRowFirstColumn="0" w:lastRowLastColumn="0"/>
          <w:trHeight w:val="1071"/>
        </w:trPr>
        <w:tc>
          <w:tcPr>
            <w:tcW w:w="1765" w:type="pct"/>
            <w:vMerge w:val="restart"/>
          </w:tcPr>
          <w:p w14:paraId="6F4BA84B" w14:textId="1E6159F5" w:rsidR="00E05A96" w:rsidRPr="00CD0946" w:rsidRDefault="00E05A96" w:rsidP="00CD0946">
            <w:pPr>
              <w:pStyle w:val="H4"/>
              <w:spacing w:before="120"/>
              <w:rPr>
                <w:color w:val="FFFFFF" w:themeColor="background2"/>
              </w:rPr>
            </w:pPr>
            <w:r w:rsidRPr="00CD0946">
              <w:rPr>
                <w:color w:val="FFFFFF" w:themeColor="background2"/>
              </w:rPr>
              <w:t>Outcome</w:t>
            </w:r>
          </w:p>
          <w:p w14:paraId="3355C266" w14:textId="04F1EA8C" w:rsidR="00E05A96" w:rsidRPr="009A17F6" w:rsidRDefault="005919CF" w:rsidP="009A17F6">
            <w:pPr>
              <w:pStyle w:val="Body"/>
              <w:spacing w:before="120"/>
              <w:rPr>
                <w:color w:val="FFFFFF" w:themeColor="background2"/>
                <w:sz w:val="16"/>
                <w:szCs w:val="16"/>
              </w:rPr>
            </w:pPr>
            <w:r w:rsidRPr="009A17F6">
              <w:rPr>
                <w:color w:val="FFFFFF" w:themeColor="background2"/>
                <w:sz w:val="16"/>
                <w:szCs w:val="16"/>
              </w:rPr>
              <w:t>Promote improved efficiency in, and</w:t>
            </w:r>
            <w:r w:rsidR="00FF5DE3">
              <w:rPr>
                <w:color w:val="FFFFFF" w:themeColor="background2"/>
                <w:sz w:val="16"/>
                <w:szCs w:val="16"/>
              </w:rPr>
              <w:t> </w:t>
            </w:r>
            <w:r w:rsidRPr="009A17F6">
              <w:rPr>
                <w:color w:val="FFFFFF" w:themeColor="background2"/>
                <w:sz w:val="16"/>
                <w:szCs w:val="16"/>
              </w:rPr>
              <w:t>access to, public hospital services primarily through setting efficient national prices and levels of block funding for hospital activities</w:t>
            </w:r>
            <w:r>
              <w:rPr>
                <w:color w:val="FFFFFF" w:themeColor="background2"/>
                <w:sz w:val="16"/>
                <w:szCs w:val="16"/>
              </w:rPr>
              <w:t>.</w:t>
            </w:r>
          </w:p>
        </w:tc>
        <w:tc>
          <w:tcPr>
            <w:tcW w:w="278" w:type="pct"/>
            <w:vMerge w:val="restart"/>
            <w:shd w:val="clear" w:color="auto" w:fill="FFFFFF" w:themeFill="background2"/>
          </w:tcPr>
          <w:p w14:paraId="7C0F9B9E" w14:textId="4D48C7C8" w:rsidR="00E05A96" w:rsidRDefault="00BB7C84" w:rsidP="0004038E">
            <w:pPr>
              <w:pStyle w:val="Body"/>
            </w:pPr>
            <w:r>
              <w:rPr>
                <w:noProof/>
                <w:color w:val="FFFFFF" w:themeColor="background2"/>
                <w:lang w:val="en-AU" w:eastAsia="en-AU"/>
              </w:rPr>
              <mc:AlternateContent>
                <mc:Choice Requires="wps">
                  <w:drawing>
                    <wp:anchor distT="0" distB="0" distL="114300" distR="114300" simplePos="0" relativeHeight="251738112" behindDoc="0" locked="0" layoutInCell="1" allowOverlap="1" wp14:anchorId="25383C1F" wp14:editId="524C2411">
                      <wp:simplePos x="0" y="0"/>
                      <wp:positionH relativeFrom="column">
                        <wp:posOffset>-84430</wp:posOffset>
                      </wp:positionH>
                      <wp:positionV relativeFrom="paragraph">
                        <wp:posOffset>886460</wp:posOffset>
                      </wp:positionV>
                      <wp:extent cx="289560" cy="0"/>
                      <wp:effectExtent l="0" t="95250" r="0" b="95250"/>
                      <wp:wrapNone/>
                      <wp:docPr id="97" name="Straight Arrow Connector 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B3CF84" id="_x0000_t32" coordsize="21600,21600" o:spt="32" o:oned="t" path="m,l21600,21600e" filled="f">
                      <v:path arrowok="t" fillok="f" o:connecttype="none"/>
                      <o:lock v:ext="edit" shapetype="t"/>
                    </v:shapetype>
                    <v:shape id="Straight Arrow Connector 97" o:spid="_x0000_s1026" type="#_x0000_t32" alt="&quot;&quot;" style="position:absolute;margin-left:-6.65pt;margin-top:69.8pt;width:22.8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" strokecolor="#5e2f7e [3208]" strokeweight="2.25pt">
                      <v:stroke endarrow="open" joinstyle="miter"/>
                    </v:shape>
                  </w:pict>
                </mc:Fallback>
              </mc:AlternateContent>
            </w:r>
            <w:r w:rsidR="00E05A96">
              <w:rPr>
                <w:noProof/>
                <w:color w:val="FFFFFF" w:themeColor="background2"/>
                <w:lang w:val="en-AU" w:eastAsia="en-AU"/>
              </w:rPr>
              <mc:AlternateContent>
                <mc:Choice Requires="wps">
                  <w:drawing>
                    <wp:anchor distT="0" distB="0" distL="114300" distR="114300" simplePos="0" relativeHeight="251737088" behindDoc="0" locked="0" layoutInCell="1" allowOverlap="1" wp14:anchorId="63AB0544" wp14:editId="2154EE71">
                      <wp:simplePos x="0" y="0"/>
                      <wp:positionH relativeFrom="column">
                        <wp:posOffset>-82814</wp:posOffset>
                      </wp:positionH>
                      <wp:positionV relativeFrom="paragraph">
                        <wp:posOffset>157631</wp:posOffset>
                      </wp:positionV>
                      <wp:extent cx="289711" cy="0"/>
                      <wp:effectExtent l="0" t="95250" r="0" b="95250"/>
                      <wp:wrapNone/>
                      <wp:docPr id="72" name="Straight Arrow Connector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69FED9" id="Straight Arrow Connector 72" o:spid="_x0000_s1026" type="#_x0000_t32" alt="&quot;&quot;" style="position:absolute;margin-left:-6.5pt;margin-top:12.4pt;width:22.8pt;height:0;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" strokecolor="#5e2f7e [3208]" strokeweight="2.25pt">
                      <v:stroke endarrow="open" joinstyle="miter"/>
                    </v:shape>
                  </w:pict>
                </mc:Fallback>
              </mc:AlternateContent>
            </w:r>
          </w:p>
        </w:tc>
        <w:tc>
          <w:tcPr>
            <w:tcW w:w="930" w:type="pct"/>
            <w:shd w:val="clear" w:color="auto" w:fill="DCD3E2"/>
          </w:tcPr>
          <w:tbl>
            <w:tblPr>
              <w:tblStyle w:val="TableGrid"/>
              <w:tblW w:w="5000" w:type="pct"/>
              <w:tblCellMar>
                <w:left w:w="0" w:type="dxa"/>
                <w:right w:w="0" w:type="dxa"/>
              </w:tblCellMar>
              <w:tblLook w:val="04A0" w:firstRow="1" w:lastRow="0" w:firstColumn="1" w:lastColumn="0" w:noHBand="0" w:noVBand="1"/>
            </w:tblPr>
            <w:tblGrid>
              <w:gridCol w:w="1213"/>
            </w:tblGrid>
            <w:tr w:rsidR="00E05A96" w14:paraId="4B8E77FA" w14:textId="77777777" w:rsidTr="005F11C2">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3D784F7E" w14:textId="021CBFE8" w:rsidR="00E05A96" w:rsidRDefault="00E05A96" w:rsidP="005F11C2">
                  <w:pPr>
                    <w:pStyle w:val="H4"/>
                    <w:spacing w:before="40" w:after="40"/>
                    <w:ind w:left="113" w:right="113"/>
                    <w:rPr>
                      <w:color w:val="5E2F7E" w:themeColor="accent5"/>
                    </w:rPr>
                  </w:pPr>
                  <w:r>
                    <w:rPr>
                      <w:color w:val="5E2F7E" w:themeColor="accent5"/>
                    </w:rPr>
                    <w:t>Work Program 2020</w:t>
                  </w:r>
                  <w:r w:rsidR="005450A6">
                    <w:rPr>
                      <w:color w:val="5E2F7E" w:themeColor="accent5"/>
                    </w:rPr>
                    <w:t>–</w:t>
                  </w:r>
                  <w:r>
                    <w:rPr>
                      <w:color w:val="5E2F7E" w:themeColor="accent5"/>
                    </w:rPr>
                    <w:t>21</w:t>
                  </w:r>
                </w:p>
              </w:tc>
            </w:tr>
          </w:tbl>
          <w:p w14:paraId="7DD1F10F" w14:textId="1673EDED" w:rsidR="00E05A96" w:rsidRPr="00181E61" w:rsidRDefault="00E05A96" w:rsidP="00181E61">
            <w:pPr>
              <w:pStyle w:val="H4"/>
              <w:spacing w:before="120" w:after="120"/>
              <w:rPr>
                <w:color w:val="5E2F7E" w:themeColor="accent5"/>
              </w:rPr>
            </w:pPr>
          </w:p>
        </w:tc>
        <w:tc>
          <w:tcPr>
            <w:tcW w:w="278" w:type="pct"/>
            <w:vMerge w:val="restart"/>
            <w:tcBorders>
              <w:right w:val="single" w:sz="18" w:space="0" w:color="5E2F7E" w:themeColor="accent5"/>
            </w:tcBorders>
            <w:shd w:val="clear" w:color="auto" w:fill="FFFFFF" w:themeFill="background2"/>
          </w:tcPr>
          <w:p w14:paraId="793B662F" w14:textId="55E4473F" w:rsidR="00E05A96" w:rsidRDefault="00BE2923" w:rsidP="00181E61">
            <w:pPr>
              <w:pStyle w:val="H4"/>
              <w:spacing w:before="120" w:after="120"/>
            </w:pPr>
            <w:r>
              <w:rPr>
                <w:noProof/>
                <w:color w:val="FFFFFF" w:themeColor="background2"/>
                <w:lang w:val="en-AU" w:eastAsia="en-AU"/>
              </w:rPr>
              <mc:AlternateContent>
                <mc:Choice Requires="wps">
                  <w:drawing>
                    <wp:anchor distT="0" distB="0" distL="114300" distR="114300" simplePos="0" relativeHeight="251740160" behindDoc="0" locked="0" layoutInCell="1" allowOverlap="1" wp14:anchorId="6902EBE7" wp14:editId="6F296001">
                      <wp:simplePos x="0" y="0"/>
                      <wp:positionH relativeFrom="column">
                        <wp:posOffset>-75565</wp:posOffset>
                      </wp:positionH>
                      <wp:positionV relativeFrom="page">
                        <wp:posOffset>695553</wp:posOffset>
                      </wp:positionV>
                      <wp:extent cx="278638" cy="0"/>
                      <wp:effectExtent l="0" t="95250" r="7620" b="95250"/>
                      <wp:wrapNone/>
                      <wp:docPr id="98" name="Straight Arrow Connector 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638"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E33203" id="Straight Arrow Connector 98" o:spid="_x0000_s1026" type="#_x0000_t32" alt="&quot;&quot;" style="position:absolute;margin-left:-5.95pt;margin-top:54.75pt;width:21.95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" strokecolor="#5e2f7e [3208]" strokeweight="2.25pt">
                      <v:stroke endarrow="open" joinstyle="miter"/>
                      <w10:wrap anchory="page"/>
                    </v:shape>
                  </w:pict>
                </mc:Fallback>
              </mc:AlternateContent>
            </w:r>
          </w:p>
        </w:tc>
        <w:tc>
          <w:tcPr>
            <w:tcW w:w="1750" w:type="pct"/>
            <w:vMerge w:val="restar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23"/>
              <w:gridCol w:w="1224"/>
            </w:tblGrid>
            <w:tr w:rsidR="005919CF" w14:paraId="6C263529" w14:textId="77777777" w:rsidTr="006544B5">
              <w:tc>
                <w:tcPr>
                  <w:tcW w:w="2500" w:type="pct"/>
                  <w:shd w:val="clear" w:color="auto" w:fill="FFFFFF" w:themeFill="background2"/>
                </w:tcPr>
                <w:p w14:paraId="64BBD3F0" w14:textId="00D6D914" w:rsidR="005919CF" w:rsidRPr="00A137B9" w:rsidRDefault="005919CF" w:rsidP="005919CF">
                  <w:pPr>
                    <w:pStyle w:val="Body-Financial"/>
                    <w:spacing w:after="0"/>
                  </w:pPr>
                  <w:r w:rsidRPr="00A137B9">
                    <w:rPr>
                      <w:b/>
                      <w:bCs/>
                    </w:rPr>
                    <w:t>Strategic objective 1</w:t>
                  </w:r>
                  <w:r>
                    <w:br/>
                  </w:r>
                  <w:r w:rsidRPr="009A17F6">
                    <w:t>Perform IHPA pricing</w:t>
                  </w:r>
                  <w:r>
                    <w:t> </w:t>
                  </w:r>
                  <w:r w:rsidRPr="009A17F6">
                    <w:t>functions</w:t>
                  </w:r>
                </w:p>
              </w:tc>
              <w:tc>
                <w:tcPr>
                  <w:tcW w:w="2500" w:type="pct"/>
                  <w:shd w:val="clear" w:color="auto" w:fill="FFFFFF" w:themeFill="background2"/>
                </w:tcPr>
                <w:p w14:paraId="14BE85F8" w14:textId="77777777" w:rsidR="005919CF" w:rsidRPr="00A137B9" w:rsidRDefault="005919CF" w:rsidP="005919CF">
                  <w:pPr>
                    <w:pStyle w:val="Body-Financial"/>
                    <w:spacing w:after="0"/>
                  </w:pPr>
                  <w:r w:rsidRPr="009A17F6">
                    <w:t>Activity 1:</w:t>
                  </w:r>
                  <w:r w:rsidRPr="009A17F6">
                    <w:br/>
                    <w:t>Perform IHPA pricing</w:t>
                  </w:r>
                  <w:r>
                    <w:t> </w:t>
                  </w:r>
                  <w:r w:rsidRPr="009A17F6">
                    <w:t>functions</w:t>
                  </w:r>
                </w:p>
              </w:tc>
            </w:tr>
            <w:tr w:rsidR="005919CF" w14:paraId="23E5860A" w14:textId="77777777" w:rsidTr="006544B5">
              <w:tc>
                <w:tcPr>
                  <w:tcW w:w="2500" w:type="pct"/>
                  <w:shd w:val="clear" w:color="auto" w:fill="FFFFFF" w:themeFill="background2"/>
                </w:tcPr>
                <w:p w14:paraId="10D25D55" w14:textId="77777777" w:rsidR="005919CF" w:rsidRPr="00A137B9" w:rsidRDefault="005919CF" w:rsidP="005919CF">
                  <w:pPr>
                    <w:pStyle w:val="Body-Financial"/>
                    <w:spacing w:before="120" w:after="0"/>
                  </w:pPr>
                  <w:r w:rsidRPr="00A137B9">
                    <w:rPr>
                      <w:b/>
                      <w:bCs/>
                    </w:rPr>
                    <w:t>Strategic objective 2</w:t>
                  </w:r>
                  <w:r>
                    <w:br/>
                  </w:r>
                  <w:r w:rsidRPr="009A17F6">
                    <w:t>Refine and develop hospital activity classification systems</w:t>
                  </w:r>
                </w:p>
              </w:tc>
              <w:tc>
                <w:tcPr>
                  <w:tcW w:w="2500" w:type="pct"/>
                  <w:shd w:val="clear" w:color="auto" w:fill="FFFFFF" w:themeFill="background2"/>
                </w:tcPr>
                <w:p w14:paraId="71534E08" w14:textId="77777777" w:rsidR="005919CF" w:rsidRPr="00A137B9" w:rsidRDefault="005919CF" w:rsidP="005919CF">
                  <w:pPr>
                    <w:pStyle w:val="Body-Financial"/>
                    <w:spacing w:before="120" w:after="0"/>
                  </w:pPr>
                  <w:r w:rsidRPr="009A17F6">
                    <w:t>Activity 2:</w:t>
                  </w:r>
                  <w:r w:rsidRPr="009A17F6">
                    <w:br/>
                    <w:t>Refine and develop national classification systems</w:t>
                  </w:r>
                </w:p>
              </w:tc>
            </w:tr>
            <w:tr w:rsidR="005919CF" w14:paraId="042EC49E" w14:textId="77777777" w:rsidTr="006544B5">
              <w:tc>
                <w:tcPr>
                  <w:tcW w:w="2500" w:type="pct"/>
                  <w:shd w:val="clear" w:color="auto" w:fill="FFFFFF" w:themeFill="background2"/>
                </w:tcPr>
                <w:p w14:paraId="3753EE4C" w14:textId="77777777" w:rsidR="005919CF" w:rsidRPr="00A137B9" w:rsidRDefault="005919CF" w:rsidP="005919CF">
                  <w:pPr>
                    <w:pStyle w:val="Body-Financial"/>
                    <w:spacing w:before="120" w:after="0"/>
                  </w:pPr>
                  <w:r w:rsidRPr="00A137B9">
                    <w:rPr>
                      <w:b/>
                      <w:bCs/>
                    </w:rPr>
                    <w:t>Strategic objective 3</w:t>
                  </w:r>
                  <w:r>
                    <w:br/>
                  </w:r>
                  <w:r w:rsidRPr="009A17F6">
                    <w:t>Refine and improve hospital costing</w:t>
                  </w:r>
                </w:p>
              </w:tc>
              <w:tc>
                <w:tcPr>
                  <w:tcW w:w="2500" w:type="pct"/>
                  <w:shd w:val="clear" w:color="auto" w:fill="FFFFFF" w:themeFill="background2"/>
                </w:tcPr>
                <w:p w14:paraId="29E9AA16" w14:textId="2D7AD977" w:rsidR="005919CF" w:rsidRPr="00A137B9" w:rsidRDefault="005919CF" w:rsidP="005919CF">
                  <w:pPr>
                    <w:pStyle w:val="Body-Financial"/>
                    <w:spacing w:before="120" w:after="0"/>
                  </w:pPr>
                  <w:r w:rsidRPr="009A17F6">
                    <w:t>Activity 3</w:t>
                  </w:r>
                  <w:r w:rsidR="006A7A74">
                    <w:t>:</w:t>
                  </w:r>
                  <w:r w:rsidRPr="009A17F6">
                    <w:br/>
                    <w:t>Refine and improve hospital costing</w:t>
                  </w:r>
                </w:p>
              </w:tc>
            </w:tr>
            <w:tr w:rsidR="005919CF" w14:paraId="12A9EB77" w14:textId="77777777" w:rsidTr="006544B5">
              <w:tc>
                <w:tcPr>
                  <w:tcW w:w="2500" w:type="pct"/>
                  <w:shd w:val="clear" w:color="auto" w:fill="FFFFFF" w:themeFill="background2"/>
                </w:tcPr>
                <w:p w14:paraId="1139A4D6" w14:textId="77777777" w:rsidR="005919CF" w:rsidRPr="00A137B9" w:rsidRDefault="005919CF" w:rsidP="005919CF">
                  <w:pPr>
                    <w:pStyle w:val="Body-Financial"/>
                    <w:spacing w:before="120" w:after="0"/>
                  </w:pPr>
                  <w:r w:rsidRPr="00A137B9">
                    <w:rPr>
                      <w:b/>
                      <w:bCs/>
                    </w:rPr>
                    <w:t>Strategic objective 4</w:t>
                  </w:r>
                  <w:r>
                    <w:br/>
                  </w:r>
                  <w:r w:rsidRPr="009A17F6">
                    <w:t>Determine data requirements and collect</w:t>
                  </w:r>
                  <w:r>
                    <w:t> </w:t>
                  </w:r>
                  <w:r w:rsidRPr="009A17F6">
                    <w:t>data</w:t>
                  </w:r>
                </w:p>
              </w:tc>
              <w:tc>
                <w:tcPr>
                  <w:tcW w:w="2500" w:type="pct"/>
                  <w:shd w:val="clear" w:color="auto" w:fill="FFFFFF" w:themeFill="background2"/>
                </w:tcPr>
                <w:p w14:paraId="6B756B80" w14:textId="77777777" w:rsidR="005919CF" w:rsidRPr="00A137B9" w:rsidRDefault="005919CF" w:rsidP="005919CF">
                  <w:pPr>
                    <w:pStyle w:val="Body-Financial"/>
                    <w:spacing w:before="120" w:after="0"/>
                  </w:pPr>
                  <w:r w:rsidRPr="009A17F6">
                    <w:t>Activity 4:</w:t>
                  </w:r>
                  <w:r w:rsidRPr="009A17F6">
                    <w:br/>
                    <w:t>Develop hospital data requirements and collect</w:t>
                  </w:r>
                  <w:r>
                    <w:t> </w:t>
                  </w:r>
                  <w:r w:rsidRPr="009A17F6">
                    <w:t>data</w:t>
                  </w:r>
                </w:p>
              </w:tc>
            </w:tr>
            <w:tr w:rsidR="005919CF" w14:paraId="42E1C73C" w14:textId="77777777" w:rsidTr="006544B5">
              <w:tc>
                <w:tcPr>
                  <w:tcW w:w="2500" w:type="pct"/>
                  <w:shd w:val="clear" w:color="auto" w:fill="FFFFFF" w:themeFill="background2"/>
                </w:tcPr>
                <w:p w14:paraId="1BBADF51" w14:textId="77777777" w:rsidR="005919CF" w:rsidRPr="00A137B9" w:rsidRDefault="005919CF" w:rsidP="005919CF">
                  <w:pPr>
                    <w:pStyle w:val="Body-Financial"/>
                    <w:spacing w:before="120" w:after="0"/>
                  </w:pPr>
                  <w:r w:rsidRPr="00A137B9">
                    <w:rPr>
                      <w:b/>
                      <w:bCs/>
                    </w:rPr>
                    <w:t>Strategic objective 5</w:t>
                  </w:r>
                  <w:r>
                    <w:br/>
                  </w:r>
                  <w:r w:rsidRPr="009A17F6">
                    <w:t>Resolve disputes on cost</w:t>
                  </w:r>
                  <w:r w:rsidRPr="009A17F6">
                    <w:noBreakHyphen/>
                    <w:t>shifting and cross</w:t>
                  </w:r>
                  <w:r w:rsidRPr="009A17F6">
                    <w:noBreakHyphen/>
                    <w:t>border issues</w:t>
                  </w:r>
                </w:p>
              </w:tc>
              <w:tc>
                <w:tcPr>
                  <w:tcW w:w="2500" w:type="pct"/>
                  <w:shd w:val="clear" w:color="auto" w:fill="FFFFFF" w:themeFill="background2"/>
                </w:tcPr>
                <w:p w14:paraId="6B15EAE8" w14:textId="77777777" w:rsidR="005919CF" w:rsidRPr="00A137B9" w:rsidRDefault="005919CF" w:rsidP="005919CF">
                  <w:pPr>
                    <w:pStyle w:val="Body-Financial"/>
                    <w:spacing w:before="120" w:after="0"/>
                  </w:pPr>
                  <w:r w:rsidRPr="009A17F6">
                    <w:t>Activity 5:</w:t>
                  </w:r>
                  <w:r w:rsidRPr="009A17F6">
                    <w:br/>
                    <w:t>Resolve disputes on cost</w:t>
                  </w:r>
                  <w:r w:rsidRPr="009A17F6">
                    <w:noBreakHyphen/>
                    <w:t>shifting and cross</w:t>
                  </w:r>
                  <w:r w:rsidRPr="009A17F6">
                    <w:noBreakHyphen/>
                    <w:t>border issues</w:t>
                  </w:r>
                </w:p>
              </w:tc>
            </w:tr>
            <w:tr w:rsidR="005919CF" w14:paraId="7F1C87F0" w14:textId="77777777" w:rsidTr="006544B5">
              <w:tc>
                <w:tcPr>
                  <w:tcW w:w="2500" w:type="pct"/>
                  <w:shd w:val="clear" w:color="auto" w:fill="FFFFFF" w:themeFill="background2"/>
                </w:tcPr>
                <w:p w14:paraId="6AA51380" w14:textId="77777777" w:rsidR="005919CF" w:rsidRPr="00A137B9" w:rsidRDefault="005919CF" w:rsidP="005919CF">
                  <w:pPr>
                    <w:pStyle w:val="Body-Financial"/>
                    <w:spacing w:before="120" w:after="0"/>
                  </w:pPr>
                  <w:r w:rsidRPr="00A137B9">
                    <w:rPr>
                      <w:b/>
                      <w:bCs/>
                    </w:rPr>
                    <w:t>Strategic objective 6</w:t>
                  </w:r>
                  <w:r>
                    <w:br/>
                  </w:r>
                  <w:r w:rsidRPr="009A17F6">
                    <w:t>Independent and transparent decision</w:t>
                  </w:r>
                  <w:r>
                    <w:noBreakHyphen/>
                  </w:r>
                  <w:r w:rsidRPr="009A17F6">
                    <w:t>making and engagement with stakeholders</w:t>
                  </w:r>
                </w:p>
              </w:tc>
              <w:tc>
                <w:tcPr>
                  <w:tcW w:w="2500" w:type="pct"/>
                  <w:shd w:val="clear" w:color="auto" w:fill="FFFFFF" w:themeFill="background2"/>
                </w:tcPr>
                <w:p w14:paraId="59E9F302" w14:textId="77777777" w:rsidR="005919CF" w:rsidRPr="00A137B9" w:rsidRDefault="005919CF" w:rsidP="005919CF">
                  <w:pPr>
                    <w:pStyle w:val="Body-Financial"/>
                    <w:spacing w:before="120" w:after="0"/>
                  </w:pPr>
                  <w:r w:rsidRPr="009A17F6">
                    <w:t>Activity 6:</w:t>
                  </w:r>
                  <w:r w:rsidRPr="009A17F6">
                    <w:br/>
                    <w:t>Independent and transparent decision</w:t>
                  </w:r>
                  <w:r>
                    <w:noBreakHyphen/>
                  </w:r>
                  <w:r w:rsidRPr="009A17F6">
                    <w:t>making and engagement with stakeholders</w:t>
                  </w:r>
                </w:p>
              </w:tc>
            </w:tr>
          </w:tbl>
          <w:p w14:paraId="55730953" w14:textId="3EDABC1B" w:rsidR="00E05A96" w:rsidRDefault="00E05A96" w:rsidP="00181E61">
            <w:pPr>
              <w:pStyle w:val="Body-Financial"/>
              <w:spacing w:before="120" w:after="0"/>
            </w:pPr>
          </w:p>
        </w:tc>
      </w:tr>
      <w:tr w:rsidR="00BB7C84" w14:paraId="340B62DF" w14:textId="77777777" w:rsidTr="00BB7C84">
        <w:trPr>
          <w:cnfStyle w:val="100000000000" w:firstRow="1" w:lastRow="0" w:firstColumn="0" w:lastColumn="0" w:oddVBand="0" w:evenVBand="0" w:oddHBand="0" w:evenHBand="0" w:firstRowFirstColumn="0" w:firstRowLastColumn="0" w:lastRowFirstColumn="0" w:lastRowLastColumn="0"/>
          <w:trHeight w:val="1070"/>
        </w:trPr>
        <w:tc>
          <w:tcPr>
            <w:tcW w:w="1765" w:type="pct"/>
            <w:vMerge/>
          </w:tcPr>
          <w:p w14:paraId="3CE64B97" w14:textId="77777777" w:rsidR="00E05A96" w:rsidRPr="00CD0946" w:rsidRDefault="00E05A96" w:rsidP="00CD0946">
            <w:pPr>
              <w:pStyle w:val="H4"/>
              <w:spacing w:before="120"/>
              <w:rPr>
                <w:color w:val="FFFFFF" w:themeColor="background2"/>
              </w:rPr>
            </w:pPr>
          </w:p>
        </w:tc>
        <w:tc>
          <w:tcPr>
            <w:tcW w:w="278" w:type="pct"/>
            <w:vMerge/>
            <w:shd w:val="clear" w:color="auto" w:fill="FFFFFF" w:themeFill="background2"/>
          </w:tcPr>
          <w:p w14:paraId="69EEC1C9" w14:textId="77777777" w:rsidR="00E05A96" w:rsidRDefault="00E05A96" w:rsidP="0004038E">
            <w:pPr>
              <w:pStyle w:val="Body"/>
              <w:rPr>
                <w:noProof/>
                <w:color w:val="FFFFFF" w:themeColor="background2"/>
              </w:rPr>
            </w:pPr>
          </w:p>
        </w:tc>
        <w:tc>
          <w:tcPr>
            <w:tcW w:w="930" w:type="pct"/>
            <w:shd w:val="clear" w:color="auto" w:fill="DCD3E2"/>
          </w:tcPr>
          <w:tbl>
            <w:tblPr>
              <w:tblStyle w:val="TableGrid"/>
              <w:tblW w:w="5000" w:type="pct"/>
              <w:tblCellMar>
                <w:left w:w="0" w:type="dxa"/>
                <w:right w:w="0" w:type="dxa"/>
              </w:tblCellMar>
              <w:tblLook w:val="04A0" w:firstRow="1" w:lastRow="0" w:firstColumn="1" w:lastColumn="0" w:noHBand="0" w:noVBand="1"/>
            </w:tblPr>
            <w:tblGrid>
              <w:gridCol w:w="1213"/>
            </w:tblGrid>
            <w:tr w:rsidR="00E05A96" w14:paraId="5DC094D3" w14:textId="77777777" w:rsidTr="005F11C2">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7B894FA0" w14:textId="67347257" w:rsidR="00E05A96" w:rsidRDefault="00E05A96" w:rsidP="005F11C2">
                  <w:pPr>
                    <w:pStyle w:val="H4"/>
                    <w:spacing w:before="40" w:after="40"/>
                    <w:ind w:left="113" w:right="113"/>
                    <w:rPr>
                      <w:color w:val="5E2F7E" w:themeColor="accent5"/>
                    </w:rPr>
                  </w:pPr>
                  <w:r>
                    <w:rPr>
                      <w:color w:val="5E2F7E" w:themeColor="accent5"/>
                    </w:rPr>
                    <w:t>Corporate Plan 2020</w:t>
                  </w:r>
                  <w:r w:rsidR="005450A6">
                    <w:rPr>
                      <w:color w:val="5E2F7E" w:themeColor="accent5"/>
                    </w:rPr>
                    <w:t>–</w:t>
                  </w:r>
                  <w:r>
                    <w:rPr>
                      <w:color w:val="5E2F7E" w:themeColor="accent5"/>
                    </w:rPr>
                    <w:t>21</w:t>
                  </w:r>
                </w:p>
              </w:tc>
            </w:tr>
          </w:tbl>
          <w:p w14:paraId="078D255F" w14:textId="77777777" w:rsidR="00E05A96" w:rsidRPr="00181E61" w:rsidRDefault="00E05A96" w:rsidP="00181E61">
            <w:pPr>
              <w:pStyle w:val="H4"/>
              <w:spacing w:before="120" w:after="120"/>
              <w:rPr>
                <w:color w:val="5E2F7E" w:themeColor="accent5"/>
              </w:rPr>
            </w:pPr>
          </w:p>
        </w:tc>
        <w:tc>
          <w:tcPr>
            <w:tcW w:w="278" w:type="pct"/>
            <w:vMerge/>
            <w:tcBorders>
              <w:right w:val="single" w:sz="18" w:space="0" w:color="5E2F7E" w:themeColor="accent5"/>
            </w:tcBorders>
            <w:shd w:val="clear" w:color="auto" w:fill="FFFFFF" w:themeFill="background2"/>
          </w:tcPr>
          <w:p w14:paraId="4CDF6FD3" w14:textId="77777777" w:rsidR="00E05A96" w:rsidRDefault="00E05A96" w:rsidP="00181E61">
            <w:pPr>
              <w:pStyle w:val="H4"/>
              <w:spacing w:before="120" w:after="120"/>
            </w:pPr>
          </w:p>
        </w:tc>
        <w:tc>
          <w:tcPr>
            <w:tcW w:w="1750" w:type="pct"/>
            <w:vMerge/>
            <w:tcBorders>
              <w:left w:val="single" w:sz="18" w:space="0" w:color="5E2F7E" w:themeColor="accent5"/>
              <w:right w:val="single" w:sz="18" w:space="0" w:color="5E2F7E" w:themeColor="accent5"/>
            </w:tcBorders>
            <w:shd w:val="clear" w:color="auto" w:fill="FFFFFF" w:themeFill="background2"/>
          </w:tcPr>
          <w:p w14:paraId="32D1C1FA" w14:textId="77777777" w:rsidR="00E05A96" w:rsidRPr="00A137B9" w:rsidRDefault="00E05A96" w:rsidP="00A137B9">
            <w:pPr>
              <w:pStyle w:val="Body-Financial"/>
              <w:spacing w:after="0"/>
              <w:rPr>
                <w:b/>
                <w:bCs/>
              </w:rPr>
            </w:pPr>
          </w:p>
        </w:tc>
      </w:tr>
      <w:tr w:rsidR="00BB7C84" w14:paraId="439F3972" w14:textId="39399B0E" w:rsidTr="00BB7C84">
        <w:trPr>
          <w:cnfStyle w:val="100000000000" w:firstRow="1" w:lastRow="0" w:firstColumn="0" w:lastColumn="0" w:oddVBand="0" w:evenVBand="0" w:oddHBand="0" w:evenHBand="0" w:firstRowFirstColumn="0" w:firstRowLastColumn="0" w:lastRowFirstColumn="0" w:lastRowLastColumn="0"/>
          <w:trHeight w:val="3151"/>
        </w:trPr>
        <w:tc>
          <w:tcPr>
            <w:tcW w:w="1765" w:type="pct"/>
            <w:shd w:val="clear" w:color="auto" w:fill="DCD3E2"/>
          </w:tcPr>
          <w:p w14:paraId="2E550194" w14:textId="2579DDD5" w:rsidR="00E05A96" w:rsidRPr="00521543" w:rsidRDefault="00E05A96" w:rsidP="00CD0946">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49BEC092" w14:textId="1C075235" w:rsidR="00E05A96" w:rsidRPr="009A17F6" w:rsidRDefault="005919CF" w:rsidP="00CD0946">
            <w:pPr>
              <w:pStyle w:val="Body"/>
              <w:spacing w:before="120"/>
              <w:rPr>
                <w:sz w:val="16"/>
                <w:szCs w:val="16"/>
              </w:rPr>
            </w:pPr>
            <w:r w:rsidRPr="009A17F6">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r>
              <w:rPr>
                <w:sz w:val="16"/>
                <w:szCs w:val="16"/>
              </w:rPr>
              <w:t>.</w:t>
            </w:r>
          </w:p>
        </w:tc>
        <w:tc>
          <w:tcPr>
            <w:tcW w:w="278" w:type="pct"/>
            <w:shd w:val="clear" w:color="auto" w:fill="FFFFFF" w:themeFill="background2"/>
          </w:tcPr>
          <w:p w14:paraId="35EE8538" w14:textId="5A73BB34" w:rsidR="00E05A96" w:rsidRDefault="00E05A96" w:rsidP="0004038E">
            <w:pPr>
              <w:pStyle w:val="Body"/>
            </w:pPr>
          </w:p>
        </w:tc>
        <w:tc>
          <w:tcPr>
            <w:tcW w:w="930" w:type="pct"/>
            <w:shd w:val="clear" w:color="auto" w:fill="DCD3E2"/>
          </w:tcPr>
          <w:p w14:paraId="1A798991" w14:textId="77777777" w:rsidR="00E05A96" w:rsidRDefault="00E05A96" w:rsidP="0004038E">
            <w:pPr>
              <w:pStyle w:val="Body"/>
            </w:pPr>
          </w:p>
        </w:tc>
        <w:tc>
          <w:tcPr>
            <w:tcW w:w="278" w:type="pct"/>
            <w:tcBorders>
              <w:right w:val="single" w:sz="18" w:space="0" w:color="5E2F7E" w:themeColor="accent5"/>
            </w:tcBorders>
            <w:shd w:val="clear" w:color="auto" w:fill="FFFFFF" w:themeFill="background2"/>
          </w:tcPr>
          <w:p w14:paraId="0C7A26FF" w14:textId="77777777" w:rsidR="00E05A96" w:rsidRDefault="00E05A96" w:rsidP="0004038E">
            <w:pPr>
              <w:pStyle w:val="Body"/>
            </w:pPr>
          </w:p>
        </w:tc>
        <w:tc>
          <w:tcPr>
            <w:tcW w:w="1750" w:type="pct"/>
            <w:vMerge/>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71FE431F" w14:textId="5A1E55B7" w:rsidR="00E05A96" w:rsidRDefault="00E05A96" w:rsidP="0004038E">
            <w:pPr>
              <w:pStyle w:val="Body"/>
            </w:pPr>
          </w:p>
        </w:tc>
      </w:tr>
    </w:tbl>
    <w:p w14:paraId="28FE0542" w14:textId="38A7BBB1" w:rsidR="000A73F3" w:rsidRDefault="000A73F3" w:rsidP="0004038E">
      <w:pPr>
        <w:pStyle w:val="Body"/>
      </w:pPr>
    </w:p>
    <w:p w14:paraId="7F92724A" w14:textId="77777777" w:rsidR="000A73F3" w:rsidRDefault="000A73F3" w:rsidP="0004038E">
      <w:pPr>
        <w:pStyle w:val="Body"/>
        <w:sectPr w:rsidR="000A73F3" w:rsidSect="00441579">
          <w:footerReference w:type="default" r:id="rId137"/>
          <w:pgSz w:w="9979" w:h="14175"/>
          <w:pgMar w:top="1134" w:right="1134" w:bottom="1134" w:left="1134" w:header="709" w:footer="709" w:gutter="0"/>
          <w:cols w:space="708"/>
          <w:docGrid w:linePitch="360"/>
        </w:sectPr>
      </w:pPr>
    </w:p>
    <w:p w14:paraId="27AF2516" w14:textId="77777777" w:rsidR="005919CF" w:rsidRPr="002A6644" w:rsidRDefault="005919CF" w:rsidP="005919CF">
      <w:pPr>
        <w:pStyle w:val="Heading1"/>
        <w:spacing w:before="0" w:beforeAutospacing="0"/>
        <w:rPr>
          <w:color w:val="5E2F7E" w:themeColor="accent5"/>
        </w:rPr>
      </w:pPr>
      <w:bookmarkStart w:id="105" w:name="_Toc84488751"/>
      <w:r>
        <w:rPr>
          <w:color w:val="5E2F7E" w:themeColor="accent5"/>
        </w:rPr>
        <w:lastRenderedPageBreak/>
        <w:t>Activities</w:t>
      </w:r>
      <w:bookmarkEnd w:id="105"/>
    </w:p>
    <w:p w14:paraId="052E829B" w14:textId="77777777" w:rsidR="005919CF" w:rsidRPr="008C19C9" w:rsidRDefault="005919CF" w:rsidP="005919CF">
      <w:pPr>
        <w:pStyle w:val="H3"/>
        <w:rPr>
          <w:color w:val="5E2F7E" w:themeColor="accent5"/>
          <w:sz w:val="32"/>
          <w:szCs w:val="32"/>
        </w:rPr>
      </w:pPr>
      <w:r w:rsidRPr="008C19C9">
        <w:rPr>
          <w:color w:val="5E2F7E" w:themeColor="accent5"/>
          <w:sz w:val="32"/>
          <w:szCs w:val="32"/>
        </w:rPr>
        <w:t>Activity 1: Perform IHPA pricing functions</w:t>
      </w:r>
    </w:p>
    <w:p w14:paraId="64551DF8" w14:textId="77777777" w:rsidR="005919CF" w:rsidRPr="004E67F4" w:rsidRDefault="005919CF" w:rsidP="005919CF">
      <w:pPr>
        <w:spacing w:before="240"/>
        <w:rPr>
          <w:color w:val="1C1C1C"/>
          <w:sz w:val="18"/>
          <w:szCs w:val="18"/>
        </w:rPr>
      </w:pPr>
      <w:r w:rsidRPr="004E67F4">
        <w:rPr>
          <w:color w:val="1C1C1C"/>
          <w:sz w:val="18"/>
          <w:szCs w:val="18"/>
        </w:rPr>
        <w:t xml:space="preserve">IHPA’s primary function is to produce the </w:t>
      </w:r>
      <w:r>
        <w:rPr>
          <w:color w:val="1C1C1C"/>
          <w:sz w:val="18"/>
          <w:szCs w:val="18"/>
        </w:rPr>
        <w:t>N</w:t>
      </w:r>
      <w:r w:rsidRPr="004E67F4">
        <w:rPr>
          <w:color w:val="1C1C1C"/>
          <w:sz w:val="18"/>
          <w:szCs w:val="18"/>
        </w:rPr>
        <w:t xml:space="preserve">ational </w:t>
      </w:r>
      <w:r>
        <w:rPr>
          <w:color w:val="1C1C1C"/>
          <w:sz w:val="18"/>
          <w:szCs w:val="18"/>
        </w:rPr>
        <w:t>E</w:t>
      </w:r>
      <w:r w:rsidRPr="004E67F4">
        <w:rPr>
          <w:color w:val="1C1C1C"/>
          <w:sz w:val="18"/>
          <w:szCs w:val="18"/>
        </w:rPr>
        <w:t xml:space="preserve">fficient </w:t>
      </w:r>
      <w:r>
        <w:rPr>
          <w:color w:val="1C1C1C"/>
          <w:sz w:val="18"/>
          <w:szCs w:val="18"/>
        </w:rPr>
        <w:t>P</w:t>
      </w:r>
      <w:r w:rsidRPr="004E67F4">
        <w:rPr>
          <w:color w:val="1C1C1C"/>
          <w:sz w:val="18"/>
          <w:szCs w:val="18"/>
        </w:rPr>
        <w:t>rice Determination and the </w:t>
      </w:r>
      <w:r>
        <w:rPr>
          <w:color w:val="1C1C1C"/>
          <w:sz w:val="18"/>
          <w:szCs w:val="18"/>
        </w:rPr>
        <w:t>N</w:t>
      </w:r>
      <w:r w:rsidRPr="004E67F4">
        <w:rPr>
          <w:color w:val="1C1C1C"/>
          <w:sz w:val="18"/>
          <w:szCs w:val="18"/>
        </w:rPr>
        <w:t xml:space="preserve">ational </w:t>
      </w:r>
      <w:r>
        <w:rPr>
          <w:color w:val="1C1C1C"/>
          <w:sz w:val="18"/>
          <w:szCs w:val="18"/>
        </w:rPr>
        <w:t>E</w:t>
      </w:r>
      <w:r w:rsidRPr="004E67F4">
        <w:rPr>
          <w:color w:val="1C1C1C"/>
          <w:sz w:val="18"/>
          <w:szCs w:val="18"/>
        </w:rPr>
        <w:t xml:space="preserve">fficient </w:t>
      </w:r>
      <w:r>
        <w:rPr>
          <w:color w:val="1C1C1C"/>
          <w:sz w:val="18"/>
          <w:szCs w:val="18"/>
        </w:rPr>
        <w:t>C</w:t>
      </w:r>
      <w:r w:rsidRPr="004E67F4">
        <w:rPr>
          <w:color w:val="1C1C1C"/>
          <w:sz w:val="18"/>
          <w:szCs w:val="18"/>
        </w:rPr>
        <w:t>ost Determination each year. The Pricing Framework for Australian Public Hospital Services (Pricing Framework) forms the policy basis for the Determinations. The Pricing Framework outlines the principles, scope and methodology to be adopted by IHPA in the setting of the national efficient price and national efficient cost for</w:t>
      </w:r>
      <w:r>
        <w:rPr>
          <w:color w:val="1C1C1C"/>
          <w:sz w:val="18"/>
          <w:szCs w:val="18"/>
        </w:rPr>
        <w:t> </w:t>
      </w:r>
      <w:r w:rsidRPr="004E67F4">
        <w:rPr>
          <w:color w:val="1C1C1C"/>
          <w:sz w:val="18"/>
          <w:szCs w:val="18"/>
        </w:rPr>
        <w:t>public hospital services in the next financial year.</w:t>
      </w:r>
    </w:p>
    <w:p w14:paraId="306B8CA2" w14:textId="77777777" w:rsidR="005919CF" w:rsidRDefault="005919CF" w:rsidP="005919CF">
      <w:pPr>
        <w:rPr>
          <w:sz w:val="18"/>
        </w:rPr>
      </w:pPr>
      <w:r w:rsidRPr="004E67F4">
        <w:rPr>
          <w:color w:val="1C1C1C"/>
          <w:sz w:val="18"/>
          <w:szCs w:val="18"/>
        </w:rPr>
        <w:t>During 2020–21, IHPA undertook further technical development to improve the price</w:t>
      </w:r>
      <w:r w:rsidRPr="004E67F4">
        <w:rPr>
          <w:color w:val="1C1C1C"/>
          <w:sz w:val="18"/>
          <w:szCs w:val="18"/>
        </w:rPr>
        <w:noBreakHyphen/>
        <w:t>setting process and continued to refine the models used to determine the national efficient pri</w:t>
      </w:r>
      <w:r>
        <w:rPr>
          <w:color w:val="1C1C1C"/>
          <w:sz w:val="18"/>
          <w:szCs w:val="18"/>
        </w:rPr>
        <w:t>ce and national efficient cost.</w:t>
      </w:r>
    </w:p>
    <w:p w14:paraId="28FEFF04" w14:textId="7BA28FD7" w:rsidR="005919CF" w:rsidRDefault="005919CF" w:rsidP="005919CF">
      <w:pPr>
        <w:pStyle w:val="FigureHeading"/>
      </w:pPr>
      <w:bookmarkStart w:id="106" w:name="_Toc77354563"/>
      <w:bookmarkStart w:id="107" w:name="_Toc82510938"/>
      <w:r>
        <w:t xml:space="preserve">Figure </w:t>
      </w:r>
      <w:r w:rsidR="00A30F40">
        <w:t>7</w:t>
      </w:r>
      <w:r w:rsidRPr="005D1A5D">
        <w:t xml:space="preserve">: Relationship between sources </w:t>
      </w:r>
      <w:r w:rsidRPr="00A356AA">
        <w:t>for</w:t>
      </w:r>
      <w:r w:rsidRPr="005D1A5D">
        <w:t xml:space="preserve"> reporting of </w:t>
      </w:r>
      <w:r>
        <w:t>Activity 1</w:t>
      </w:r>
      <w:bookmarkEnd w:id="106"/>
      <w:bookmarkEnd w:id="107"/>
    </w:p>
    <w:p w14:paraId="5989FFF6" w14:textId="77777777" w:rsidR="005919CF" w:rsidRPr="009A17F6" w:rsidRDefault="005919CF" w:rsidP="005919CF">
      <w:pPr>
        <w:pStyle w:val="H3"/>
        <w:rPr>
          <w:color w:val="5E2F7E" w:themeColor="accent5"/>
        </w:rPr>
      </w:pPr>
      <w:r w:rsidRPr="009A17F6">
        <w:rPr>
          <w:color w:val="5E2F7E" w:themeColor="accent5"/>
        </w:rPr>
        <w:t>Sources of reporting for the Annual Report 2020</w:t>
      </w:r>
      <w:r w:rsidRPr="000A75C4">
        <w:rPr>
          <w:color w:val="5E2F7E" w:themeColor="accent5"/>
        </w:rPr>
        <w:t>–</w:t>
      </w:r>
      <w:r w:rsidRPr="009A17F6">
        <w:rPr>
          <w:color w:val="5E2F7E" w:themeColor="accent5"/>
        </w:rPr>
        <w:t>21 Performance</w:t>
      </w:r>
      <w:r>
        <w:rPr>
          <w:color w:val="5E2F7E" w:themeColor="accent5"/>
        </w:rPr>
        <w:t> </w:t>
      </w:r>
      <w:r w:rsidRPr="009A17F6">
        <w:rPr>
          <w:color w:val="5E2F7E" w:themeColor="accent5"/>
        </w:rPr>
        <w:t>Statement</w:t>
      </w:r>
    </w:p>
    <w:p w14:paraId="08738187" w14:textId="1E2D7376" w:rsidR="009A17F6" w:rsidRPr="009A17F6" w:rsidRDefault="005919CF" w:rsidP="005919CF">
      <w:pPr>
        <w:pStyle w:val="H4"/>
        <w:rPr>
          <w:color w:val="5E2F7E" w:themeColor="accent5"/>
        </w:rPr>
      </w:pPr>
      <w:r w:rsidRPr="00220A32">
        <w:rPr>
          <w:color w:val="5E2F7E" w:themeColor="accent5"/>
          <w:lang w:val="en-US"/>
        </w:rPr>
        <w:t>Portfolio Budget Statements 2020–21</w:t>
      </w:r>
    </w:p>
    <w:tbl>
      <w:tblPr>
        <w:tblStyle w:val="TableGrid"/>
        <w:tblW w:w="4966" w:type="pct"/>
        <w:tblCellMar>
          <w:top w:w="113" w:type="dxa"/>
        </w:tblCellMar>
        <w:tblLook w:val="04A0" w:firstRow="1" w:lastRow="0" w:firstColumn="1" w:lastColumn="0" w:noHBand="0" w:noVBand="1"/>
        <w:tblCaption w:val="Figure 7"/>
        <w:tblDescription w:val="Outcome 1"/>
      </w:tblPr>
      <w:tblGrid>
        <w:gridCol w:w="2680"/>
        <w:gridCol w:w="416"/>
        <w:gridCol w:w="1449"/>
        <w:gridCol w:w="417"/>
        <w:gridCol w:w="2674"/>
      </w:tblGrid>
      <w:tr w:rsidR="00BB7C84" w14:paraId="1B8E9A60" w14:textId="77777777" w:rsidTr="00BB7C84">
        <w:trPr>
          <w:cnfStyle w:val="100000000000" w:firstRow="1" w:lastRow="0" w:firstColumn="0" w:lastColumn="0" w:oddVBand="0" w:evenVBand="0" w:oddHBand="0" w:evenHBand="0" w:firstRowFirstColumn="0" w:firstRowLastColumn="0" w:lastRowFirstColumn="0" w:lastRowLastColumn="0"/>
          <w:trHeight w:val="1071"/>
        </w:trPr>
        <w:tc>
          <w:tcPr>
            <w:tcW w:w="1761" w:type="pct"/>
            <w:vMerge w:val="restart"/>
          </w:tcPr>
          <w:p w14:paraId="771BF01F" w14:textId="1DDABD00" w:rsidR="00174683" w:rsidRPr="00CD0946" w:rsidRDefault="00174683" w:rsidP="006544B5">
            <w:pPr>
              <w:pStyle w:val="H4"/>
              <w:spacing w:before="120"/>
              <w:rPr>
                <w:color w:val="FFFFFF" w:themeColor="background2"/>
              </w:rPr>
            </w:pPr>
            <w:r w:rsidRPr="00CD0946">
              <w:rPr>
                <w:color w:val="FFFFFF" w:themeColor="background2"/>
              </w:rPr>
              <w:t>Outcome</w:t>
            </w:r>
            <w:r>
              <w:rPr>
                <w:color w:val="FFFFFF" w:themeColor="background2"/>
              </w:rPr>
              <w:t xml:space="preserve"> 1</w:t>
            </w:r>
          </w:p>
          <w:p w14:paraId="05D7C283" w14:textId="34992E42" w:rsidR="00174683" w:rsidRPr="009A17F6" w:rsidRDefault="005919CF" w:rsidP="006544B5">
            <w:pPr>
              <w:pStyle w:val="Body"/>
              <w:spacing w:before="120"/>
              <w:rPr>
                <w:color w:val="FFFFFF" w:themeColor="background2"/>
                <w:sz w:val="16"/>
                <w:szCs w:val="16"/>
              </w:rPr>
            </w:pPr>
            <w:r w:rsidRPr="009A17F6">
              <w:rPr>
                <w:color w:val="FFFFFF" w:themeColor="background2"/>
                <w:sz w:val="16"/>
                <w:szCs w:val="16"/>
              </w:rPr>
              <w:t>Promote improved efficiency in, and</w:t>
            </w:r>
            <w:r w:rsidR="00FF5DE3">
              <w:rPr>
                <w:color w:val="FFFFFF" w:themeColor="background2"/>
                <w:sz w:val="16"/>
                <w:szCs w:val="16"/>
              </w:rPr>
              <w:t> </w:t>
            </w:r>
            <w:r w:rsidRPr="009A17F6">
              <w:rPr>
                <w:color w:val="FFFFFF" w:themeColor="background2"/>
                <w:sz w:val="16"/>
                <w:szCs w:val="16"/>
              </w:rPr>
              <w:t>access to, public hospital services primarily through setting efficient national prices and levels of block funding for hospital activities</w:t>
            </w:r>
            <w:r w:rsidR="006A7A74">
              <w:rPr>
                <w:color w:val="FFFFFF" w:themeColor="background2"/>
                <w:sz w:val="16"/>
                <w:szCs w:val="16"/>
              </w:rPr>
              <w:t>.</w:t>
            </w:r>
          </w:p>
        </w:tc>
        <w:tc>
          <w:tcPr>
            <w:tcW w:w="278" w:type="pct"/>
            <w:vMerge w:val="restart"/>
            <w:shd w:val="clear" w:color="auto" w:fill="FFFFFF" w:themeFill="background2"/>
          </w:tcPr>
          <w:p w14:paraId="414DC8C6" w14:textId="78D702A3" w:rsidR="00174683" w:rsidRDefault="00174683" w:rsidP="006544B5">
            <w:pPr>
              <w:pStyle w:val="Body"/>
            </w:pPr>
            <w:r>
              <w:rPr>
                <w:noProof/>
                <w:color w:val="FFFFFF" w:themeColor="background2"/>
                <w:lang w:val="en-AU" w:eastAsia="en-AU"/>
              </w:rPr>
              <mc:AlternateContent>
                <mc:Choice Requires="wps">
                  <w:drawing>
                    <wp:anchor distT="0" distB="0" distL="114300" distR="114300" simplePos="0" relativeHeight="251747328" behindDoc="0" locked="0" layoutInCell="1" allowOverlap="1" wp14:anchorId="4D89CB09" wp14:editId="3A050F51">
                      <wp:simplePos x="0" y="0"/>
                      <wp:positionH relativeFrom="column">
                        <wp:posOffset>-83160</wp:posOffset>
                      </wp:positionH>
                      <wp:positionV relativeFrom="paragraph">
                        <wp:posOffset>885825</wp:posOffset>
                      </wp:positionV>
                      <wp:extent cx="289560" cy="0"/>
                      <wp:effectExtent l="0" t="95250" r="0" b="95250"/>
                      <wp:wrapNone/>
                      <wp:docPr id="101" name="Straight Arrow Connector 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F9E76A" id="Straight Arrow Connector 101" o:spid="_x0000_s1026" type="#_x0000_t32" alt="&quot;&quot;" style="position:absolute;margin-left:-6.55pt;margin-top:69.75pt;width:22.8pt;height: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746304" behindDoc="0" locked="0" layoutInCell="1" allowOverlap="1" wp14:anchorId="1BEC2D12" wp14:editId="223DDAF1">
                      <wp:simplePos x="0" y="0"/>
                      <wp:positionH relativeFrom="column">
                        <wp:posOffset>-82814</wp:posOffset>
                      </wp:positionH>
                      <wp:positionV relativeFrom="paragraph">
                        <wp:posOffset>157631</wp:posOffset>
                      </wp:positionV>
                      <wp:extent cx="289711" cy="0"/>
                      <wp:effectExtent l="0" t="95250" r="0" b="95250"/>
                      <wp:wrapNone/>
                      <wp:docPr id="102" name="Straight Arrow Connector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0FDF75" id="Straight Arrow Connector 102" o:spid="_x0000_s1026" type="#_x0000_t32" alt="&quot;&quot;" style="position:absolute;margin-left:-6.5pt;margin-top:12.4pt;width:22.8pt;height: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" strokecolor="#5e2f7e [3208]" strokeweight="2.25pt">
                      <v:stroke endarrow="open" joinstyle="miter"/>
                    </v:shape>
                  </w:pict>
                </mc:Fallback>
              </mc:AlternateContent>
            </w:r>
          </w:p>
        </w:tc>
        <w:tc>
          <w:tcPr>
            <w:tcW w:w="926" w:type="pct"/>
            <w:shd w:val="clear" w:color="auto" w:fill="DCD3E2"/>
          </w:tcPr>
          <w:tbl>
            <w:tblPr>
              <w:tblStyle w:val="TableGrid"/>
              <w:tblW w:w="5000" w:type="pct"/>
              <w:tblCellMar>
                <w:left w:w="0" w:type="dxa"/>
                <w:right w:w="0" w:type="dxa"/>
              </w:tblCellMar>
              <w:tblLook w:val="04A0" w:firstRow="1" w:lastRow="0" w:firstColumn="1" w:lastColumn="0" w:noHBand="0" w:noVBand="1"/>
            </w:tblPr>
            <w:tblGrid>
              <w:gridCol w:w="1213"/>
            </w:tblGrid>
            <w:tr w:rsidR="00174683" w14:paraId="315FEF68" w14:textId="77777777" w:rsidTr="00F343D4">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601C1BB6" w14:textId="0439D2D3" w:rsidR="00174683" w:rsidRDefault="00174683" w:rsidP="00F343D4">
                  <w:pPr>
                    <w:pStyle w:val="H4"/>
                    <w:spacing w:before="40" w:after="40"/>
                    <w:ind w:left="113" w:right="113"/>
                    <w:rPr>
                      <w:color w:val="5E2F7E" w:themeColor="accent5"/>
                    </w:rPr>
                  </w:pPr>
                  <w:r>
                    <w:rPr>
                      <w:color w:val="5E2F7E" w:themeColor="accent5"/>
                    </w:rPr>
                    <w:t>Work Program 2020</w:t>
                  </w:r>
                  <w:r w:rsidR="005450A6">
                    <w:rPr>
                      <w:color w:val="5E2F7E" w:themeColor="accent5"/>
                    </w:rPr>
                    <w:t>–</w:t>
                  </w:r>
                  <w:r>
                    <w:rPr>
                      <w:color w:val="5E2F7E" w:themeColor="accent5"/>
                    </w:rPr>
                    <w:t>21</w:t>
                  </w:r>
                </w:p>
              </w:tc>
            </w:tr>
          </w:tbl>
          <w:p w14:paraId="48703DE6" w14:textId="52E27871" w:rsidR="00174683" w:rsidRPr="00181E61" w:rsidRDefault="00174683" w:rsidP="006544B5">
            <w:pPr>
              <w:pStyle w:val="H4"/>
              <w:spacing w:before="120" w:after="120"/>
              <w:rPr>
                <w:color w:val="5E2F7E" w:themeColor="accent5"/>
              </w:rPr>
            </w:pPr>
          </w:p>
        </w:tc>
        <w:tc>
          <w:tcPr>
            <w:tcW w:w="279" w:type="pct"/>
            <w:vMerge w:val="restart"/>
            <w:tcBorders>
              <w:right w:val="single" w:sz="18" w:space="0" w:color="5E2F7E" w:themeColor="accent5"/>
            </w:tcBorders>
            <w:shd w:val="clear" w:color="auto" w:fill="FFFFFF" w:themeFill="background2"/>
          </w:tcPr>
          <w:p w14:paraId="15038796" w14:textId="3D98BE27" w:rsidR="00174683" w:rsidRDefault="00174683" w:rsidP="006544B5">
            <w:pPr>
              <w:pStyle w:val="H4"/>
              <w:spacing w:before="120" w:after="120"/>
            </w:pPr>
            <w:r>
              <w:rPr>
                <w:noProof/>
                <w:color w:val="FFFFFF" w:themeColor="background2"/>
                <w:lang w:val="en-AU" w:eastAsia="en-AU"/>
              </w:rPr>
              <mc:AlternateContent>
                <mc:Choice Requires="wps">
                  <w:drawing>
                    <wp:anchor distT="0" distB="0" distL="114300" distR="114300" simplePos="0" relativeHeight="251750400" behindDoc="0" locked="0" layoutInCell="1" allowOverlap="1" wp14:anchorId="6A3D2252" wp14:editId="7B37AEE7">
                      <wp:simplePos x="0" y="0"/>
                      <wp:positionH relativeFrom="column">
                        <wp:posOffset>-75686</wp:posOffset>
                      </wp:positionH>
                      <wp:positionV relativeFrom="page">
                        <wp:posOffset>885300</wp:posOffset>
                      </wp:positionV>
                      <wp:extent cx="278130" cy="0"/>
                      <wp:effectExtent l="0" t="95250" r="7620" b="95250"/>
                      <wp:wrapNone/>
                      <wp:docPr id="104" name="Straight Arrow Connector 1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4C5106" id="Straight Arrow Connector 104" o:spid="_x0000_s1026" type="#_x0000_t32" alt="&quot;&quot;" style="position:absolute;margin-left:-5.95pt;margin-top:69.7pt;width:21.9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" strokecolor="#5e2f7e [3208]" strokeweight="2.25pt">
                      <v:stroke endarrow="open" joinstyle="miter"/>
                      <w10:wrap anchory="page"/>
                    </v:shape>
                  </w:pict>
                </mc:Fallback>
              </mc:AlternateContent>
            </w:r>
            <w:r>
              <w:rPr>
                <w:noProof/>
                <w:color w:val="FFFFFF" w:themeColor="background2"/>
                <w:lang w:val="en-AU" w:eastAsia="en-AU"/>
              </w:rPr>
              <mc:AlternateContent>
                <mc:Choice Requires="wps">
                  <w:drawing>
                    <wp:anchor distT="0" distB="0" distL="114300" distR="114300" simplePos="0" relativeHeight="251748352" behindDoc="0" locked="0" layoutInCell="1" allowOverlap="1" wp14:anchorId="176BB75E" wp14:editId="42A2D0F9">
                      <wp:simplePos x="0" y="0"/>
                      <wp:positionH relativeFrom="column">
                        <wp:posOffset>-75565</wp:posOffset>
                      </wp:positionH>
                      <wp:positionV relativeFrom="page">
                        <wp:posOffset>128173</wp:posOffset>
                      </wp:positionV>
                      <wp:extent cx="278130" cy="0"/>
                      <wp:effectExtent l="0" t="95250" r="7620" b="95250"/>
                      <wp:wrapNone/>
                      <wp:docPr id="103" name="Straight Arrow Connector 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9566CE" id="Straight Arrow Connector 103" o:spid="_x0000_s1026" type="#_x0000_t32" alt="&quot;&quot;" style="position:absolute;margin-left:-5.95pt;margin-top:10.1pt;width:21.9pt;height: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" strokecolor="#5e2f7e [3208]" strokeweight="2.25pt">
                      <v:stroke endarrow="open" joinstyle="miter"/>
                      <w10:wrap anchory="page"/>
                    </v:shape>
                  </w:pict>
                </mc:Fallback>
              </mc:AlternateContent>
            </w:r>
          </w:p>
        </w:tc>
        <w:tc>
          <w:tcPr>
            <w:tcW w:w="1756" w:type="pc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29"/>
              <w:gridCol w:w="1229"/>
            </w:tblGrid>
            <w:tr w:rsidR="00174683" w:rsidRPr="00A137B9" w14:paraId="724E2EF3" w14:textId="77777777" w:rsidTr="006544B5">
              <w:tc>
                <w:tcPr>
                  <w:tcW w:w="2500" w:type="pct"/>
                  <w:shd w:val="clear" w:color="auto" w:fill="FFFFFF" w:themeFill="background2"/>
                </w:tcPr>
                <w:p w14:paraId="501A9877" w14:textId="6E280711" w:rsidR="00174683" w:rsidRPr="00A137B9" w:rsidRDefault="00174683" w:rsidP="00174683">
                  <w:pPr>
                    <w:pStyle w:val="Body-Financial"/>
                    <w:spacing w:before="120" w:after="0"/>
                  </w:pPr>
                  <w:r w:rsidRPr="00A137B9">
                    <w:rPr>
                      <w:b/>
                      <w:bCs/>
                    </w:rPr>
                    <w:t>Strategic objective 1</w:t>
                  </w:r>
                  <w:r>
                    <w:br/>
                  </w:r>
                  <w:r w:rsidRPr="009A17F6">
                    <w:t>Perform IHPA pricing</w:t>
                  </w:r>
                  <w:r w:rsidR="00D10CAB">
                    <w:t> </w:t>
                  </w:r>
                  <w:r w:rsidRPr="009A17F6">
                    <w:t>functions</w:t>
                  </w:r>
                </w:p>
              </w:tc>
              <w:tc>
                <w:tcPr>
                  <w:tcW w:w="2500" w:type="pct"/>
                  <w:shd w:val="clear" w:color="auto" w:fill="FFFFFF" w:themeFill="background2"/>
                </w:tcPr>
                <w:p w14:paraId="2757E739" w14:textId="32954BB7" w:rsidR="00174683" w:rsidRPr="00A137B9" w:rsidRDefault="00174683" w:rsidP="00174683">
                  <w:pPr>
                    <w:pStyle w:val="Body-Financial"/>
                    <w:spacing w:before="120" w:after="0"/>
                  </w:pPr>
                  <w:r w:rsidRPr="009A17F6">
                    <w:t>Activity 1:</w:t>
                  </w:r>
                  <w:r w:rsidRPr="009A17F6">
                    <w:br/>
                    <w:t>Perform IHPA pricing</w:t>
                  </w:r>
                  <w:r w:rsidR="00D10CAB">
                    <w:t> </w:t>
                  </w:r>
                  <w:r w:rsidRPr="009A17F6">
                    <w:t>functions</w:t>
                  </w:r>
                </w:p>
              </w:tc>
            </w:tr>
          </w:tbl>
          <w:p w14:paraId="4D784F7F" w14:textId="77777777" w:rsidR="00174683" w:rsidRDefault="00174683" w:rsidP="006544B5">
            <w:pPr>
              <w:pStyle w:val="Body-Financial"/>
              <w:spacing w:before="120" w:after="0"/>
            </w:pPr>
          </w:p>
        </w:tc>
      </w:tr>
      <w:tr w:rsidR="00BB7C84" w14:paraId="7B740717" w14:textId="77777777" w:rsidTr="00BB7C84">
        <w:trPr>
          <w:cnfStyle w:val="100000000000" w:firstRow="1" w:lastRow="0" w:firstColumn="0" w:lastColumn="0" w:oddVBand="0" w:evenVBand="0" w:oddHBand="0" w:evenHBand="0" w:firstRowFirstColumn="0" w:firstRowLastColumn="0" w:lastRowFirstColumn="0" w:lastRowLastColumn="0"/>
          <w:trHeight w:val="1070"/>
        </w:trPr>
        <w:tc>
          <w:tcPr>
            <w:tcW w:w="1761" w:type="pct"/>
            <w:vMerge/>
          </w:tcPr>
          <w:p w14:paraId="48C5032E" w14:textId="77777777" w:rsidR="00174683" w:rsidRPr="00CD0946" w:rsidRDefault="00174683" w:rsidP="006544B5">
            <w:pPr>
              <w:pStyle w:val="H4"/>
              <w:spacing w:before="120"/>
              <w:rPr>
                <w:color w:val="FFFFFF" w:themeColor="background2"/>
              </w:rPr>
            </w:pPr>
          </w:p>
        </w:tc>
        <w:tc>
          <w:tcPr>
            <w:tcW w:w="278" w:type="pct"/>
            <w:vMerge/>
            <w:shd w:val="clear" w:color="auto" w:fill="FFFFFF" w:themeFill="background2"/>
          </w:tcPr>
          <w:p w14:paraId="4917DF4A" w14:textId="77777777" w:rsidR="00174683" w:rsidRDefault="00174683" w:rsidP="006544B5">
            <w:pPr>
              <w:pStyle w:val="Body"/>
              <w:rPr>
                <w:noProof/>
                <w:color w:val="FFFFFF" w:themeColor="background2"/>
              </w:rPr>
            </w:pPr>
          </w:p>
        </w:tc>
        <w:tc>
          <w:tcPr>
            <w:tcW w:w="926" w:type="pct"/>
            <w:shd w:val="clear" w:color="auto" w:fill="DCD3E2"/>
          </w:tcPr>
          <w:tbl>
            <w:tblPr>
              <w:tblStyle w:val="TableGrid"/>
              <w:tblW w:w="5000" w:type="pct"/>
              <w:tblCellMar>
                <w:left w:w="0" w:type="dxa"/>
                <w:right w:w="0" w:type="dxa"/>
              </w:tblCellMar>
              <w:tblLook w:val="04A0" w:firstRow="1" w:lastRow="0" w:firstColumn="1" w:lastColumn="0" w:noHBand="0" w:noVBand="1"/>
            </w:tblPr>
            <w:tblGrid>
              <w:gridCol w:w="1213"/>
            </w:tblGrid>
            <w:tr w:rsidR="00174683" w14:paraId="6729175D" w14:textId="77777777" w:rsidTr="00F343D4">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33DE0315" w14:textId="1C60C237" w:rsidR="00174683" w:rsidRDefault="00174683" w:rsidP="00F343D4">
                  <w:pPr>
                    <w:pStyle w:val="H4"/>
                    <w:spacing w:before="40" w:after="40"/>
                    <w:ind w:left="113" w:right="113"/>
                    <w:rPr>
                      <w:color w:val="5E2F7E" w:themeColor="accent5"/>
                    </w:rPr>
                  </w:pPr>
                  <w:r>
                    <w:rPr>
                      <w:color w:val="5E2F7E" w:themeColor="accent5"/>
                    </w:rPr>
                    <w:t>Corporate Plan 2020</w:t>
                  </w:r>
                  <w:r w:rsidR="005450A6">
                    <w:rPr>
                      <w:color w:val="5E2F7E" w:themeColor="accent5"/>
                    </w:rPr>
                    <w:t>–</w:t>
                  </w:r>
                  <w:r>
                    <w:rPr>
                      <w:color w:val="5E2F7E" w:themeColor="accent5"/>
                    </w:rPr>
                    <w:t>21</w:t>
                  </w:r>
                </w:p>
              </w:tc>
            </w:tr>
          </w:tbl>
          <w:p w14:paraId="2E7249B7" w14:textId="04A1C928" w:rsidR="00174683" w:rsidRPr="00181E61" w:rsidRDefault="00174683" w:rsidP="006544B5">
            <w:pPr>
              <w:pStyle w:val="H4"/>
              <w:spacing w:before="120" w:after="120"/>
              <w:rPr>
                <w:color w:val="5E2F7E" w:themeColor="accent5"/>
              </w:rPr>
            </w:pPr>
          </w:p>
        </w:tc>
        <w:tc>
          <w:tcPr>
            <w:tcW w:w="279" w:type="pct"/>
            <w:vMerge/>
            <w:tcBorders>
              <w:right w:val="single" w:sz="18" w:space="0" w:color="5E2F7E" w:themeColor="accent5"/>
            </w:tcBorders>
            <w:shd w:val="clear" w:color="auto" w:fill="FFFFFF" w:themeFill="background2"/>
          </w:tcPr>
          <w:p w14:paraId="7182BFC7" w14:textId="77777777" w:rsidR="00174683" w:rsidRDefault="00174683" w:rsidP="006544B5">
            <w:pPr>
              <w:pStyle w:val="H4"/>
              <w:spacing w:before="120" w:after="120"/>
            </w:pPr>
          </w:p>
        </w:tc>
        <w:tc>
          <w:tcPr>
            <w:tcW w:w="1756" w:type="pct"/>
            <w:tcBorders>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29"/>
              <w:gridCol w:w="1229"/>
            </w:tblGrid>
            <w:tr w:rsidR="00174683" w:rsidRPr="00A137B9" w14:paraId="4594C100" w14:textId="77777777" w:rsidTr="006544B5">
              <w:tc>
                <w:tcPr>
                  <w:tcW w:w="2500" w:type="pct"/>
                  <w:shd w:val="clear" w:color="auto" w:fill="FFFFFF" w:themeFill="background2"/>
                </w:tcPr>
                <w:p w14:paraId="3C6C17CA" w14:textId="02A5F00A" w:rsidR="00174683" w:rsidRPr="00A137B9" w:rsidRDefault="00174683" w:rsidP="00174683">
                  <w:pPr>
                    <w:pStyle w:val="Body-Financial"/>
                    <w:spacing w:before="120" w:after="0"/>
                  </w:pPr>
                  <w:r w:rsidRPr="00A137B9">
                    <w:rPr>
                      <w:b/>
                      <w:bCs/>
                    </w:rPr>
                    <w:t>Strategic objective 1</w:t>
                  </w:r>
                  <w:r>
                    <w:br/>
                  </w:r>
                  <w:r w:rsidRPr="009A17F6">
                    <w:t>Perform IHPA pricing</w:t>
                  </w:r>
                  <w:r w:rsidR="00D10CAB">
                    <w:t> </w:t>
                  </w:r>
                  <w:r w:rsidRPr="009A17F6">
                    <w:t>functions</w:t>
                  </w:r>
                </w:p>
              </w:tc>
              <w:tc>
                <w:tcPr>
                  <w:tcW w:w="2500" w:type="pct"/>
                  <w:shd w:val="clear" w:color="auto" w:fill="FFFFFF" w:themeFill="background2"/>
                </w:tcPr>
                <w:p w14:paraId="19D96F6F" w14:textId="57D22B2B" w:rsidR="00174683" w:rsidRPr="00A137B9" w:rsidRDefault="00174683" w:rsidP="00174683">
                  <w:pPr>
                    <w:pStyle w:val="Body-Financial"/>
                    <w:spacing w:before="120" w:after="0"/>
                  </w:pPr>
                  <w:r w:rsidRPr="009A17F6">
                    <w:t>Activity 1:</w:t>
                  </w:r>
                  <w:r w:rsidRPr="009A17F6">
                    <w:br/>
                    <w:t>Perform IHPA pricing</w:t>
                  </w:r>
                  <w:r w:rsidR="00D10CAB">
                    <w:t> </w:t>
                  </w:r>
                  <w:r w:rsidRPr="009A17F6">
                    <w:t>functions</w:t>
                  </w:r>
                </w:p>
              </w:tc>
            </w:tr>
          </w:tbl>
          <w:p w14:paraId="40042E61" w14:textId="77777777" w:rsidR="00174683" w:rsidRPr="00A137B9" w:rsidRDefault="00174683" w:rsidP="006544B5">
            <w:pPr>
              <w:pStyle w:val="Body-Financial"/>
              <w:spacing w:after="0"/>
              <w:rPr>
                <w:b/>
                <w:bCs/>
              </w:rPr>
            </w:pPr>
          </w:p>
        </w:tc>
      </w:tr>
      <w:tr w:rsidR="00BB7C84" w14:paraId="2C943A35" w14:textId="77777777" w:rsidTr="00BB7C84">
        <w:trPr>
          <w:cnfStyle w:val="100000000000" w:firstRow="1" w:lastRow="0" w:firstColumn="0" w:lastColumn="0" w:oddVBand="0" w:evenVBand="0" w:oddHBand="0" w:evenHBand="0" w:firstRowFirstColumn="0" w:firstRowLastColumn="0" w:lastRowFirstColumn="0" w:lastRowLastColumn="0"/>
          <w:trHeight w:val="3250"/>
        </w:trPr>
        <w:tc>
          <w:tcPr>
            <w:tcW w:w="1761" w:type="pct"/>
            <w:shd w:val="clear" w:color="auto" w:fill="DCD3E2"/>
          </w:tcPr>
          <w:p w14:paraId="2D4104FA" w14:textId="77777777" w:rsidR="00174683" w:rsidRPr="00521543" w:rsidRDefault="00174683" w:rsidP="006544B5">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3268BBF8" w14:textId="120BD513" w:rsidR="00174683" w:rsidRPr="009A17F6" w:rsidRDefault="005919CF" w:rsidP="006544B5">
            <w:pPr>
              <w:pStyle w:val="Body"/>
              <w:spacing w:before="120"/>
              <w:rPr>
                <w:sz w:val="16"/>
                <w:szCs w:val="16"/>
              </w:rPr>
            </w:pPr>
            <w:r w:rsidRPr="00174683">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r>
              <w:rPr>
                <w:sz w:val="16"/>
                <w:szCs w:val="16"/>
              </w:rPr>
              <w:t>.</w:t>
            </w:r>
          </w:p>
        </w:tc>
        <w:tc>
          <w:tcPr>
            <w:tcW w:w="278" w:type="pct"/>
            <w:shd w:val="clear" w:color="auto" w:fill="FFFFFF" w:themeFill="background2"/>
          </w:tcPr>
          <w:p w14:paraId="76FFE811" w14:textId="77777777" w:rsidR="00174683" w:rsidRDefault="00174683" w:rsidP="006544B5">
            <w:pPr>
              <w:pStyle w:val="Body"/>
            </w:pPr>
          </w:p>
        </w:tc>
        <w:tc>
          <w:tcPr>
            <w:tcW w:w="926" w:type="pct"/>
            <w:shd w:val="clear" w:color="auto" w:fill="DCD3E2"/>
          </w:tcPr>
          <w:p w14:paraId="5276BF3F" w14:textId="77777777" w:rsidR="00174683" w:rsidRDefault="00174683" w:rsidP="006544B5">
            <w:pPr>
              <w:pStyle w:val="Body"/>
            </w:pPr>
          </w:p>
        </w:tc>
        <w:tc>
          <w:tcPr>
            <w:tcW w:w="279" w:type="pct"/>
            <w:tcBorders>
              <w:right w:val="single" w:sz="18" w:space="0" w:color="5E2F7E" w:themeColor="accent5"/>
            </w:tcBorders>
            <w:shd w:val="clear" w:color="auto" w:fill="FFFFFF" w:themeFill="background2"/>
          </w:tcPr>
          <w:p w14:paraId="3093C375" w14:textId="77777777" w:rsidR="00174683" w:rsidRDefault="00174683" w:rsidP="006544B5">
            <w:pPr>
              <w:pStyle w:val="Body"/>
            </w:pPr>
          </w:p>
        </w:tc>
        <w:tc>
          <w:tcPr>
            <w:tcW w:w="1756" w:type="pct"/>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2FBE24BD" w14:textId="77777777" w:rsidR="00174683" w:rsidRDefault="00174683" w:rsidP="006544B5">
            <w:pPr>
              <w:pStyle w:val="Body"/>
            </w:pPr>
          </w:p>
        </w:tc>
      </w:tr>
    </w:tbl>
    <w:p w14:paraId="7E1C2442" w14:textId="3D03362B" w:rsidR="000A73F3" w:rsidRDefault="000A73F3" w:rsidP="0004038E">
      <w:pPr>
        <w:pStyle w:val="Body"/>
      </w:pPr>
    </w:p>
    <w:p w14:paraId="0AAB9F1B" w14:textId="77777777" w:rsidR="0028582D" w:rsidRDefault="0028582D" w:rsidP="0004038E">
      <w:pPr>
        <w:pStyle w:val="Body"/>
        <w:sectPr w:rsidR="0028582D" w:rsidSect="009A17F6">
          <w:footerReference w:type="default" r:id="rId138"/>
          <w:pgSz w:w="9979" w:h="14175"/>
          <w:pgMar w:top="993" w:right="1134" w:bottom="1134" w:left="1134" w:header="709" w:footer="709" w:gutter="0"/>
          <w:cols w:space="708"/>
          <w:docGrid w:linePitch="360"/>
        </w:sectPr>
      </w:pPr>
    </w:p>
    <w:p w14:paraId="3C05C444" w14:textId="0309ACD6" w:rsidR="0028582D" w:rsidRPr="005D1A5D" w:rsidRDefault="00D10CAB" w:rsidP="0028582D">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751424" behindDoc="1" locked="0" layoutInCell="1" allowOverlap="1" wp14:anchorId="25385274" wp14:editId="56893BEB">
                <wp:simplePos x="0" y="0"/>
                <wp:positionH relativeFrom="column">
                  <wp:posOffset>-120015</wp:posOffset>
                </wp:positionH>
                <wp:positionV relativeFrom="paragraph">
                  <wp:posOffset>-20002</wp:posOffset>
                </wp:positionV>
                <wp:extent cx="5069434" cy="5957887"/>
                <wp:effectExtent l="0" t="0" r="17145" b="24130"/>
                <wp:wrapNone/>
                <wp:docPr id="105" name="Rectangle 10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434" cy="5957887"/>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A2CA63" id="Rectangle 105" o:spid="_x0000_s1026" alt="&quot;&quot;" style="position:absolute;margin-left:-9.45pt;margin-top:-1.55pt;width:399.15pt;height:469.1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" filled="f" strokecolor="#7030a0" strokeweight=".5pt"/>
            </w:pict>
          </mc:Fallback>
        </mc:AlternateContent>
      </w:r>
      <w:r w:rsidR="0028582D" w:rsidRPr="005D1A5D">
        <w:rPr>
          <w:color w:val="5E2F7E" w:themeColor="accent5"/>
          <w:sz w:val="28"/>
          <w:szCs w:val="28"/>
        </w:rPr>
        <w:t xml:space="preserve">Results </w:t>
      </w:r>
    </w:p>
    <w:p w14:paraId="444737A6" w14:textId="77777777" w:rsidR="0028582D" w:rsidRPr="004E67F4" w:rsidRDefault="0028582D" w:rsidP="0028582D">
      <w:pPr>
        <w:pStyle w:val="FigureHeading"/>
      </w:pPr>
      <w:bookmarkStart w:id="108" w:name="_Toc82510939"/>
      <w:r>
        <w:t>Table 3</w:t>
      </w:r>
      <w:r w:rsidRPr="007F5C9E">
        <w:t xml:space="preserve">: Summary of Performance for </w:t>
      </w:r>
      <w:r w:rsidRPr="0072208F">
        <w:t>Activity 1</w:t>
      </w:r>
      <w:r>
        <w:t xml:space="preserve"> in </w:t>
      </w:r>
      <w:r w:rsidRPr="007F5C9E">
        <w:t>2020–21</w:t>
      </w:r>
      <w:bookmarkEnd w:id="108"/>
    </w:p>
    <w:tbl>
      <w:tblPr>
        <w:tblStyle w:val="IHPATable"/>
        <w:tblW w:w="7658" w:type="dxa"/>
        <w:tblLayout w:type="fixed"/>
        <w:tblLook w:val="0020" w:firstRow="1" w:lastRow="0" w:firstColumn="0" w:lastColumn="0" w:noHBand="0" w:noVBand="0"/>
        <w:tblCaption w:val="Table 3"/>
        <w:tblDescription w:val="Summary of Performance for Activity 1: Perform IHPA pricing functions"/>
      </w:tblPr>
      <w:tblGrid>
        <w:gridCol w:w="5951"/>
        <w:gridCol w:w="1707"/>
      </w:tblGrid>
      <w:tr w:rsidR="0028582D" w:rsidRPr="004E67F4" w14:paraId="4A583912" w14:textId="77777777" w:rsidTr="00316E60">
        <w:trPr>
          <w:cnfStyle w:val="100000000000" w:firstRow="1" w:lastRow="0" w:firstColumn="0" w:lastColumn="0" w:oddVBand="0" w:evenVBand="0" w:oddHBand="0" w:evenHBand="0" w:firstRowFirstColumn="0" w:firstRowLastColumn="0" w:lastRowFirstColumn="0" w:lastRowLastColumn="0"/>
          <w:trHeight w:val="46"/>
        </w:trPr>
        <w:tc>
          <w:tcPr>
            <w:tcW w:w="7658" w:type="dxa"/>
            <w:gridSpan w:val="2"/>
            <w:shd w:val="clear" w:color="auto" w:fill="5E2F7E" w:themeFill="accent5"/>
          </w:tcPr>
          <w:p w14:paraId="7B2EB810" w14:textId="77777777" w:rsidR="0028582D" w:rsidRPr="004E67F4" w:rsidRDefault="0028582D" w:rsidP="00C757AB">
            <w:pPr>
              <w:spacing w:before="120" w:after="120"/>
              <w:rPr>
                <w:rFonts w:ascii="Futura PT Book" w:hAnsi="Futura PT Book" w:cs="Futura PT Book"/>
                <w:b/>
                <w:bCs/>
                <w:szCs w:val="18"/>
                <w:lang w:val="en-US"/>
              </w:rPr>
            </w:pPr>
            <w:r w:rsidRPr="007F5C9E">
              <w:rPr>
                <w:b/>
                <w:bCs/>
                <w:szCs w:val="18"/>
                <w:lang w:val="en-US"/>
              </w:rPr>
              <w:t>Summary of Performance for Activity 1: Perform IHPA pricing functions</w:t>
            </w:r>
          </w:p>
        </w:tc>
      </w:tr>
      <w:tr w:rsidR="005919CF" w:rsidRPr="004E67F4" w14:paraId="1C3F4E30" w14:textId="77777777" w:rsidTr="00316E60">
        <w:trPr>
          <w:cnfStyle w:val="000000100000" w:firstRow="0" w:lastRow="0" w:firstColumn="0" w:lastColumn="0" w:oddVBand="0" w:evenVBand="0" w:oddHBand="1" w:evenHBand="0" w:firstRowFirstColumn="0" w:firstRowLastColumn="0" w:lastRowFirstColumn="0" w:lastRowLastColumn="0"/>
          <w:trHeight w:val="46"/>
        </w:trPr>
        <w:tc>
          <w:tcPr>
            <w:tcW w:w="5951" w:type="dxa"/>
          </w:tcPr>
          <w:p w14:paraId="359239BD" w14:textId="3E1F301B" w:rsidR="005919CF" w:rsidRPr="004E67F4" w:rsidRDefault="005919CF" w:rsidP="00C757AB">
            <w:pPr>
              <w:spacing w:before="120" w:after="120"/>
              <w:rPr>
                <w:color w:val="1C1C1C"/>
                <w:sz w:val="16"/>
                <w:szCs w:val="16"/>
              </w:rPr>
            </w:pPr>
            <w:r w:rsidRPr="004E67F4">
              <w:rPr>
                <w:color w:val="1C1C1C"/>
                <w:sz w:val="16"/>
                <w:szCs w:val="16"/>
              </w:rPr>
              <w:t>Publish the Pricing Framework for Australian Public Hospital Services 2021–22 by December</w:t>
            </w:r>
            <w:r>
              <w:rPr>
                <w:color w:val="1C1C1C"/>
                <w:sz w:val="16"/>
                <w:szCs w:val="16"/>
              </w:rPr>
              <w:t> </w:t>
            </w:r>
            <w:r w:rsidRPr="004E67F4">
              <w:rPr>
                <w:color w:val="1C1C1C"/>
                <w:sz w:val="16"/>
                <w:szCs w:val="16"/>
              </w:rPr>
              <w:t>2020</w:t>
            </w:r>
            <w:r w:rsidR="00D5016A">
              <w:rPr>
                <w:rFonts w:ascii="ZWAdobeF" w:hAnsi="ZWAdobeF" w:cs="ZWAdobeF"/>
                <w:sz w:val="2"/>
                <w:szCs w:val="2"/>
              </w:rPr>
              <w:t>3</w:t>
            </w:r>
            <w:r>
              <w:rPr>
                <w:rStyle w:val="FootnoteReference"/>
                <w:color w:val="1C1C1C"/>
                <w:sz w:val="16"/>
                <w:szCs w:val="16"/>
              </w:rPr>
              <w:footnoteReference w:id="4"/>
            </w:r>
          </w:p>
        </w:tc>
        <w:tc>
          <w:tcPr>
            <w:tcW w:w="1707" w:type="dxa"/>
          </w:tcPr>
          <w:p w14:paraId="45BDC51A" w14:textId="77777777" w:rsidR="005919CF" w:rsidRPr="004E67F4" w:rsidRDefault="005919CF" w:rsidP="00C757AB">
            <w:pPr>
              <w:spacing w:before="120" w:after="120"/>
              <w:jc w:val="right"/>
              <w:rPr>
                <w:color w:val="1C1C1C"/>
                <w:sz w:val="16"/>
                <w:szCs w:val="16"/>
              </w:rPr>
            </w:pPr>
            <w:r w:rsidRPr="004E67F4">
              <w:rPr>
                <w:color w:val="1C1C1C"/>
                <w:sz w:val="16"/>
                <w:szCs w:val="16"/>
              </w:rPr>
              <w:t>Delivered</w:t>
            </w:r>
          </w:p>
        </w:tc>
      </w:tr>
      <w:tr w:rsidR="005919CF" w:rsidRPr="004E67F4" w14:paraId="15F50F5A" w14:textId="77777777" w:rsidTr="00316E60">
        <w:trPr>
          <w:cnfStyle w:val="000000010000" w:firstRow="0" w:lastRow="0" w:firstColumn="0" w:lastColumn="0" w:oddVBand="0" w:evenVBand="0" w:oddHBand="0" w:evenHBand="1" w:firstRowFirstColumn="0" w:firstRowLastColumn="0" w:lastRowFirstColumn="0" w:lastRowLastColumn="0"/>
          <w:trHeight w:val="46"/>
        </w:trPr>
        <w:tc>
          <w:tcPr>
            <w:tcW w:w="5951" w:type="dxa"/>
          </w:tcPr>
          <w:p w14:paraId="43A755D0" w14:textId="66563A91" w:rsidR="005919CF" w:rsidRPr="004E67F4" w:rsidRDefault="005919CF" w:rsidP="00C757AB">
            <w:pPr>
              <w:spacing w:before="120" w:after="120"/>
              <w:rPr>
                <w:color w:val="1C1C1C"/>
                <w:sz w:val="16"/>
                <w:szCs w:val="16"/>
              </w:rPr>
            </w:pPr>
            <w:r w:rsidRPr="007C5D22">
              <w:rPr>
                <w:color w:val="1C1C1C"/>
                <w:sz w:val="16"/>
                <w:szCs w:val="16"/>
              </w:rPr>
              <w:t xml:space="preserve">Completion of Nationally Funded </w:t>
            </w:r>
            <w:proofErr w:type="spellStart"/>
            <w:r w:rsidRPr="007C5D22">
              <w:rPr>
                <w:color w:val="1C1C1C"/>
                <w:sz w:val="16"/>
                <w:szCs w:val="16"/>
              </w:rPr>
              <w:t>Centres</w:t>
            </w:r>
            <w:proofErr w:type="spellEnd"/>
            <w:r w:rsidRPr="007C5D22">
              <w:rPr>
                <w:color w:val="1C1C1C"/>
                <w:sz w:val="16"/>
                <w:szCs w:val="16"/>
              </w:rPr>
              <w:t xml:space="preserve"> Program pricing and costing study</w:t>
            </w:r>
            <w:r>
              <w:rPr>
                <w:color w:val="1C1C1C"/>
                <w:sz w:val="16"/>
                <w:szCs w:val="16"/>
              </w:rPr>
              <w:t xml:space="preserve"> by January</w:t>
            </w:r>
            <w:r w:rsidR="0009119B">
              <w:rPr>
                <w:color w:val="1C1C1C"/>
                <w:sz w:val="16"/>
                <w:szCs w:val="16"/>
              </w:rPr>
              <w:t> </w:t>
            </w:r>
            <w:r>
              <w:rPr>
                <w:color w:val="1C1C1C"/>
                <w:sz w:val="16"/>
                <w:szCs w:val="16"/>
              </w:rPr>
              <w:t>202</w:t>
            </w:r>
            <w:r w:rsidR="00B51E6F">
              <w:rPr>
                <w:color w:val="1C1C1C"/>
                <w:sz w:val="16"/>
                <w:szCs w:val="16"/>
              </w:rPr>
              <w:t>1</w:t>
            </w:r>
          </w:p>
        </w:tc>
        <w:tc>
          <w:tcPr>
            <w:tcW w:w="1707" w:type="dxa"/>
          </w:tcPr>
          <w:p w14:paraId="0593E641" w14:textId="14ABEAA9" w:rsidR="005919CF" w:rsidRPr="004E67F4" w:rsidRDefault="005919CF" w:rsidP="00C757AB">
            <w:pPr>
              <w:spacing w:before="120" w:after="120"/>
              <w:jc w:val="right"/>
              <w:rPr>
                <w:color w:val="1C1C1C"/>
                <w:sz w:val="16"/>
                <w:szCs w:val="16"/>
              </w:rPr>
            </w:pPr>
            <w:r>
              <w:rPr>
                <w:color w:val="1C1C1C"/>
                <w:sz w:val="16"/>
                <w:szCs w:val="16"/>
              </w:rPr>
              <w:t>Delivered</w:t>
            </w:r>
          </w:p>
        </w:tc>
      </w:tr>
      <w:tr w:rsidR="005919CF" w:rsidRPr="004E67F4" w14:paraId="4AE52B33" w14:textId="77777777" w:rsidTr="00316E60">
        <w:trPr>
          <w:cnfStyle w:val="000000100000" w:firstRow="0" w:lastRow="0" w:firstColumn="0" w:lastColumn="0" w:oddVBand="0" w:evenVBand="0" w:oddHBand="1" w:evenHBand="0" w:firstRowFirstColumn="0" w:firstRowLastColumn="0" w:lastRowFirstColumn="0" w:lastRowLastColumn="0"/>
          <w:trHeight w:val="46"/>
        </w:trPr>
        <w:tc>
          <w:tcPr>
            <w:tcW w:w="5951" w:type="dxa"/>
          </w:tcPr>
          <w:p w14:paraId="755AAAF6" w14:textId="4194C31A" w:rsidR="005919CF" w:rsidRPr="004E67F4" w:rsidRDefault="005919CF" w:rsidP="00C757AB">
            <w:pPr>
              <w:spacing w:before="120" w:after="120"/>
              <w:rPr>
                <w:color w:val="1C1C1C"/>
                <w:sz w:val="16"/>
                <w:szCs w:val="16"/>
              </w:rPr>
            </w:pPr>
            <w:proofErr w:type="spellStart"/>
            <w:r w:rsidRPr="004E67F4">
              <w:rPr>
                <w:color w:val="1C1C1C"/>
                <w:sz w:val="16"/>
                <w:szCs w:val="16"/>
              </w:rPr>
              <w:t>Finalise</w:t>
            </w:r>
            <w:proofErr w:type="spellEnd"/>
            <w:r w:rsidRPr="004E67F4">
              <w:rPr>
                <w:color w:val="1C1C1C"/>
                <w:sz w:val="16"/>
                <w:szCs w:val="16"/>
              </w:rPr>
              <w:t xml:space="preserve"> decisions on the General List of In-Scope Public Hospital Services for additional or altered in-scope services for 2021–22 by December 2020</w:t>
            </w:r>
          </w:p>
        </w:tc>
        <w:tc>
          <w:tcPr>
            <w:tcW w:w="1707" w:type="dxa"/>
          </w:tcPr>
          <w:p w14:paraId="325D9335" w14:textId="130C9978" w:rsidR="005919CF" w:rsidRPr="004E67F4" w:rsidRDefault="005919CF" w:rsidP="00C757AB">
            <w:pPr>
              <w:spacing w:before="120" w:after="120"/>
              <w:jc w:val="right"/>
              <w:rPr>
                <w:color w:val="1C1C1C"/>
                <w:sz w:val="16"/>
                <w:szCs w:val="16"/>
              </w:rPr>
            </w:pPr>
            <w:r w:rsidRPr="004E67F4">
              <w:rPr>
                <w:color w:val="1C1C1C"/>
                <w:sz w:val="16"/>
                <w:szCs w:val="16"/>
              </w:rPr>
              <w:t>Delivered</w:t>
            </w:r>
          </w:p>
        </w:tc>
      </w:tr>
      <w:tr w:rsidR="005919CF" w:rsidRPr="004E67F4" w14:paraId="1625236B" w14:textId="77777777" w:rsidTr="00316E60">
        <w:trPr>
          <w:cnfStyle w:val="000000010000" w:firstRow="0" w:lastRow="0" w:firstColumn="0" w:lastColumn="0" w:oddVBand="0" w:evenVBand="0" w:oddHBand="0" w:evenHBand="1" w:firstRowFirstColumn="0" w:firstRowLastColumn="0" w:lastRowFirstColumn="0" w:lastRowLastColumn="0"/>
          <w:trHeight w:val="46"/>
        </w:trPr>
        <w:tc>
          <w:tcPr>
            <w:tcW w:w="5951" w:type="dxa"/>
          </w:tcPr>
          <w:p w14:paraId="3890BF9E" w14:textId="77777777" w:rsidR="005919CF" w:rsidRPr="003020AC" w:rsidRDefault="005919CF" w:rsidP="00C757AB">
            <w:pPr>
              <w:spacing w:before="120" w:after="120"/>
              <w:rPr>
                <w:color w:val="1C1C1C"/>
                <w:sz w:val="16"/>
                <w:szCs w:val="16"/>
              </w:rPr>
            </w:pPr>
            <w:proofErr w:type="spellStart"/>
            <w:r w:rsidRPr="003020AC">
              <w:rPr>
                <w:color w:val="1C1C1C"/>
                <w:sz w:val="16"/>
                <w:szCs w:val="16"/>
              </w:rPr>
              <w:t>Finalise</w:t>
            </w:r>
            <w:proofErr w:type="spellEnd"/>
            <w:r w:rsidRPr="003020AC">
              <w:rPr>
                <w:color w:val="1C1C1C"/>
                <w:sz w:val="16"/>
                <w:szCs w:val="16"/>
              </w:rPr>
              <w:t xml:space="preserve"> decisions on the legitimate and unavoidable cost variations to assess</w:t>
            </w:r>
          </w:p>
          <w:p w14:paraId="54B7204A" w14:textId="182FB61B" w:rsidR="005919CF" w:rsidRPr="004E67F4" w:rsidRDefault="005919CF" w:rsidP="00C757AB">
            <w:pPr>
              <w:spacing w:before="120" w:after="120"/>
              <w:rPr>
                <w:color w:val="1C1C1C"/>
                <w:sz w:val="16"/>
                <w:szCs w:val="16"/>
              </w:rPr>
            </w:pPr>
            <w:r w:rsidRPr="003020AC">
              <w:rPr>
                <w:color w:val="1C1C1C"/>
                <w:sz w:val="16"/>
                <w:szCs w:val="16"/>
              </w:rPr>
              <w:t>changes or adjustments to the National Effici</w:t>
            </w:r>
            <w:r>
              <w:rPr>
                <w:color w:val="1C1C1C"/>
                <w:sz w:val="16"/>
                <w:szCs w:val="16"/>
              </w:rPr>
              <w:t>ent Price Determination 2021−22 by December</w:t>
            </w:r>
            <w:r w:rsidR="0009119B">
              <w:rPr>
                <w:color w:val="1C1C1C"/>
                <w:sz w:val="16"/>
                <w:szCs w:val="16"/>
              </w:rPr>
              <w:t> </w:t>
            </w:r>
            <w:r>
              <w:rPr>
                <w:color w:val="1C1C1C"/>
                <w:sz w:val="16"/>
                <w:szCs w:val="16"/>
              </w:rPr>
              <w:t>2020</w:t>
            </w:r>
          </w:p>
        </w:tc>
        <w:tc>
          <w:tcPr>
            <w:tcW w:w="1707" w:type="dxa"/>
          </w:tcPr>
          <w:p w14:paraId="105E8BC8" w14:textId="2BABA952" w:rsidR="005919CF" w:rsidRPr="004E67F4" w:rsidRDefault="005919CF" w:rsidP="00C757AB">
            <w:pPr>
              <w:spacing w:before="120" w:after="120"/>
              <w:jc w:val="right"/>
              <w:rPr>
                <w:color w:val="1C1C1C"/>
                <w:sz w:val="16"/>
                <w:szCs w:val="16"/>
              </w:rPr>
            </w:pPr>
            <w:r>
              <w:rPr>
                <w:color w:val="1C1C1C"/>
                <w:sz w:val="16"/>
                <w:szCs w:val="16"/>
              </w:rPr>
              <w:t>Delivered</w:t>
            </w:r>
          </w:p>
        </w:tc>
      </w:tr>
      <w:tr w:rsidR="005919CF" w:rsidRPr="004E67F4" w14:paraId="1FEB5E62" w14:textId="77777777" w:rsidTr="00316E60">
        <w:trPr>
          <w:cnfStyle w:val="000000100000" w:firstRow="0" w:lastRow="0" w:firstColumn="0" w:lastColumn="0" w:oddVBand="0" w:evenVBand="0" w:oddHBand="1" w:evenHBand="0" w:firstRowFirstColumn="0" w:firstRowLastColumn="0" w:lastRowFirstColumn="0" w:lastRowLastColumn="0"/>
          <w:trHeight w:val="46"/>
        </w:trPr>
        <w:tc>
          <w:tcPr>
            <w:tcW w:w="5951" w:type="dxa"/>
          </w:tcPr>
          <w:p w14:paraId="29CC7658" w14:textId="144968EE" w:rsidR="005919CF" w:rsidRPr="004E67F4" w:rsidRDefault="005919CF" w:rsidP="00C757AB">
            <w:pPr>
              <w:spacing w:before="120" w:after="120"/>
              <w:rPr>
                <w:color w:val="1C1C1C"/>
                <w:sz w:val="16"/>
                <w:szCs w:val="16"/>
              </w:rPr>
            </w:pPr>
            <w:r w:rsidRPr="004E67F4">
              <w:rPr>
                <w:color w:val="1C1C1C"/>
                <w:sz w:val="16"/>
                <w:szCs w:val="16"/>
              </w:rPr>
              <w:t xml:space="preserve">Publish the National Efficient Price and National Efficient Cost Determinations </w:t>
            </w:r>
            <w:r>
              <w:rPr>
                <w:color w:val="1C1C1C"/>
                <w:sz w:val="16"/>
                <w:szCs w:val="16"/>
              </w:rPr>
              <w:t xml:space="preserve">2021–22 </w:t>
            </w:r>
            <w:r w:rsidRPr="004E67F4">
              <w:rPr>
                <w:color w:val="1C1C1C"/>
                <w:sz w:val="16"/>
                <w:szCs w:val="16"/>
              </w:rPr>
              <w:t>by March 2021</w:t>
            </w:r>
          </w:p>
        </w:tc>
        <w:tc>
          <w:tcPr>
            <w:tcW w:w="1707" w:type="dxa"/>
          </w:tcPr>
          <w:p w14:paraId="23E4E9D5" w14:textId="54A0B054" w:rsidR="005919CF" w:rsidRPr="004E67F4" w:rsidRDefault="005919CF" w:rsidP="00C757AB">
            <w:pPr>
              <w:spacing w:before="120" w:after="120"/>
              <w:jc w:val="right"/>
              <w:rPr>
                <w:color w:val="1C1C1C"/>
                <w:sz w:val="16"/>
                <w:szCs w:val="16"/>
              </w:rPr>
            </w:pPr>
            <w:r w:rsidRPr="004E67F4">
              <w:rPr>
                <w:color w:val="1C1C1C"/>
                <w:sz w:val="16"/>
                <w:szCs w:val="16"/>
              </w:rPr>
              <w:t>Delivered</w:t>
            </w:r>
          </w:p>
        </w:tc>
      </w:tr>
      <w:tr w:rsidR="005919CF" w:rsidRPr="004E67F4" w14:paraId="03D08EA9" w14:textId="77777777" w:rsidTr="00316E60">
        <w:trPr>
          <w:cnfStyle w:val="000000010000" w:firstRow="0" w:lastRow="0" w:firstColumn="0" w:lastColumn="0" w:oddVBand="0" w:evenVBand="0" w:oddHBand="0" w:evenHBand="1" w:firstRowFirstColumn="0" w:firstRowLastColumn="0" w:lastRowFirstColumn="0" w:lastRowLastColumn="0"/>
          <w:trHeight w:val="46"/>
        </w:trPr>
        <w:tc>
          <w:tcPr>
            <w:tcW w:w="5951" w:type="dxa"/>
          </w:tcPr>
          <w:p w14:paraId="23908C73" w14:textId="6200CE17" w:rsidR="005919CF" w:rsidRPr="004E67F4" w:rsidRDefault="005919CF" w:rsidP="00C757AB">
            <w:pPr>
              <w:spacing w:before="120" w:after="120"/>
              <w:rPr>
                <w:color w:val="1C1C1C"/>
                <w:sz w:val="16"/>
                <w:szCs w:val="16"/>
              </w:rPr>
            </w:pPr>
            <w:r w:rsidRPr="004E67F4">
              <w:rPr>
                <w:color w:val="1C1C1C"/>
                <w:sz w:val="16"/>
                <w:szCs w:val="16"/>
              </w:rPr>
              <w:t>Complete review of the recommendations provided in the Fundamental Review by March</w:t>
            </w:r>
            <w:r>
              <w:rPr>
                <w:color w:val="1C1C1C"/>
                <w:sz w:val="16"/>
                <w:szCs w:val="16"/>
              </w:rPr>
              <w:t> </w:t>
            </w:r>
            <w:r w:rsidRPr="004E67F4">
              <w:rPr>
                <w:color w:val="1C1C1C"/>
                <w:sz w:val="16"/>
                <w:szCs w:val="16"/>
              </w:rPr>
              <w:t>2021</w:t>
            </w:r>
          </w:p>
        </w:tc>
        <w:tc>
          <w:tcPr>
            <w:tcW w:w="1707" w:type="dxa"/>
          </w:tcPr>
          <w:p w14:paraId="7B68F01D" w14:textId="01DCBF27" w:rsidR="005919CF" w:rsidRPr="004E67F4" w:rsidRDefault="005919CF" w:rsidP="00C757AB">
            <w:pPr>
              <w:spacing w:before="120" w:after="120"/>
              <w:jc w:val="right"/>
              <w:rPr>
                <w:color w:val="1C1C1C"/>
                <w:sz w:val="16"/>
                <w:szCs w:val="16"/>
              </w:rPr>
            </w:pPr>
            <w:r w:rsidRPr="004E67F4">
              <w:rPr>
                <w:color w:val="1C1C1C"/>
                <w:sz w:val="16"/>
                <w:szCs w:val="16"/>
              </w:rPr>
              <w:t xml:space="preserve"> Ongoing</w:t>
            </w:r>
          </w:p>
        </w:tc>
      </w:tr>
      <w:tr w:rsidR="005919CF" w:rsidRPr="004E67F4" w14:paraId="44F4233E" w14:textId="77777777" w:rsidTr="00316E60">
        <w:trPr>
          <w:cnfStyle w:val="000000100000" w:firstRow="0" w:lastRow="0" w:firstColumn="0" w:lastColumn="0" w:oddVBand="0" w:evenVBand="0" w:oddHBand="1" w:evenHBand="0" w:firstRowFirstColumn="0" w:firstRowLastColumn="0" w:lastRowFirstColumn="0" w:lastRowLastColumn="0"/>
          <w:trHeight w:val="46"/>
        </w:trPr>
        <w:tc>
          <w:tcPr>
            <w:tcW w:w="5951" w:type="dxa"/>
          </w:tcPr>
          <w:p w14:paraId="72FDA243" w14:textId="1938FBBE" w:rsidR="005919CF" w:rsidRPr="004E67F4" w:rsidRDefault="005919CF" w:rsidP="00C757AB">
            <w:pPr>
              <w:spacing w:before="120" w:after="120"/>
              <w:rPr>
                <w:color w:val="1C1C1C"/>
                <w:sz w:val="16"/>
                <w:szCs w:val="16"/>
              </w:rPr>
            </w:pPr>
            <w:r w:rsidRPr="004E67F4">
              <w:rPr>
                <w:color w:val="1C1C1C"/>
                <w:sz w:val="16"/>
                <w:szCs w:val="16"/>
              </w:rPr>
              <w:t xml:space="preserve">Completion of the shadow period to assess the impact of three funding options to measure avoidable hospital readmissions by </w:t>
            </w:r>
            <w:r>
              <w:rPr>
                <w:color w:val="1C1C1C"/>
                <w:sz w:val="16"/>
                <w:szCs w:val="16"/>
              </w:rPr>
              <w:t>June 2021</w:t>
            </w:r>
          </w:p>
        </w:tc>
        <w:tc>
          <w:tcPr>
            <w:tcW w:w="1707" w:type="dxa"/>
          </w:tcPr>
          <w:p w14:paraId="0746DF60" w14:textId="1B690CC3" w:rsidR="005919CF" w:rsidRPr="004E67F4" w:rsidRDefault="005919CF" w:rsidP="00C757AB">
            <w:pPr>
              <w:spacing w:before="120" w:after="120"/>
              <w:jc w:val="right"/>
              <w:rPr>
                <w:color w:val="1C1C1C"/>
                <w:sz w:val="16"/>
                <w:szCs w:val="16"/>
              </w:rPr>
            </w:pPr>
            <w:r w:rsidRPr="004E67F4">
              <w:rPr>
                <w:color w:val="1C1C1C"/>
                <w:sz w:val="16"/>
                <w:szCs w:val="16"/>
              </w:rPr>
              <w:t>Delivered</w:t>
            </w:r>
          </w:p>
        </w:tc>
      </w:tr>
      <w:tr w:rsidR="005919CF" w:rsidRPr="004E67F4" w14:paraId="4064627E" w14:textId="77777777" w:rsidTr="00316E60">
        <w:trPr>
          <w:cnfStyle w:val="000000010000" w:firstRow="0" w:lastRow="0" w:firstColumn="0" w:lastColumn="0" w:oddVBand="0" w:evenVBand="0" w:oddHBand="0" w:evenHBand="1" w:firstRowFirstColumn="0" w:firstRowLastColumn="0" w:lastRowFirstColumn="0" w:lastRowLastColumn="0"/>
          <w:trHeight w:val="46"/>
        </w:trPr>
        <w:tc>
          <w:tcPr>
            <w:tcW w:w="5951" w:type="dxa"/>
          </w:tcPr>
          <w:p w14:paraId="4F3D2140" w14:textId="1511B14F" w:rsidR="005919CF" w:rsidRPr="004E67F4" w:rsidRDefault="005919CF" w:rsidP="00C757AB">
            <w:pPr>
              <w:spacing w:before="120" w:after="120"/>
              <w:rPr>
                <w:color w:val="1C1C1C"/>
                <w:sz w:val="16"/>
                <w:szCs w:val="16"/>
              </w:rPr>
            </w:pPr>
            <w:r w:rsidRPr="003020AC">
              <w:rPr>
                <w:color w:val="1C1C1C"/>
                <w:sz w:val="16"/>
                <w:szCs w:val="16"/>
              </w:rPr>
              <w:t>Development of a software tool to track avoidable hospital readmissions – Version1.0</w:t>
            </w:r>
            <w:r>
              <w:rPr>
                <w:color w:val="1C1C1C"/>
                <w:sz w:val="16"/>
                <w:szCs w:val="16"/>
              </w:rPr>
              <w:t xml:space="preserve"> by December 2021</w:t>
            </w:r>
          </w:p>
        </w:tc>
        <w:tc>
          <w:tcPr>
            <w:tcW w:w="1707" w:type="dxa"/>
          </w:tcPr>
          <w:p w14:paraId="77317BB9" w14:textId="77777777" w:rsidR="005919CF" w:rsidRPr="004E67F4" w:rsidRDefault="005919CF" w:rsidP="00C757AB">
            <w:pPr>
              <w:spacing w:before="120" w:after="120"/>
              <w:jc w:val="right"/>
              <w:rPr>
                <w:color w:val="1C1C1C"/>
                <w:sz w:val="16"/>
                <w:szCs w:val="16"/>
              </w:rPr>
            </w:pPr>
            <w:r>
              <w:rPr>
                <w:color w:val="1C1C1C"/>
                <w:sz w:val="16"/>
                <w:szCs w:val="16"/>
              </w:rPr>
              <w:t>Ongoing</w:t>
            </w:r>
          </w:p>
        </w:tc>
      </w:tr>
      <w:tr w:rsidR="005919CF" w:rsidRPr="004E67F4" w14:paraId="7FB38DA1" w14:textId="77777777" w:rsidTr="00316E60">
        <w:trPr>
          <w:cnfStyle w:val="000000100000" w:firstRow="0" w:lastRow="0" w:firstColumn="0" w:lastColumn="0" w:oddVBand="0" w:evenVBand="0" w:oddHBand="1" w:evenHBand="0" w:firstRowFirstColumn="0" w:firstRowLastColumn="0" w:lastRowFirstColumn="0" w:lastRowLastColumn="0"/>
          <w:trHeight w:val="46"/>
        </w:trPr>
        <w:tc>
          <w:tcPr>
            <w:tcW w:w="5951" w:type="dxa"/>
          </w:tcPr>
          <w:p w14:paraId="66234008" w14:textId="2DC5CFF7" w:rsidR="005919CF" w:rsidRPr="004E67F4" w:rsidRDefault="005919CF" w:rsidP="00C757AB">
            <w:pPr>
              <w:spacing w:before="120" w:after="120"/>
              <w:rPr>
                <w:color w:val="1C1C1C"/>
                <w:sz w:val="16"/>
                <w:szCs w:val="16"/>
              </w:rPr>
            </w:pPr>
            <w:r w:rsidRPr="004E67F4">
              <w:rPr>
                <w:color w:val="1C1C1C"/>
                <w:sz w:val="16"/>
                <w:szCs w:val="16"/>
              </w:rPr>
              <w:t xml:space="preserve">Provide confidential </w:t>
            </w:r>
            <w:r>
              <w:rPr>
                <w:color w:val="1C1C1C"/>
                <w:sz w:val="16"/>
                <w:szCs w:val="16"/>
              </w:rPr>
              <w:t>national efficient price</w:t>
            </w:r>
            <w:r w:rsidRPr="004E67F4">
              <w:rPr>
                <w:color w:val="1C1C1C"/>
                <w:sz w:val="16"/>
                <w:szCs w:val="16"/>
              </w:rPr>
              <w:t xml:space="preserve"> forecast for future years to jurisdictions by December 2020</w:t>
            </w:r>
          </w:p>
        </w:tc>
        <w:tc>
          <w:tcPr>
            <w:tcW w:w="1707" w:type="dxa"/>
          </w:tcPr>
          <w:p w14:paraId="715C5EF3" w14:textId="77777777" w:rsidR="005919CF" w:rsidRPr="004E67F4" w:rsidRDefault="005919CF" w:rsidP="00C757AB">
            <w:pPr>
              <w:spacing w:before="120" w:after="120"/>
              <w:jc w:val="right"/>
              <w:rPr>
                <w:color w:val="1C1C1C"/>
                <w:sz w:val="16"/>
                <w:szCs w:val="16"/>
              </w:rPr>
            </w:pPr>
            <w:r w:rsidRPr="004E67F4">
              <w:rPr>
                <w:color w:val="1C1C1C"/>
                <w:sz w:val="16"/>
                <w:szCs w:val="16"/>
              </w:rPr>
              <w:t>Delivered</w:t>
            </w:r>
          </w:p>
        </w:tc>
      </w:tr>
      <w:tr w:rsidR="005919CF" w:rsidRPr="004E67F4" w14:paraId="67E5880E" w14:textId="77777777" w:rsidTr="00316E60">
        <w:trPr>
          <w:cnfStyle w:val="000000010000" w:firstRow="0" w:lastRow="0" w:firstColumn="0" w:lastColumn="0" w:oddVBand="0" w:evenVBand="0" w:oddHBand="0" w:evenHBand="1" w:firstRowFirstColumn="0" w:firstRowLastColumn="0" w:lastRowFirstColumn="0" w:lastRowLastColumn="0"/>
          <w:trHeight w:val="46"/>
        </w:trPr>
        <w:tc>
          <w:tcPr>
            <w:tcW w:w="5951" w:type="dxa"/>
          </w:tcPr>
          <w:p w14:paraId="264D5559" w14:textId="4D3F0D93" w:rsidR="005919CF" w:rsidRPr="004E67F4" w:rsidRDefault="005919CF" w:rsidP="00C757AB">
            <w:pPr>
              <w:spacing w:before="120" w:after="120"/>
              <w:rPr>
                <w:color w:val="1C1C1C"/>
                <w:sz w:val="16"/>
                <w:szCs w:val="16"/>
              </w:rPr>
            </w:pPr>
            <w:r w:rsidRPr="004E67F4">
              <w:rPr>
                <w:color w:val="1C1C1C"/>
                <w:sz w:val="16"/>
                <w:szCs w:val="16"/>
              </w:rPr>
              <w:t>Publish the Supplementary National Efficient Cost Determination 2020–21 by December</w:t>
            </w:r>
            <w:r>
              <w:rPr>
                <w:color w:val="1C1C1C"/>
                <w:sz w:val="16"/>
                <w:szCs w:val="16"/>
              </w:rPr>
              <w:t> </w:t>
            </w:r>
            <w:r w:rsidRPr="004E67F4">
              <w:rPr>
                <w:color w:val="1C1C1C"/>
                <w:sz w:val="16"/>
                <w:szCs w:val="16"/>
              </w:rPr>
              <w:t>2020</w:t>
            </w:r>
          </w:p>
        </w:tc>
        <w:tc>
          <w:tcPr>
            <w:tcW w:w="1707" w:type="dxa"/>
          </w:tcPr>
          <w:p w14:paraId="7FCFF48B" w14:textId="77777777" w:rsidR="005919CF" w:rsidRPr="004E67F4" w:rsidRDefault="005919CF" w:rsidP="00C757AB">
            <w:pPr>
              <w:spacing w:before="120" w:after="120"/>
              <w:jc w:val="right"/>
              <w:rPr>
                <w:color w:val="1C1C1C"/>
                <w:sz w:val="16"/>
                <w:szCs w:val="16"/>
              </w:rPr>
            </w:pPr>
            <w:r w:rsidRPr="004E67F4">
              <w:rPr>
                <w:color w:val="1C1C1C"/>
                <w:sz w:val="16"/>
                <w:szCs w:val="16"/>
              </w:rPr>
              <w:t xml:space="preserve">Delivered </w:t>
            </w:r>
          </w:p>
        </w:tc>
      </w:tr>
      <w:tr w:rsidR="005919CF" w:rsidRPr="004E67F4" w14:paraId="33476520" w14:textId="77777777" w:rsidTr="00316E60">
        <w:trPr>
          <w:cnfStyle w:val="000000100000" w:firstRow="0" w:lastRow="0" w:firstColumn="0" w:lastColumn="0" w:oddVBand="0" w:evenVBand="0" w:oddHBand="1" w:evenHBand="0" w:firstRowFirstColumn="0" w:firstRowLastColumn="0" w:lastRowFirstColumn="0" w:lastRowLastColumn="0"/>
          <w:trHeight w:val="46"/>
        </w:trPr>
        <w:tc>
          <w:tcPr>
            <w:tcW w:w="5951" w:type="dxa"/>
          </w:tcPr>
          <w:p w14:paraId="64F8D24B" w14:textId="0F111488" w:rsidR="005919CF" w:rsidRPr="004E67F4" w:rsidRDefault="005919CF" w:rsidP="00C757AB">
            <w:pPr>
              <w:spacing w:before="120" w:after="120"/>
              <w:rPr>
                <w:color w:val="1C1C1C"/>
                <w:sz w:val="16"/>
                <w:szCs w:val="16"/>
              </w:rPr>
            </w:pPr>
            <w:r w:rsidRPr="004E67F4">
              <w:rPr>
                <w:color w:val="1C1C1C"/>
                <w:sz w:val="16"/>
                <w:szCs w:val="16"/>
              </w:rPr>
              <w:t xml:space="preserve">Investigate opportunities to </w:t>
            </w:r>
            <w:proofErr w:type="spellStart"/>
            <w:r w:rsidRPr="004E67F4">
              <w:rPr>
                <w:color w:val="1C1C1C"/>
                <w:sz w:val="16"/>
                <w:szCs w:val="16"/>
              </w:rPr>
              <w:t>harmonise</w:t>
            </w:r>
            <w:proofErr w:type="spellEnd"/>
            <w:r w:rsidRPr="004E67F4">
              <w:rPr>
                <w:color w:val="1C1C1C"/>
                <w:sz w:val="16"/>
                <w:szCs w:val="16"/>
              </w:rPr>
              <w:t xml:space="preserve"> prices across similar same-day services</w:t>
            </w:r>
            <w:r>
              <w:rPr>
                <w:rStyle w:val="FootnoteReference"/>
                <w:color w:val="1C1C1C"/>
                <w:sz w:val="16"/>
                <w:szCs w:val="16"/>
              </w:rPr>
              <w:footnoteReference w:id="5"/>
            </w:r>
          </w:p>
        </w:tc>
        <w:tc>
          <w:tcPr>
            <w:tcW w:w="1707" w:type="dxa"/>
          </w:tcPr>
          <w:p w14:paraId="38A8801B" w14:textId="77777777" w:rsidR="005919CF" w:rsidRPr="004E67F4" w:rsidRDefault="005919CF" w:rsidP="00C757AB">
            <w:pPr>
              <w:spacing w:before="120" w:after="120"/>
              <w:jc w:val="right"/>
              <w:rPr>
                <w:color w:val="1C1C1C"/>
                <w:sz w:val="16"/>
                <w:szCs w:val="16"/>
              </w:rPr>
            </w:pPr>
            <w:r>
              <w:rPr>
                <w:color w:val="1C1C1C"/>
                <w:sz w:val="16"/>
                <w:szCs w:val="16"/>
              </w:rPr>
              <w:t>Delivered</w:t>
            </w:r>
          </w:p>
        </w:tc>
      </w:tr>
    </w:tbl>
    <w:p w14:paraId="186F5B5E" w14:textId="77777777" w:rsidR="00146440" w:rsidRDefault="00146440" w:rsidP="0004038E">
      <w:pPr>
        <w:pStyle w:val="Body"/>
        <w:sectPr w:rsidR="00146440" w:rsidSect="00441579">
          <w:footerReference w:type="default" r:id="rId139"/>
          <w:pgSz w:w="9979" w:h="14175"/>
          <w:pgMar w:top="1134" w:right="1134" w:bottom="1134" w:left="1134" w:header="709" w:footer="709" w:gutter="0"/>
          <w:cols w:space="708"/>
          <w:docGrid w:linePitch="360"/>
        </w:sectPr>
      </w:pPr>
    </w:p>
    <w:p w14:paraId="38FE5991" w14:textId="77777777" w:rsidR="00DF5D28" w:rsidRDefault="00DF5D28" w:rsidP="00153DC1">
      <w:pPr>
        <w:pStyle w:val="Body"/>
        <w:sectPr w:rsidR="00DF5D28" w:rsidSect="00DF5D28">
          <w:type w:val="continuous"/>
          <w:pgSz w:w="9979" w:h="14175"/>
          <w:pgMar w:top="1418" w:right="1134" w:bottom="1134" w:left="1134" w:header="709" w:footer="709" w:gutter="0"/>
          <w:cols w:space="708"/>
          <w:docGrid w:linePitch="360"/>
        </w:sectPr>
      </w:pPr>
    </w:p>
    <w:tbl>
      <w:tblPr>
        <w:tblStyle w:val="TableGrid"/>
        <w:tblW w:w="4994" w:type="pct"/>
        <w:tblCellMar>
          <w:right w:w="142" w:type="dxa"/>
        </w:tblCellMar>
        <w:tblLook w:val="04A0" w:firstRow="1" w:lastRow="0" w:firstColumn="1" w:lastColumn="0" w:noHBand="0" w:noVBand="1"/>
        <w:tblCaption w:val="Table 3"/>
        <w:tblDescription w:val="Performance criteria"/>
      </w:tblPr>
      <w:tblGrid>
        <w:gridCol w:w="2834"/>
        <w:gridCol w:w="427"/>
        <w:gridCol w:w="4441"/>
      </w:tblGrid>
      <w:tr w:rsidR="00DF5D28" w:rsidRPr="00DF5D28" w14:paraId="36F7EFAB" w14:textId="77777777" w:rsidTr="0087547F">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1CDE0005" w14:textId="2136B990" w:rsidR="00DF5D28" w:rsidRPr="00DF5D28" w:rsidRDefault="00DF5D28" w:rsidP="00DF5D28">
            <w:pPr>
              <w:pStyle w:val="H4"/>
              <w:spacing w:before="120"/>
              <w:rPr>
                <w:color w:val="FFFFFF" w:themeColor="background2"/>
              </w:rPr>
            </w:pPr>
            <w:r>
              <w:rPr>
                <w:color w:val="FFFFFF" w:themeColor="background2"/>
              </w:rPr>
              <w:lastRenderedPageBreak/>
              <w:t xml:space="preserve">Performance </w:t>
            </w:r>
            <w:r w:rsidR="00B20BFA">
              <w:rPr>
                <w:color w:val="FFFFFF" w:themeColor="background2"/>
              </w:rPr>
              <w:t>c</w:t>
            </w:r>
            <w:r>
              <w:rPr>
                <w:color w:val="FFFFFF" w:themeColor="background2"/>
              </w:rPr>
              <w:t>riteria</w:t>
            </w:r>
          </w:p>
        </w:tc>
        <w:tc>
          <w:tcPr>
            <w:tcW w:w="277" w:type="pct"/>
            <w:shd w:val="clear" w:color="auto" w:fill="FFFFFF" w:themeFill="background2"/>
          </w:tcPr>
          <w:p w14:paraId="0BB37DB6" w14:textId="3F6438D7" w:rsidR="00DF5D28" w:rsidRDefault="00DF5D28" w:rsidP="00DF5D28">
            <w:pPr>
              <w:pStyle w:val="Body"/>
              <w:spacing w:before="120"/>
            </w:pPr>
          </w:p>
        </w:tc>
        <w:tc>
          <w:tcPr>
            <w:tcW w:w="2883" w:type="pct"/>
          </w:tcPr>
          <w:p w14:paraId="518A053E" w14:textId="7CEA3DAD" w:rsidR="00DF5D28" w:rsidRPr="00DF5D28" w:rsidRDefault="00DF5D28" w:rsidP="00DF5D28">
            <w:pPr>
              <w:pStyle w:val="H4"/>
              <w:spacing w:before="120"/>
              <w:rPr>
                <w:color w:val="FFFFFF" w:themeColor="background2"/>
              </w:rPr>
            </w:pPr>
            <w:r w:rsidRPr="00DF5D28">
              <w:rPr>
                <w:color w:val="FFFFFF" w:themeColor="background2"/>
              </w:rPr>
              <w:t>Results</w:t>
            </w:r>
            <w:r>
              <w:rPr>
                <w:color w:val="FFFFFF" w:themeColor="background2"/>
              </w:rPr>
              <w:t xml:space="preserve"> agains</w:t>
            </w:r>
            <w:r w:rsidR="00DD6185">
              <w:rPr>
                <w:color w:val="FFFFFF" w:themeColor="background2"/>
              </w:rPr>
              <w:t>t</w:t>
            </w:r>
            <w:r>
              <w:rPr>
                <w:color w:val="FFFFFF" w:themeColor="background2"/>
              </w:rPr>
              <w:t xml:space="preserve"> performance criteria</w:t>
            </w:r>
          </w:p>
        </w:tc>
      </w:tr>
      <w:tr w:rsidR="00DD6185" w14:paraId="3CF48B37" w14:textId="77777777" w:rsidTr="00B20BFA">
        <w:trPr>
          <w:cnfStyle w:val="100000000000" w:firstRow="1" w:lastRow="0" w:firstColumn="0" w:lastColumn="0" w:oddVBand="0" w:evenVBand="0" w:oddHBand="0" w:evenHBand="0" w:firstRowFirstColumn="0" w:firstRowLastColumn="0" w:lastRowFirstColumn="0" w:lastRowLastColumn="0"/>
          <w:trHeight w:val="1835"/>
        </w:trPr>
        <w:tc>
          <w:tcPr>
            <w:tcW w:w="1840" w:type="pct"/>
            <w:shd w:val="clear" w:color="auto" w:fill="DCD3E2"/>
          </w:tcPr>
          <w:p w14:paraId="33256C34" w14:textId="18D40B55" w:rsidR="00DF5D28" w:rsidRPr="00DF5D28" w:rsidRDefault="00DD6185" w:rsidP="00B20BFA">
            <w:pPr>
              <w:pStyle w:val="NumberListNoIndent"/>
              <w:spacing w:before="240"/>
            </w:pPr>
            <w:r>
              <w:rPr>
                <w:noProof/>
                <w:color w:val="FFFFFF" w:themeColor="background2"/>
                <w:lang w:val="en-AU" w:eastAsia="en-AU"/>
              </w:rPr>
              <mc:AlternateContent>
                <mc:Choice Requires="wps">
                  <w:drawing>
                    <wp:anchor distT="0" distB="0" distL="114300" distR="114300" simplePos="0" relativeHeight="251668480" behindDoc="0" locked="0" layoutInCell="1" allowOverlap="1" wp14:anchorId="35F93DD6" wp14:editId="5E4B2B48">
                      <wp:simplePos x="0" y="0"/>
                      <wp:positionH relativeFrom="column">
                        <wp:posOffset>1723556</wp:posOffset>
                      </wp:positionH>
                      <wp:positionV relativeFrom="paragraph">
                        <wp:posOffset>224790</wp:posOffset>
                      </wp:positionV>
                      <wp:extent cx="289560" cy="0"/>
                      <wp:effectExtent l="0" t="95250" r="0" b="95250"/>
                      <wp:wrapNone/>
                      <wp:docPr id="74" name="Straight Arrow Connector 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ECA1C4" id="Straight Arrow Connector 74" o:spid="_x0000_s1026" type="#_x0000_t32" alt="&quot;&quot;" style="position:absolute;margin-left:135.7pt;margin-top:17.7pt;width:22.8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" strokecolor="#5e2f7e [3208]" strokeweight="2.25pt">
                      <v:stroke endarrow="open" joinstyle="miter"/>
                    </v:shape>
                  </w:pict>
                </mc:Fallback>
              </mc:AlternateContent>
            </w:r>
            <w:r w:rsidR="00B20BFA" w:rsidRPr="00B20BFA">
              <w:t>Publish the Pricing Framework for Australian Public Hospital Services 2021–22 by December 2020</w:t>
            </w:r>
            <w:r w:rsidR="00064783">
              <w:t>.</w:t>
            </w:r>
          </w:p>
        </w:tc>
        <w:tc>
          <w:tcPr>
            <w:tcW w:w="277" w:type="pct"/>
            <w:shd w:val="clear" w:color="auto" w:fill="FFFFFF" w:themeFill="background2"/>
          </w:tcPr>
          <w:p w14:paraId="3DB4DF02" w14:textId="2A7788C8" w:rsidR="00DF5D28" w:rsidRPr="007D6047" w:rsidRDefault="00DF5D28" w:rsidP="006544B5">
            <w:pPr>
              <w:pStyle w:val="Body"/>
              <w:rPr>
                <w:color w:val="auto"/>
              </w:rPr>
            </w:pPr>
          </w:p>
        </w:tc>
        <w:tc>
          <w:tcPr>
            <w:tcW w:w="2883" w:type="pct"/>
            <w:shd w:val="clear" w:color="auto" w:fill="DCD3E2"/>
          </w:tcPr>
          <w:p w14:paraId="5EDC1A94" w14:textId="65682106" w:rsidR="00DF5D28" w:rsidRPr="00E21117" w:rsidRDefault="005919CF" w:rsidP="005919CF">
            <w:pPr>
              <w:pStyle w:val="TOCBody"/>
              <w:spacing w:before="240"/>
              <w:ind w:left="33"/>
              <w:rPr>
                <w:color w:val="auto"/>
              </w:rPr>
            </w:pPr>
            <w:r w:rsidRPr="00E21117">
              <w:rPr>
                <w:color w:val="auto"/>
              </w:rPr>
              <w:t xml:space="preserve">The Pricing Framework for Australian Public Hospital Services 2021–22 was published on 2 March 2021, after being postponed to allow for consultation on the implementation of the new clauses under the Addendum to the National Health Reform Agreement 2020–25 and the response to </w:t>
            </w:r>
            <w:r w:rsidR="009C144B" w:rsidRPr="00E21117">
              <w:rPr>
                <w:color w:val="auto"/>
              </w:rPr>
              <w:t>COVID-1</w:t>
            </w:r>
            <w:r w:rsidR="00AB7E6B">
              <w:rPr>
                <w:color w:val="auto"/>
              </w:rPr>
              <w:t>9</w:t>
            </w:r>
            <w:r w:rsidRPr="00E21117">
              <w:rPr>
                <w:color w:val="auto"/>
              </w:rPr>
              <w:t>.</w:t>
            </w:r>
          </w:p>
        </w:tc>
      </w:tr>
      <w:tr w:rsidR="00DF5D28" w14:paraId="5F5C80E3" w14:textId="77777777" w:rsidTr="0087547F">
        <w:trPr>
          <w:cnfStyle w:val="100000000000" w:firstRow="1" w:lastRow="0" w:firstColumn="0" w:lastColumn="0" w:oddVBand="0" w:evenVBand="0" w:oddHBand="0" w:evenHBand="0" w:firstRowFirstColumn="0" w:firstRowLastColumn="0" w:lastRowFirstColumn="0" w:lastRowLastColumn="0"/>
          <w:trHeight w:val="1367"/>
        </w:trPr>
        <w:tc>
          <w:tcPr>
            <w:tcW w:w="1840" w:type="pct"/>
            <w:shd w:val="clear" w:color="auto" w:fill="DCD3E2"/>
          </w:tcPr>
          <w:p w14:paraId="12F3C849" w14:textId="04BB04D0" w:rsidR="00DF5D28" w:rsidRPr="008D346E" w:rsidRDefault="00BF1DF7" w:rsidP="005919CF">
            <w:pPr>
              <w:pStyle w:val="NumberListNoIndent"/>
            </w:pPr>
            <w:r>
              <w:rPr>
                <w:noProof/>
                <w:color w:val="FFFFFF" w:themeColor="background2"/>
                <w:lang w:val="en-AU" w:eastAsia="en-AU"/>
              </w:rPr>
              <mc:AlternateContent>
                <mc:Choice Requires="wps">
                  <w:drawing>
                    <wp:anchor distT="0" distB="0" distL="114300" distR="114300" simplePos="0" relativeHeight="251938816" behindDoc="0" locked="0" layoutInCell="1" allowOverlap="1" wp14:anchorId="3AB5DBA2" wp14:editId="04C849D1">
                      <wp:simplePos x="0" y="0"/>
                      <wp:positionH relativeFrom="column">
                        <wp:posOffset>1725295</wp:posOffset>
                      </wp:positionH>
                      <wp:positionV relativeFrom="paragraph">
                        <wp:posOffset>76200</wp:posOffset>
                      </wp:positionV>
                      <wp:extent cx="289560" cy="0"/>
                      <wp:effectExtent l="0" t="95250" r="0" b="95250"/>
                      <wp:wrapNone/>
                      <wp:docPr id="29" name="Straight Arrow Connector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8A4B0" id="Straight Arrow Connector 29" o:spid="_x0000_s1026" type="#_x0000_t32" alt="&quot;&quot;" style="position:absolute;margin-left:135.85pt;margin-top:6pt;width:22.8pt;height: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944960" behindDoc="0" locked="0" layoutInCell="1" allowOverlap="1" wp14:anchorId="5770373E" wp14:editId="3D542876">
                      <wp:simplePos x="0" y="0"/>
                      <wp:positionH relativeFrom="column">
                        <wp:posOffset>1722120</wp:posOffset>
                      </wp:positionH>
                      <wp:positionV relativeFrom="paragraph">
                        <wp:posOffset>3771265</wp:posOffset>
                      </wp:positionV>
                      <wp:extent cx="289560" cy="0"/>
                      <wp:effectExtent l="0" t="95250" r="0" b="95250"/>
                      <wp:wrapNone/>
                      <wp:docPr id="57" name="Straight Arrow Connector 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ABF37A" id="Straight Arrow Connector 57" o:spid="_x0000_s1026" type="#_x0000_t32" alt="&quot;&quot;" style="position:absolute;margin-left:135.6pt;margin-top:296.95pt;width:22.8pt;height:0;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" strokecolor="#5e2f7e [3208]" strokeweight="2.25pt">
                      <v:stroke endarrow="open" joinstyle="miter"/>
                    </v:shape>
                  </w:pict>
                </mc:Fallback>
              </mc:AlternateContent>
            </w:r>
            <w:r w:rsidR="005919CF" w:rsidRPr="006C1DD4">
              <w:t xml:space="preserve">Completion of </w:t>
            </w:r>
            <w:r w:rsidR="00AB7E6B">
              <w:t xml:space="preserve">the </w:t>
            </w:r>
            <w:r w:rsidR="005919CF" w:rsidRPr="006C1DD4">
              <w:t xml:space="preserve">Nationally Funded </w:t>
            </w:r>
            <w:proofErr w:type="spellStart"/>
            <w:r w:rsidR="005919CF" w:rsidRPr="006C1DD4">
              <w:t>Centres</w:t>
            </w:r>
            <w:proofErr w:type="spellEnd"/>
            <w:r w:rsidR="005919CF" w:rsidRPr="006C1DD4">
              <w:t xml:space="preserve"> Program pricing and costing study by January 202</w:t>
            </w:r>
            <w:r w:rsidR="00C12B37">
              <w:t>1</w:t>
            </w:r>
            <w:r w:rsidR="00064783">
              <w:t>.</w:t>
            </w:r>
          </w:p>
        </w:tc>
        <w:tc>
          <w:tcPr>
            <w:tcW w:w="277" w:type="pct"/>
            <w:shd w:val="clear" w:color="auto" w:fill="FFFFFF" w:themeFill="background2"/>
          </w:tcPr>
          <w:p w14:paraId="2D57519E" w14:textId="534C7CDE" w:rsidR="00DF5D28" w:rsidRPr="007D6047" w:rsidRDefault="00DF5D28" w:rsidP="00B20BFA">
            <w:pPr>
              <w:pStyle w:val="Body"/>
              <w:rPr>
                <w:color w:val="auto"/>
              </w:rPr>
            </w:pPr>
          </w:p>
        </w:tc>
        <w:tc>
          <w:tcPr>
            <w:tcW w:w="2883" w:type="pct"/>
            <w:shd w:val="clear" w:color="auto" w:fill="DCD3E2"/>
          </w:tcPr>
          <w:p w14:paraId="09E2DD9D" w14:textId="60DA55DC" w:rsidR="00DF5D28" w:rsidRPr="00E21117" w:rsidRDefault="005919CF" w:rsidP="005919CF">
            <w:pPr>
              <w:pStyle w:val="TOCBody"/>
              <w:ind w:left="33"/>
              <w:rPr>
                <w:color w:val="auto"/>
              </w:rPr>
            </w:pPr>
            <w:r w:rsidRPr="00E21117">
              <w:rPr>
                <w:color w:val="auto"/>
              </w:rPr>
              <w:t>In response to the Ministerial Direction received from the Hon Greg Hunt</w:t>
            </w:r>
            <w:r w:rsidR="00445B46">
              <w:rPr>
                <w:color w:val="auto"/>
              </w:rPr>
              <w:t xml:space="preserve"> MP</w:t>
            </w:r>
            <w:r w:rsidRPr="00E21117">
              <w:rPr>
                <w:color w:val="auto"/>
              </w:rPr>
              <w:t xml:space="preserve"> under section 226(1) of the </w:t>
            </w:r>
            <w:r w:rsidRPr="00E21117">
              <w:rPr>
                <w:i/>
                <w:color w:val="auto"/>
              </w:rPr>
              <w:t xml:space="preserve">National Health Reform Act 2011 </w:t>
            </w:r>
            <w:r w:rsidRPr="00E21117">
              <w:rPr>
                <w:color w:val="auto"/>
              </w:rPr>
              <w:t>in January 202</w:t>
            </w:r>
            <w:r w:rsidR="00C12B37" w:rsidRPr="00E21117">
              <w:rPr>
                <w:color w:val="auto"/>
              </w:rPr>
              <w:t>1</w:t>
            </w:r>
            <w:r w:rsidRPr="00E21117">
              <w:rPr>
                <w:color w:val="auto"/>
              </w:rPr>
              <w:t>, IHPA comple</w:t>
            </w:r>
            <w:r w:rsidR="0096609F" w:rsidRPr="00E21117">
              <w:rPr>
                <w:color w:val="auto"/>
              </w:rPr>
              <w:t>t</w:t>
            </w:r>
            <w:r w:rsidRPr="00E21117">
              <w:rPr>
                <w:color w:val="auto"/>
              </w:rPr>
              <w:t>ed the Nationally Funded Centres Program pricing and costing study in December 2020.</w:t>
            </w:r>
          </w:p>
        </w:tc>
      </w:tr>
      <w:tr w:rsidR="00DF5D28" w14:paraId="3FB96E95" w14:textId="77777777" w:rsidTr="00B20BFA">
        <w:trPr>
          <w:cnfStyle w:val="100000000000" w:firstRow="1" w:lastRow="0" w:firstColumn="0" w:lastColumn="0" w:oddVBand="0" w:evenVBand="0" w:oddHBand="0" w:evenHBand="0" w:firstRowFirstColumn="0" w:firstRowLastColumn="0" w:lastRowFirstColumn="0" w:lastRowLastColumn="0"/>
          <w:trHeight w:val="1468"/>
        </w:trPr>
        <w:tc>
          <w:tcPr>
            <w:tcW w:w="1840" w:type="pct"/>
            <w:shd w:val="clear" w:color="auto" w:fill="DCD3E2"/>
          </w:tcPr>
          <w:p w14:paraId="45ADAF79" w14:textId="5117CB03" w:rsidR="00DF5D28" w:rsidRPr="008D346E" w:rsidRDefault="00C32CFC" w:rsidP="005919CF">
            <w:pPr>
              <w:pStyle w:val="NumberListNoIndent"/>
              <w:numPr>
                <w:ilvl w:val="0"/>
                <w:numId w:val="20"/>
              </w:numPr>
            </w:pPr>
            <w:r>
              <w:rPr>
                <w:noProof/>
                <w:color w:val="FFFFFF" w:themeColor="background2"/>
                <w:lang w:val="en-AU" w:eastAsia="en-AU"/>
              </w:rPr>
              <mc:AlternateContent>
                <mc:Choice Requires="wps">
                  <w:drawing>
                    <wp:anchor distT="0" distB="0" distL="114300" distR="114300" simplePos="0" relativeHeight="251940864" behindDoc="0" locked="0" layoutInCell="1" allowOverlap="1" wp14:anchorId="31FB389B" wp14:editId="12C4968B">
                      <wp:simplePos x="0" y="0"/>
                      <wp:positionH relativeFrom="column">
                        <wp:posOffset>1723556</wp:posOffset>
                      </wp:positionH>
                      <wp:positionV relativeFrom="paragraph">
                        <wp:posOffset>70485</wp:posOffset>
                      </wp:positionV>
                      <wp:extent cx="289560" cy="0"/>
                      <wp:effectExtent l="0" t="95250" r="0" b="95250"/>
                      <wp:wrapNone/>
                      <wp:docPr id="48" name="Straight Arrow Connector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70F509" id="Straight Arrow Connector 48" o:spid="_x0000_s1026" type="#_x0000_t32" alt="&quot;&quot;" style="position:absolute;margin-left:135.7pt;margin-top:5.55pt;width:22.8pt;height:0;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" strokecolor="#5e2f7e [3208]" strokeweight="2.25pt">
                      <v:stroke endarrow="open" joinstyle="miter"/>
                    </v:shape>
                  </w:pict>
                </mc:Fallback>
              </mc:AlternateContent>
            </w:r>
            <w:proofErr w:type="spellStart"/>
            <w:r w:rsidR="005919CF" w:rsidRPr="00865FB6">
              <w:t>Finalise</w:t>
            </w:r>
            <w:proofErr w:type="spellEnd"/>
            <w:r w:rsidR="005919CF" w:rsidRPr="00865FB6">
              <w:t xml:space="preserve"> decisions on the General List of In-Scope Public Hospital Services for additional or altered in-scope servic</w:t>
            </w:r>
            <w:r w:rsidR="005919CF">
              <w:t>es for 2021–22 by December 2020</w:t>
            </w:r>
            <w:r w:rsidR="00064783">
              <w:t>.</w:t>
            </w:r>
          </w:p>
        </w:tc>
        <w:tc>
          <w:tcPr>
            <w:tcW w:w="277" w:type="pct"/>
            <w:shd w:val="clear" w:color="auto" w:fill="FFFFFF" w:themeFill="background2"/>
          </w:tcPr>
          <w:p w14:paraId="33319757" w14:textId="2599C1CD" w:rsidR="00DF5D28" w:rsidRPr="007D6047" w:rsidRDefault="00DF5D28" w:rsidP="006544B5">
            <w:pPr>
              <w:pStyle w:val="Body"/>
              <w:rPr>
                <w:color w:val="auto"/>
              </w:rPr>
            </w:pPr>
          </w:p>
        </w:tc>
        <w:tc>
          <w:tcPr>
            <w:tcW w:w="2883" w:type="pct"/>
            <w:shd w:val="clear" w:color="auto" w:fill="DCD3E2"/>
          </w:tcPr>
          <w:p w14:paraId="1087AB0B" w14:textId="6E7795F4" w:rsidR="000431F3" w:rsidRPr="005919CF" w:rsidRDefault="005919CF" w:rsidP="005919CF">
            <w:pPr>
              <w:pStyle w:val="TOCBody"/>
              <w:ind w:left="33"/>
              <w:rPr>
                <w:color w:val="auto"/>
              </w:rPr>
            </w:pPr>
            <w:r w:rsidRPr="00865FB6">
              <w:rPr>
                <w:color w:val="auto"/>
              </w:rPr>
              <w:t>IHPA assessed requests for in-scope public hospital services a</w:t>
            </w:r>
            <w:r>
              <w:rPr>
                <w:color w:val="auto"/>
              </w:rPr>
              <w:t>s per its annual assessment of General List of In-Scope Public Hospital S</w:t>
            </w:r>
            <w:r w:rsidRPr="00865FB6">
              <w:rPr>
                <w:color w:val="auto"/>
              </w:rPr>
              <w:t>ervices process</w:t>
            </w:r>
            <w:r>
              <w:rPr>
                <w:color w:val="auto"/>
              </w:rPr>
              <w:t>.</w:t>
            </w:r>
          </w:p>
        </w:tc>
      </w:tr>
      <w:tr w:rsidR="00DF5D28" w14:paraId="39C4FC39" w14:textId="77777777" w:rsidTr="000431F3">
        <w:trPr>
          <w:cnfStyle w:val="100000000000" w:firstRow="1" w:lastRow="0" w:firstColumn="0" w:lastColumn="0" w:oddVBand="0" w:evenVBand="0" w:oddHBand="0" w:evenHBand="0" w:firstRowFirstColumn="0" w:firstRowLastColumn="0" w:lastRowFirstColumn="0" w:lastRowLastColumn="0"/>
          <w:trHeight w:val="1848"/>
        </w:trPr>
        <w:tc>
          <w:tcPr>
            <w:tcW w:w="1840" w:type="pct"/>
            <w:shd w:val="clear" w:color="auto" w:fill="DCD3E2"/>
          </w:tcPr>
          <w:p w14:paraId="7EE94BC6" w14:textId="1501C284" w:rsidR="00DF5D28" w:rsidRPr="008D346E" w:rsidRDefault="00C32CFC" w:rsidP="005919CF">
            <w:pPr>
              <w:pStyle w:val="NumberListNoIndent"/>
              <w:numPr>
                <w:ilvl w:val="0"/>
                <w:numId w:val="21"/>
              </w:numPr>
            </w:pPr>
            <w:r>
              <w:rPr>
                <w:noProof/>
                <w:lang w:val="en-AU" w:eastAsia="en-AU"/>
              </w:rPr>
              <mc:AlternateContent>
                <mc:Choice Requires="wps">
                  <w:drawing>
                    <wp:anchor distT="0" distB="0" distL="114300" distR="114300" simplePos="0" relativeHeight="251936768" behindDoc="0" locked="0" layoutInCell="1" allowOverlap="1" wp14:anchorId="22A6F1D9" wp14:editId="1AD00E24">
                      <wp:simplePos x="0" y="0"/>
                      <wp:positionH relativeFrom="column">
                        <wp:posOffset>1722286</wp:posOffset>
                      </wp:positionH>
                      <wp:positionV relativeFrom="paragraph">
                        <wp:posOffset>68580</wp:posOffset>
                      </wp:positionV>
                      <wp:extent cx="289560" cy="0"/>
                      <wp:effectExtent l="0" t="95250" r="0" b="95250"/>
                      <wp:wrapNone/>
                      <wp:docPr id="17" name="Straight Arrow Connector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noFill/>
                              <a:ln w="28575" cap="flat" cmpd="sng" algn="ctr">
                                <a:solidFill>
                                  <a:srgbClr val="5E2F7E"/>
                                </a:solidFill>
                                <a:prstDash val="solid"/>
                                <a:miter lim="800000"/>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40920A8E" id="Straight Arrow Connector 17" o:spid="_x0000_s1026" type="#_x0000_t32" alt="&quot;&quot;" style="position:absolute;margin-left:135.6pt;margin-top:5.4pt;width:22.8pt;height:0;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" strokecolor="#5e2f7e" strokeweight="2.25pt">
                      <v:stroke endarrow="open" joinstyle="miter"/>
                    </v:shape>
                  </w:pict>
                </mc:Fallback>
              </mc:AlternateContent>
            </w:r>
            <w:proofErr w:type="spellStart"/>
            <w:r w:rsidR="005919CF" w:rsidRPr="00756D68">
              <w:t>Finalise</w:t>
            </w:r>
            <w:proofErr w:type="spellEnd"/>
            <w:r w:rsidR="005919CF" w:rsidRPr="00756D68">
              <w:t xml:space="preserve"> decisions on the legitimate and unavoidable cost variations to assess changes or adjustments to the National Efficient Price Determination 2021−22 by December 2020</w:t>
            </w:r>
            <w:r w:rsidR="00064783">
              <w:t>.</w:t>
            </w:r>
          </w:p>
        </w:tc>
        <w:tc>
          <w:tcPr>
            <w:tcW w:w="277" w:type="pct"/>
            <w:shd w:val="clear" w:color="auto" w:fill="FFFFFF" w:themeFill="background2"/>
          </w:tcPr>
          <w:p w14:paraId="570CD95F" w14:textId="7414E8D4" w:rsidR="00DF5D28" w:rsidRPr="007D6047" w:rsidRDefault="00DF5D28" w:rsidP="006544B5">
            <w:pPr>
              <w:pStyle w:val="Body"/>
              <w:rPr>
                <w:color w:val="auto"/>
              </w:rPr>
            </w:pPr>
          </w:p>
        </w:tc>
        <w:tc>
          <w:tcPr>
            <w:tcW w:w="2883" w:type="pct"/>
            <w:shd w:val="clear" w:color="auto" w:fill="DCD3E2"/>
          </w:tcPr>
          <w:p w14:paraId="22FC07D3" w14:textId="0C64ACE7" w:rsidR="00C7523F" w:rsidRPr="007D6047" w:rsidRDefault="005919CF" w:rsidP="000431F3">
            <w:pPr>
              <w:pStyle w:val="TOCBody"/>
              <w:ind w:left="33"/>
              <w:rPr>
                <w:color w:val="auto"/>
              </w:rPr>
            </w:pPr>
            <w:r w:rsidRPr="005919CF">
              <w:rPr>
                <w:color w:val="auto"/>
              </w:rPr>
              <w:t>IHPA assessed changes and requests for adjustments to the national pricing model as per its annual assessment of legitimate and unavoidable cost variations process.</w:t>
            </w:r>
          </w:p>
        </w:tc>
      </w:tr>
      <w:tr w:rsidR="00B20BFA" w14:paraId="50858386" w14:textId="77777777" w:rsidTr="00B20BFA">
        <w:trPr>
          <w:cnfStyle w:val="100000000000" w:firstRow="1" w:lastRow="0" w:firstColumn="0" w:lastColumn="0" w:oddVBand="0" w:evenVBand="0" w:oddHBand="0" w:evenHBand="0" w:firstRowFirstColumn="0" w:firstRowLastColumn="0" w:lastRowFirstColumn="0" w:lastRowLastColumn="0"/>
          <w:trHeight w:val="1133"/>
        </w:trPr>
        <w:tc>
          <w:tcPr>
            <w:tcW w:w="1840" w:type="pct"/>
            <w:shd w:val="clear" w:color="auto" w:fill="DCD3E2"/>
          </w:tcPr>
          <w:p w14:paraId="7CE40DB3" w14:textId="38DD1880" w:rsidR="00B20BFA" w:rsidRPr="005919CF" w:rsidRDefault="00C32CFC" w:rsidP="005919CF">
            <w:pPr>
              <w:pStyle w:val="NumberListNoIndent"/>
              <w:numPr>
                <w:ilvl w:val="0"/>
                <w:numId w:val="21"/>
              </w:numPr>
            </w:pPr>
            <w:r>
              <w:rPr>
                <w:noProof/>
                <w:color w:val="FFFFFF" w:themeColor="background2"/>
                <w:lang w:val="en-AU" w:eastAsia="en-AU"/>
              </w:rPr>
              <mc:AlternateContent>
                <mc:Choice Requires="wps">
                  <w:drawing>
                    <wp:anchor distT="0" distB="0" distL="114300" distR="114300" simplePos="0" relativeHeight="251942912" behindDoc="0" locked="0" layoutInCell="1" allowOverlap="1" wp14:anchorId="52FC5B61" wp14:editId="3ABB4508">
                      <wp:simplePos x="0" y="0"/>
                      <wp:positionH relativeFrom="column">
                        <wp:posOffset>1722286</wp:posOffset>
                      </wp:positionH>
                      <wp:positionV relativeFrom="paragraph">
                        <wp:posOffset>68580</wp:posOffset>
                      </wp:positionV>
                      <wp:extent cx="289560" cy="0"/>
                      <wp:effectExtent l="0" t="95250" r="0" b="95250"/>
                      <wp:wrapNone/>
                      <wp:docPr id="54" name="Straight Arrow Connector 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80F89" id="Straight Arrow Connector 54" o:spid="_x0000_s1026" type="#_x0000_t32" alt="&quot;&quot;" style="position:absolute;margin-left:135.6pt;margin-top:5.4pt;width:22.8pt;height:0;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" strokecolor="#5e2f7e [3208]" strokeweight="2.25pt">
                      <v:stroke endarrow="open" joinstyle="miter"/>
                    </v:shape>
                  </w:pict>
                </mc:Fallback>
              </mc:AlternateContent>
            </w:r>
            <w:r w:rsidR="005919CF" w:rsidRPr="00865FB6">
              <w:t>Publish the National Efficient Price and National Efficient Co</w:t>
            </w:r>
            <w:r w:rsidR="005919CF">
              <w:t>st Determinations by March 2021</w:t>
            </w:r>
            <w:r w:rsidR="00064783">
              <w:t>.</w:t>
            </w:r>
          </w:p>
        </w:tc>
        <w:tc>
          <w:tcPr>
            <w:tcW w:w="277" w:type="pct"/>
            <w:shd w:val="clear" w:color="auto" w:fill="FFFFFF" w:themeFill="background2"/>
          </w:tcPr>
          <w:p w14:paraId="53EE754D" w14:textId="045CCC59" w:rsidR="00B20BFA" w:rsidRPr="00B20BFA" w:rsidRDefault="00B20BFA" w:rsidP="006544B5">
            <w:pPr>
              <w:pStyle w:val="Body"/>
              <w:rPr>
                <w:color w:val="auto"/>
              </w:rPr>
            </w:pPr>
          </w:p>
        </w:tc>
        <w:tc>
          <w:tcPr>
            <w:tcW w:w="2883" w:type="pct"/>
            <w:shd w:val="clear" w:color="auto" w:fill="DCD3E2"/>
          </w:tcPr>
          <w:p w14:paraId="7E16ECC0" w14:textId="14330A6C" w:rsidR="00B20BFA" w:rsidRPr="00B20BFA" w:rsidRDefault="005919CF" w:rsidP="000431F3">
            <w:pPr>
              <w:pStyle w:val="TOCBody"/>
              <w:ind w:left="33"/>
              <w:rPr>
                <w:color w:val="auto"/>
              </w:rPr>
            </w:pPr>
            <w:r w:rsidRPr="005919CF">
              <w:rPr>
                <w:color w:val="auto"/>
              </w:rPr>
              <w:t>The National Efficient Price and National Efficient Cost</w:t>
            </w:r>
            <w:r>
              <w:rPr>
                <w:color w:val="auto"/>
              </w:rPr>
              <w:t> </w:t>
            </w:r>
            <w:r w:rsidRPr="005919CF">
              <w:rPr>
                <w:color w:val="auto"/>
              </w:rPr>
              <w:t>Determinations 2021–22 were published on 2</w:t>
            </w:r>
            <w:r>
              <w:rPr>
                <w:color w:val="auto"/>
              </w:rPr>
              <w:t> </w:t>
            </w:r>
            <w:r w:rsidRPr="005919CF">
              <w:rPr>
                <w:color w:val="auto"/>
              </w:rPr>
              <w:t>March</w:t>
            </w:r>
            <w:r>
              <w:rPr>
                <w:color w:val="auto"/>
              </w:rPr>
              <w:t> </w:t>
            </w:r>
            <w:r w:rsidRPr="005919CF">
              <w:rPr>
                <w:color w:val="auto"/>
              </w:rPr>
              <w:t>2021.</w:t>
            </w:r>
          </w:p>
        </w:tc>
      </w:tr>
      <w:tr w:rsidR="00B20BFA" w14:paraId="63CC9B82" w14:textId="77777777" w:rsidTr="00B20BFA">
        <w:trPr>
          <w:cnfStyle w:val="100000000000" w:firstRow="1" w:lastRow="0" w:firstColumn="0" w:lastColumn="0" w:oddVBand="0" w:evenVBand="0" w:oddHBand="0" w:evenHBand="0" w:firstRowFirstColumn="0" w:firstRowLastColumn="0" w:lastRowFirstColumn="0" w:lastRowLastColumn="0"/>
          <w:trHeight w:val="1419"/>
        </w:trPr>
        <w:tc>
          <w:tcPr>
            <w:tcW w:w="1840" w:type="pct"/>
            <w:shd w:val="clear" w:color="auto" w:fill="DCD3E2"/>
          </w:tcPr>
          <w:p w14:paraId="2BDEC9F3" w14:textId="2088BD91" w:rsidR="00B20BFA" w:rsidRPr="005919CF" w:rsidRDefault="005919CF" w:rsidP="005919CF">
            <w:pPr>
              <w:pStyle w:val="NumberListNoIndent"/>
              <w:numPr>
                <w:ilvl w:val="0"/>
                <w:numId w:val="21"/>
              </w:numPr>
            </w:pPr>
            <w:r w:rsidRPr="00865FB6">
              <w:t>Reduce the number of local hospital networks that record costs per National Weighted Activity Unit significantly above the national e</w:t>
            </w:r>
            <w:r>
              <w:t>fficient price</w:t>
            </w:r>
            <w:r w:rsidR="00064783">
              <w:t>.</w:t>
            </w:r>
          </w:p>
        </w:tc>
        <w:tc>
          <w:tcPr>
            <w:tcW w:w="277" w:type="pct"/>
            <w:shd w:val="clear" w:color="auto" w:fill="FFFFFF" w:themeFill="background2"/>
          </w:tcPr>
          <w:p w14:paraId="1CF63064" w14:textId="34E5C982" w:rsidR="00B20BFA" w:rsidRPr="00B20BFA" w:rsidRDefault="00B20BFA" w:rsidP="006544B5">
            <w:pPr>
              <w:pStyle w:val="Body"/>
              <w:rPr>
                <w:color w:val="auto"/>
              </w:rPr>
            </w:pPr>
          </w:p>
        </w:tc>
        <w:tc>
          <w:tcPr>
            <w:tcW w:w="2883" w:type="pct"/>
            <w:shd w:val="clear" w:color="auto" w:fill="DCD3E2"/>
          </w:tcPr>
          <w:p w14:paraId="2BAB4040" w14:textId="3B53E5CE" w:rsidR="00B20BFA" w:rsidRPr="00E21117" w:rsidRDefault="005919CF" w:rsidP="000431F3">
            <w:pPr>
              <w:pStyle w:val="TOCBody"/>
              <w:ind w:left="33"/>
              <w:rPr>
                <w:color w:val="auto"/>
              </w:rPr>
            </w:pPr>
            <w:r w:rsidRPr="00E21117">
              <w:rPr>
                <w:color w:val="auto"/>
              </w:rPr>
              <w:t>The range between the 50th and 90th percentile cost per National Weighted Activity Unit by local hospital network decreased from $840 in 2017–18 to $798 in 2018–19, representing a reduction of $42.</w:t>
            </w:r>
          </w:p>
        </w:tc>
      </w:tr>
      <w:tr w:rsidR="00514CC3" w14:paraId="4B634F42" w14:textId="77777777" w:rsidTr="00514CC3">
        <w:trPr>
          <w:cnfStyle w:val="100000000000" w:firstRow="1" w:lastRow="0" w:firstColumn="0" w:lastColumn="0" w:oddVBand="0" w:evenVBand="0" w:oddHBand="0" w:evenHBand="0" w:firstRowFirstColumn="0" w:firstRowLastColumn="0" w:lastRowFirstColumn="0" w:lastRowLastColumn="0"/>
          <w:trHeight w:val="1836"/>
        </w:trPr>
        <w:tc>
          <w:tcPr>
            <w:tcW w:w="1840" w:type="pct"/>
            <w:shd w:val="clear" w:color="auto" w:fill="DCD3E2"/>
          </w:tcPr>
          <w:p w14:paraId="0687BA4E" w14:textId="6C3DE955" w:rsidR="00514CC3" w:rsidRPr="005919CF" w:rsidRDefault="00C32CFC" w:rsidP="005919CF">
            <w:pPr>
              <w:pStyle w:val="NumberListNoIndent"/>
              <w:numPr>
                <w:ilvl w:val="0"/>
                <w:numId w:val="21"/>
              </w:numPr>
            </w:pPr>
            <w:r>
              <w:rPr>
                <w:noProof/>
                <w:color w:val="FFFFFF" w:themeColor="background2"/>
                <w:lang w:val="en-AU" w:eastAsia="en-AU"/>
              </w:rPr>
              <mc:AlternateContent>
                <mc:Choice Requires="wps">
                  <w:drawing>
                    <wp:anchor distT="0" distB="0" distL="114300" distR="114300" simplePos="0" relativeHeight="251947008" behindDoc="0" locked="0" layoutInCell="1" allowOverlap="1" wp14:anchorId="118C8287" wp14:editId="60A10790">
                      <wp:simplePos x="0" y="0"/>
                      <wp:positionH relativeFrom="column">
                        <wp:posOffset>1722921</wp:posOffset>
                      </wp:positionH>
                      <wp:positionV relativeFrom="paragraph">
                        <wp:posOffset>72390</wp:posOffset>
                      </wp:positionV>
                      <wp:extent cx="289560" cy="0"/>
                      <wp:effectExtent l="0" t="95250" r="0" b="95250"/>
                      <wp:wrapNone/>
                      <wp:docPr id="71" name="Straight Arrow Connector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9E5F0A" id="Straight Arrow Connector 71" o:spid="_x0000_s1026" type="#_x0000_t32" alt="&quot;&quot;" style="position:absolute;margin-left:135.65pt;margin-top:5.7pt;width:22.8pt;height:0;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" strokecolor="#5e2f7e [3208]" strokeweight="2.25pt">
                      <v:stroke endarrow="open" joinstyle="miter"/>
                    </v:shape>
                  </w:pict>
                </mc:Fallback>
              </mc:AlternateContent>
            </w:r>
            <w:r w:rsidR="005919CF" w:rsidRPr="00865FB6">
              <w:t>Completion of the shadow period to assess the impact of</w:t>
            </w:r>
            <w:r w:rsidR="003F373E">
              <w:t> </w:t>
            </w:r>
            <w:r w:rsidR="005919CF" w:rsidRPr="00865FB6">
              <w:t>three funding options to measure avoidable hospital readmissions by June 2021</w:t>
            </w:r>
            <w:r w:rsidR="00064783">
              <w:t>.</w:t>
            </w:r>
          </w:p>
        </w:tc>
        <w:tc>
          <w:tcPr>
            <w:tcW w:w="277" w:type="pct"/>
            <w:shd w:val="clear" w:color="auto" w:fill="FFFFFF" w:themeFill="background2"/>
          </w:tcPr>
          <w:p w14:paraId="2002EACD" w14:textId="626E7051" w:rsidR="00514CC3" w:rsidRPr="00B20BFA" w:rsidRDefault="00514CC3" w:rsidP="006544B5">
            <w:pPr>
              <w:pStyle w:val="Body"/>
              <w:rPr>
                <w:color w:val="auto"/>
              </w:rPr>
            </w:pPr>
          </w:p>
        </w:tc>
        <w:tc>
          <w:tcPr>
            <w:tcW w:w="2883" w:type="pct"/>
            <w:shd w:val="clear" w:color="auto" w:fill="DCD3E2"/>
          </w:tcPr>
          <w:p w14:paraId="2AF6713F" w14:textId="2FFBCD8B" w:rsidR="00514CC3" w:rsidRPr="00E21117" w:rsidRDefault="005919CF" w:rsidP="000431F3">
            <w:pPr>
              <w:pStyle w:val="TOCBody"/>
              <w:ind w:left="33"/>
              <w:rPr>
                <w:color w:val="auto"/>
              </w:rPr>
            </w:pPr>
            <w:r w:rsidRPr="00E21117">
              <w:rPr>
                <w:color w:val="auto"/>
              </w:rPr>
              <w:t>IHPA commenced an analysis of three funding options intended to assist in reducing avoidable hospital readmissions for two years from 1 July 2019. From</w:t>
            </w:r>
            <w:r w:rsidR="000123CC">
              <w:rPr>
                <w:color w:val="auto"/>
              </w:rPr>
              <w:t> </w:t>
            </w:r>
            <w:r w:rsidRPr="00E21117">
              <w:rPr>
                <w:color w:val="auto"/>
              </w:rPr>
              <w:t>1</w:t>
            </w:r>
            <w:r w:rsidR="000123CC">
              <w:rPr>
                <w:color w:val="auto"/>
              </w:rPr>
              <w:t> </w:t>
            </w:r>
            <w:r w:rsidRPr="00E21117">
              <w:rPr>
                <w:color w:val="auto"/>
              </w:rPr>
              <w:t>July</w:t>
            </w:r>
            <w:r w:rsidR="000123CC">
              <w:rPr>
                <w:color w:val="auto"/>
              </w:rPr>
              <w:t> </w:t>
            </w:r>
            <w:r w:rsidRPr="00E21117">
              <w:rPr>
                <w:color w:val="auto"/>
              </w:rPr>
              <w:t xml:space="preserve">2021, the national pricing model will include measures associated with avoidable </w:t>
            </w:r>
            <w:r w:rsidR="00DA4B4D">
              <w:rPr>
                <w:color w:val="auto"/>
              </w:rPr>
              <w:t xml:space="preserve">hospital </w:t>
            </w:r>
            <w:r w:rsidRPr="00E21117">
              <w:rPr>
                <w:color w:val="auto"/>
              </w:rPr>
              <w:t>readmissions, in</w:t>
            </w:r>
            <w:r w:rsidR="00DA4B4D">
              <w:rPr>
                <w:color w:val="auto"/>
              </w:rPr>
              <w:t> </w:t>
            </w:r>
            <w:r w:rsidRPr="00E21117">
              <w:rPr>
                <w:color w:val="auto"/>
              </w:rPr>
              <w:t>addition to previously introduced measures for sentinel</w:t>
            </w:r>
            <w:r w:rsidR="00DA4B4D">
              <w:rPr>
                <w:color w:val="auto"/>
              </w:rPr>
              <w:t> </w:t>
            </w:r>
            <w:r w:rsidRPr="00E21117">
              <w:rPr>
                <w:color w:val="auto"/>
              </w:rPr>
              <w:t>events and hospital acquired complications.</w:t>
            </w:r>
          </w:p>
        </w:tc>
      </w:tr>
    </w:tbl>
    <w:p w14:paraId="29A7EC1C" w14:textId="77777777" w:rsidR="00DF5D28" w:rsidRPr="00DA135D" w:rsidRDefault="00DF5D28" w:rsidP="00153DC1">
      <w:pPr>
        <w:pStyle w:val="Body"/>
      </w:pPr>
    </w:p>
    <w:p w14:paraId="2F072BE3" w14:textId="77777777" w:rsidR="004C5524" w:rsidRDefault="004C5524" w:rsidP="00DA135D">
      <w:pPr>
        <w:pStyle w:val="Body"/>
        <w:sectPr w:rsidR="004C5524" w:rsidSect="00122EB0">
          <w:footerReference w:type="default" r:id="rId140"/>
          <w:pgSz w:w="9979" w:h="14175"/>
          <w:pgMar w:top="1135" w:right="1134" w:bottom="1134" w:left="1134" w:header="709" w:footer="709" w:gutter="0"/>
          <w:cols w:space="708"/>
          <w:docGrid w:linePitch="360"/>
        </w:sectPr>
      </w:pPr>
    </w:p>
    <w:tbl>
      <w:tblPr>
        <w:tblStyle w:val="TableGrid"/>
        <w:tblW w:w="4994" w:type="pct"/>
        <w:tblCellMar>
          <w:right w:w="142" w:type="dxa"/>
        </w:tblCellMar>
        <w:tblLook w:val="04A0" w:firstRow="1" w:lastRow="0" w:firstColumn="1" w:lastColumn="0" w:noHBand="0" w:noVBand="1"/>
      </w:tblPr>
      <w:tblGrid>
        <w:gridCol w:w="2834"/>
        <w:gridCol w:w="427"/>
        <w:gridCol w:w="4441"/>
      </w:tblGrid>
      <w:tr w:rsidR="00011391" w:rsidRPr="00DF5D28" w14:paraId="0A6CF30E" w14:textId="77777777" w:rsidTr="006544B5">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3C9144A8" w14:textId="77777777" w:rsidR="00011391" w:rsidRPr="00DF5D28" w:rsidRDefault="00011391" w:rsidP="006544B5">
            <w:pPr>
              <w:pStyle w:val="H4"/>
              <w:spacing w:before="120"/>
              <w:rPr>
                <w:color w:val="FFFFFF" w:themeColor="background2"/>
              </w:rPr>
            </w:pPr>
            <w:r>
              <w:rPr>
                <w:color w:val="FFFFFF" w:themeColor="background2"/>
              </w:rPr>
              <w:lastRenderedPageBreak/>
              <w:t>Performance criteria</w:t>
            </w:r>
          </w:p>
        </w:tc>
        <w:tc>
          <w:tcPr>
            <w:tcW w:w="277" w:type="pct"/>
            <w:shd w:val="clear" w:color="auto" w:fill="FFFFFF" w:themeFill="background2"/>
          </w:tcPr>
          <w:p w14:paraId="2C03C3AD" w14:textId="77777777" w:rsidR="00011391" w:rsidRDefault="00011391" w:rsidP="006544B5">
            <w:pPr>
              <w:pStyle w:val="Body"/>
              <w:spacing w:before="120"/>
            </w:pPr>
          </w:p>
        </w:tc>
        <w:tc>
          <w:tcPr>
            <w:tcW w:w="2883" w:type="pct"/>
          </w:tcPr>
          <w:p w14:paraId="27768F87" w14:textId="77777777" w:rsidR="00011391" w:rsidRPr="00DF5D28" w:rsidRDefault="00011391"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011391" w:rsidRPr="007D6047" w14:paraId="6C19CB9F" w14:textId="77777777" w:rsidTr="00011391">
        <w:trPr>
          <w:cnfStyle w:val="100000000000" w:firstRow="1" w:lastRow="0" w:firstColumn="0" w:lastColumn="0" w:oddVBand="0" w:evenVBand="0" w:oddHBand="0" w:evenHBand="0" w:firstRowFirstColumn="0" w:firstRowLastColumn="0" w:lastRowFirstColumn="0" w:lastRowLastColumn="0"/>
          <w:trHeight w:val="1835"/>
        </w:trPr>
        <w:tc>
          <w:tcPr>
            <w:tcW w:w="1840" w:type="pct"/>
            <w:shd w:val="clear" w:color="auto" w:fill="DCD3E2"/>
          </w:tcPr>
          <w:p w14:paraId="10B51EBB" w14:textId="2933DC17" w:rsidR="00011391" w:rsidRPr="00DF5D28" w:rsidRDefault="00011391" w:rsidP="002015FA">
            <w:pPr>
              <w:pStyle w:val="NumberListNoIndent"/>
              <w:spacing w:before="240"/>
            </w:pPr>
            <w:r>
              <w:rPr>
                <w:noProof/>
                <w:color w:val="FFFFFF" w:themeColor="background2"/>
                <w:lang w:val="en-AU" w:eastAsia="en-AU"/>
              </w:rPr>
              <mc:AlternateContent>
                <mc:Choice Requires="wps">
                  <w:drawing>
                    <wp:anchor distT="0" distB="0" distL="114300" distR="114300" simplePos="0" relativeHeight="251883520" behindDoc="0" locked="0" layoutInCell="1" allowOverlap="1" wp14:anchorId="238F51F1" wp14:editId="1CAC1135">
                      <wp:simplePos x="0" y="0"/>
                      <wp:positionH relativeFrom="column">
                        <wp:posOffset>1723802</wp:posOffset>
                      </wp:positionH>
                      <wp:positionV relativeFrom="paragraph">
                        <wp:posOffset>224790</wp:posOffset>
                      </wp:positionV>
                      <wp:extent cx="289560" cy="0"/>
                      <wp:effectExtent l="0" t="95250" r="0" b="95250"/>
                      <wp:wrapNone/>
                      <wp:docPr id="10" name="Straight Arrow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476154" id="Straight Arrow Connector 10" o:spid="_x0000_s1026" type="#_x0000_t32" alt="&quot;&quot;" style="position:absolute;margin-left:135.75pt;margin-top:17.7pt;width:22.8pt;height:0;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" strokecolor="#5e2f7e [3208]" strokeweight="2.25pt">
                      <v:stroke endarrow="open" joinstyle="miter"/>
                    </v:shape>
                  </w:pict>
                </mc:Fallback>
              </mc:AlternateContent>
            </w:r>
            <w:r w:rsidR="002015FA" w:rsidRPr="002015FA">
              <w:t>Provide a further increase in the proportion of funding for public services using activity based funding as reported by the Administrator of the National Health Funding Pool</w:t>
            </w:r>
            <w:r w:rsidR="00064783">
              <w:t>.</w:t>
            </w:r>
          </w:p>
        </w:tc>
        <w:tc>
          <w:tcPr>
            <w:tcW w:w="277" w:type="pct"/>
            <w:shd w:val="clear" w:color="auto" w:fill="FFFFFF" w:themeFill="background2"/>
          </w:tcPr>
          <w:p w14:paraId="0F6899B8" w14:textId="77777777" w:rsidR="00011391" w:rsidRPr="007D6047" w:rsidRDefault="00011391" w:rsidP="006544B5">
            <w:pPr>
              <w:pStyle w:val="Body"/>
              <w:rPr>
                <w:color w:val="auto"/>
              </w:rPr>
            </w:pPr>
          </w:p>
        </w:tc>
        <w:tc>
          <w:tcPr>
            <w:tcW w:w="2883" w:type="pct"/>
            <w:shd w:val="clear" w:color="auto" w:fill="DCD3E2"/>
          </w:tcPr>
          <w:p w14:paraId="3ADDDAA5" w14:textId="60AF6096" w:rsidR="00011391" w:rsidRPr="007D6047" w:rsidRDefault="007F148A" w:rsidP="006544B5">
            <w:pPr>
              <w:pStyle w:val="TOCBody"/>
              <w:spacing w:before="240"/>
              <w:ind w:left="33"/>
              <w:rPr>
                <w:color w:val="auto"/>
              </w:rPr>
            </w:pPr>
            <w:r w:rsidRPr="007F148A">
              <w:rPr>
                <w:color w:val="auto"/>
              </w:rPr>
              <w:t xml:space="preserve">As at June 2021, 82.18 per cent of funding for public services paid by the Administrator of the National Health Funding Pool was based on activity based funding. This is a decrease of 0.45 </w:t>
            </w:r>
            <w:r>
              <w:rPr>
                <w:color w:val="auto"/>
              </w:rPr>
              <w:t>per cent compared to the 2019–</w:t>
            </w:r>
            <w:r w:rsidRPr="007F148A">
              <w:rPr>
                <w:color w:val="auto"/>
              </w:rPr>
              <w:t>20 financial</w:t>
            </w:r>
            <w:r w:rsidR="00920F0B">
              <w:rPr>
                <w:color w:val="auto"/>
              </w:rPr>
              <w:t xml:space="preserve"> year</w:t>
            </w:r>
            <w:r w:rsidRPr="007F148A">
              <w:rPr>
                <w:color w:val="auto"/>
              </w:rPr>
              <w:t>.</w:t>
            </w:r>
          </w:p>
        </w:tc>
      </w:tr>
      <w:tr w:rsidR="00011391" w:rsidRPr="007D6047" w14:paraId="21F3DDC3" w14:textId="77777777" w:rsidTr="00011391">
        <w:trPr>
          <w:cnfStyle w:val="100000000000" w:firstRow="1" w:lastRow="0" w:firstColumn="0" w:lastColumn="0" w:oddVBand="0" w:evenVBand="0" w:oddHBand="0" w:evenHBand="0" w:firstRowFirstColumn="0" w:firstRowLastColumn="0" w:lastRowFirstColumn="0" w:lastRowLastColumn="0"/>
          <w:trHeight w:val="1705"/>
        </w:trPr>
        <w:tc>
          <w:tcPr>
            <w:tcW w:w="1840" w:type="pct"/>
            <w:shd w:val="clear" w:color="auto" w:fill="DCD3E2"/>
          </w:tcPr>
          <w:p w14:paraId="34A5913E" w14:textId="57DBE02C" w:rsidR="00011391" w:rsidRPr="008D346E" w:rsidRDefault="00011391" w:rsidP="00011391">
            <w:pPr>
              <w:pStyle w:val="NumberListNoIndent"/>
            </w:pPr>
            <w:r>
              <w:rPr>
                <w:noProof/>
                <w:color w:val="FFFFFF" w:themeColor="background2"/>
                <w:lang w:val="en-AU" w:eastAsia="en-AU"/>
              </w:rPr>
              <mc:AlternateContent>
                <mc:Choice Requires="wps">
                  <w:drawing>
                    <wp:anchor distT="0" distB="0" distL="114300" distR="114300" simplePos="0" relativeHeight="251884544" behindDoc="0" locked="0" layoutInCell="1" allowOverlap="1" wp14:anchorId="652338B4" wp14:editId="101CD554">
                      <wp:simplePos x="0" y="0"/>
                      <wp:positionH relativeFrom="column">
                        <wp:posOffset>1723390</wp:posOffset>
                      </wp:positionH>
                      <wp:positionV relativeFrom="paragraph">
                        <wp:posOffset>77787</wp:posOffset>
                      </wp:positionV>
                      <wp:extent cx="289560" cy="0"/>
                      <wp:effectExtent l="0" t="95250" r="0" b="95250"/>
                      <wp:wrapNone/>
                      <wp:docPr id="11" name="Straight Arrow Connector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12C8CE" id="Straight Arrow Connector 11" o:spid="_x0000_s1026" type="#_x0000_t32" alt="&quot;&quot;" style="position:absolute;margin-left:135.7pt;margin-top:6.1pt;width:22.8pt;height:0;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" strokecolor="#5e2f7e [3208]" strokeweight="2.25pt">
                      <v:stroke endarrow="open" joinstyle="miter"/>
                    </v:shape>
                  </w:pict>
                </mc:Fallback>
              </mc:AlternateContent>
            </w:r>
            <w:r w:rsidR="002015FA" w:rsidRPr="002015FA">
              <w:t xml:space="preserve">Investigate opportunities to </w:t>
            </w:r>
            <w:proofErr w:type="spellStart"/>
            <w:r w:rsidR="002015FA" w:rsidRPr="002015FA">
              <w:t>harmonise</w:t>
            </w:r>
            <w:proofErr w:type="spellEnd"/>
            <w:r w:rsidR="002015FA" w:rsidRPr="002015FA">
              <w:t xml:space="preserve"> prices across similar same-day services</w:t>
            </w:r>
            <w:r w:rsidR="00064783">
              <w:t>.</w:t>
            </w:r>
          </w:p>
        </w:tc>
        <w:tc>
          <w:tcPr>
            <w:tcW w:w="277" w:type="pct"/>
            <w:shd w:val="clear" w:color="auto" w:fill="FFFFFF" w:themeFill="background2"/>
          </w:tcPr>
          <w:p w14:paraId="4EC1C260" w14:textId="77777777" w:rsidR="00011391" w:rsidRPr="007D6047" w:rsidRDefault="00011391" w:rsidP="006544B5">
            <w:pPr>
              <w:pStyle w:val="Body"/>
              <w:rPr>
                <w:color w:val="auto"/>
              </w:rPr>
            </w:pPr>
          </w:p>
        </w:tc>
        <w:tc>
          <w:tcPr>
            <w:tcW w:w="2883" w:type="pct"/>
            <w:shd w:val="clear" w:color="auto" w:fill="DCD3E2"/>
          </w:tcPr>
          <w:p w14:paraId="7A4AC852" w14:textId="1BBFE089" w:rsidR="00011391" w:rsidRPr="007D6047" w:rsidRDefault="00011391" w:rsidP="006544B5">
            <w:pPr>
              <w:pStyle w:val="TOCBody"/>
              <w:ind w:left="33"/>
              <w:rPr>
                <w:color w:val="auto"/>
              </w:rPr>
            </w:pPr>
            <w:r w:rsidRPr="00011391">
              <w:rPr>
                <w:color w:val="auto"/>
              </w:rPr>
              <w:t>I</w:t>
            </w:r>
            <w:r w:rsidR="002015FA" w:rsidRPr="002015FA">
              <w:rPr>
                <w:color w:val="auto"/>
              </w:rPr>
              <w:t>n 2020–21, IHPA investigated additional opportunities for the harmonisation of price weights for haemodialysis and chemotherapy in the admitted and non</w:t>
            </w:r>
            <w:r w:rsidR="002015FA">
              <w:rPr>
                <w:color w:val="auto"/>
              </w:rPr>
              <w:noBreakHyphen/>
            </w:r>
            <w:r w:rsidR="002015FA" w:rsidRPr="002015FA">
              <w:rPr>
                <w:color w:val="auto"/>
              </w:rPr>
              <w:t>admitted care settings. The aim of price harmonisation is to ensure that similar services are priced consistently across settings.</w:t>
            </w:r>
          </w:p>
        </w:tc>
      </w:tr>
    </w:tbl>
    <w:p w14:paraId="0F975B2B" w14:textId="65377E2B" w:rsidR="00011391" w:rsidRDefault="00E745BD" w:rsidP="00011391">
      <w:pPr>
        <w:pStyle w:val="Body"/>
      </w:pPr>
      <w:r>
        <w:rPr>
          <w:noProof/>
          <w:color w:val="5E2F7E" w:themeColor="accent5"/>
          <w:sz w:val="28"/>
          <w:szCs w:val="28"/>
          <w:lang w:val="en-AU" w:eastAsia="en-AU"/>
        </w:rPr>
        <mc:AlternateContent>
          <mc:Choice Requires="wps">
            <w:drawing>
              <wp:anchor distT="0" distB="0" distL="114300" distR="114300" simplePos="0" relativeHeight="251753472" behindDoc="1" locked="0" layoutInCell="1" allowOverlap="1" wp14:anchorId="5D0951AA" wp14:editId="3D30BE66">
                <wp:simplePos x="0" y="0"/>
                <wp:positionH relativeFrom="margin">
                  <wp:posOffset>-96635</wp:posOffset>
                </wp:positionH>
                <wp:positionV relativeFrom="paragraph">
                  <wp:posOffset>254339</wp:posOffset>
                </wp:positionV>
                <wp:extent cx="5069205" cy="4815444"/>
                <wp:effectExtent l="0" t="0" r="17145" b="23495"/>
                <wp:wrapNone/>
                <wp:docPr id="106" name="Rectangle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4815444"/>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193DE2" id="Rectangle 106" o:spid="_x0000_s1026" alt="&quot;&quot;" style="position:absolute;margin-left:-7.6pt;margin-top:20.05pt;width:399.15pt;height:379.15pt;z-index:-251563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" filled="f" strokecolor="#7030a0" strokeweight=".5pt">
                <w10:wrap anchorx="margin"/>
              </v:rect>
            </w:pict>
          </mc:Fallback>
        </mc:AlternateContent>
      </w:r>
    </w:p>
    <w:p w14:paraId="01DB9BD0" w14:textId="45F1B848" w:rsidR="00D10CAB" w:rsidRPr="009955A5" w:rsidRDefault="00D10CAB" w:rsidP="00E745BD">
      <w:pPr>
        <w:pStyle w:val="H3"/>
        <w:spacing w:after="120"/>
        <w:rPr>
          <w:color w:val="5E2F7E" w:themeColor="accent5"/>
          <w:sz w:val="28"/>
          <w:szCs w:val="28"/>
        </w:rPr>
      </w:pPr>
      <w:r w:rsidRPr="009955A5">
        <w:rPr>
          <w:color w:val="5E2F7E" w:themeColor="accent5"/>
          <w:sz w:val="28"/>
          <w:szCs w:val="28"/>
        </w:rPr>
        <w:t>Analysis</w:t>
      </w:r>
    </w:p>
    <w:p w14:paraId="5BA4A49A" w14:textId="3182583D" w:rsidR="002015FA" w:rsidRDefault="002015FA" w:rsidP="002015FA">
      <w:pPr>
        <w:pStyle w:val="Body"/>
      </w:pPr>
      <w:r>
        <w:t>This year, the Pricing Framework for Australian Public Hospital Services 2021–22</w:t>
      </w:r>
      <w:r w:rsidR="00AB7E6B">
        <w:t xml:space="preserve"> (Pricing Framework)</w:t>
      </w:r>
      <w:r>
        <w:t xml:space="preserve"> was released alongside the National Efficient Price and National Efficient Cost Determinations 2021–22. While this was a delay to its usual release in December 2020, this ensured that the Pricing Framework included feedback on the new clauses under the 2020–25 Addendum to the National Health Reform Agreement and allowed for early consultation on emerging issues associated with the COVID-19 pandemic. </w:t>
      </w:r>
    </w:p>
    <w:p w14:paraId="564B8B86" w14:textId="77777777" w:rsidR="002015FA" w:rsidRDefault="002015FA" w:rsidP="002015FA">
      <w:pPr>
        <w:pStyle w:val="Body"/>
      </w:pPr>
      <w:r>
        <w:t>IHPA’s work towards pricing and funding for safety and quality, as per the 2017–20 and 2020–25 Addendum to the National Health Reform Agreement, continued in 2020–21. This included completing the final year of the analysis of three funding options for reducing avoidable hospital readmissions, which was undertaken from July 2019 for 24-months. Following extensive consultation with stakeholders, the healthcare community and the general public, IHPA’s approach to incorporate the measures aiming to improve quality, continuity and integration of care was presented in the Pricing Framework 2021–22.</w:t>
      </w:r>
    </w:p>
    <w:p w14:paraId="2B347CE1" w14:textId="2596D72A" w:rsidR="002015FA" w:rsidRDefault="002015FA" w:rsidP="002015FA">
      <w:pPr>
        <w:pStyle w:val="Body"/>
      </w:pPr>
      <w:r>
        <w:t xml:space="preserve">IHPA also monitored the changes reported by jurisdictions as a result of the response to the COVID-19 pandemic to ensure pricing responds accordingly. Changes reported by jurisdictions included a significant growth in the use of telemedicine, a reduction in hospital admissions nationally and longer term changes to service delivery required to implement COVID-19 safety measures. </w:t>
      </w:r>
    </w:p>
    <w:p w14:paraId="17A79E7B" w14:textId="77777777" w:rsidR="002015FA" w:rsidRDefault="002015FA" w:rsidP="002015FA">
      <w:pPr>
        <w:pStyle w:val="Body"/>
      </w:pPr>
      <w:r>
        <w:t xml:space="preserve">Published in March 2021, the National Efficient Price and National Efficient Cost Determinations 2021–22 continue to demonstrate the benefits of activity based funding in reducing costs. This is demonstrated in both the significant reduction in the rate of growth in costs per National Weighted Activity Unit since 2011–12, to a sustained growth rate of 2.1 per cent, and the reduction of local hospital networks in the 50th and 90th percentile range of costs per National Weighted Activity Unit. </w:t>
      </w:r>
    </w:p>
    <w:p w14:paraId="40F2E0DB" w14:textId="147786E3" w:rsidR="00736A50" w:rsidRPr="00DA135D" w:rsidRDefault="002015FA" w:rsidP="002015FA">
      <w:pPr>
        <w:pStyle w:val="Body"/>
      </w:pPr>
      <w:r>
        <w:t>IHPA’s work to progress the pricing of mental health care services continued in 2020–21 in consultation with jurisdictions. This included shadow pricing admitted mental health care, as outlined in the Australian Mental Health Care Classification Pricing Feasibility Report. IHPA also outlined its intention to shadow price community mental health care using the Australian Mental Health Care Classification from 2021–22 through its Consultation Paper on the Pricing Framework 2021–22.</w:t>
      </w:r>
    </w:p>
    <w:p w14:paraId="069F2E18" w14:textId="77777777" w:rsidR="004C5524" w:rsidRDefault="004C5524" w:rsidP="00DA135D">
      <w:pPr>
        <w:pStyle w:val="Body"/>
        <w:sectPr w:rsidR="004C5524" w:rsidSect="007A46BE">
          <w:footerReference w:type="default" r:id="rId141"/>
          <w:pgSz w:w="9979" w:h="14175"/>
          <w:pgMar w:top="851" w:right="1134" w:bottom="1134" w:left="1134" w:header="709" w:footer="709" w:gutter="0"/>
          <w:cols w:space="708"/>
          <w:docGrid w:linePitch="360"/>
        </w:sectPr>
      </w:pPr>
    </w:p>
    <w:p w14:paraId="281733F6" w14:textId="77777777" w:rsidR="002A6644" w:rsidRPr="008C19C9" w:rsidRDefault="002A6644" w:rsidP="008C19C9">
      <w:pPr>
        <w:pStyle w:val="H3"/>
        <w:spacing w:before="0"/>
        <w:rPr>
          <w:color w:val="5E2F7E" w:themeColor="accent5"/>
          <w:sz w:val="32"/>
          <w:szCs w:val="32"/>
        </w:rPr>
      </w:pPr>
      <w:bookmarkStart w:id="109" w:name="_Hlk78789271"/>
      <w:r w:rsidRPr="008C19C9">
        <w:rPr>
          <w:color w:val="5E2F7E" w:themeColor="accent5"/>
          <w:sz w:val="32"/>
          <w:szCs w:val="32"/>
        </w:rPr>
        <w:lastRenderedPageBreak/>
        <w:t>Activity 2: Refine and develop national classification systems</w:t>
      </w:r>
    </w:p>
    <w:p w14:paraId="48BD923C" w14:textId="4EBAC065" w:rsidR="002015FA" w:rsidRPr="002015FA" w:rsidRDefault="002015FA" w:rsidP="002015FA">
      <w:pPr>
        <w:rPr>
          <w:color w:val="1C1C1C"/>
          <w:sz w:val="18"/>
          <w:szCs w:val="18"/>
        </w:rPr>
      </w:pPr>
      <w:r w:rsidRPr="002015FA">
        <w:rPr>
          <w:color w:val="1C1C1C"/>
          <w:sz w:val="18"/>
          <w:szCs w:val="18"/>
        </w:rPr>
        <w:t>Activity based funding requires robust classification systems on which pricing can be based. Classifications aim</w:t>
      </w:r>
      <w:r w:rsidR="0068524F">
        <w:rPr>
          <w:color w:val="1C1C1C"/>
          <w:sz w:val="18"/>
          <w:szCs w:val="18"/>
        </w:rPr>
        <w:t> </w:t>
      </w:r>
      <w:r w:rsidRPr="002015FA">
        <w:rPr>
          <w:color w:val="1C1C1C"/>
          <w:sz w:val="18"/>
          <w:szCs w:val="18"/>
        </w:rPr>
        <w:t>to provide the healthcare sector with a nationally consistent method of classifying all types of patients, their</w:t>
      </w:r>
      <w:r w:rsidR="0068524F">
        <w:rPr>
          <w:color w:val="1C1C1C"/>
          <w:sz w:val="18"/>
          <w:szCs w:val="18"/>
        </w:rPr>
        <w:t> </w:t>
      </w:r>
      <w:r w:rsidRPr="002015FA">
        <w:rPr>
          <w:color w:val="1C1C1C"/>
          <w:sz w:val="18"/>
          <w:szCs w:val="18"/>
        </w:rPr>
        <w:t>treatment and associated costs. IHPA has determined the national classification systems for public</w:t>
      </w:r>
      <w:r w:rsidR="008077F7">
        <w:rPr>
          <w:color w:val="1C1C1C"/>
          <w:sz w:val="18"/>
          <w:szCs w:val="18"/>
        </w:rPr>
        <w:t> </w:t>
      </w:r>
      <w:r w:rsidRPr="002015FA">
        <w:rPr>
          <w:color w:val="1C1C1C"/>
          <w:sz w:val="18"/>
          <w:szCs w:val="18"/>
        </w:rPr>
        <w:t>hospital services, including admitted acute, non‑admitted, emergency, admitted subacute and non-acute mental health care and teaching</w:t>
      </w:r>
      <w:r w:rsidR="009C144B">
        <w:rPr>
          <w:color w:val="1C1C1C"/>
          <w:sz w:val="18"/>
          <w:szCs w:val="18"/>
        </w:rPr>
        <w:t>,</w:t>
      </w:r>
      <w:r w:rsidRPr="002015FA">
        <w:rPr>
          <w:color w:val="1C1C1C"/>
          <w:sz w:val="18"/>
          <w:szCs w:val="18"/>
        </w:rPr>
        <w:t xml:space="preserve"> training</w:t>
      </w:r>
      <w:r w:rsidR="009C144B">
        <w:rPr>
          <w:color w:val="1C1C1C"/>
          <w:sz w:val="18"/>
          <w:szCs w:val="18"/>
        </w:rPr>
        <w:t xml:space="preserve"> and research</w:t>
      </w:r>
      <w:r w:rsidRPr="002015FA">
        <w:rPr>
          <w:color w:val="1C1C1C"/>
          <w:sz w:val="18"/>
          <w:szCs w:val="18"/>
        </w:rPr>
        <w:t>.</w:t>
      </w:r>
    </w:p>
    <w:p w14:paraId="2B9FDF8A" w14:textId="2170200A" w:rsidR="002015FA" w:rsidRPr="002015FA" w:rsidRDefault="002015FA" w:rsidP="002015FA">
      <w:pPr>
        <w:rPr>
          <w:color w:val="1C1C1C"/>
          <w:sz w:val="18"/>
          <w:szCs w:val="18"/>
        </w:rPr>
      </w:pPr>
      <w:r w:rsidRPr="002015FA">
        <w:rPr>
          <w:color w:val="1C1C1C"/>
          <w:sz w:val="18"/>
          <w:szCs w:val="18"/>
        </w:rPr>
        <w:t xml:space="preserve">Classifications are reviewed regularly and updated periodically to ensure that they remain clinically relevant and resource homogeneous within a service category. Such modifications are based on robust statistical analysis and </w:t>
      </w:r>
      <w:r w:rsidR="007E2288">
        <w:rPr>
          <w:color w:val="1C1C1C"/>
          <w:sz w:val="18"/>
          <w:szCs w:val="18"/>
        </w:rPr>
        <w:t xml:space="preserve">are </w:t>
      </w:r>
      <w:r w:rsidRPr="002015FA">
        <w:rPr>
          <w:color w:val="1C1C1C"/>
          <w:sz w:val="18"/>
          <w:szCs w:val="18"/>
        </w:rPr>
        <w:t>overlaid by expert clinical advice.</w:t>
      </w:r>
    </w:p>
    <w:p w14:paraId="525F4E0E" w14:textId="2F4F7F82" w:rsidR="002A6644" w:rsidRDefault="002015FA" w:rsidP="002015FA">
      <w:pPr>
        <w:rPr>
          <w:color w:val="1C1C1C"/>
          <w:sz w:val="18"/>
          <w:szCs w:val="18"/>
        </w:rPr>
      </w:pPr>
      <w:r w:rsidRPr="002015FA">
        <w:rPr>
          <w:color w:val="1C1C1C"/>
          <w:sz w:val="18"/>
          <w:szCs w:val="18"/>
        </w:rPr>
        <w:t>During 2020–21, IHPA continued its work program to review and refine the classifications.</w:t>
      </w:r>
    </w:p>
    <w:p w14:paraId="5289057D" w14:textId="76DD7519" w:rsidR="002015FA" w:rsidRPr="00434223" w:rsidRDefault="002015FA" w:rsidP="002015FA">
      <w:pPr>
        <w:pStyle w:val="FigureHeading"/>
      </w:pPr>
      <w:bookmarkStart w:id="110" w:name="_Toc77354565"/>
      <w:bookmarkStart w:id="111" w:name="_Toc82510940"/>
      <w:bookmarkEnd w:id="109"/>
      <w:r>
        <w:t xml:space="preserve">Figure </w:t>
      </w:r>
      <w:r w:rsidR="00A30F40">
        <w:t>8</w:t>
      </w:r>
      <w:r w:rsidRPr="00434223">
        <w:t xml:space="preserve">: Relationship between sources </w:t>
      </w:r>
      <w:r w:rsidRPr="00A356AA">
        <w:t>for</w:t>
      </w:r>
      <w:r w:rsidRPr="00434223">
        <w:t xml:space="preserve"> reporting of </w:t>
      </w:r>
      <w:r>
        <w:t>Activity 2</w:t>
      </w:r>
      <w:bookmarkEnd w:id="110"/>
      <w:bookmarkEnd w:id="111"/>
      <w:r>
        <w:t xml:space="preserve"> </w:t>
      </w:r>
    </w:p>
    <w:p w14:paraId="6DA46546" w14:textId="77777777" w:rsidR="002015FA" w:rsidRPr="009A17F6" w:rsidRDefault="002015FA" w:rsidP="002015FA">
      <w:pPr>
        <w:pStyle w:val="H3"/>
        <w:rPr>
          <w:color w:val="5E2F7E" w:themeColor="accent5"/>
        </w:rPr>
      </w:pPr>
      <w:r w:rsidRPr="009A17F6">
        <w:rPr>
          <w:color w:val="5E2F7E" w:themeColor="accent5"/>
        </w:rPr>
        <w:t>Sources of reporting for the Annual Report 2020</w:t>
      </w:r>
      <w:r w:rsidRPr="000A75C4">
        <w:rPr>
          <w:color w:val="5E2F7E" w:themeColor="accent5"/>
        </w:rPr>
        <w:t>–</w:t>
      </w:r>
      <w:r w:rsidRPr="009A17F6">
        <w:rPr>
          <w:color w:val="5E2F7E" w:themeColor="accent5"/>
        </w:rPr>
        <w:t>21 Performance</w:t>
      </w:r>
      <w:r>
        <w:rPr>
          <w:color w:val="5E2F7E" w:themeColor="accent5"/>
        </w:rPr>
        <w:t> </w:t>
      </w:r>
      <w:r w:rsidRPr="009A17F6">
        <w:rPr>
          <w:color w:val="5E2F7E" w:themeColor="accent5"/>
        </w:rPr>
        <w:t>Statement</w:t>
      </w:r>
    </w:p>
    <w:p w14:paraId="68659984" w14:textId="56CE189A" w:rsidR="00770E81" w:rsidRPr="009A17F6" w:rsidRDefault="002015FA" w:rsidP="002015FA">
      <w:pPr>
        <w:pStyle w:val="H4"/>
        <w:rPr>
          <w:color w:val="5E2F7E" w:themeColor="accent5"/>
        </w:rPr>
      </w:pPr>
      <w:r w:rsidRPr="00220A32">
        <w:rPr>
          <w:color w:val="5E2F7E" w:themeColor="accent5"/>
          <w:lang w:val="en-US"/>
        </w:rPr>
        <w:t>Portfolio Budget Statements 2020–21</w:t>
      </w:r>
    </w:p>
    <w:tbl>
      <w:tblPr>
        <w:tblStyle w:val="TableGrid"/>
        <w:tblW w:w="4966" w:type="pct"/>
        <w:tblCellMar>
          <w:top w:w="113" w:type="dxa"/>
        </w:tblCellMar>
        <w:tblLook w:val="04A0" w:firstRow="1" w:lastRow="0" w:firstColumn="1" w:lastColumn="0" w:noHBand="0" w:noVBand="1"/>
        <w:tblCaption w:val="Figure 8"/>
        <w:tblDescription w:val="Outcome 1"/>
      </w:tblPr>
      <w:tblGrid>
        <w:gridCol w:w="2680"/>
        <w:gridCol w:w="416"/>
        <w:gridCol w:w="1449"/>
        <w:gridCol w:w="417"/>
        <w:gridCol w:w="2674"/>
      </w:tblGrid>
      <w:tr w:rsidR="004F4503" w14:paraId="65AC621C" w14:textId="77777777" w:rsidTr="006544B5">
        <w:trPr>
          <w:cnfStyle w:val="100000000000" w:firstRow="1" w:lastRow="0" w:firstColumn="0" w:lastColumn="0" w:oddVBand="0" w:evenVBand="0" w:oddHBand="0" w:evenHBand="0" w:firstRowFirstColumn="0" w:firstRowLastColumn="0" w:lastRowFirstColumn="0" w:lastRowLastColumn="0"/>
          <w:trHeight w:val="1071"/>
        </w:trPr>
        <w:tc>
          <w:tcPr>
            <w:tcW w:w="1761" w:type="pct"/>
            <w:vMerge w:val="restart"/>
          </w:tcPr>
          <w:p w14:paraId="5AD34C82" w14:textId="77777777" w:rsidR="004F4503" w:rsidRPr="00CD0946" w:rsidRDefault="004F4503" w:rsidP="006544B5">
            <w:pPr>
              <w:pStyle w:val="H4"/>
              <w:spacing w:before="120"/>
              <w:rPr>
                <w:color w:val="FFFFFF" w:themeColor="background2"/>
              </w:rPr>
            </w:pPr>
            <w:r w:rsidRPr="00CD0946">
              <w:rPr>
                <w:color w:val="FFFFFF" w:themeColor="background2"/>
              </w:rPr>
              <w:t>Outcome</w:t>
            </w:r>
            <w:r>
              <w:rPr>
                <w:color w:val="FFFFFF" w:themeColor="background2"/>
              </w:rPr>
              <w:t xml:space="preserve"> 1</w:t>
            </w:r>
          </w:p>
          <w:p w14:paraId="772B036C" w14:textId="1A03179A" w:rsidR="004F4503" w:rsidRPr="009A17F6" w:rsidRDefault="002015FA" w:rsidP="006544B5">
            <w:pPr>
              <w:pStyle w:val="Body"/>
              <w:spacing w:before="120"/>
              <w:rPr>
                <w:color w:val="FFFFFF" w:themeColor="background2"/>
                <w:sz w:val="16"/>
                <w:szCs w:val="16"/>
              </w:rPr>
            </w:pPr>
            <w:r w:rsidRPr="009A17F6">
              <w:rPr>
                <w:color w:val="FFFFFF" w:themeColor="background2"/>
                <w:sz w:val="16"/>
                <w:szCs w:val="16"/>
              </w:rPr>
              <w:t>Promote improved efficiency in, and</w:t>
            </w:r>
            <w:r w:rsidR="00D74C1C">
              <w:rPr>
                <w:color w:val="FFFFFF" w:themeColor="background2"/>
                <w:sz w:val="16"/>
                <w:szCs w:val="16"/>
              </w:rPr>
              <w:t> </w:t>
            </w:r>
            <w:r w:rsidRPr="009A17F6">
              <w:rPr>
                <w:color w:val="FFFFFF" w:themeColor="background2"/>
                <w:sz w:val="16"/>
                <w:szCs w:val="16"/>
              </w:rPr>
              <w:t>access to, public hospital services primarily through setting efficient national prices and levels of block funding for hospital activities</w:t>
            </w:r>
            <w:r w:rsidR="007424FC">
              <w:rPr>
                <w:color w:val="FFFFFF" w:themeColor="background2"/>
                <w:sz w:val="16"/>
                <w:szCs w:val="16"/>
              </w:rPr>
              <w:t>.</w:t>
            </w:r>
          </w:p>
        </w:tc>
        <w:tc>
          <w:tcPr>
            <w:tcW w:w="278" w:type="pct"/>
            <w:vMerge w:val="restart"/>
            <w:shd w:val="clear" w:color="auto" w:fill="FFFFFF" w:themeFill="background2"/>
          </w:tcPr>
          <w:p w14:paraId="482F2B2A" w14:textId="77777777" w:rsidR="004F4503" w:rsidRDefault="004F4503" w:rsidP="006544B5">
            <w:pPr>
              <w:pStyle w:val="Body"/>
            </w:pPr>
            <w:r>
              <w:rPr>
                <w:noProof/>
                <w:color w:val="FFFFFF" w:themeColor="background2"/>
                <w:lang w:val="en-AU" w:eastAsia="en-AU"/>
              </w:rPr>
              <mc:AlternateContent>
                <mc:Choice Requires="wps">
                  <w:drawing>
                    <wp:anchor distT="0" distB="0" distL="114300" distR="114300" simplePos="0" relativeHeight="251771904" behindDoc="0" locked="0" layoutInCell="1" allowOverlap="1" wp14:anchorId="75C3220A" wp14:editId="3B462714">
                      <wp:simplePos x="0" y="0"/>
                      <wp:positionH relativeFrom="column">
                        <wp:posOffset>-83160</wp:posOffset>
                      </wp:positionH>
                      <wp:positionV relativeFrom="paragraph">
                        <wp:posOffset>885825</wp:posOffset>
                      </wp:positionV>
                      <wp:extent cx="289560" cy="0"/>
                      <wp:effectExtent l="0" t="95250" r="0" b="95250"/>
                      <wp:wrapNone/>
                      <wp:docPr id="116" name="Straight Arrow Connector 1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AEFBD5" id="Straight Arrow Connector 116" o:spid="_x0000_s1026" type="#_x0000_t32" alt="&quot;&quot;" style="position:absolute;margin-left:-6.55pt;margin-top:69.75pt;width:22.8pt;height:0;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770880" behindDoc="0" locked="0" layoutInCell="1" allowOverlap="1" wp14:anchorId="7BD6EA43" wp14:editId="12052274">
                      <wp:simplePos x="0" y="0"/>
                      <wp:positionH relativeFrom="column">
                        <wp:posOffset>-82814</wp:posOffset>
                      </wp:positionH>
                      <wp:positionV relativeFrom="paragraph">
                        <wp:posOffset>157631</wp:posOffset>
                      </wp:positionV>
                      <wp:extent cx="289711" cy="0"/>
                      <wp:effectExtent l="0" t="95250" r="0" b="95250"/>
                      <wp:wrapNone/>
                      <wp:docPr id="117" name="Straight Arrow Connector 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385D07" id="Straight Arrow Connector 117" o:spid="_x0000_s1026" type="#_x0000_t32" alt="&quot;&quot;" style="position:absolute;margin-left:-6.5pt;margin-top:12.4pt;width:22.8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" strokecolor="#5e2f7e [3208]" strokeweight="2.25pt">
                      <v:stroke endarrow="open" joinstyle="miter"/>
                    </v:shape>
                  </w:pict>
                </mc:Fallback>
              </mc:AlternateContent>
            </w:r>
          </w:p>
        </w:tc>
        <w:tc>
          <w:tcPr>
            <w:tcW w:w="926" w:type="pct"/>
            <w:shd w:val="clear" w:color="auto" w:fill="DCD3E2"/>
          </w:tcPr>
          <w:tbl>
            <w:tblPr>
              <w:tblStyle w:val="TableGrid"/>
              <w:tblW w:w="5000" w:type="pct"/>
              <w:tblCellMar>
                <w:left w:w="0" w:type="dxa"/>
                <w:right w:w="0" w:type="dxa"/>
              </w:tblCellMar>
              <w:tblLook w:val="04A0" w:firstRow="1" w:lastRow="0" w:firstColumn="1" w:lastColumn="0" w:noHBand="0" w:noVBand="1"/>
            </w:tblPr>
            <w:tblGrid>
              <w:gridCol w:w="1213"/>
            </w:tblGrid>
            <w:tr w:rsidR="004F4503" w14:paraId="5B67DA7B" w14:textId="77777777" w:rsidTr="00E1134A">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5497B782" w14:textId="566033E8" w:rsidR="004F4503" w:rsidRDefault="004F4503" w:rsidP="00E1134A">
                  <w:pPr>
                    <w:pStyle w:val="H4"/>
                    <w:spacing w:before="40" w:after="40"/>
                    <w:ind w:left="113" w:right="113"/>
                    <w:rPr>
                      <w:color w:val="5E2F7E" w:themeColor="accent5"/>
                    </w:rPr>
                  </w:pPr>
                  <w:r>
                    <w:rPr>
                      <w:color w:val="5E2F7E" w:themeColor="accent5"/>
                    </w:rPr>
                    <w:t>Work Program 2020</w:t>
                  </w:r>
                  <w:r w:rsidR="007A46BE">
                    <w:rPr>
                      <w:color w:val="5E2F7E" w:themeColor="accent5"/>
                    </w:rPr>
                    <w:t>–</w:t>
                  </w:r>
                  <w:r>
                    <w:rPr>
                      <w:color w:val="5E2F7E" w:themeColor="accent5"/>
                    </w:rPr>
                    <w:t>21</w:t>
                  </w:r>
                </w:p>
              </w:tc>
            </w:tr>
          </w:tbl>
          <w:p w14:paraId="3A357BDF" w14:textId="77777777" w:rsidR="004F4503" w:rsidRPr="00181E61" w:rsidRDefault="004F4503" w:rsidP="006544B5">
            <w:pPr>
              <w:pStyle w:val="H4"/>
              <w:spacing w:before="120" w:after="120"/>
              <w:rPr>
                <w:color w:val="5E2F7E" w:themeColor="accent5"/>
              </w:rPr>
            </w:pPr>
          </w:p>
        </w:tc>
        <w:tc>
          <w:tcPr>
            <w:tcW w:w="279" w:type="pct"/>
            <w:vMerge w:val="restart"/>
            <w:tcBorders>
              <w:right w:val="single" w:sz="18" w:space="0" w:color="5E2F7E" w:themeColor="accent5"/>
            </w:tcBorders>
            <w:shd w:val="clear" w:color="auto" w:fill="FFFFFF" w:themeFill="background2"/>
          </w:tcPr>
          <w:p w14:paraId="30DDF606" w14:textId="77777777" w:rsidR="004F4503" w:rsidRDefault="004F4503" w:rsidP="006544B5">
            <w:pPr>
              <w:pStyle w:val="H4"/>
              <w:spacing w:before="120" w:after="120"/>
            </w:pPr>
            <w:r>
              <w:rPr>
                <w:noProof/>
                <w:color w:val="FFFFFF" w:themeColor="background2"/>
                <w:lang w:val="en-AU" w:eastAsia="en-AU"/>
              </w:rPr>
              <mc:AlternateContent>
                <mc:Choice Requires="wps">
                  <w:drawing>
                    <wp:anchor distT="0" distB="0" distL="114300" distR="114300" simplePos="0" relativeHeight="251773952" behindDoc="0" locked="0" layoutInCell="1" allowOverlap="1" wp14:anchorId="56C48CF9" wp14:editId="0D55FEA3">
                      <wp:simplePos x="0" y="0"/>
                      <wp:positionH relativeFrom="column">
                        <wp:posOffset>-75686</wp:posOffset>
                      </wp:positionH>
                      <wp:positionV relativeFrom="page">
                        <wp:posOffset>885300</wp:posOffset>
                      </wp:positionV>
                      <wp:extent cx="278130" cy="0"/>
                      <wp:effectExtent l="0" t="95250" r="7620" b="95250"/>
                      <wp:wrapNone/>
                      <wp:docPr id="118" name="Straight Arrow Connector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805B94" id="Straight Arrow Connector 118" o:spid="_x0000_s1026" type="#_x0000_t32" alt="&quot;&quot;" style="position:absolute;margin-left:-5.95pt;margin-top:69.7pt;width:21.9pt;height: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" strokecolor="#5e2f7e [3208]" strokeweight="2.25pt">
                      <v:stroke endarrow="open" joinstyle="miter"/>
                      <w10:wrap anchory="page"/>
                    </v:shape>
                  </w:pict>
                </mc:Fallback>
              </mc:AlternateContent>
            </w:r>
            <w:r>
              <w:rPr>
                <w:noProof/>
                <w:color w:val="FFFFFF" w:themeColor="background2"/>
                <w:lang w:val="en-AU" w:eastAsia="en-AU"/>
              </w:rPr>
              <mc:AlternateContent>
                <mc:Choice Requires="wps">
                  <w:drawing>
                    <wp:anchor distT="0" distB="0" distL="114300" distR="114300" simplePos="0" relativeHeight="251772928" behindDoc="0" locked="0" layoutInCell="1" allowOverlap="1" wp14:anchorId="21603F12" wp14:editId="6A0775FC">
                      <wp:simplePos x="0" y="0"/>
                      <wp:positionH relativeFrom="column">
                        <wp:posOffset>-75565</wp:posOffset>
                      </wp:positionH>
                      <wp:positionV relativeFrom="page">
                        <wp:posOffset>128173</wp:posOffset>
                      </wp:positionV>
                      <wp:extent cx="278130" cy="0"/>
                      <wp:effectExtent l="0" t="95250" r="7620" b="95250"/>
                      <wp:wrapNone/>
                      <wp:docPr id="119" name="Straight Arrow Connector 1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EA27DF" id="Straight Arrow Connector 119" o:spid="_x0000_s1026" type="#_x0000_t32" alt="&quot;&quot;" style="position:absolute;margin-left:-5.95pt;margin-top:10.1pt;width:21.9pt;height:0;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" strokecolor="#5e2f7e [3208]" strokeweight="2.25pt">
                      <v:stroke endarrow="open" joinstyle="miter"/>
                      <w10:wrap anchory="page"/>
                    </v:shape>
                  </w:pict>
                </mc:Fallback>
              </mc:AlternateContent>
            </w:r>
          </w:p>
        </w:tc>
        <w:tc>
          <w:tcPr>
            <w:tcW w:w="1756" w:type="pc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29"/>
              <w:gridCol w:w="1229"/>
            </w:tblGrid>
            <w:tr w:rsidR="004F4503" w:rsidRPr="00A137B9" w14:paraId="455864BD" w14:textId="77777777" w:rsidTr="006544B5">
              <w:tc>
                <w:tcPr>
                  <w:tcW w:w="2500" w:type="pct"/>
                  <w:shd w:val="clear" w:color="auto" w:fill="FFFFFF" w:themeFill="background2"/>
                </w:tcPr>
                <w:p w14:paraId="4E34201E" w14:textId="0DE44BF1" w:rsidR="004F4503" w:rsidRPr="00A137B9" w:rsidRDefault="004F4503" w:rsidP="006544B5">
                  <w:pPr>
                    <w:pStyle w:val="Body-Financial"/>
                    <w:spacing w:before="120" w:after="0"/>
                  </w:pPr>
                  <w:r w:rsidRPr="00A137B9">
                    <w:rPr>
                      <w:b/>
                      <w:bCs/>
                    </w:rPr>
                    <w:t xml:space="preserve">Strategic objective </w:t>
                  </w:r>
                  <w:r>
                    <w:rPr>
                      <w:b/>
                      <w:bCs/>
                    </w:rPr>
                    <w:t>2</w:t>
                  </w:r>
                  <w:r>
                    <w:br/>
                  </w:r>
                  <w:r w:rsidRPr="004F4503">
                    <w:t>Refine and develop hospital activity classification systems</w:t>
                  </w:r>
                </w:p>
              </w:tc>
              <w:tc>
                <w:tcPr>
                  <w:tcW w:w="2500" w:type="pct"/>
                  <w:shd w:val="clear" w:color="auto" w:fill="FFFFFF" w:themeFill="background2"/>
                </w:tcPr>
                <w:p w14:paraId="40C0F3DE" w14:textId="2563F21C" w:rsidR="004F4503" w:rsidRPr="00A137B9" w:rsidRDefault="004F4503" w:rsidP="006544B5">
                  <w:pPr>
                    <w:pStyle w:val="Body-Financial"/>
                    <w:spacing w:before="120" w:after="0"/>
                  </w:pPr>
                  <w:r w:rsidRPr="009A17F6">
                    <w:t xml:space="preserve">Activity </w:t>
                  </w:r>
                  <w:r>
                    <w:t>2</w:t>
                  </w:r>
                  <w:r w:rsidRPr="009A17F6">
                    <w:t>:</w:t>
                  </w:r>
                  <w:r w:rsidRPr="009A17F6">
                    <w:br/>
                  </w:r>
                  <w:r w:rsidRPr="004F4503">
                    <w:t xml:space="preserve">Refine and develop </w:t>
                  </w:r>
                  <w:r w:rsidR="006A7A74">
                    <w:t xml:space="preserve">national </w:t>
                  </w:r>
                  <w:r w:rsidRPr="004F4503">
                    <w:t>classification systems</w:t>
                  </w:r>
                </w:p>
              </w:tc>
            </w:tr>
          </w:tbl>
          <w:p w14:paraId="6B1D7F5F" w14:textId="77777777" w:rsidR="004F4503" w:rsidRDefault="004F4503" w:rsidP="006544B5">
            <w:pPr>
              <w:pStyle w:val="Body-Financial"/>
              <w:spacing w:before="120" w:after="0"/>
            </w:pPr>
          </w:p>
        </w:tc>
      </w:tr>
      <w:tr w:rsidR="004F4503" w14:paraId="70A750F5" w14:textId="77777777" w:rsidTr="006544B5">
        <w:trPr>
          <w:cnfStyle w:val="100000000000" w:firstRow="1" w:lastRow="0" w:firstColumn="0" w:lastColumn="0" w:oddVBand="0" w:evenVBand="0" w:oddHBand="0" w:evenHBand="0" w:firstRowFirstColumn="0" w:firstRowLastColumn="0" w:lastRowFirstColumn="0" w:lastRowLastColumn="0"/>
          <w:trHeight w:val="1070"/>
        </w:trPr>
        <w:tc>
          <w:tcPr>
            <w:tcW w:w="1761" w:type="pct"/>
            <w:vMerge/>
          </w:tcPr>
          <w:p w14:paraId="213CBD17" w14:textId="77777777" w:rsidR="004F4503" w:rsidRPr="00CD0946" w:rsidRDefault="004F4503" w:rsidP="006544B5">
            <w:pPr>
              <w:pStyle w:val="H4"/>
              <w:spacing w:before="120"/>
              <w:rPr>
                <w:color w:val="FFFFFF" w:themeColor="background2"/>
              </w:rPr>
            </w:pPr>
          </w:p>
        </w:tc>
        <w:tc>
          <w:tcPr>
            <w:tcW w:w="278" w:type="pct"/>
            <w:vMerge/>
            <w:shd w:val="clear" w:color="auto" w:fill="FFFFFF" w:themeFill="background2"/>
          </w:tcPr>
          <w:p w14:paraId="322EEAEE" w14:textId="77777777" w:rsidR="004F4503" w:rsidRDefault="004F4503" w:rsidP="006544B5">
            <w:pPr>
              <w:pStyle w:val="Body"/>
              <w:rPr>
                <w:noProof/>
                <w:color w:val="FFFFFF" w:themeColor="background2"/>
              </w:rPr>
            </w:pPr>
          </w:p>
        </w:tc>
        <w:tc>
          <w:tcPr>
            <w:tcW w:w="926" w:type="pct"/>
            <w:shd w:val="clear" w:color="auto" w:fill="DCD3E2"/>
          </w:tcPr>
          <w:tbl>
            <w:tblPr>
              <w:tblStyle w:val="TableGrid"/>
              <w:tblW w:w="5000" w:type="pct"/>
              <w:tblCellMar>
                <w:left w:w="0" w:type="dxa"/>
                <w:right w:w="0" w:type="dxa"/>
              </w:tblCellMar>
              <w:tblLook w:val="04A0" w:firstRow="1" w:lastRow="0" w:firstColumn="1" w:lastColumn="0" w:noHBand="0" w:noVBand="1"/>
            </w:tblPr>
            <w:tblGrid>
              <w:gridCol w:w="1213"/>
            </w:tblGrid>
            <w:tr w:rsidR="004F4503" w14:paraId="4E58501C" w14:textId="77777777" w:rsidTr="00E1134A">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4CF7828E" w14:textId="707CADE1" w:rsidR="004F4503" w:rsidRDefault="004F4503" w:rsidP="00E1134A">
                  <w:pPr>
                    <w:pStyle w:val="H4"/>
                    <w:spacing w:before="40" w:after="40"/>
                    <w:ind w:left="113" w:right="113"/>
                    <w:rPr>
                      <w:color w:val="5E2F7E" w:themeColor="accent5"/>
                    </w:rPr>
                  </w:pPr>
                  <w:r>
                    <w:rPr>
                      <w:color w:val="5E2F7E" w:themeColor="accent5"/>
                    </w:rPr>
                    <w:t>Corporate Plan 2020</w:t>
                  </w:r>
                  <w:r w:rsidR="007A46BE">
                    <w:rPr>
                      <w:color w:val="5E2F7E" w:themeColor="accent5"/>
                    </w:rPr>
                    <w:t>–</w:t>
                  </w:r>
                  <w:r>
                    <w:rPr>
                      <w:color w:val="5E2F7E" w:themeColor="accent5"/>
                    </w:rPr>
                    <w:t>21</w:t>
                  </w:r>
                </w:p>
              </w:tc>
            </w:tr>
          </w:tbl>
          <w:p w14:paraId="2D0629CD" w14:textId="77777777" w:rsidR="004F4503" w:rsidRPr="00181E61" w:rsidRDefault="004F4503" w:rsidP="006544B5">
            <w:pPr>
              <w:pStyle w:val="H4"/>
              <w:spacing w:before="120" w:after="120"/>
              <w:rPr>
                <w:color w:val="5E2F7E" w:themeColor="accent5"/>
              </w:rPr>
            </w:pPr>
          </w:p>
        </w:tc>
        <w:tc>
          <w:tcPr>
            <w:tcW w:w="279" w:type="pct"/>
            <w:vMerge/>
            <w:tcBorders>
              <w:right w:val="single" w:sz="18" w:space="0" w:color="5E2F7E" w:themeColor="accent5"/>
            </w:tcBorders>
            <w:shd w:val="clear" w:color="auto" w:fill="FFFFFF" w:themeFill="background2"/>
          </w:tcPr>
          <w:p w14:paraId="607E58F7" w14:textId="77777777" w:rsidR="004F4503" w:rsidRDefault="004F4503" w:rsidP="006544B5">
            <w:pPr>
              <w:pStyle w:val="H4"/>
              <w:spacing w:before="120" w:after="120"/>
            </w:pPr>
          </w:p>
        </w:tc>
        <w:tc>
          <w:tcPr>
            <w:tcW w:w="1756" w:type="pct"/>
            <w:tcBorders>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29"/>
              <w:gridCol w:w="1229"/>
            </w:tblGrid>
            <w:tr w:rsidR="004F4503" w:rsidRPr="00A137B9" w14:paraId="65112E0A" w14:textId="77777777" w:rsidTr="004F4503">
              <w:trPr>
                <w:trHeight w:val="505"/>
              </w:trPr>
              <w:tc>
                <w:tcPr>
                  <w:tcW w:w="2500" w:type="pct"/>
                  <w:shd w:val="clear" w:color="auto" w:fill="FFFFFF" w:themeFill="background2"/>
                </w:tcPr>
                <w:p w14:paraId="6A27DE1C" w14:textId="32E1207E" w:rsidR="004F4503" w:rsidRPr="00A137B9" w:rsidRDefault="004F4503" w:rsidP="006544B5">
                  <w:pPr>
                    <w:pStyle w:val="Body-Financial"/>
                    <w:spacing w:before="120" w:after="0"/>
                  </w:pPr>
                  <w:r w:rsidRPr="00A137B9">
                    <w:rPr>
                      <w:b/>
                      <w:bCs/>
                    </w:rPr>
                    <w:t xml:space="preserve">Strategic objective </w:t>
                  </w:r>
                  <w:r>
                    <w:rPr>
                      <w:b/>
                      <w:bCs/>
                    </w:rPr>
                    <w:t>2</w:t>
                  </w:r>
                  <w:r>
                    <w:br/>
                  </w:r>
                  <w:r w:rsidRPr="004F4503">
                    <w:t>Refine and develop hospital activity classification systems</w:t>
                  </w:r>
                </w:p>
              </w:tc>
              <w:tc>
                <w:tcPr>
                  <w:tcW w:w="2500" w:type="pct"/>
                  <w:shd w:val="clear" w:color="auto" w:fill="FFFFFF" w:themeFill="background2"/>
                </w:tcPr>
                <w:p w14:paraId="1680C4F8" w14:textId="41FA9597" w:rsidR="004F4503" w:rsidRPr="00A137B9" w:rsidRDefault="004F4503" w:rsidP="006544B5">
                  <w:pPr>
                    <w:pStyle w:val="Body-Financial"/>
                    <w:spacing w:before="120" w:after="0"/>
                  </w:pPr>
                  <w:r w:rsidRPr="009A17F6">
                    <w:t xml:space="preserve">Activity </w:t>
                  </w:r>
                  <w:r>
                    <w:t>2</w:t>
                  </w:r>
                  <w:r w:rsidRPr="009A17F6">
                    <w:t>:</w:t>
                  </w:r>
                  <w:r w:rsidRPr="009A17F6">
                    <w:br/>
                  </w:r>
                  <w:r w:rsidRPr="004F4503">
                    <w:t xml:space="preserve">Refine and develop </w:t>
                  </w:r>
                  <w:r w:rsidR="006A7A74">
                    <w:t>national</w:t>
                  </w:r>
                  <w:r w:rsidRPr="004F4503">
                    <w:t xml:space="preserve"> classification systems</w:t>
                  </w:r>
                </w:p>
              </w:tc>
            </w:tr>
          </w:tbl>
          <w:p w14:paraId="5F202E91" w14:textId="77777777" w:rsidR="004F4503" w:rsidRPr="00A137B9" w:rsidRDefault="004F4503" w:rsidP="006544B5">
            <w:pPr>
              <w:pStyle w:val="Body-Financial"/>
              <w:spacing w:after="0"/>
              <w:rPr>
                <w:b/>
                <w:bCs/>
              </w:rPr>
            </w:pPr>
          </w:p>
        </w:tc>
      </w:tr>
      <w:tr w:rsidR="004F4503" w14:paraId="135D1A35" w14:textId="77777777" w:rsidTr="004F4503">
        <w:trPr>
          <w:cnfStyle w:val="100000000000" w:firstRow="1" w:lastRow="0" w:firstColumn="0" w:lastColumn="0" w:oddVBand="0" w:evenVBand="0" w:oddHBand="0" w:evenHBand="0" w:firstRowFirstColumn="0" w:firstRowLastColumn="0" w:lastRowFirstColumn="0" w:lastRowLastColumn="0"/>
          <w:trHeight w:val="3156"/>
        </w:trPr>
        <w:tc>
          <w:tcPr>
            <w:tcW w:w="1761" w:type="pct"/>
            <w:shd w:val="clear" w:color="auto" w:fill="DCD3E2"/>
          </w:tcPr>
          <w:p w14:paraId="5DD9B080" w14:textId="77777777" w:rsidR="004F4503" w:rsidRPr="00521543" w:rsidRDefault="004F4503" w:rsidP="006544B5">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0355151E" w14:textId="09624077" w:rsidR="004F4503" w:rsidRPr="009A17F6" w:rsidRDefault="002015FA" w:rsidP="006544B5">
            <w:pPr>
              <w:pStyle w:val="Body"/>
              <w:spacing w:before="120"/>
              <w:rPr>
                <w:sz w:val="16"/>
                <w:szCs w:val="16"/>
              </w:rPr>
            </w:pPr>
            <w:r w:rsidRPr="00174683">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r>
              <w:rPr>
                <w:sz w:val="16"/>
                <w:szCs w:val="16"/>
              </w:rPr>
              <w:t>.</w:t>
            </w:r>
          </w:p>
        </w:tc>
        <w:tc>
          <w:tcPr>
            <w:tcW w:w="278" w:type="pct"/>
            <w:shd w:val="clear" w:color="auto" w:fill="FFFFFF" w:themeFill="background2"/>
          </w:tcPr>
          <w:p w14:paraId="7217C19D" w14:textId="77777777" w:rsidR="004F4503" w:rsidRDefault="004F4503" w:rsidP="006544B5">
            <w:pPr>
              <w:pStyle w:val="Body"/>
            </w:pPr>
          </w:p>
        </w:tc>
        <w:tc>
          <w:tcPr>
            <w:tcW w:w="926" w:type="pct"/>
            <w:shd w:val="clear" w:color="auto" w:fill="DCD3E2"/>
          </w:tcPr>
          <w:p w14:paraId="146B9A34" w14:textId="77777777" w:rsidR="004F4503" w:rsidRDefault="004F4503" w:rsidP="006544B5">
            <w:pPr>
              <w:pStyle w:val="Body"/>
            </w:pPr>
          </w:p>
        </w:tc>
        <w:tc>
          <w:tcPr>
            <w:tcW w:w="279" w:type="pct"/>
            <w:tcBorders>
              <w:right w:val="single" w:sz="18" w:space="0" w:color="5E2F7E" w:themeColor="accent5"/>
            </w:tcBorders>
            <w:shd w:val="clear" w:color="auto" w:fill="FFFFFF" w:themeFill="background2"/>
          </w:tcPr>
          <w:p w14:paraId="7F077229" w14:textId="77777777" w:rsidR="004F4503" w:rsidRDefault="004F4503" w:rsidP="006544B5">
            <w:pPr>
              <w:pStyle w:val="Body"/>
            </w:pPr>
          </w:p>
        </w:tc>
        <w:tc>
          <w:tcPr>
            <w:tcW w:w="1756" w:type="pct"/>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5BB394B7" w14:textId="77777777" w:rsidR="004F4503" w:rsidRDefault="004F4503" w:rsidP="006544B5">
            <w:pPr>
              <w:pStyle w:val="Body"/>
            </w:pPr>
          </w:p>
        </w:tc>
      </w:tr>
    </w:tbl>
    <w:p w14:paraId="1BA3FBF7" w14:textId="77777777" w:rsidR="00770E81" w:rsidRDefault="00770E81" w:rsidP="00DA135D">
      <w:pPr>
        <w:pStyle w:val="Body"/>
      </w:pPr>
    </w:p>
    <w:p w14:paraId="04FB6681" w14:textId="77777777" w:rsidR="002A6644" w:rsidRDefault="002A6644" w:rsidP="00DA135D">
      <w:pPr>
        <w:pStyle w:val="Body"/>
        <w:sectPr w:rsidR="002A6644" w:rsidSect="00770E81">
          <w:footerReference w:type="default" r:id="rId142"/>
          <w:pgSz w:w="9979" w:h="14175"/>
          <w:pgMar w:top="851" w:right="1134" w:bottom="1134" w:left="1134" w:header="709" w:footer="709" w:gutter="0"/>
          <w:cols w:space="708"/>
          <w:docGrid w:linePitch="360"/>
        </w:sectPr>
      </w:pPr>
    </w:p>
    <w:p w14:paraId="26543F8B" w14:textId="1FBD9F4E" w:rsidR="002A6644" w:rsidRPr="005D1A5D" w:rsidRDefault="002E08CC" w:rsidP="002A6644">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755520" behindDoc="1" locked="0" layoutInCell="1" allowOverlap="1" wp14:anchorId="2A22B5FC" wp14:editId="37167AEC">
                <wp:simplePos x="0" y="0"/>
                <wp:positionH relativeFrom="margin">
                  <wp:posOffset>-98298</wp:posOffset>
                </wp:positionH>
                <wp:positionV relativeFrom="paragraph">
                  <wp:posOffset>-3201</wp:posOffset>
                </wp:positionV>
                <wp:extent cx="5135270" cy="6203289"/>
                <wp:effectExtent l="0" t="0" r="27305" b="26670"/>
                <wp:wrapNone/>
                <wp:docPr id="107" name="Rectangle 1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135270" cy="6203289"/>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2DE6A5" id="Rectangle 107" o:spid="_x0000_s1026" alt="&quot;&quot;" style="position:absolute;margin-left:-7.75pt;margin-top:-.25pt;width:404.35pt;height:488.45pt;z-index:-25156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" filled="f" strokecolor="#7030a0" strokeweight=".5pt">
                <w10:wrap anchorx="margin"/>
              </v:rect>
            </w:pict>
          </mc:Fallback>
        </mc:AlternateContent>
      </w:r>
      <w:r w:rsidR="002A6644" w:rsidRPr="005D1A5D">
        <w:rPr>
          <w:color w:val="5E2F7E" w:themeColor="accent5"/>
          <w:sz w:val="28"/>
          <w:szCs w:val="28"/>
        </w:rPr>
        <w:t xml:space="preserve">Results </w:t>
      </w:r>
    </w:p>
    <w:p w14:paraId="3E152CFB" w14:textId="37597D3D" w:rsidR="002A6644" w:rsidRPr="004E67F4" w:rsidRDefault="002A6644" w:rsidP="002A6644">
      <w:pPr>
        <w:pStyle w:val="FigureHeading"/>
      </w:pPr>
      <w:bookmarkStart w:id="112" w:name="_Toc82510941"/>
      <w:r>
        <w:t xml:space="preserve">Table </w:t>
      </w:r>
      <w:r w:rsidR="00691B7A">
        <w:t>4</w:t>
      </w:r>
      <w:r>
        <w:t xml:space="preserve">: Summary of Performance </w:t>
      </w:r>
      <w:r w:rsidRPr="007F5C9E">
        <w:t xml:space="preserve">for </w:t>
      </w:r>
      <w:r>
        <w:t xml:space="preserve">Activity 2 in </w:t>
      </w:r>
      <w:r w:rsidRPr="007F5C9E">
        <w:t>2020–21</w:t>
      </w:r>
      <w:bookmarkEnd w:id="112"/>
    </w:p>
    <w:tbl>
      <w:tblPr>
        <w:tblStyle w:val="IHPATable"/>
        <w:tblW w:w="7805" w:type="dxa"/>
        <w:tblLayout w:type="fixed"/>
        <w:tblLook w:val="0020" w:firstRow="1" w:lastRow="0" w:firstColumn="0" w:lastColumn="0" w:noHBand="0" w:noVBand="0"/>
        <w:tblCaption w:val="Table 4"/>
        <w:tblDescription w:val="Summary of Performance for Activity 2: Refine and develop hospital activity classification systems"/>
      </w:tblPr>
      <w:tblGrid>
        <w:gridCol w:w="5820"/>
        <w:gridCol w:w="1985"/>
      </w:tblGrid>
      <w:tr w:rsidR="002A6644" w:rsidRPr="004E67F4" w14:paraId="4B6AA1C7" w14:textId="77777777" w:rsidTr="00316E60">
        <w:trPr>
          <w:cnfStyle w:val="100000000000" w:firstRow="1" w:lastRow="0" w:firstColumn="0" w:lastColumn="0" w:oddVBand="0" w:evenVBand="0" w:oddHBand="0" w:evenHBand="0" w:firstRowFirstColumn="0" w:firstRowLastColumn="0" w:lastRowFirstColumn="0" w:lastRowLastColumn="0"/>
          <w:trHeight w:val="20"/>
        </w:trPr>
        <w:tc>
          <w:tcPr>
            <w:tcW w:w="7805" w:type="dxa"/>
            <w:gridSpan w:val="2"/>
            <w:shd w:val="clear" w:color="auto" w:fill="5E2F7E" w:themeFill="accent5"/>
          </w:tcPr>
          <w:p w14:paraId="66C26A08" w14:textId="77777777" w:rsidR="002A6644" w:rsidRPr="004E67F4" w:rsidRDefault="002A6644" w:rsidP="00C757AB">
            <w:pPr>
              <w:spacing w:before="120" w:after="120"/>
              <w:rPr>
                <w:color w:val="1C1C1C"/>
                <w:szCs w:val="18"/>
              </w:rPr>
            </w:pPr>
            <w:r w:rsidRPr="0072208F">
              <w:rPr>
                <w:b/>
                <w:bCs/>
                <w:szCs w:val="18"/>
                <w:lang w:val="en-US"/>
              </w:rPr>
              <w:t xml:space="preserve">Summary of Performance for Activity 2: </w:t>
            </w:r>
            <w:r w:rsidRPr="004E67F4">
              <w:rPr>
                <w:b/>
                <w:bCs/>
                <w:szCs w:val="18"/>
                <w:lang w:val="en-US"/>
              </w:rPr>
              <w:t>Refine and develop hospital activity classification systems</w:t>
            </w:r>
          </w:p>
        </w:tc>
      </w:tr>
      <w:tr w:rsidR="002015FA" w:rsidRPr="004E67F4" w14:paraId="6FEBD0D5"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54CD2635" w14:textId="077F7F2F" w:rsidR="002015FA" w:rsidRPr="004E67F4" w:rsidRDefault="002015FA" w:rsidP="00C757AB">
            <w:pPr>
              <w:spacing w:before="120" w:after="120"/>
              <w:rPr>
                <w:b/>
                <w:bCs/>
                <w:color w:val="FFFFFF" w:themeColor="background2"/>
                <w:sz w:val="16"/>
                <w:szCs w:val="16"/>
                <w:lang w:val="en-US"/>
              </w:rPr>
            </w:pPr>
            <w:proofErr w:type="spellStart"/>
            <w:r w:rsidRPr="004E67F4">
              <w:rPr>
                <w:color w:val="1C1C1C"/>
                <w:sz w:val="16"/>
                <w:szCs w:val="16"/>
              </w:rPr>
              <w:t>Finalise</w:t>
            </w:r>
            <w:proofErr w:type="spellEnd"/>
            <w:r w:rsidRPr="004E67F4">
              <w:rPr>
                <w:color w:val="1C1C1C"/>
                <w:sz w:val="16"/>
                <w:szCs w:val="16"/>
              </w:rPr>
              <w:t xml:space="preserve"> the refinement of ICD-10-AM/ACHI/ACS Twelfth Edition</w:t>
            </w:r>
          </w:p>
        </w:tc>
        <w:tc>
          <w:tcPr>
            <w:tcW w:w="1985" w:type="dxa"/>
          </w:tcPr>
          <w:p w14:paraId="5D3FB411" w14:textId="67E810E7"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190AB001"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44B7615B" w14:textId="639786CC" w:rsidR="002015FA" w:rsidRPr="004E67F4" w:rsidDel="00E03619" w:rsidRDefault="002015FA" w:rsidP="00C757AB">
            <w:pPr>
              <w:spacing w:before="120" w:after="120"/>
              <w:rPr>
                <w:color w:val="1C1C1C"/>
                <w:sz w:val="16"/>
                <w:szCs w:val="16"/>
              </w:rPr>
            </w:pPr>
            <w:proofErr w:type="spellStart"/>
            <w:r w:rsidRPr="004E67F4">
              <w:rPr>
                <w:color w:val="1C1C1C"/>
                <w:sz w:val="16"/>
                <w:szCs w:val="16"/>
              </w:rPr>
              <w:t>Finalise</w:t>
            </w:r>
            <w:proofErr w:type="spellEnd"/>
            <w:r w:rsidRPr="004E67F4">
              <w:rPr>
                <w:color w:val="1C1C1C"/>
                <w:sz w:val="16"/>
                <w:szCs w:val="16"/>
              </w:rPr>
              <w:t xml:space="preserve"> the development of AR-DRG Version 11.0</w:t>
            </w:r>
          </w:p>
        </w:tc>
        <w:tc>
          <w:tcPr>
            <w:tcW w:w="1985" w:type="dxa"/>
          </w:tcPr>
          <w:p w14:paraId="4A1EC224" w14:textId="7876F1A6"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19122810"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4A0ED06F" w14:textId="4B67667E" w:rsidR="002015FA" w:rsidRPr="004E67F4" w:rsidRDefault="002015FA" w:rsidP="00C757AB">
            <w:pPr>
              <w:spacing w:before="120" w:after="120"/>
              <w:rPr>
                <w:b/>
                <w:bCs/>
                <w:color w:val="FFFFFF" w:themeColor="background2"/>
                <w:sz w:val="16"/>
                <w:szCs w:val="16"/>
                <w:lang w:val="en-US"/>
              </w:rPr>
            </w:pPr>
            <w:r w:rsidRPr="004E67F4">
              <w:rPr>
                <w:color w:val="1C1C1C"/>
                <w:sz w:val="16"/>
                <w:szCs w:val="16"/>
              </w:rPr>
              <w:t>Refine the Australian Mental Health Phase of Care as part of the Australian Mental Health Care Classification development</w:t>
            </w:r>
          </w:p>
        </w:tc>
        <w:tc>
          <w:tcPr>
            <w:tcW w:w="1985" w:type="dxa"/>
          </w:tcPr>
          <w:p w14:paraId="355F0366" w14:textId="4D9D1838" w:rsidR="002015FA" w:rsidRPr="004E67F4" w:rsidRDefault="002015FA" w:rsidP="00C757AB">
            <w:pPr>
              <w:spacing w:before="120" w:after="120"/>
              <w:jc w:val="right"/>
              <w:rPr>
                <w:color w:val="1C1C1C"/>
                <w:sz w:val="16"/>
                <w:szCs w:val="16"/>
              </w:rPr>
            </w:pPr>
            <w:r w:rsidRPr="004E67F4">
              <w:rPr>
                <w:color w:val="1C1C1C"/>
                <w:sz w:val="16"/>
                <w:szCs w:val="16"/>
              </w:rPr>
              <w:t>Delivered</w:t>
            </w:r>
          </w:p>
        </w:tc>
      </w:tr>
      <w:tr w:rsidR="002015FA" w:rsidRPr="004E67F4" w14:paraId="738FB4D0"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6897B6A4" w14:textId="6C1D9A19" w:rsidR="002015FA" w:rsidRPr="004E67F4" w:rsidRDefault="002015FA" w:rsidP="00C757AB">
            <w:pPr>
              <w:spacing w:before="120" w:after="120"/>
              <w:rPr>
                <w:color w:val="1C1C1C"/>
                <w:sz w:val="16"/>
                <w:szCs w:val="16"/>
              </w:rPr>
            </w:pPr>
            <w:r w:rsidRPr="004E67F4">
              <w:rPr>
                <w:color w:val="1C1C1C"/>
                <w:sz w:val="16"/>
                <w:szCs w:val="16"/>
              </w:rPr>
              <w:t>Price mental health care services using the Australian Mental Health Care Classification for the National Efficient Price Determination 2021–22</w:t>
            </w:r>
          </w:p>
        </w:tc>
        <w:tc>
          <w:tcPr>
            <w:tcW w:w="1985" w:type="dxa"/>
          </w:tcPr>
          <w:p w14:paraId="1F46A0B3" w14:textId="0D4F53AF"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1055FACC"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6B187BD5" w14:textId="330684D5" w:rsidR="002015FA" w:rsidRPr="004E67F4" w:rsidRDefault="002015FA" w:rsidP="00C757AB">
            <w:pPr>
              <w:spacing w:before="120" w:after="120"/>
              <w:rPr>
                <w:color w:val="1C1C1C"/>
                <w:sz w:val="16"/>
                <w:szCs w:val="16"/>
              </w:rPr>
            </w:pPr>
            <w:r w:rsidRPr="004E67F4">
              <w:rPr>
                <w:color w:val="1C1C1C"/>
                <w:sz w:val="16"/>
                <w:szCs w:val="16"/>
              </w:rPr>
              <w:t>Consult on the draft Australian National Subacute and Non-Acute Patient Classification Version 5.0</w:t>
            </w:r>
          </w:p>
        </w:tc>
        <w:tc>
          <w:tcPr>
            <w:tcW w:w="1985" w:type="dxa"/>
          </w:tcPr>
          <w:p w14:paraId="2553865A" w14:textId="77FAEF9D" w:rsidR="002015FA" w:rsidRPr="004E67F4" w:rsidRDefault="002015FA" w:rsidP="00C757AB">
            <w:pPr>
              <w:spacing w:before="120" w:after="120"/>
              <w:jc w:val="right"/>
              <w:rPr>
                <w:color w:val="1C1C1C"/>
                <w:sz w:val="16"/>
                <w:szCs w:val="16"/>
              </w:rPr>
            </w:pPr>
            <w:r w:rsidRPr="004E67F4">
              <w:rPr>
                <w:color w:val="1C1C1C"/>
                <w:sz w:val="16"/>
                <w:szCs w:val="16"/>
              </w:rPr>
              <w:t>Delivered</w:t>
            </w:r>
          </w:p>
        </w:tc>
      </w:tr>
      <w:tr w:rsidR="002015FA" w:rsidRPr="004E67F4" w14:paraId="57909FEA"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4D831E41" w14:textId="2759F076" w:rsidR="002015FA" w:rsidRPr="004E67F4" w:rsidRDefault="002015FA" w:rsidP="00C757AB">
            <w:pPr>
              <w:spacing w:before="120" w:after="120"/>
              <w:rPr>
                <w:color w:val="1C1C1C"/>
                <w:sz w:val="16"/>
                <w:szCs w:val="16"/>
              </w:rPr>
            </w:pPr>
            <w:r w:rsidRPr="004E67F4">
              <w:rPr>
                <w:color w:val="1C1C1C"/>
                <w:sz w:val="16"/>
                <w:szCs w:val="16"/>
              </w:rPr>
              <w:t>Continue to maintain the Tier 2 Non</w:t>
            </w:r>
            <w:r w:rsidRPr="004E67F4">
              <w:rPr>
                <w:color w:val="1C1C1C"/>
                <w:sz w:val="16"/>
                <w:szCs w:val="16"/>
              </w:rPr>
              <w:noBreakHyphen/>
              <w:t>Admitted Services Classification while undertaking development work for the Australian National Subacute and Non-Acute Classification</w:t>
            </w:r>
          </w:p>
        </w:tc>
        <w:tc>
          <w:tcPr>
            <w:tcW w:w="1985" w:type="dxa"/>
          </w:tcPr>
          <w:p w14:paraId="3A2C7BA8" w14:textId="591A4AFA"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2E8C358C"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6253C393" w14:textId="0A2B7CB5" w:rsidR="002015FA" w:rsidRPr="004E67F4" w:rsidRDefault="002015FA" w:rsidP="00C757AB">
            <w:pPr>
              <w:spacing w:before="120" w:after="120"/>
              <w:rPr>
                <w:color w:val="1C1C1C"/>
                <w:sz w:val="16"/>
                <w:szCs w:val="16"/>
              </w:rPr>
            </w:pPr>
            <w:r w:rsidRPr="004E67F4">
              <w:rPr>
                <w:color w:val="1C1C1C"/>
                <w:sz w:val="16"/>
                <w:szCs w:val="16"/>
              </w:rPr>
              <w:t>Complete the non-admitted care costing study, including activity and cost data for the Australian Non‑Admitted Care Classification</w:t>
            </w:r>
          </w:p>
        </w:tc>
        <w:tc>
          <w:tcPr>
            <w:tcW w:w="1985" w:type="dxa"/>
          </w:tcPr>
          <w:p w14:paraId="4282CA00" w14:textId="7B08BDB1" w:rsidR="002015FA" w:rsidRPr="004E67F4" w:rsidRDefault="002015FA" w:rsidP="00C757AB">
            <w:pPr>
              <w:spacing w:before="120" w:after="120"/>
              <w:jc w:val="right"/>
              <w:rPr>
                <w:color w:val="1C1C1C"/>
                <w:sz w:val="16"/>
                <w:szCs w:val="16"/>
              </w:rPr>
            </w:pPr>
            <w:r w:rsidRPr="004E67F4">
              <w:rPr>
                <w:color w:val="1C1C1C"/>
                <w:sz w:val="16"/>
                <w:szCs w:val="16"/>
              </w:rPr>
              <w:t>On hold</w:t>
            </w:r>
          </w:p>
        </w:tc>
      </w:tr>
      <w:tr w:rsidR="002015FA" w:rsidRPr="004E67F4" w14:paraId="1ED50DC5"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53EF03A4" w14:textId="64751440" w:rsidR="002015FA" w:rsidRPr="004E67F4" w:rsidRDefault="002015FA" w:rsidP="00C757AB">
            <w:pPr>
              <w:spacing w:before="120" w:after="120"/>
              <w:rPr>
                <w:color w:val="1C1C1C"/>
                <w:sz w:val="16"/>
                <w:szCs w:val="16"/>
              </w:rPr>
            </w:pPr>
            <w:r w:rsidRPr="004E67F4">
              <w:rPr>
                <w:color w:val="1C1C1C"/>
                <w:sz w:val="16"/>
                <w:szCs w:val="16"/>
              </w:rPr>
              <w:t>Refine the Australian Emergency Care Classification Version 1.0</w:t>
            </w:r>
          </w:p>
        </w:tc>
        <w:tc>
          <w:tcPr>
            <w:tcW w:w="1985" w:type="dxa"/>
          </w:tcPr>
          <w:p w14:paraId="136B84DF" w14:textId="0465D13F"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3007836B"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6E7DFF3A" w14:textId="6D412C5A" w:rsidR="002015FA" w:rsidRPr="004E67F4" w:rsidRDefault="002015FA" w:rsidP="00C757AB">
            <w:pPr>
              <w:spacing w:before="120" w:after="120"/>
              <w:rPr>
                <w:color w:val="1C1C1C"/>
                <w:sz w:val="16"/>
                <w:szCs w:val="16"/>
              </w:rPr>
            </w:pPr>
            <w:r w:rsidRPr="004E67F4">
              <w:rPr>
                <w:color w:val="1C1C1C"/>
                <w:sz w:val="16"/>
                <w:szCs w:val="16"/>
              </w:rPr>
              <w:t>Continue to work with jurisdictions to implement Australian Teaching and Training</w:t>
            </w:r>
            <w:r w:rsidR="0009119B">
              <w:rPr>
                <w:color w:val="1C1C1C"/>
                <w:sz w:val="16"/>
                <w:szCs w:val="16"/>
              </w:rPr>
              <w:t> </w:t>
            </w:r>
            <w:r w:rsidRPr="004E67F4">
              <w:rPr>
                <w:color w:val="1C1C1C"/>
                <w:sz w:val="16"/>
                <w:szCs w:val="16"/>
              </w:rPr>
              <w:t>Classification</w:t>
            </w:r>
          </w:p>
        </w:tc>
        <w:tc>
          <w:tcPr>
            <w:tcW w:w="1985" w:type="dxa"/>
          </w:tcPr>
          <w:p w14:paraId="72B54AE7" w14:textId="3CEACC30"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2F5C2705"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2B497152" w14:textId="48A0B82F" w:rsidR="002015FA" w:rsidRPr="004E67F4" w:rsidRDefault="002015FA" w:rsidP="00C757AB">
            <w:pPr>
              <w:spacing w:before="120" w:after="120"/>
              <w:rPr>
                <w:color w:val="1C1C1C"/>
                <w:sz w:val="16"/>
                <w:szCs w:val="16"/>
              </w:rPr>
            </w:pPr>
            <w:r w:rsidRPr="004E67F4">
              <w:rPr>
                <w:color w:val="1C1C1C"/>
                <w:sz w:val="16"/>
                <w:szCs w:val="16"/>
              </w:rPr>
              <w:t xml:space="preserve">Continue collecting activity and cost data for the </w:t>
            </w:r>
            <w:r w:rsidR="009C144B">
              <w:rPr>
                <w:color w:val="1C1C1C"/>
                <w:sz w:val="16"/>
                <w:szCs w:val="16"/>
              </w:rPr>
              <w:t xml:space="preserve">Australian </w:t>
            </w:r>
            <w:r w:rsidRPr="004E67F4">
              <w:rPr>
                <w:color w:val="1C1C1C"/>
                <w:sz w:val="16"/>
                <w:szCs w:val="16"/>
              </w:rPr>
              <w:t>Teaching and Training Classification</w:t>
            </w:r>
          </w:p>
        </w:tc>
        <w:tc>
          <w:tcPr>
            <w:tcW w:w="1985" w:type="dxa"/>
          </w:tcPr>
          <w:p w14:paraId="3B8D1B46" w14:textId="76E44A90"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28BA050D"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7D51B571" w14:textId="33A7EAC5" w:rsidR="002015FA" w:rsidRPr="004E67F4" w:rsidRDefault="002015FA" w:rsidP="00C757AB">
            <w:pPr>
              <w:spacing w:before="120" w:after="120"/>
              <w:rPr>
                <w:color w:val="1C1C1C"/>
                <w:sz w:val="16"/>
                <w:szCs w:val="16"/>
              </w:rPr>
            </w:pPr>
            <w:r w:rsidRPr="004E67F4">
              <w:rPr>
                <w:color w:val="1C1C1C"/>
                <w:sz w:val="16"/>
                <w:szCs w:val="16"/>
              </w:rPr>
              <w:t>Management of the international sales of the Australian Refined Diagnosis Related Groups</w:t>
            </w:r>
            <w:r>
              <w:rPr>
                <w:color w:val="1C1C1C"/>
                <w:sz w:val="16"/>
                <w:szCs w:val="16"/>
              </w:rPr>
              <w:t> </w:t>
            </w:r>
            <w:r w:rsidRPr="004E67F4">
              <w:rPr>
                <w:color w:val="1C1C1C"/>
                <w:sz w:val="16"/>
                <w:szCs w:val="16"/>
              </w:rPr>
              <w:t>system</w:t>
            </w:r>
          </w:p>
        </w:tc>
        <w:tc>
          <w:tcPr>
            <w:tcW w:w="1985" w:type="dxa"/>
          </w:tcPr>
          <w:p w14:paraId="42AAACF5" w14:textId="5CE96A58" w:rsidR="002015FA" w:rsidRPr="004E67F4" w:rsidRDefault="002015FA" w:rsidP="00C757AB">
            <w:pPr>
              <w:spacing w:before="120" w:after="120"/>
              <w:jc w:val="right"/>
              <w:rPr>
                <w:color w:val="1C1C1C"/>
                <w:sz w:val="16"/>
                <w:szCs w:val="16"/>
              </w:rPr>
            </w:pPr>
            <w:r w:rsidRPr="004E67F4">
              <w:rPr>
                <w:color w:val="1C1C1C"/>
                <w:sz w:val="16"/>
                <w:szCs w:val="16"/>
              </w:rPr>
              <w:t>Ongoing</w:t>
            </w:r>
          </w:p>
        </w:tc>
      </w:tr>
      <w:tr w:rsidR="002015FA" w:rsidRPr="004E67F4" w14:paraId="5ADFA6BB"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03609998" w14:textId="30269739" w:rsidR="002015FA" w:rsidRPr="004E67F4" w:rsidRDefault="002015FA" w:rsidP="00C757AB">
            <w:pPr>
              <w:spacing w:before="120" w:after="120"/>
              <w:rPr>
                <w:color w:val="1C1C1C"/>
                <w:sz w:val="16"/>
                <w:szCs w:val="16"/>
              </w:rPr>
            </w:pPr>
            <w:proofErr w:type="spellStart"/>
            <w:r w:rsidRPr="004E67F4">
              <w:rPr>
                <w:color w:val="1C1C1C"/>
                <w:sz w:val="16"/>
                <w:szCs w:val="16"/>
              </w:rPr>
              <w:t>Finalise</w:t>
            </w:r>
            <w:proofErr w:type="spellEnd"/>
            <w:r w:rsidRPr="004E67F4">
              <w:rPr>
                <w:color w:val="1C1C1C"/>
                <w:sz w:val="16"/>
                <w:szCs w:val="16"/>
              </w:rPr>
              <w:t xml:space="preserve"> the review of new health technologies based on reports received from government agencies and advisory bodies</w:t>
            </w:r>
          </w:p>
        </w:tc>
        <w:tc>
          <w:tcPr>
            <w:tcW w:w="1985" w:type="dxa"/>
          </w:tcPr>
          <w:p w14:paraId="2BF115D7" w14:textId="10D1FA34" w:rsidR="002015FA" w:rsidRPr="004E67F4" w:rsidRDefault="002015FA" w:rsidP="00C757AB">
            <w:pPr>
              <w:spacing w:before="120" w:after="120"/>
              <w:jc w:val="right"/>
              <w:rPr>
                <w:color w:val="1C1C1C"/>
                <w:sz w:val="16"/>
                <w:szCs w:val="16"/>
              </w:rPr>
            </w:pPr>
            <w:r w:rsidRPr="004E67F4">
              <w:rPr>
                <w:color w:val="1C1C1C"/>
                <w:sz w:val="16"/>
                <w:szCs w:val="16"/>
              </w:rPr>
              <w:t>Delivered</w:t>
            </w:r>
          </w:p>
        </w:tc>
      </w:tr>
      <w:tr w:rsidR="002015FA" w:rsidRPr="004E67F4" w14:paraId="1C37B947"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510C34AA" w14:textId="3E2E469F" w:rsidR="002015FA" w:rsidRPr="004E67F4" w:rsidRDefault="002015FA" w:rsidP="00C757AB">
            <w:pPr>
              <w:spacing w:before="120" w:after="120"/>
              <w:rPr>
                <w:color w:val="1C1C1C"/>
                <w:sz w:val="16"/>
                <w:szCs w:val="16"/>
              </w:rPr>
            </w:pPr>
            <w:r w:rsidRPr="004E67F4">
              <w:rPr>
                <w:color w:val="1C1C1C"/>
                <w:sz w:val="16"/>
                <w:szCs w:val="16"/>
              </w:rPr>
              <w:t>Review the process for assessing the impact of new health technologies on patient classification systems</w:t>
            </w:r>
          </w:p>
        </w:tc>
        <w:tc>
          <w:tcPr>
            <w:tcW w:w="1985" w:type="dxa"/>
          </w:tcPr>
          <w:p w14:paraId="5C4D4AB4" w14:textId="1D6FE868" w:rsidR="002015FA" w:rsidRPr="004E67F4" w:rsidRDefault="002015FA" w:rsidP="00C757AB">
            <w:pPr>
              <w:spacing w:before="120" w:after="120"/>
              <w:jc w:val="right"/>
              <w:rPr>
                <w:color w:val="1C1C1C"/>
                <w:sz w:val="16"/>
                <w:szCs w:val="16"/>
              </w:rPr>
            </w:pPr>
            <w:r w:rsidRPr="004E67F4">
              <w:rPr>
                <w:color w:val="1C1C1C"/>
                <w:sz w:val="16"/>
                <w:szCs w:val="16"/>
              </w:rPr>
              <w:t>Ongoing</w:t>
            </w:r>
          </w:p>
        </w:tc>
      </w:tr>
    </w:tbl>
    <w:p w14:paraId="20CBA320" w14:textId="77777777" w:rsidR="002A6644" w:rsidRDefault="002A6644" w:rsidP="002A6644">
      <w:pPr>
        <w:pStyle w:val="Body"/>
      </w:pPr>
    </w:p>
    <w:p w14:paraId="528B3359" w14:textId="77777777" w:rsidR="002A6644" w:rsidRDefault="002A6644" w:rsidP="00DA135D">
      <w:pPr>
        <w:pStyle w:val="Body"/>
        <w:sectPr w:rsidR="002A6644" w:rsidSect="00441579">
          <w:footerReference w:type="default" r:id="rId143"/>
          <w:pgSz w:w="9979" w:h="14175"/>
          <w:pgMar w:top="1134" w:right="1134" w:bottom="1134" w:left="1134" w:header="709" w:footer="709" w:gutter="0"/>
          <w:cols w:space="708"/>
          <w:docGrid w:linePitch="360"/>
        </w:sectPr>
      </w:pPr>
    </w:p>
    <w:tbl>
      <w:tblPr>
        <w:tblStyle w:val="TableGrid"/>
        <w:tblW w:w="4994" w:type="pct"/>
        <w:tblCellMar>
          <w:right w:w="142" w:type="dxa"/>
        </w:tblCellMar>
        <w:tblLook w:val="04A0" w:firstRow="1" w:lastRow="0" w:firstColumn="1" w:lastColumn="0" w:noHBand="0" w:noVBand="1"/>
        <w:tblCaption w:val="Table 4"/>
        <w:tblDescription w:val="Performance criteria"/>
      </w:tblPr>
      <w:tblGrid>
        <w:gridCol w:w="2834"/>
        <w:gridCol w:w="427"/>
        <w:gridCol w:w="4441"/>
      </w:tblGrid>
      <w:tr w:rsidR="0087547F" w:rsidRPr="00DF5D28" w14:paraId="10331825" w14:textId="77777777" w:rsidTr="00C801E0">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59AA122C" w14:textId="1CC004E3" w:rsidR="00273118" w:rsidRPr="00DF5D28" w:rsidRDefault="00273118" w:rsidP="006544B5">
            <w:pPr>
              <w:pStyle w:val="H4"/>
              <w:spacing w:before="120"/>
              <w:rPr>
                <w:color w:val="FFFFFF" w:themeColor="background2"/>
              </w:rPr>
            </w:pPr>
            <w:r>
              <w:rPr>
                <w:color w:val="FFFFFF" w:themeColor="background2"/>
              </w:rPr>
              <w:lastRenderedPageBreak/>
              <w:t xml:space="preserve">Performance </w:t>
            </w:r>
            <w:r w:rsidR="006950BD">
              <w:rPr>
                <w:color w:val="FFFFFF" w:themeColor="background2"/>
              </w:rPr>
              <w:t>c</w:t>
            </w:r>
            <w:r>
              <w:rPr>
                <w:color w:val="FFFFFF" w:themeColor="background2"/>
              </w:rPr>
              <w:t>riteria</w:t>
            </w:r>
          </w:p>
        </w:tc>
        <w:tc>
          <w:tcPr>
            <w:tcW w:w="277" w:type="pct"/>
            <w:shd w:val="clear" w:color="auto" w:fill="FFFFFF" w:themeFill="background2"/>
          </w:tcPr>
          <w:p w14:paraId="6C88070F" w14:textId="77777777" w:rsidR="00273118" w:rsidRDefault="00273118" w:rsidP="006544B5">
            <w:pPr>
              <w:pStyle w:val="Body"/>
              <w:spacing w:before="120"/>
            </w:pPr>
          </w:p>
        </w:tc>
        <w:tc>
          <w:tcPr>
            <w:tcW w:w="2883" w:type="pct"/>
          </w:tcPr>
          <w:p w14:paraId="3983CBED" w14:textId="77777777" w:rsidR="00273118" w:rsidRPr="00DF5D28" w:rsidRDefault="00273118"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273118" w14:paraId="587DA705" w14:textId="77777777" w:rsidTr="008D763E">
        <w:trPr>
          <w:cnfStyle w:val="100000000000" w:firstRow="1" w:lastRow="0" w:firstColumn="0" w:lastColumn="0" w:oddVBand="0" w:evenVBand="0" w:oddHBand="0" w:evenHBand="0" w:firstRowFirstColumn="0" w:firstRowLastColumn="0" w:lastRowFirstColumn="0" w:lastRowLastColumn="0"/>
          <w:trHeight w:val="2041"/>
        </w:trPr>
        <w:tc>
          <w:tcPr>
            <w:tcW w:w="1840" w:type="pct"/>
            <w:shd w:val="clear" w:color="auto" w:fill="DCD3E2"/>
          </w:tcPr>
          <w:p w14:paraId="1331FD24" w14:textId="52DA373B" w:rsidR="00273118" w:rsidRPr="00DF5D28" w:rsidRDefault="002015FA" w:rsidP="008E4BC3">
            <w:pPr>
              <w:pStyle w:val="NumberListNoIndent"/>
              <w:numPr>
                <w:ilvl w:val="0"/>
                <w:numId w:val="22"/>
              </w:numPr>
              <w:spacing w:before="240"/>
            </w:pPr>
            <w:r>
              <w:rPr>
                <w:noProof/>
                <w:color w:val="FFFFFF" w:themeColor="background2"/>
                <w:lang w:val="en-AU" w:eastAsia="en-AU"/>
              </w:rPr>
              <mc:AlternateContent>
                <mc:Choice Requires="wps">
                  <w:drawing>
                    <wp:anchor distT="0" distB="0" distL="114300" distR="114300" simplePos="0" relativeHeight="251949056" behindDoc="0" locked="0" layoutInCell="1" allowOverlap="1" wp14:anchorId="559AC1EF" wp14:editId="7476830D">
                      <wp:simplePos x="0" y="0"/>
                      <wp:positionH relativeFrom="column">
                        <wp:posOffset>1725295</wp:posOffset>
                      </wp:positionH>
                      <wp:positionV relativeFrom="paragraph">
                        <wp:posOffset>229650</wp:posOffset>
                      </wp:positionV>
                      <wp:extent cx="289560" cy="0"/>
                      <wp:effectExtent l="0" t="95250" r="0" b="95250"/>
                      <wp:wrapNone/>
                      <wp:docPr id="73" name="Straight Arrow Connector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F5D63" id="Straight Arrow Connector 73" o:spid="_x0000_s1026" type="#_x0000_t32" alt="&quot;&quot;" style="position:absolute;margin-left:135.85pt;margin-top:18.1pt;width:22.8pt;height:0;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" strokecolor="#5e2f7e [3208]" strokeweight="2.25pt">
                      <v:stroke endarrow="open" joinstyle="miter"/>
                    </v:shape>
                  </w:pict>
                </mc:Fallback>
              </mc:AlternateContent>
            </w:r>
            <w:proofErr w:type="spellStart"/>
            <w:r w:rsidRPr="00273118">
              <w:t>Finalise</w:t>
            </w:r>
            <w:proofErr w:type="spellEnd"/>
            <w:r>
              <w:br/>
            </w:r>
            <w:r w:rsidRPr="00273118">
              <w:t xml:space="preserve">ICD-10-AM/ACHI/ACS Twelfth Edition for implementation </w:t>
            </w:r>
            <w:r w:rsidR="008D763E">
              <w:t xml:space="preserve">from </w:t>
            </w:r>
            <w:r w:rsidRPr="00273118">
              <w:t>1</w:t>
            </w:r>
            <w:r w:rsidR="008D763E">
              <w:t> </w:t>
            </w:r>
            <w:r w:rsidRPr="00273118">
              <w:t>July</w:t>
            </w:r>
            <w:r w:rsidR="008D763E">
              <w:t> </w:t>
            </w:r>
            <w:r w:rsidRPr="00273118">
              <w:t>2022 and use in the</w:t>
            </w:r>
            <w:r w:rsidR="008D763E">
              <w:t> </w:t>
            </w:r>
            <w:r w:rsidRPr="00273118">
              <w:t>National</w:t>
            </w:r>
            <w:r w:rsidR="008D763E">
              <w:t> </w:t>
            </w:r>
            <w:r w:rsidRPr="00273118">
              <w:t>Efficient Price Determination 2022–23</w:t>
            </w:r>
            <w:r w:rsidR="007424FC">
              <w:t>.</w:t>
            </w:r>
          </w:p>
        </w:tc>
        <w:tc>
          <w:tcPr>
            <w:tcW w:w="277" w:type="pct"/>
            <w:shd w:val="clear" w:color="auto" w:fill="FFFFFF" w:themeFill="background2"/>
          </w:tcPr>
          <w:p w14:paraId="7FC8FC4E" w14:textId="71553D58" w:rsidR="00273118" w:rsidRDefault="00273118" w:rsidP="006544B5">
            <w:pPr>
              <w:pStyle w:val="Body"/>
            </w:pPr>
          </w:p>
        </w:tc>
        <w:tc>
          <w:tcPr>
            <w:tcW w:w="2883" w:type="pct"/>
            <w:shd w:val="clear" w:color="auto" w:fill="DCD3E2"/>
          </w:tcPr>
          <w:p w14:paraId="5C843F4F" w14:textId="77836173" w:rsidR="00273118" w:rsidRPr="0087547F" w:rsidRDefault="002015FA" w:rsidP="0087547F">
            <w:pPr>
              <w:pStyle w:val="TOCBody"/>
              <w:spacing w:before="240"/>
              <w:ind w:left="33"/>
              <w:rPr>
                <w:color w:val="auto"/>
              </w:rPr>
            </w:pPr>
            <w:r w:rsidRPr="002015FA">
              <w:rPr>
                <w:color w:val="auto"/>
              </w:rPr>
              <w:t>In May 2021, IHPA undertook a public consultation seeking feedback on major changes proposed for the Twelfth Edition of ICD-10-AM/ACHI/ACS.</w:t>
            </w:r>
          </w:p>
        </w:tc>
      </w:tr>
      <w:tr w:rsidR="00273118" w14:paraId="46D1044D" w14:textId="77777777" w:rsidTr="00B45CFC">
        <w:trPr>
          <w:cnfStyle w:val="100000000000" w:firstRow="1" w:lastRow="0" w:firstColumn="0" w:lastColumn="0" w:oddVBand="0" w:evenVBand="0" w:oddHBand="0" w:evenHBand="0" w:firstRowFirstColumn="0" w:firstRowLastColumn="0" w:lastRowFirstColumn="0" w:lastRowLastColumn="0"/>
          <w:trHeight w:val="1124"/>
        </w:trPr>
        <w:tc>
          <w:tcPr>
            <w:tcW w:w="1840" w:type="pct"/>
            <w:shd w:val="clear" w:color="auto" w:fill="DCD3E2"/>
          </w:tcPr>
          <w:p w14:paraId="677D452E" w14:textId="574E6906" w:rsidR="00273118" w:rsidRPr="008D346E" w:rsidRDefault="00273118" w:rsidP="0087547F">
            <w:pPr>
              <w:pStyle w:val="NumberListNoIndent"/>
            </w:pPr>
            <w:r>
              <w:rPr>
                <w:noProof/>
                <w:color w:val="FFFFFF" w:themeColor="background2"/>
                <w:lang w:val="en-AU" w:eastAsia="en-AU"/>
              </w:rPr>
              <mc:AlternateContent>
                <mc:Choice Requires="wps">
                  <w:drawing>
                    <wp:anchor distT="0" distB="0" distL="114300" distR="114300" simplePos="0" relativeHeight="251679744" behindDoc="0" locked="0" layoutInCell="1" allowOverlap="1" wp14:anchorId="0F7D665E" wp14:editId="018E8954">
                      <wp:simplePos x="0" y="0"/>
                      <wp:positionH relativeFrom="column">
                        <wp:posOffset>1723390</wp:posOffset>
                      </wp:positionH>
                      <wp:positionV relativeFrom="paragraph">
                        <wp:posOffset>157068</wp:posOffset>
                      </wp:positionV>
                      <wp:extent cx="289560" cy="0"/>
                      <wp:effectExtent l="0" t="95250" r="0" b="95250"/>
                      <wp:wrapNone/>
                      <wp:docPr id="86" name="Straight Arrow Connector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5682D7" id="Straight Arrow Connector 86" o:spid="_x0000_s1026" type="#_x0000_t32" alt="&quot;&quot;" style="position:absolute;margin-left:135.7pt;margin-top:12.35pt;width:22.8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" strokecolor="#5e2f7e [3208]" strokeweight="2.25pt">
                      <v:stroke endarrow="open" joinstyle="miter"/>
                    </v:shape>
                  </w:pict>
                </mc:Fallback>
              </mc:AlternateContent>
            </w:r>
            <w:proofErr w:type="spellStart"/>
            <w:r w:rsidR="002015FA" w:rsidRPr="002015FA">
              <w:t>Finalise</w:t>
            </w:r>
            <w:proofErr w:type="spellEnd"/>
            <w:r w:rsidR="002015FA" w:rsidRPr="002015FA">
              <w:t xml:space="preserve"> AR-DRG Version 11.0 for release</w:t>
            </w:r>
            <w:r w:rsidR="008D763E">
              <w:t xml:space="preserve"> on</w:t>
            </w:r>
            <w:r w:rsidR="002015FA" w:rsidRPr="002015FA">
              <w:t xml:space="preserve"> </w:t>
            </w:r>
            <w:r w:rsidR="00AE5E91">
              <w:t>1</w:t>
            </w:r>
            <w:r w:rsidR="002015FA" w:rsidRPr="002015FA">
              <w:t xml:space="preserve"> July 2022 for</w:t>
            </w:r>
            <w:r w:rsidR="008D763E">
              <w:t> </w:t>
            </w:r>
            <w:r w:rsidR="002015FA" w:rsidRPr="002015FA">
              <w:t>use in the National Efficient Price Determination 2023–24</w:t>
            </w:r>
            <w:r w:rsidR="007424FC">
              <w:t>.</w:t>
            </w:r>
          </w:p>
        </w:tc>
        <w:tc>
          <w:tcPr>
            <w:tcW w:w="277" w:type="pct"/>
            <w:shd w:val="clear" w:color="auto" w:fill="FFFFFF" w:themeFill="background2"/>
          </w:tcPr>
          <w:p w14:paraId="4BD3D1CC" w14:textId="77777777" w:rsidR="00273118" w:rsidRDefault="00273118" w:rsidP="006544B5">
            <w:pPr>
              <w:pStyle w:val="Body"/>
              <w:spacing w:before="120"/>
            </w:pPr>
          </w:p>
        </w:tc>
        <w:tc>
          <w:tcPr>
            <w:tcW w:w="2883" w:type="pct"/>
            <w:shd w:val="clear" w:color="auto" w:fill="DCD3E2"/>
          </w:tcPr>
          <w:p w14:paraId="18246204" w14:textId="437EBC74" w:rsidR="00273118" w:rsidRPr="0087547F" w:rsidRDefault="002015FA" w:rsidP="0087547F">
            <w:pPr>
              <w:pStyle w:val="TOCBody"/>
              <w:ind w:left="33"/>
              <w:rPr>
                <w:color w:val="auto"/>
              </w:rPr>
            </w:pPr>
            <w:r w:rsidRPr="002015FA">
              <w:rPr>
                <w:color w:val="auto"/>
              </w:rPr>
              <w:t>In May 2021, IHPA undertook a public consultation seeking feedback on major changes proposed for AR-DRG Versions 11.0.</w:t>
            </w:r>
          </w:p>
        </w:tc>
      </w:tr>
      <w:tr w:rsidR="00273118" w14:paraId="48D461A6" w14:textId="77777777" w:rsidTr="008D763E">
        <w:trPr>
          <w:cnfStyle w:val="100000000000" w:firstRow="1" w:lastRow="0" w:firstColumn="0" w:lastColumn="0" w:oddVBand="0" w:evenVBand="0" w:oddHBand="0" w:evenHBand="0" w:firstRowFirstColumn="0" w:firstRowLastColumn="0" w:lastRowFirstColumn="0" w:lastRowLastColumn="0"/>
          <w:trHeight w:val="1417"/>
        </w:trPr>
        <w:tc>
          <w:tcPr>
            <w:tcW w:w="1840" w:type="pct"/>
            <w:shd w:val="clear" w:color="auto" w:fill="DCD3E2"/>
          </w:tcPr>
          <w:p w14:paraId="5B9ED770" w14:textId="110D7A1E" w:rsidR="00273118" w:rsidRPr="008D346E" w:rsidRDefault="00273118" w:rsidP="008E4BC3">
            <w:pPr>
              <w:pStyle w:val="NumberListNoIndent"/>
              <w:numPr>
                <w:ilvl w:val="0"/>
                <w:numId w:val="20"/>
              </w:numPr>
            </w:pPr>
            <w:r>
              <w:rPr>
                <w:noProof/>
                <w:color w:val="FFFFFF" w:themeColor="background2"/>
                <w:lang w:val="en-AU" w:eastAsia="en-AU"/>
              </w:rPr>
              <mc:AlternateContent>
                <mc:Choice Requires="wps">
                  <w:drawing>
                    <wp:anchor distT="0" distB="0" distL="114300" distR="114300" simplePos="0" relativeHeight="251680768" behindDoc="0" locked="0" layoutInCell="1" allowOverlap="1" wp14:anchorId="441756B4" wp14:editId="54371BE1">
                      <wp:simplePos x="0" y="0"/>
                      <wp:positionH relativeFrom="column">
                        <wp:posOffset>1731645</wp:posOffset>
                      </wp:positionH>
                      <wp:positionV relativeFrom="paragraph">
                        <wp:posOffset>66263</wp:posOffset>
                      </wp:positionV>
                      <wp:extent cx="289560" cy="0"/>
                      <wp:effectExtent l="0" t="95250" r="0" b="95250"/>
                      <wp:wrapNone/>
                      <wp:docPr id="87" name="Straight Arrow Connector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B010DB" id="Straight Arrow Connector 87" o:spid="_x0000_s1026" type="#_x0000_t32" alt="&quot;&quot;" style="position:absolute;margin-left:136.35pt;margin-top:5.2pt;width:22.8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" strokecolor="#5e2f7e [3208]" strokeweight="2.25pt">
                      <v:stroke endarrow="open" joinstyle="miter"/>
                    </v:shape>
                  </w:pict>
                </mc:Fallback>
              </mc:AlternateContent>
            </w:r>
            <w:r w:rsidR="002015FA" w:rsidRPr="002015FA">
              <w:t>Refine the Mental Health Phase of Care as part of the Australian Mental Health Care Classification (AMHCC) development</w:t>
            </w:r>
            <w:r w:rsidR="007424FC">
              <w:t>.</w:t>
            </w:r>
          </w:p>
        </w:tc>
        <w:tc>
          <w:tcPr>
            <w:tcW w:w="277" w:type="pct"/>
            <w:shd w:val="clear" w:color="auto" w:fill="FFFFFF" w:themeFill="background2"/>
          </w:tcPr>
          <w:p w14:paraId="77BBB8E1" w14:textId="77777777" w:rsidR="00273118" w:rsidRDefault="00273118" w:rsidP="006544B5">
            <w:pPr>
              <w:pStyle w:val="Body"/>
            </w:pPr>
          </w:p>
        </w:tc>
        <w:tc>
          <w:tcPr>
            <w:tcW w:w="2883" w:type="pct"/>
            <w:shd w:val="clear" w:color="auto" w:fill="DCD3E2"/>
          </w:tcPr>
          <w:p w14:paraId="77B07DBB" w14:textId="53979270" w:rsidR="00273118" w:rsidRPr="0087547F" w:rsidRDefault="002015FA" w:rsidP="0087547F">
            <w:pPr>
              <w:pStyle w:val="TOCBody"/>
              <w:ind w:left="33"/>
              <w:rPr>
                <w:color w:val="auto"/>
              </w:rPr>
            </w:pPr>
            <w:r w:rsidRPr="002015FA">
              <w:rPr>
                <w:color w:val="auto"/>
              </w:rPr>
              <w:t>In 2020–21, IHPA concluded the Mental Health Phase of Care Clinical Refinement Testing Project to understand how proposed refinements to the phase of care performed as part of the AMHCC.</w:t>
            </w:r>
          </w:p>
        </w:tc>
      </w:tr>
      <w:tr w:rsidR="00273118" w14:paraId="2EE8E3A3" w14:textId="77777777" w:rsidTr="002015FA">
        <w:trPr>
          <w:cnfStyle w:val="100000000000" w:firstRow="1" w:lastRow="0" w:firstColumn="0" w:lastColumn="0" w:oddVBand="0" w:evenVBand="0" w:oddHBand="0" w:evenHBand="0" w:firstRowFirstColumn="0" w:firstRowLastColumn="0" w:lastRowFirstColumn="0" w:lastRowLastColumn="0"/>
          <w:trHeight w:val="1264"/>
        </w:trPr>
        <w:tc>
          <w:tcPr>
            <w:tcW w:w="1840" w:type="pct"/>
            <w:shd w:val="clear" w:color="auto" w:fill="DCD3E2"/>
          </w:tcPr>
          <w:p w14:paraId="16B2FABE" w14:textId="487DDD72" w:rsidR="00273118" w:rsidRPr="008D346E" w:rsidRDefault="00273118" w:rsidP="008E4BC3">
            <w:pPr>
              <w:pStyle w:val="NumberListNoIndent"/>
              <w:numPr>
                <w:ilvl w:val="0"/>
                <w:numId w:val="21"/>
              </w:numPr>
            </w:pPr>
            <w:r>
              <w:rPr>
                <w:noProof/>
                <w:color w:val="FFFFFF" w:themeColor="background2"/>
                <w:lang w:val="en-AU" w:eastAsia="en-AU"/>
              </w:rPr>
              <mc:AlternateContent>
                <mc:Choice Requires="wps">
                  <w:drawing>
                    <wp:anchor distT="0" distB="0" distL="114300" distR="114300" simplePos="0" relativeHeight="251681792" behindDoc="0" locked="0" layoutInCell="1" allowOverlap="1" wp14:anchorId="3DD7E8C9" wp14:editId="613561B3">
                      <wp:simplePos x="0" y="0"/>
                      <wp:positionH relativeFrom="column">
                        <wp:posOffset>1724437</wp:posOffset>
                      </wp:positionH>
                      <wp:positionV relativeFrom="paragraph">
                        <wp:posOffset>59690</wp:posOffset>
                      </wp:positionV>
                      <wp:extent cx="289560" cy="0"/>
                      <wp:effectExtent l="0" t="95250" r="0" b="95250"/>
                      <wp:wrapNone/>
                      <wp:docPr id="88" name="Straight Arrow Connector 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6EFD78" id="Straight Arrow Connector 88" o:spid="_x0000_s1026" type="#_x0000_t32" alt="&quot;&quot;" style="position:absolute;margin-left:135.8pt;margin-top:4.7pt;width:22.8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" strokecolor="#5e2f7e [3208]" strokeweight="2.25pt">
                      <v:stroke endarrow="open" joinstyle="miter"/>
                    </v:shape>
                  </w:pict>
                </mc:Fallback>
              </mc:AlternateContent>
            </w:r>
            <w:r w:rsidR="002015FA" w:rsidRPr="002015FA">
              <w:t>Consult on the draft Australian National Subacute and Non</w:t>
            </w:r>
            <w:r w:rsidR="007424FC">
              <w:noBreakHyphen/>
            </w:r>
            <w:r w:rsidR="002015FA" w:rsidRPr="002015FA">
              <w:t>Acute Patient Classification (AN-SNAP) Version 5.0</w:t>
            </w:r>
            <w:r w:rsidR="007424FC">
              <w:t>.</w:t>
            </w:r>
          </w:p>
        </w:tc>
        <w:tc>
          <w:tcPr>
            <w:tcW w:w="277" w:type="pct"/>
            <w:shd w:val="clear" w:color="auto" w:fill="FFFFFF" w:themeFill="background2"/>
          </w:tcPr>
          <w:p w14:paraId="6B4A11E7" w14:textId="77777777" w:rsidR="00273118" w:rsidRDefault="00273118" w:rsidP="006544B5">
            <w:pPr>
              <w:pStyle w:val="Body"/>
            </w:pPr>
          </w:p>
        </w:tc>
        <w:tc>
          <w:tcPr>
            <w:tcW w:w="2883" w:type="pct"/>
            <w:shd w:val="clear" w:color="auto" w:fill="DCD3E2"/>
          </w:tcPr>
          <w:p w14:paraId="7F77B85E" w14:textId="5166C5C3" w:rsidR="00273118" w:rsidRPr="0087547F" w:rsidRDefault="002015FA" w:rsidP="0087547F">
            <w:pPr>
              <w:pStyle w:val="TOCBody"/>
              <w:ind w:left="33"/>
              <w:rPr>
                <w:color w:val="auto"/>
              </w:rPr>
            </w:pPr>
            <w:r w:rsidRPr="002015FA">
              <w:rPr>
                <w:color w:val="auto"/>
              </w:rPr>
              <w:t>In April 2021, IHPA released a draft of the AN-SNAP Version 5.0 for public consultation.</w:t>
            </w:r>
          </w:p>
        </w:tc>
      </w:tr>
      <w:tr w:rsidR="00547D25" w14:paraId="02F561F0" w14:textId="77777777" w:rsidTr="008D763E">
        <w:trPr>
          <w:cnfStyle w:val="100000000000" w:firstRow="1" w:lastRow="0" w:firstColumn="0" w:lastColumn="0" w:oddVBand="0" w:evenVBand="0" w:oddHBand="0" w:evenHBand="0" w:firstRowFirstColumn="0" w:firstRowLastColumn="0" w:lastRowFirstColumn="0" w:lastRowLastColumn="0"/>
          <w:trHeight w:val="1587"/>
        </w:trPr>
        <w:tc>
          <w:tcPr>
            <w:tcW w:w="1840" w:type="pct"/>
            <w:shd w:val="clear" w:color="auto" w:fill="DCD3E2"/>
          </w:tcPr>
          <w:p w14:paraId="02720560" w14:textId="06A2D1D8" w:rsidR="00547D25" w:rsidRPr="00547D25" w:rsidRDefault="00624210" w:rsidP="008E4BC3">
            <w:pPr>
              <w:pStyle w:val="NumberListNoIndent"/>
              <w:numPr>
                <w:ilvl w:val="0"/>
                <w:numId w:val="21"/>
              </w:numPr>
              <w:rPr>
                <w:noProof/>
                <w:color w:val="auto"/>
              </w:rPr>
            </w:pPr>
            <w:r>
              <w:rPr>
                <w:noProof/>
                <w:color w:val="FFFFFF" w:themeColor="background2"/>
                <w:lang w:val="en-AU" w:eastAsia="en-AU"/>
              </w:rPr>
              <mc:AlternateContent>
                <mc:Choice Requires="wps">
                  <w:drawing>
                    <wp:anchor distT="0" distB="0" distL="114300" distR="114300" simplePos="0" relativeHeight="251683840" behindDoc="0" locked="0" layoutInCell="1" allowOverlap="1" wp14:anchorId="04CF6754" wp14:editId="57F208F6">
                      <wp:simplePos x="0" y="0"/>
                      <wp:positionH relativeFrom="column">
                        <wp:posOffset>1724025</wp:posOffset>
                      </wp:positionH>
                      <wp:positionV relativeFrom="paragraph">
                        <wp:posOffset>79375</wp:posOffset>
                      </wp:positionV>
                      <wp:extent cx="289560" cy="0"/>
                      <wp:effectExtent l="0" t="95250" r="0" b="95250"/>
                      <wp:wrapNone/>
                      <wp:docPr id="89" name="Straight Arrow Connector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D32F7" id="Straight Arrow Connector 89" o:spid="_x0000_s1026" type="#_x0000_t32" alt="&quot;&quot;" style="position:absolute;margin-left:135.75pt;margin-top:6.25pt;width:22.8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" strokecolor="#5e2f7e [3208]" strokeweight="2.25pt">
                      <v:stroke endarrow="open" joinstyle="miter"/>
                    </v:shape>
                  </w:pict>
                </mc:Fallback>
              </mc:AlternateContent>
            </w:r>
            <w:r w:rsidR="002015FA" w:rsidRPr="002015FA">
              <w:rPr>
                <w:noProof/>
                <w:color w:val="auto"/>
              </w:rPr>
              <w:t>Continue to maintain the Tier 2 Non</w:t>
            </w:r>
            <w:r w:rsidR="00835F6A">
              <w:rPr>
                <w:noProof/>
                <w:color w:val="auto"/>
              </w:rPr>
              <w:t>-</w:t>
            </w:r>
            <w:r w:rsidR="002015FA" w:rsidRPr="002015FA">
              <w:rPr>
                <w:noProof/>
                <w:color w:val="auto"/>
              </w:rPr>
              <w:t>Admitted Services Classification</w:t>
            </w:r>
            <w:r w:rsidR="001A0DC7">
              <w:rPr>
                <w:noProof/>
                <w:color w:val="auto"/>
              </w:rPr>
              <w:t xml:space="preserve"> (Tier 2)</w:t>
            </w:r>
            <w:r w:rsidR="002015FA" w:rsidRPr="002015FA">
              <w:rPr>
                <w:noProof/>
                <w:color w:val="auto"/>
              </w:rPr>
              <w:t xml:space="preserve"> while undertaking development work for the new non-admitted care classification</w:t>
            </w:r>
            <w:r w:rsidR="007424FC">
              <w:rPr>
                <w:noProof/>
                <w:color w:val="auto"/>
              </w:rPr>
              <w:t>.</w:t>
            </w:r>
          </w:p>
        </w:tc>
        <w:tc>
          <w:tcPr>
            <w:tcW w:w="277" w:type="pct"/>
            <w:shd w:val="clear" w:color="auto" w:fill="FFFFFF" w:themeFill="background2"/>
          </w:tcPr>
          <w:p w14:paraId="6B44E9D2" w14:textId="319DC956" w:rsidR="00547D25" w:rsidRPr="00547D25" w:rsidRDefault="00547D25" w:rsidP="006544B5">
            <w:pPr>
              <w:pStyle w:val="Body"/>
              <w:rPr>
                <w:color w:val="auto"/>
              </w:rPr>
            </w:pPr>
          </w:p>
        </w:tc>
        <w:tc>
          <w:tcPr>
            <w:tcW w:w="2883" w:type="pct"/>
            <w:shd w:val="clear" w:color="auto" w:fill="DCD3E2"/>
          </w:tcPr>
          <w:p w14:paraId="4DCB151A" w14:textId="011C7A64" w:rsidR="00547D25" w:rsidRPr="0087547F" w:rsidRDefault="002015FA">
            <w:pPr>
              <w:pStyle w:val="TOCBody"/>
              <w:ind w:left="33"/>
              <w:rPr>
                <w:color w:val="auto"/>
              </w:rPr>
            </w:pPr>
            <w:r w:rsidRPr="002015FA">
              <w:rPr>
                <w:color w:val="auto"/>
              </w:rPr>
              <w:t>IHPA continues to maintain and update Tier 2 based on stakeholder feedback while a new non-admitted care classification is developed. Additional Tier 2 classes were developed and</w:t>
            </w:r>
            <w:r w:rsidR="001442DB">
              <w:rPr>
                <w:color w:val="auto"/>
              </w:rPr>
              <w:t> </w:t>
            </w:r>
            <w:r w:rsidRPr="002015FA">
              <w:rPr>
                <w:color w:val="auto"/>
              </w:rPr>
              <w:t>implemented to reflect COVID</w:t>
            </w:r>
            <w:r>
              <w:rPr>
                <w:color w:val="auto"/>
              </w:rPr>
              <w:noBreakHyphen/>
            </w:r>
            <w:r w:rsidRPr="002015FA">
              <w:rPr>
                <w:color w:val="auto"/>
              </w:rPr>
              <w:t>19 consultation, diagnostics</w:t>
            </w:r>
            <w:r w:rsidR="001442DB">
              <w:rPr>
                <w:color w:val="auto"/>
              </w:rPr>
              <w:t> </w:t>
            </w:r>
            <w:r w:rsidRPr="002015FA">
              <w:rPr>
                <w:color w:val="auto"/>
              </w:rPr>
              <w:t>and vaccinations.</w:t>
            </w:r>
          </w:p>
        </w:tc>
      </w:tr>
      <w:tr w:rsidR="00547D25" w14:paraId="44DA321B" w14:textId="77777777" w:rsidTr="00C801E0">
        <w:trPr>
          <w:cnfStyle w:val="100000000000" w:firstRow="1" w:lastRow="0" w:firstColumn="0" w:lastColumn="0" w:oddVBand="0" w:evenVBand="0" w:oddHBand="0" w:evenHBand="0" w:firstRowFirstColumn="0" w:firstRowLastColumn="0" w:lastRowFirstColumn="0" w:lastRowLastColumn="0"/>
          <w:trHeight w:val="1423"/>
        </w:trPr>
        <w:tc>
          <w:tcPr>
            <w:tcW w:w="1840" w:type="pct"/>
            <w:shd w:val="clear" w:color="auto" w:fill="DCD3E2"/>
          </w:tcPr>
          <w:p w14:paraId="41FEABEF" w14:textId="226010C9" w:rsidR="00547D25" w:rsidRPr="00547D25" w:rsidRDefault="002015FA" w:rsidP="008E4BC3">
            <w:pPr>
              <w:pStyle w:val="NumberListNoIndent"/>
              <w:numPr>
                <w:ilvl w:val="0"/>
                <w:numId w:val="21"/>
              </w:numPr>
              <w:rPr>
                <w:noProof/>
                <w:color w:val="auto"/>
              </w:rPr>
            </w:pPr>
            <w:r w:rsidRPr="002015FA">
              <w:rPr>
                <w:noProof/>
                <w:color w:val="auto"/>
              </w:rPr>
              <w:t>Complete the non-admitted care costing study, including activity and cost data for the new non-admitted care classification</w:t>
            </w:r>
            <w:r w:rsidR="007424FC">
              <w:rPr>
                <w:noProof/>
                <w:color w:val="auto"/>
              </w:rPr>
              <w:t>.</w:t>
            </w:r>
          </w:p>
        </w:tc>
        <w:tc>
          <w:tcPr>
            <w:tcW w:w="277" w:type="pct"/>
            <w:shd w:val="clear" w:color="auto" w:fill="FFFFFF" w:themeFill="background2"/>
          </w:tcPr>
          <w:p w14:paraId="6216D6D9" w14:textId="7ABACB7B" w:rsidR="00547D25" w:rsidRPr="00547D25" w:rsidRDefault="00C801E0"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685888" behindDoc="0" locked="0" layoutInCell="1" allowOverlap="1" wp14:anchorId="6B1D26D7" wp14:editId="7B4EA5A6">
                      <wp:simplePos x="0" y="0"/>
                      <wp:positionH relativeFrom="column">
                        <wp:posOffset>-77825</wp:posOffset>
                      </wp:positionH>
                      <wp:positionV relativeFrom="paragraph">
                        <wp:posOffset>70889</wp:posOffset>
                      </wp:positionV>
                      <wp:extent cx="289560" cy="0"/>
                      <wp:effectExtent l="0" t="95250" r="0" b="95250"/>
                      <wp:wrapNone/>
                      <wp:docPr id="90" name="Straight Arrow Connector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134FF6" id="Straight Arrow Connector 90" o:spid="_x0000_s1026" type="#_x0000_t32" alt="&quot;&quot;" style="position:absolute;margin-left:-6.15pt;margin-top:5.6pt;width:22.8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" strokecolor="#5e2f7e [3208]" strokeweight="2.25pt">
                      <v:stroke endarrow="open" joinstyle="miter"/>
                    </v:shape>
                  </w:pict>
                </mc:Fallback>
              </mc:AlternateContent>
            </w:r>
          </w:p>
        </w:tc>
        <w:tc>
          <w:tcPr>
            <w:tcW w:w="2883" w:type="pct"/>
            <w:shd w:val="clear" w:color="auto" w:fill="DCD3E2"/>
          </w:tcPr>
          <w:p w14:paraId="213D39AC" w14:textId="6AAD1000" w:rsidR="00547D25" w:rsidRPr="0087547F" w:rsidRDefault="002015FA" w:rsidP="0087547F">
            <w:pPr>
              <w:pStyle w:val="TOCBody"/>
              <w:ind w:left="33"/>
              <w:rPr>
                <w:color w:val="auto"/>
              </w:rPr>
            </w:pPr>
            <w:r w:rsidRPr="002015FA">
              <w:rPr>
                <w:color w:val="auto"/>
              </w:rPr>
              <w:t>In March 2020, the non-admitted care costing study was</w:t>
            </w:r>
            <w:r w:rsidR="00ED5E75">
              <w:rPr>
                <w:color w:val="auto"/>
              </w:rPr>
              <w:t> </w:t>
            </w:r>
            <w:r w:rsidRPr="002015FA">
              <w:rPr>
                <w:color w:val="auto"/>
              </w:rPr>
              <w:t>put on hold and then formally suspended due to the COVID-19 pandemic.</w:t>
            </w:r>
          </w:p>
        </w:tc>
      </w:tr>
      <w:tr w:rsidR="0087547F" w14:paraId="7AE48844" w14:textId="77777777" w:rsidTr="00C801E0">
        <w:trPr>
          <w:cnfStyle w:val="100000000000" w:firstRow="1" w:lastRow="0" w:firstColumn="0" w:lastColumn="0" w:oddVBand="0" w:evenVBand="0" w:oddHBand="0" w:evenHBand="0" w:firstRowFirstColumn="0" w:firstRowLastColumn="0" w:lastRowFirstColumn="0" w:lastRowLastColumn="0"/>
          <w:trHeight w:val="1077"/>
        </w:trPr>
        <w:tc>
          <w:tcPr>
            <w:tcW w:w="1840" w:type="pct"/>
            <w:shd w:val="clear" w:color="auto" w:fill="DCD3E2"/>
          </w:tcPr>
          <w:p w14:paraId="22696549" w14:textId="5A70ADE2" w:rsidR="0087547F" w:rsidRPr="0087547F" w:rsidRDefault="0087547F" w:rsidP="008E4BC3">
            <w:pPr>
              <w:pStyle w:val="NumberListNoIndent"/>
              <w:numPr>
                <w:ilvl w:val="0"/>
                <w:numId w:val="21"/>
              </w:numPr>
              <w:rPr>
                <w:noProof/>
                <w:color w:val="auto"/>
              </w:rPr>
            </w:pPr>
            <w:r w:rsidRPr="0087547F">
              <w:rPr>
                <w:noProof/>
                <w:color w:val="auto"/>
              </w:rPr>
              <w:t xml:space="preserve">Refine the </w:t>
            </w:r>
            <w:r w:rsidR="009C144B">
              <w:rPr>
                <w:color w:val="auto"/>
              </w:rPr>
              <w:t>Australian Emergency Care Classification</w:t>
            </w:r>
            <w:r w:rsidR="009C144B" w:rsidRPr="0087547F">
              <w:rPr>
                <w:noProof/>
                <w:color w:val="auto"/>
              </w:rPr>
              <w:t xml:space="preserve"> </w:t>
            </w:r>
            <w:r w:rsidR="009C144B">
              <w:rPr>
                <w:noProof/>
                <w:color w:val="auto"/>
              </w:rPr>
              <w:t>(</w:t>
            </w:r>
            <w:r w:rsidRPr="0087547F">
              <w:rPr>
                <w:noProof/>
                <w:color w:val="auto"/>
              </w:rPr>
              <w:t>AECC</w:t>
            </w:r>
            <w:r w:rsidR="009C144B">
              <w:rPr>
                <w:noProof/>
                <w:color w:val="auto"/>
              </w:rPr>
              <w:t>)</w:t>
            </w:r>
            <w:r w:rsidRPr="0087547F">
              <w:rPr>
                <w:noProof/>
                <w:color w:val="auto"/>
              </w:rPr>
              <w:t xml:space="preserve"> Version 1.0</w:t>
            </w:r>
            <w:r w:rsidR="007424FC">
              <w:rPr>
                <w:noProof/>
                <w:color w:val="auto"/>
              </w:rPr>
              <w:t>.</w:t>
            </w:r>
          </w:p>
        </w:tc>
        <w:tc>
          <w:tcPr>
            <w:tcW w:w="277" w:type="pct"/>
            <w:shd w:val="clear" w:color="auto" w:fill="FFFFFF" w:themeFill="background2"/>
          </w:tcPr>
          <w:p w14:paraId="405F685C" w14:textId="0D8C0498" w:rsidR="0087547F" w:rsidRPr="00547D25" w:rsidRDefault="00C801E0"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687936" behindDoc="0" locked="0" layoutInCell="1" allowOverlap="1" wp14:anchorId="4F98F7E9" wp14:editId="1335BACF">
                      <wp:simplePos x="0" y="0"/>
                      <wp:positionH relativeFrom="column">
                        <wp:posOffset>-71887</wp:posOffset>
                      </wp:positionH>
                      <wp:positionV relativeFrom="paragraph">
                        <wp:posOffset>52193</wp:posOffset>
                      </wp:positionV>
                      <wp:extent cx="289560" cy="0"/>
                      <wp:effectExtent l="0" t="95250" r="0" b="95250"/>
                      <wp:wrapNone/>
                      <wp:docPr id="91" name="Straight Arrow Connector 9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D02CFC" id="Straight Arrow Connector 91" o:spid="_x0000_s1026" type="#_x0000_t32" alt="&quot;&quot;" style="position:absolute;margin-left:-5.65pt;margin-top:4.1pt;width:22.8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" strokecolor="#5e2f7e [3208]" strokeweight="2.25pt">
                      <v:stroke endarrow="open" joinstyle="miter"/>
                    </v:shape>
                  </w:pict>
                </mc:Fallback>
              </mc:AlternateContent>
            </w:r>
          </w:p>
        </w:tc>
        <w:tc>
          <w:tcPr>
            <w:tcW w:w="2883" w:type="pct"/>
            <w:shd w:val="clear" w:color="auto" w:fill="DCD3E2"/>
          </w:tcPr>
          <w:p w14:paraId="27336CE0" w14:textId="725113F6" w:rsidR="0087547F" w:rsidRPr="0087547F" w:rsidRDefault="002015FA">
            <w:pPr>
              <w:pStyle w:val="TOCBody"/>
              <w:ind w:left="33"/>
              <w:rPr>
                <w:color w:val="auto"/>
              </w:rPr>
            </w:pPr>
            <w:r w:rsidRPr="002015FA">
              <w:rPr>
                <w:color w:val="auto"/>
              </w:rPr>
              <w:t xml:space="preserve">The </w:t>
            </w:r>
            <w:r w:rsidR="009C144B">
              <w:rPr>
                <w:color w:val="auto"/>
              </w:rPr>
              <w:t>AECC</w:t>
            </w:r>
            <w:r w:rsidR="000E1617">
              <w:rPr>
                <w:color w:val="auto"/>
              </w:rPr>
              <w:t xml:space="preserve"> Version 1.0 </w:t>
            </w:r>
            <w:r w:rsidRPr="002015FA">
              <w:rPr>
                <w:color w:val="auto"/>
              </w:rPr>
              <w:t xml:space="preserve">will be used for pricing emergency department episodes from 1 July 2021. Work on further refinements of </w:t>
            </w:r>
            <w:r w:rsidR="00950EB4">
              <w:rPr>
                <w:color w:val="auto"/>
              </w:rPr>
              <w:t xml:space="preserve">AECC </w:t>
            </w:r>
            <w:r w:rsidRPr="002015FA">
              <w:rPr>
                <w:color w:val="auto"/>
              </w:rPr>
              <w:t>Version 1.0 commenced in 2020.</w:t>
            </w:r>
          </w:p>
        </w:tc>
      </w:tr>
    </w:tbl>
    <w:p w14:paraId="1507D458" w14:textId="77777777" w:rsidR="00E745BD" w:rsidRDefault="00E745BD">
      <w:pPr>
        <w:sectPr w:rsidR="00E745BD" w:rsidSect="00273118">
          <w:footerReference w:type="default" r:id="rId144"/>
          <w:pgSz w:w="9979" w:h="14175"/>
          <w:pgMar w:top="1134" w:right="1134" w:bottom="1134" w:left="1134" w:header="709" w:footer="709" w:gutter="0"/>
          <w:cols w:space="708"/>
          <w:docGrid w:linePitch="360"/>
        </w:sectPr>
      </w:pPr>
    </w:p>
    <w:tbl>
      <w:tblPr>
        <w:tblStyle w:val="TableGrid"/>
        <w:tblW w:w="4994" w:type="pct"/>
        <w:tblCellMar>
          <w:right w:w="142" w:type="dxa"/>
        </w:tblCellMar>
        <w:tblLook w:val="04A0" w:firstRow="1" w:lastRow="0" w:firstColumn="1" w:lastColumn="0" w:noHBand="0" w:noVBand="1"/>
      </w:tblPr>
      <w:tblGrid>
        <w:gridCol w:w="2834"/>
        <w:gridCol w:w="427"/>
        <w:gridCol w:w="4441"/>
      </w:tblGrid>
      <w:tr w:rsidR="00C801E0" w14:paraId="74A5DC4C" w14:textId="77777777" w:rsidTr="00C801E0">
        <w:trPr>
          <w:cnfStyle w:val="100000000000" w:firstRow="1" w:lastRow="0" w:firstColumn="0" w:lastColumn="0" w:oddVBand="0" w:evenVBand="0" w:oddHBand="0" w:evenHBand="0" w:firstRowFirstColumn="0" w:firstRowLastColumn="0" w:lastRowFirstColumn="0" w:lastRowLastColumn="0"/>
          <w:trHeight w:val="578"/>
        </w:trPr>
        <w:tc>
          <w:tcPr>
            <w:tcW w:w="1840" w:type="pct"/>
          </w:tcPr>
          <w:p w14:paraId="694A58AF" w14:textId="59E94647" w:rsidR="00C801E0" w:rsidRPr="00C801E0" w:rsidRDefault="00C801E0" w:rsidP="00C801E0">
            <w:pPr>
              <w:pStyle w:val="H4"/>
              <w:spacing w:before="120"/>
              <w:rPr>
                <w:noProof/>
                <w:color w:val="FFFFFF" w:themeColor="background2"/>
              </w:rPr>
            </w:pPr>
            <w:r w:rsidRPr="00C801E0">
              <w:rPr>
                <w:color w:val="FFFFFF" w:themeColor="background2"/>
              </w:rPr>
              <w:lastRenderedPageBreak/>
              <w:t xml:space="preserve">Performance </w:t>
            </w:r>
            <w:r w:rsidR="00B45CFC">
              <w:rPr>
                <w:color w:val="FFFFFF" w:themeColor="background2"/>
              </w:rPr>
              <w:t>c</w:t>
            </w:r>
            <w:r w:rsidRPr="00C801E0">
              <w:rPr>
                <w:color w:val="FFFFFF" w:themeColor="background2"/>
              </w:rPr>
              <w:t>riteria</w:t>
            </w:r>
          </w:p>
        </w:tc>
        <w:tc>
          <w:tcPr>
            <w:tcW w:w="277" w:type="pct"/>
            <w:shd w:val="clear" w:color="auto" w:fill="FFFFFF" w:themeFill="background2"/>
          </w:tcPr>
          <w:p w14:paraId="643921E4" w14:textId="77777777" w:rsidR="00C801E0" w:rsidRPr="00C801E0" w:rsidRDefault="00C801E0" w:rsidP="00C801E0">
            <w:pPr>
              <w:pStyle w:val="H4"/>
              <w:spacing w:before="120"/>
              <w:rPr>
                <w:color w:val="FFFFFF" w:themeColor="background2"/>
              </w:rPr>
            </w:pPr>
          </w:p>
        </w:tc>
        <w:tc>
          <w:tcPr>
            <w:tcW w:w="2883" w:type="pct"/>
          </w:tcPr>
          <w:p w14:paraId="7ED60C61" w14:textId="3E67C0F7" w:rsidR="00C801E0" w:rsidRPr="00C801E0" w:rsidRDefault="00C801E0" w:rsidP="00C801E0">
            <w:pPr>
              <w:pStyle w:val="H4"/>
              <w:spacing w:before="120"/>
              <w:rPr>
                <w:color w:val="FFFFFF" w:themeColor="background2"/>
              </w:rPr>
            </w:pPr>
            <w:r w:rsidRPr="00C801E0">
              <w:rPr>
                <w:color w:val="FFFFFF" w:themeColor="background2"/>
              </w:rPr>
              <w:t>Results against performance criteria</w:t>
            </w:r>
          </w:p>
        </w:tc>
      </w:tr>
      <w:tr w:rsidR="00C801E0" w14:paraId="5B22E302" w14:textId="77777777" w:rsidTr="00C801E0">
        <w:trPr>
          <w:trHeight w:val="1695"/>
          <w:tblHeader w:val="0"/>
        </w:trPr>
        <w:tc>
          <w:tcPr>
            <w:tcW w:w="1840" w:type="pct"/>
          </w:tcPr>
          <w:p w14:paraId="62A12E07" w14:textId="363ADA75" w:rsidR="00C801E0" w:rsidRPr="00C801E0" w:rsidRDefault="00C801E0" w:rsidP="008E4BC3">
            <w:pPr>
              <w:pStyle w:val="NumberListNoIndent"/>
              <w:numPr>
                <w:ilvl w:val="0"/>
                <w:numId w:val="21"/>
              </w:numPr>
              <w:spacing w:before="240"/>
              <w:rPr>
                <w:noProof/>
                <w:color w:val="auto"/>
              </w:rPr>
            </w:pPr>
            <w:r>
              <w:rPr>
                <w:noProof/>
                <w:color w:val="FFFFFF" w:themeColor="background2"/>
                <w:lang w:val="en-AU" w:eastAsia="en-AU"/>
              </w:rPr>
              <mc:AlternateContent>
                <mc:Choice Requires="wps">
                  <w:drawing>
                    <wp:anchor distT="0" distB="0" distL="114300" distR="114300" simplePos="0" relativeHeight="251689984" behindDoc="0" locked="0" layoutInCell="1" allowOverlap="1" wp14:anchorId="16E5E4C3" wp14:editId="0F4C4116">
                      <wp:simplePos x="0" y="0"/>
                      <wp:positionH relativeFrom="column">
                        <wp:posOffset>1727200</wp:posOffset>
                      </wp:positionH>
                      <wp:positionV relativeFrom="paragraph">
                        <wp:posOffset>223520</wp:posOffset>
                      </wp:positionV>
                      <wp:extent cx="289560" cy="0"/>
                      <wp:effectExtent l="0" t="95250" r="0" b="95250"/>
                      <wp:wrapNone/>
                      <wp:docPr id="92" name="Straight Arrow Connector 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039E35" id="Straight Arrow Connector 92" o:spid="_x0000_s1026" type="#_x0000_t32" alt="&quot;&quot;" style="position:absolute;margin-left:136pt;margin-top:17.6pt;width:22.8pt;height: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" strokecolor="#5e2f7e [3208]" strokeweight="2.25pt">
                      <v:stroke endarrow="open" joinstyle="miter"/>
                    </v:shape>
                  </w:pict>
                </mc:Fallback>
              </mc:AlternateContent>
            </w:r>
            <w:r w:rsidR="009C7C46" w:rsidRPr="009C7C46">
              <w:rPr>
                <w:noProof/>
                <w:color w:val="auto"/>
              </w:rPr>
              <w:t>Continue to work with jurisdictions to implement Australian Teaching and Training Classification (ATTC)</w:t>
            </w:r>
            <w:r w:rsidR="00BA2A16">
              <w:rPr>
                <w:noProof/>
                <w:color w:val="auto"/>
              </w:rPr>
              <w:t>.</w:t>
            </w:r>
          </w:p>
        </w:tc>
        <w:tc>
          <w:tcPr>
            <w:tcW w:w="277" w:type="pct"/>
            <w:shd w:val="clear" w:color="auto" w:fill="FFFFFF" w:themeFill="background2"/>
          </w:tcPr>
          <w:p w14:paraId="5C6F9FAD" w14:textId="5304F2EA" w:rsidR="00C801E0" w:rsidRPr="00547D25" w:rsidRDefault="00C801E0" w:rsidP="00C801E0">
            <w:pPr>
              <w:pStyle w:val="Body"/>
              <w:rPr>
                <w:color w:val="auto"/>
              </w:rPr>
            </w:pPr>
          </w:p>
        </w:tc>
        <w:tc>
          <w:tcPr>
            <w:tcW w:w="2883" w:type="pct"/>
          </w:tcPr>
          <w:p w14:paraId="414DA795" w14:textId="4DFE8062" w:rsidR="00C801E0" w:rsidRPr="0087547F" w:rsidRDefault="009C7C46" w:rsidP="00C801E0">
            <w:pPr>
              <w:pStyle w:val="TOCBody"/>
              <w:spacing w:before="240"/>
              <w:ind w:left="33"/>
            </w:pPr>
            <w:r w:rsidRPr="009C7C46">
              <w:t>ATTC Version 1.0 was released in 2018–19. IHPA</w:t>
            </w:r>
            <w:r w:rsidR="00F319BC">
              <w:t> </w:t>
            </w:r>
            <w:r w:rsidRPr="009C7C46">
              <w:t>continues to work with jurisdictions to implement</w:t>
            </w:r>
            <w:r w:rsidR="00997299">
              <w:t> </w:t>
            </w:r>
            <w:r w:rsidRPr="009C7C46">
              <w:t>ATTC</w:t>
            </w:r>
            <w:r w:rsidR="00BF1DF7">
              <w:t>,</w:t>
            </w:r>
            <w:r w:rsidRPr="009C7C46">
              <w:t xml:space="preserve"> however, teaching and training activity</w:t>
            </w:r>
            <w:r w:rsidR="00997299">
              <w:t> </w:t>
            </w:r>
            <w:r w:rsidRPr="009C7C46">
              <w:t>continues to</w:t>
            </w:r>
            <w:r w:rsidR="00F319BC">
              <w:t> </w:t>
            </w:r>
            <w:r w:rsidRPr="009C7C46">
              <w:t>be</w:t>
            </w:r>
            <w:r w:rsidR="0009119B">
              <w:t> </w:t>
            </w:r>
            <w:r w:rsidRPr="009C7C46">
              <w:t>block funded with limited progress</w:t>
            </w:r>
            <w:r w:rsidR="00997299">
              <w:t> </w:t>
            </w:r>
            <w:r w:rsidRPr="009C7C46">
              <w:t>due to the available</w:t>
            </w:r>
            <w:r w:rsidR="0009119B">
              <w:t> </w:t>
            </w:r>
            <w:r w:rsidRPr="009C7C46">
              <w:t>data.</w:t>
            </w:r>
          </w:p>
        </w:tc>
      </w:tr>
      <w:tr w:rsidR="00C801E0" w14:paraId="47C85AFC" w14:textId="77777777" w:rsidTr="00C801E0">
        <w:trPr>
          <w:trHeight w:val="995"/>
          <w:tblHeader w:val="0"/>
        </w:trPr>
        <w:tc>
          <w:tcPr>
            <w:tcW w:w="1840" w:type="pct"/>
          </w:tcPr>
          <w:p w14:paraId="49F15883" w14:textId="0ADB87E9" w:rsidR="00C801E0" w:rsidRPr="00C801E0" w:rsidRDefault="009C7C46" w:rsidP="008E4BC3">
            <w:pPr>
              <w:pStyle w:val="NumberListNoIndent"/>
              <w:numPr>
                <w:ilvl w:val="0"/>
                <w:numId w:val="21"/>
              </w:numPr>
              <w:rPr>
                <w:noProof/>
                <w:color w:val="auto"/>
              </w:rPr>
            </w:pPr>
            <w:r w:rsidRPr="009C7C46">
              <w:rPr>
                <w:noProof/>
                <w:color w:val="auto"/>
              </w:rPr>
              <w:t>Continue collecting activity and cost data for the ATTC</w:t>
            </w:r>
            <w:r w:rsidR="00BA2A16">
              <w:rPr>
                <w:noProof/>
                <w:color w:val="auto"/>
              </w:rPr>
              <w:t>.</w:t>
            </w:r>
          </w:p>
        </w:tc>
        <w:tc>
          <w:tcPr>
            <w:tcW w:w="277" w:type="pct"/>
            <w:shd w:val="clear" w:color="auto" w:fill="FFFFFF" w:themeFill="background2"/>
          </w:tcPr>
          <w:p w14:paraId="4ADD63D8" w14:textId="34E82A6D" w:rsidR="00C801E0" w:rsidRPr="00547D25" w:rsidRDefault="00C801E0" w:rsidP="00C801E0">
            <w:pPr>
              <w:pStyle w:val="Body"/>
              <w:rPr>
                <w:color w:val="auto"/>
              </w:rPr>
            </w:pPr>
            <w:r>
              <w:rPr>
                <w:noProof/>
                <w:color w:val="FFFFFF" w:themeColor="background2"/>
                <w:lang w:val="en-AU" w:eastAsia="en-AU"/>
              </w:rPr>
              <mc:AlternateContent>
                <mc:Choice Requires="wps">
                  <w:drawing>
                    <wp:anchor distT="0" distB="0" distL="114300" distR="114300" simplePos="0" relativeHeight="251692032" behindDoc="0" locked="0" layoutInCell="1" allowOverlap="1" wp14:anchorId="49B07449" wp14:editId="7B69B112">
                      <wp:simplePos x="0" y="0"/>
                      <wp:positionH relativeFrom="column">
                        <wp:posOffset>-75565</wp:posOffset>
                      </wp:positionH>
                      <wp:positionV relativeFrom="paragraph">
                        <wp:posOffset>68580</wp:posOffset>
                      </wp:positionV>
                      <wp:extent cx="289560" cy="0"/>
                      <wp:effectExtent l="0" t="95250" r="0" b="95250"/>
                      <wp:wrapNone/>
                      <wp:docPr id="93" name="Straight Arrow Connector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559F2C" id="Straight Arrow Connector 93" o:spid="_x0000_s1026" type="#_x0000_t32" alt="&quot;&quot;" style="position:absolute;margin-left:-5.95pt;margin-top:5.4pt;width:22.8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" strokecolor="#5e2f7e [3208]" strokeweight="2.25pt">
                      <v:stroke endarrow="open" joinstyle="miter"/>
                    </v:shape>
                  </w:pict>
                </mc:Fallback>
              </mc:AlternateContent>
            </w:r>
          </w:p>
        </w:tc>
        <w:tc>
          <w:tcPr>
            <w:tcW w:w="2883" w:type="pct"/>
          </w:tcPr>
          <w:p w14:paraId="2A4C2F89" w14:textId="2B3BBA18" w:rsidR="00C801E0" w:rsidRPr="00C801E0" w:rsidRDefault="009C7C46" w:rsidP="00C801E0">
            <w:pPr>
              <w:pStyle w:val="TOCBody"/>
              <w:ind w:left="33"/>
            </w:pPr>
            <w:r w:rsidRPr="009C7C46">
              <w:t>IHPA continues to collect activity and cost data that is submitted by jurisdictions to seek alternative solutions to block funding for teaching, training and research.</w:t>
            </w:r>
          </w:p>
        </w:tc>
      </w:tr>
      <w:tr w:rsidR="00C801E0" w14:paraId="5FE37C2D" w14:textId="77777777" w:rsidTr="00C801E0">
        <w:trPr>
          <w:trHeight w:val="1278"/>
          <w:tblHeader w:val="0"/>
        </w:trPr>
        <w:tc>
          <w:tcPr>
            <w:tcW w:w="1840" w:type="pct"/>
          </w:tcPr>
          <w:p w14:paraId="05031941" w14:textId="22F99B1C" w:rsidR="00C801E0" w:rsidRPr="004976C9" w:rsidRDefault="009C7C46" w:rsidP="004976C9">
            <w:pPr>
              <w:pStyle w:val="NumberListNoIndent"/>
              <w:numPr>
                <w:ilvl w:val="0"/>
                <w:numId w:val="21"/>
              </w:numPr>
              <w:rPr>
                <w:noProof/>
                <w:color w:val="auto"/>
              </w:rPr>
            </w:pPr>
            <w:r w:rsidRPr="009C7C46">
              <w:rPr>
                <w:noProof/>
                <w:color w:val="auto"/>
              </w:rPr>
              <w:t>Management of the international sales of the</w:t>
            </w:r>
            <w:r w:rsidR="004976C9">
              <w:rPr>
                <w:noProof/>
                <w:color w:val="auto"/>
              </w:rPr>
              <w:t xml:space="preserve"> </w:t>
            </w:r>
            <w:r w:rsidRPr="004976C9">
              <w:rPr>
                <w:noProof/>
                <w:color w:val="auto"/>
              </w:rPr>
              <w:t>ICD</w:t>
            </w:r>
            <w:r w:rsidR="004976C9">
              <w:rPr>
                <w:noProof/>
                <w:color w:val="auto"/>
              </w:rPr>
              <w:noBreakHyphen/>
            </w:r>
            <w:r w:rsidRPr="004976C9">
              <w:rPr>
                <w:noProof/>
                <w:color w:val="auto"/>
              </w:rPr>
              <w:t>10-AM/ACHI/ACS and AR-DRG classification systems</w:t>
            </w:r>
            <w:r w:rsidR="00BA2A16">
              <w:rPr>
                <w:noProof/>
                <w:color w:val="auto"/>
              </w:rPr>
              <w:t>.</w:t>
            </w:r>
          </w:p>
        </w:tc>
        <w:tc>
          <w:tcPr>
            <w:tcW w:w="277" w:type="pct"/>
            <w:shd w:val="clear" w:color="auto" w:fill="FFFFFF" w:themeFill="background2"/>
          </w:tcPr>
          <w:p w14:paraId="62EC7DB2" w14:textId="637B016A" w:rsidR="00C801E0" w:rsidRPr="00547D25" w:rsidRDefault="00C801E0" w:rsidP="00C801E0">
            <w:pPr>
              <w:pStyle w:val="Body"/>
              <w:rPr>
                <w:color w:val="auto"/>
              </w:rPr>
            </w:pPr>
            <w:r>
              <w:rPr>
                <w:noProof/>
                <w:color w:val="FFFFFF" w:themeColor="background2"/>
                <w:lang w:val="en-AU" w:eastAsia="en-AU"/>
              </w:rPr>
              <mc:AlternateContent>
                <mc:Choice Requires="wps">
                  <w:drawing>
                    <wp:anchor distT="0" distB="0" distL="114300" distR="114300" simplePos="0" relativeHeight="251694080" behindDoc="0" locked="0" layoutInCell="1" allowOverlap="1" wp14:anchorId="00F218FA" wp14:editId="20BAF5B4">
                      <wp:simplePos x="0" y="0"/>
                      <wp:positionH relativeFrom="column">
                        <wp:posOffset>-75565</wp:posOffset>
                      </wp:positionH>
                      <wp:positionV relativeFrom="paragraph">
                        <wp:posOffset>65087</wp:posOffset>
                      </wp:positionV>
                      <wp:extent cx="289560" cy="0"/>
                      <wp:effectExtent l="0" t="95250" r="0" b="95250"/>
                      <wp:wrapNone/>
                      <wp:docPr id="94" name="Straight Arrow Connector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E7CAAD" id="Straight Arrow Connector 94" o:spid="_x0000_s1026" type="#_x0000_t32" alt="&quot;&quot;" style="position:absolute;margin-left:-5.95pt;margin-top:5.1pt;width:22.8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" strokecolor="#5e2f7e [3208]" strokeweight="2.25pt">
                      <v:stroke endarrow="open" joinstyle="miter"/>
                    </v:shape>
                  </w:pict>
                </mc:Fallback>
              </mc:AlternateContent>
            </w:r>
          </w:p>
        </w:tc>
        <w:tc>
          <w:tcPr>
            <w:tcW w:w="2883" w:type="pct"/>
          </w:tcPr>
          <w:p w14:paraId="259F0084" w14:textId="00BF70A9" w:rsidR="00C801E0" w:rsidRPr="00C801E0" w:rsidRDefault="004976C9" w:rsidP="00C801E0">
            <w:pPr>
              <w:pStyle w:val="TOCBody"/>
              <w:ind w:left="33"/>
            </w:pPr>
            <w:r w:rsidRPr="004976C9">
              <w:t>IHPA continues to effectively administer the international sales of the ICD-10-AM/ACHI/ACS and AR-DRG classification systems.</w:t>
            </w:r>
          </w:p>
        </w:tc>
      </w:tr>
      <w:tr w:rsidR="00C801E0" w14:paraId="1C936A8E" w14:textId="77777777" w:rsidTr="00F94813">
        <w:trPr>
          <w:trHeight w:val="2098"/>
          <w:tblHeader w:val="0"/>
        </w:trPr>
        <w:tc>
          <w:tcPr>
            <w:tcW w:w="1840" w:type="pct"/>
          </w:tcPr>
          <w:p w14:paraId="26BDBF32" w14:textId="5CC0541E" w:rsidR="00C801E0" w:rsidRPr="00C801E0" w:rsidRDefault="004976C9" w:rsidP="008E4BC3">
            <w:pPr>
              <w:pStyle w:val="NumberListNoIndent"/>
              <w:numPr>
                <w:ilvl w:val="0"/>
                <w:numId w:val="21"/>
              </w:numPr>
              <w:rPr>
                <w:noProof/>
                <w:color w:val="auto"/>
              </w:rPr>
            </w:pPr>
            <w:r w:rsidRPr="004976C9">
              <w:rPr>
                <w:noProof/>
                <w:color w:val="auto"/>
              </w:rPr>
              <w:t>Finalise the review of new health technologies based on reports received from government agencies and advisory bodies</w:t>
            </w:r>
            <w:r w:rsidR="00BA2A16">
              <w:rPr>
                <w:noProof/>
                <w:color w:val="auto"/>
              </w:rPr>
              <w:t>.</w:t>
            </w:r>
          </w:p>
        </w:tc>
        <w:tc>
          <w:tcPr>
            <w:tcW w:w="277" w:type="pct"/>
            <w:shd w:val="clear" w:color="auto" w:fill="FFFFFF" w:themeFill="background2"/>
          </w:tcPr>
          <w:p w14:paraId="585C9EFB" w14:textId="1A9B0A74" w:rsidR="00C801E0" w:rsidRPr="00547D25" w:rsidRDefault="00C801E0" w:rsidP="00C801E0">
            <w:pPr>
              <w:pStyle w:val="Body"/>
              <w:rPr>
                <w:color w:val="auto"/>
              </w:rPr>
            </w:pPr>
            <w:r>
              <w:rPr>
                <w:noProof/>
                <w:color w:val="FFFFFF" w:themeColor="background2"/>
                <w:lang w:val="en-AU" w:eastAsia="en-AU"/>
              </w:rPr>
              <mc:AlternateContent>
                <mc:Choice Requires="wps">
                  <w:drawing>
                    <wp:anchor distT="0" distB="0" distL="114300" distR="114300" simplePos="0" relativeHeight="251696128" behindDoc="0" locked="0" layoutInCell="1" allowOverlap="1" wp14:anchorId="48ECC8DA" wp14:editId="3F70BF1A">
                      <wp:simplePos x="0" y="0"/>
                      <wp:positionH relativeFrom="column">
                        <wp:posOffset>-75565</wp:posOffset>
                      </wp:positionH>
                      <wp:positionV relativeFrom="paragraph">
                        <wp:posOffset>82232</wp:posOffset>
                      </wp:positionV>
                      <wp:extent cx="289560" cy="0"/>
                      <wp:effectExtent l="0" t="95250" r="0" b="95250"/>
                      <wp:wrapNone/>
                      <wp:docPr id="95" name="Straight Arrow Connector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358A9F" id="Straight Arrow Connector 95" o:spid="_x0000_s1026" type="#_x0000_t32" alt="&quot;&quot;" style="position:absolute;margin-left:-5.95pt;margin-top:6.45pt;width:22.8pt;height: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" strokecolor="#5e2f7e [3208]" strokeweight="2.25pt">
                      <v:stroke endarrow="open" joinstyle="miter"/>
                    </v:shape>
                  </w:pict>
                </mc:Fallback>
              </mc:AlternateContent>
            </w:r>
          </w:p>
        </w:tc>
        <w:tc>
          <w:tcPr>
            <w:tcW w:w="2883" w:type="pct"/>
          </w:tcPr>
          <w:p w14:paraId="744BD766" w14:textId="4CD6F06C" w:rsidR="00C801E0" w:rsidRPr="00C801E0" w:rsidRDefault="004976C9" w:rsidP="004976C9">
            <w:pPr>
              <w:pStyle w:val="TOCBody"/>
              <w:ind w:left="33"/>
            </w:pPr>
            <w:r w:rsidRPr="004976C9">
              <w:t>IHPA released its consultation on the Assessment of New</w:t>
            </w:r>
            <w:r w:rsidR="0009119B">
              <w:t> </w:t>
            </w:r>
            <w:r w:rsidRPr="004976C9">
              <w:t xml:space="preserve">Health Technology in October 2020 to ensure pricing of public hospital services responds to introduction of evidence-based, effective new technology and innovations in the models of care that improve patient outcomes in a timely way. Final decisions on new </w:t>
            </w:r>
            <w:r w:rsidR="00F94813">
              <w:t xml:space="preserve">health </w:t>
            </w:r>
            <w:r w:rsidRPr="004976C9">
              <w:t>technologies prioritised for classif</w:t>
            </w:r>
            <w:r w:rsidR="009C144B">
              <w:t>i</w:t>
            </w:r>
            <w:r w:rsidRPr="004976C9">
              <w:t>cation development occurred in May</w:t>
            </w:r>
            <w:r w:rsidR="00F94813">
              <w:t> </w:t>
            </w:r>
            <w:r w:rsidRPr="004976C9">
              <w:t>2021.</w:t>
            </w:r>
          </w:p>
        </w:tc>
      </w:tr>
      <w:tr w:rsidR="00C801E0" w14:paraId="7D314283" w14:textId="77777777" w:rsidTr="00C801E0">
        <w:trPr>
          <w:trHeight w:val="2128"/>
          <w:tblHeader w:val="0"/>
        </w:trPr>
        <w:tc>
          <w:tcPr>
            <w:tcW w:w="1840" w:type="pct"/>
          </w:tcPr>
          <w:p w14:paraId="4B52B1C7" w14:textId="5967DFA9" w:rsidR="00C801E0" w:rsidRPr="00C801E0" w:rsidRDefault="00C801E0" w:rsidP="008E4BC3">
            <w:pPr>
              <w:pStyle w:val="NumberListNoIndent"/>
              <w:numPr>
                <w:ilvl w:val="0"/>
                <w:numId w:val="21"/>
              </w:numPr>
              <w:rPr>
                <w:noProof/>
                <w:color w:val="auto"/>
              </w:rPr>
            </w:pPr>
            <w:r>
              <w:rPr>
                <w:noProof/>
                <w:color w:val="FFFFFF" w:themeColor="background2"/>
                <w:lang w:val="en-AU" w:eastAsia="en-AU"/>
              </w:rPr>
              <mc:AlternateContent>
                <mc:Choice Requires="wps">
                  <w:drawing>
                    <wp:anchor distT="0" distB="0" distL="114300" distR="114300" simplePos="0" relativeHeight="251698176" behindDoc="0" locked="0" layoutInCell="1" allowOverlap="1" wp14:anchorId="1D38E638" wp14:editId="63601193">
                      <wp:simplePos x="0" y="0"/>
                      <wp:positionH relativeFrom="column">
                        <wp:posOffset>1724025</wp:posOffset>
                      </wp:positionH>
                      <wp:positionV relativeFrom="paragraph">
                        <wp:posOffset>82232</wp:posOffset>
                      </wp:positionV>
                      <wp:extent cx="289560" cy="0"/>
                      <wp:effectExtent l="0" t="95250" r="0" b="95250"/>
                      <wp:wrapNone/>
                      <wp:docPr id="96" name="Straight Arrow Connector 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5D23B" id="Straight Arrow Connector 96" o:spid="_x0000_s1026" type="#_x0000_t32" alt="&quot;&quot;" style="position:absolute;margin-left:135.75pt;margin-top:6.45pt;width:22.8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" strokecolor="#5e2f7e [3208]" strokeweight="2.25pt">
                      <v:stroke endarrow="open" joinstyle="miter"/>
                    </v:shape>
                  </w:pict>
                </mc:Fallback>
              </mc:AlternateContent>
            </w:r>
            <w:r w:rsidR="004976C9" w:rsidRPr="004976C9">
              <w:rPr>
                <w:noProof/>
                <w:color w:val="auto"/>
              </w:rPr>
              <w:t>Review the process for assessing the impact of new health technologies on patient classification systems</w:t>
            </w:r>
            <w:r w:rsidR="00BA2A16">
              <w:rPr>
                <w:noProof/>
                <w:color w:val="auto"/>
              </w:rPr>
              <w:t>.</w:t>
            </w:r>
          </w:p>
        </w:tc>
        <w:tc>
          <w:tcPr>
            <w:tcW w:w="277" w:type="pct"/>
            <w:shd w:val="clear" w:color="auto" w:fill="FFFFFF" w:themeFill="background2"/>
          </w:tcPr>
          <w:p w14:paraId="3E7B099E" w14:textId="33556366" w:rsidR="00C801E0" w:rsidRPr="00547D25" w:rsidRDefault="00C801E0" w:rsidP="00C801E0">
            <w:pPr>
              <w:pStyle w:val="Body"/>
              <w:rPr>
                <w:color w:val="auto"/>
              </w:rPr>
            </w:pPr>
          </w:p>
        </w:tc>
        <w:tc>
          <w:tcPr>
            <w:tcW w:w="2883" w:type="pct"/>
          </w:tcPr>
          <w:p w14:paraId="112CC293" w14:textId="5BC70271" w:rsidR="00C801E0" w:rsidRPr="00C801E0" w:rsidRDefault="004976C9" w:rsidP="00C801E0">
            <w:pPr>
              <w:pStyle w:val="TOCBody"/>
              <w:ind w:left="33"/>
            </w:pPr>
            <w:r w:rsidRPr="004976C9">
              <w:t>IHPA reviewed the Impact of New Health Technology Framework in May 2020 to assess the impact of incorporating new high</w:t>
            </w:r>
            <w:r w:rsidR="00133389">
              <w:t>-</w:t>
            </w:r>
            <w:r w:rsidRPr="004976C9">
              <w:t>cost, highly specialised treatments into the classification systems and the national pricing model. IHPA included expenditure amounts for Kymriah®, Yescarta®, Qarziba® and Luxturna™ in the National Efficient Cost Determination 2021–22 on the advice of states and territories.</w:t>
            </w:r>
          </w:p>
        </w:tc>
      </w:tr>
    </w:tbl>
    <w:p w14:paraId="449C426A" w14:textId="45FCF2A9" w:rsidR="00273118" w:rsidRDefault="00B45CFC" w:rsidP="00273118">
      <w:pPr>
        <w:pStyle w:val="Body"/>
      </w:pPr>
      <w:r>
        <w:rPr>
          <w:noProof/>
          <w:lang w:val="en-AU" w:eastAsia="en-AU"/>
        </w:rPr>
        <w:drawing>
          <wp:anchor distT="0" distB="0" distL="114300" distR="114300" simplePos="0" relativeHeight="251886592" behindDoc="1" locked="0" layoutInCell="1" allowOverlap="1" wp14:anchorId="7044E535" wp14:editId="778F1907">
            <wp:simplePos x="0" y="0"/>
            <wp:positionH relativeFrom="margin">
              <wp:posOffset>-409575</wp:posOffset>
            </wp:positionH>
            <wp:positionV relativeFrom="paragraph">
              <wp:posOffset>483759</wp:posOffset>
            </wp:positionV>
            <wp:extent cx="5706527" cy="18510885"/>
            <wp:effectExtent l="0" t="0" r="8890" b="5715"/>
            <wp:wrapNone/>
            <wp:docPr id="283" name="Picture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EAB6CA" w14:textId="77777777" w:rsidR="000915E2" w:rsidRDefault="000915E2" w:rsidP="00DA135D">
      <w:pPr>
        <w:pStyle w:val="Body"/>
        <w:sectPr w:rsidR="000915E2" w:rsidSect="00E745BD">
          <w:footerReference w:type="default" r:id="rId145"/>
          <w:type w:val="continuous"/>
          <w:pgSz w:w="9979" w:h="14175"/>
          <w:pgMar w:top="1134" w:right="1134" w:bottom="1134" w:left="1134" w:header="709" w:footer="709" w:gutter="0"/>
          <w:cols w:space="708"/>
          <w:docGrid w:linePitch="360"/>
        </w:sectPr>
      </w:pPr>
    </w:p>
    <w:p w14:paraId="214C3801" w14:textId="635AF29C" w:rsidR="00D10CAB" w:rsidRPr="009955A5" w:rsidRDefault="002E08CC" w:rsidP="00D10CAB">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757568" behindDoc="1" locked="0" layoutInCell="1" allowOverlap="1" wp14:anchorId="20E40454" wp14:editId="704B482E">
                <wp:simplePos x="0" y="0"/>
                <wp:positionH relativeFrom="margin">
                  <wp:align>center</wp:align>
                </wp:positionH>
                <wp:positionV relativeFrom="paragraph">
                  <wp:posOffset>-635</wp:posOffset>
                </wp:positionV>
                <wp:extent cx="5069205" cy="4412974"/>
                <wp:effectExtent l="0" t="0" r="17145" b="26035"/>
                <wp:wrapNone/>
                <wp:docPr id="108" name="Rectangle 1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4412974"/>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73F4A5" id="Rectangle 108" o:spid="_x0000_s1026" alt="&quot;&quot;" style="position:absolute;margin-left:0;margin-top:-.05pt;width:399.15pt;height:347.5pt;z-index:-2515589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" filled="f" strokecolor="#7030a0" strokeweight=".5pt">
                <w10:wrap anchorx="margin"/>
              </v:rect>
            </w:pict>
          </mc:Fallback>
        </mc:AlternateContent>
      </w:r>
      <w:r w:rsidR="00D10CAB" w:rsidRPr="009955A5">
        <w:rPr>
          <w:color w:val="5E2F7E" w:themeColor="accent5"/>
          <w:sz w:val="28"/>
          <w:szCs w:val="28"/>
        </w:rPr>
        <w:t xml:space="preserve">Analysis </w:t>
      </w:r>
    </w:p>
    <w:p w14:paraId="453C8F71" w14:textId="3C536811" w:rsidR="00382DA2" w:rsidRPr="00382DA2" w:rsidRDefault="00382DA2" w:rsidP="00382DA2">
      <w:pPr>
        <w:rPr>
          <w:color w:val="1C1C1C"/>
          <w:sz w:val="18"/>
          <w:szCs w:val="18"/>
        </w:rPr>
      </w:pPr>
      <w:r w:rsidRPr="00382DA2">
        <w:rPr>
          <w:color w:val="1C1C1C"/>
          <w:sz w:val="18"/>
          <w:szCs w:val="18"/>
        </w:rPr>
        <w:t>IHPA continued its work to develop and refine classification systems that accurately capture the resources required to treat different types of patients and undertook two public consultations in 2020–21. This included development of the new versions of the classifications used for</w:t>
      </w:r>
      <w:r w:rsidR="001A0DC7">
        <w:rPr>
          <w:color w:val="1C1C1C"/>
          <w:sz w:val="18"/>
          <w:szCs w:val="18"/>
        </w:rPr>
        <w:t xml:space="preserve"> </w:t>
      </w:r>
      <w:r w:rsidR="001A0DC7" w:rsidRPr="00382DA2">
        <w:rPr>
          <w:color w:val="1C1C1C"/>
          <w:sz w:val="18"/>
          <w:szCs w:val="18"/>
        </w:rPr>
        <w:t>admitted care</w:t>
      </w:r>
      <w:r w:rsidR="001A0DC7">
        <w:rPr>
          <w:color w:val="1C1C1C"/>
          <w:sz w:val="18"/>
          <w:szCs w:val="18"/>
        </w:rPr>
        <w:t xml:space="preserve"> and</w:t>
      </w:r>
      <w:r w:rsidRPr="00382DA2">
        <w:rPr>
          <w:color w:val="1C1C1C"/>
          <w:sz w:val="18"/>
          <w:szCs w:val="18"/>
        </w:rPr>
        <w:t xml:space="preserve"> subacute and non-acute care; ICD-10-AM/ACHI/ACS Twelfth Edition</w:t>
      </w:r>
      <w:r w:rsidR="00BF1DF7">
        <w:rPr>
          <w:color w:val="1C1C1C"/>
          <w:sz w:val="18"/>
          <w:szCs w:val="18"/>
        </w:rPr>
        <w:t>,</w:t>
      </w:r>
      <w:r w:rsidRPr="00382DA2">
        <w:rPr>
          <w:color w:val="1C1C1C"/>
          <w:sz w:val="18"/>
          <w:szCs w:val="18"/>
        </w:rPr>
        <w:t xml:space="preserve"> AR-DRG Version 11.0 and AN-SNAP Version 5.0</w:t>
      </w:r>
      <w:r w:rsidR="0009119B">
        <w:rPr>
          <w:color w:val="1C1C1C"/>
          <w:sz w:val="18"/>
          <w:szCs w:val="18"/>
        </w:rPr>
        <w:t> </w:t>
      </w:r>
      <w:r w:rsidRPr="00382DA2">
        <w:rPr>
          <w:color w:val="1C1C1C"/>
          <w:sz w:val="18"/>
          <w:szCs w:val="18"/>
        </w:rPr>
        <w:t>respectively.</w:t>
      </w:r>
    </w:p>
    <w:p w14:paraId="3F57CDCC" w14:textId="5979AD57" w:rsidR="00382DA2" w:rsidRPr="00382DA2" w:rsidRDefault="00382DA2" w:rsidP="00382DA2">
      <w:pPr>
        <w:rPr>
          <w:color w:val="1C1C1C"/>
          <w:sz w:val="18"/>
          <w:szCs w:val="18"/>
        </w:rPr>
      </w:pPr>
      <w:r w:rsidRPr="00382DA2">
        <w:rPr>
          <w:color w:val="1C1C1C"/>
          <w:sz w:val="18"/>
          <w:szCs w:val="18"/>
        </w:rPr>
        <w:t xml:space="preserve">IHPA worked closely with the Administrator of the National Health Funding Pool to provide assistance in implementation of the National Partnership Agreement for COVID-19 </w:t>
      </w:r>
      <w:r w:rsidR="00F94813">
        <w:rPr>
          <w:color w:val="1C1C1C"/>
          <w:sz w:val="18"/>
          <w:szCs w:val="18"/>
        </w:rPr>
        <w:t>R</w:t>
      </w:r>
      <w:r w:rsidRPr="00382DA2">
        <w:rPr>
          <w:color w:val="1C1C1C"/>
          <w:sz w:val="18"/>
          <w:szCs w:val="18"/>
        </w:rPr>
        <w:t>esponse.</w:t>
      </w:r>
    </w:p>
    <w:p w14:paraId="267EEC98" w14:textId="72933D6E" w:rsidR="00382DA2" w:rsidRPr="00382DA2" w:rsidRDefault="00382DA2" w:rsidP="00382DA2">
      <w:pPr>
        <w:rPr>
          <w:color w:val="1C1C1C"/>
          <w:sz w:val="18"/>
          <w:szCs w:val="18"/>
        </w:rPr>
      </w:pPr>
      <w:r w:rsidRPr="00382DA2">
        <w:rPr>
          <w:color w:val="1C1C1C"/>
          <w:sz w:val="18"/>
          <w:szCs w:val="18"/>
        </w:rPr>
        <w:t>A key part of this has been to develop classification, costing and pricing guidelines relating to COVID-19 and ensuring stakeholders are directly informed on any new advice, as required, in order to respond to the evolving nature of the clinical requirements of recording and classifying episodes of care across the country</w:t>
      </w:r>
      <w:r w:rsidR="00F94813">
        <w:rPr>
          <w:color w:val="1C1C1C"/>
          <w:sz w:val="18"/>
          <w:szCs w:val="18"/>
        </w:rPr>
        <w:t>.</w:t>
      </w:r>
    </w:p>
    <w:p w14:paraId="6E4742C1" w14:textId="63728B35" w:rsidR="00382DA2" w:rsidRPr="00382DA2" w:rsidRDefault="00382DA2" w:rsidP="00382DA2">
      <w:pPr>
        <w:rPr>
          <w:color w:val="1C1C1C"/>
          <w:sz w:val="18"/>
          <w:szCs w:val="18"/>
        </w:rPr>
      </w:pPr>
      <w:r w:rsidRPr="00382DA2">
        <w:rPr>
          <w:color w:val="1C1C1C"/>
          <w:sz w:val="18"/>
          <w:szCs w:val="18"/>
        </w:rPr>
        <w:t xml:space="preserve">IHPA implemented emergency use codes for COVID-19 in ICD-10-AM and in the Emergency Department Short List, </w:t>
      </w:r>
      <w:r w:rsidR="00F94813">
        <w:rPr>
          <w:color w:val="1C1C1C"/>
          <w:sz w:val="18"/>
          <w:szCs w:val="18"/>
        </w:rPr>
        <w:t xml:space="preserve">which are </w:t>
      </w:r>
      <w:r w:rsidRPr="00382DA2">
        <w:rPr>
          <w:color w:val="1C1C1C"/>
          <w:sz w:val="18"/>
          <w:szCs w:val="18"/>
        </w:rPr>
        <w:t>used to classify admitted and emergency care respectively. Additional classes were also created for COVID-19 activity in the non-admitted care classification. This year a new class was created in Tier</w:t>
      </w:r>
      <w:r w:rsidR="001A0DC7">
        <w:rPr>
          <w:color w:val="1C1C1C"/>
          <w:sz w:val="18"/>
          <w:szCs w:val="18"/>
        </w:rPr>
        <w:t> </w:t>
      </w:r>
      <w:r w:rsidRPr="00382DA2">
        <w:rPr>
          <w:color w:val="1C1C1C"/>
          <w:sz w:val="18"/>
          <w:szCs w:val="18"/>
        </w:rPr>
        <w:t xml:space="preserve">2 </w:t>
      </w:r>
      <w:r w:rsidR="001B4586">
        <w:rPr>
          <w:color w:val="1C1C1C"/>
          <w:sz w:val="18"/>
          <w:szCs w:val="18"/>
        </w:rPr>
        <w:t xml:space="preserve">to </w:t>
      </w:r>
      <w:r w:rsidRPr="00382DA2">
        <w:rPr>
          <w:color w:val="1C1C1C"/>
          <w:sz w:val="18"/>
          <w:szCs w:val="18"/>
        </w:rPr>
        <w:t>account for COVID-19 vaccination data.</w:t>
      </w:r>
    </w:p>
    <w:p w14:paraId="3ED8E784" w14:textId="4913A169" w:rsidR="00382DA2" w:rsidRPr="00382DA2" w:rsidRDefault="00382DA2" w:rsidP="00382DA2">
      <w:pPr>
        <w:rPr>
          <w:color w:val="1C1C1C"/>
          <w:sz w:val="18"/>
          <w:szCs w:val="18"/>
        </w:rPr>
      </w:pPr>
      <w:r w:rsidRPr="00382DA2">
        <w:rPr>
          <w:color w:val="1C1C1C"/>
          <w:sz w:val="18"/>
          <w:szCs w:val="18"/>
        </w:rPr>
        <w:t>IHPA commenced pricing emergency department services using the Australian Emergency Care Classification Version 1.0 and shadow pricing community mental health care using the Australian Mental Health Care Classification Version 1.0 for the first time in the National Efficient Price Determination 2021–22.</w:t>
      </w:r>
    </w:p>
    <w:p w14:paraId="2236811B" w14:textId="352BCDE3" w:rsidR="00382DA2" w:rsidRPr="00382DA2" w:rsidRDefault="00382DA2" w:rsidP="00382DA2">
      <w:pPr>
        <w:rPr>
          <w:color w:val="1C1C1C"/>
          <w:sz w:val="18"/>
          <w:szCs w:val="18"/>
        </w:rPr>
      </w:pPr>
      <w:r w:rsidRPr="00382DA2">
        <w:rPr>
          <w:color w:val="1C1C1C"/>
          <w:sz w:val="18"/>
          <w:szCs w:val="18"/>
        </w:rPr>
        <w:t>The non-admitted care costing study was suspended in 2020 due to the impact of COVID</w:t>
      </w:r>
      <w:r w:rsidR="009C144B">
        <w:rPr>
          <w:color w:val="1C1C1C"/>
          <w:sz w:val="18"/>
          <w:szCs w:val="18"/>
        </w:rPr>
        <w:t>-</w:t>
      </w:r>
      <w:r w:rsidRPr="00382DA2">
        <w:rPr>
          <w:color w:val="1C1C1C"/>
          <w:sz w:val="18"/>
          <w:szCs w:val="18"/>
        </w:rPr>
        <w:t>19. The</w:t>
      </w:r>
      <w:r w:rsidR="0009119B">
        <w:rPr>
          <w:color w:val="1C1C1C"/>
          <w:sz w:val="18"/>
          <w:szCs w:val="18"/>
        </w:rPr>
        <w:t> </w:t>
      </w:r>
      <w:r w:rsidRPr="00382DA2">
        <w:rPr>
          <w:color w:val="1C1C1C"/>
          <w:sz w:val="18"/>
          <w:szCs w:val="18"/>
        </w:rPr>
        <w:t>development of a new non-admitted care classification to replace Tier 2 has therefore been delayed. IHPA</w:t>
      </w:r>
      <w:r w:rsidR="002264AD">
        <w:rPr>
          <w:color w:val="1C1C1C"/>
          <w:sz w:val="18"/>
          <w:szCs w:val="18"/>
        </w:rPr>
        <w:t> </w:t>
      </w:r>
      <w:r w:rsidRPr="00382DA2">
        <w:rPr>
          <w:color w:val="1C1C1C"/>
          <w:sz w:val="18"/>
          <w:szCs w:val="18"/>
        </w:rPr>
        <w:t>is seeking feedback on readiness to recommence the non</w:t>
      </w:r>
      <w:r w:rsidR="00344225">
        <w:rPr>
          <w:color w:val="1C1C1C"/>
          <w:sz w:val="18"/>
          <w:szCs w:val="18"/>
        </w:rPr>
        <w:noBreakHyphen/>
      </w:r>
      <w:r w:rsidRPr="00382DA2">
        <w:rPr>
          <w:color w:val="1C1C1C"/>
          <w:sz w:val="18"/>
          <w:szCs w:val="18"/>
        </w:rPr>
        <w:t>admitted care costing study.</w:t>
      </w:r>
    </w:p>
    <w:p w14:paraId="7604E807" w14:textId="2003AD98" w:rsidR="00BB3265" w:rsidRPr="005D1A5D" w:rsidRDefault="00382DA2" w:rsidP="00382DA2">
      <w:pPr>
        <w:rPr>
          <w:color w:val="1C1C1C"/>
          <w:sz w:val="18"/>
          <w:szCs w:val="18"/>
        </w:rPr>
      </w:pPr>
      <w:r w:rsidRPr="00382DA2">
        <w:rPr>
          <w:color w:val="1C1C1C"/>
          <w:sz w:val="18"/>
          <w:szCs w:val="18"/>
        </w:rPr>
        <w:t>With the assistance of the Clinical Advisory Committee, IHPA has commenced a review of the process for assessing the impact of new health technologies on patient classification systems.</w:t>
      </w:r>
    </w:p>
    <w:p w14:paraId="64FAF839" w14:textId="77777777" w:rsidR="000915E2" w:rsidRDefault="000915E2" w:rsidP="00DA135D">
      <w:pPr>
        <w:pStyle w:val="Body"/>
        <w:sectPr w:rsidR="000915E2" w:rsidSect="00441579">
          <w:footerReference w:type="default" r:id="rId146"/>
          <w:pgSz w:w="9979" w:h="14175"/>
          <w:pgMar w:top="1134" w:right="1134" w:bottom="1134" w:left="1134" w:header="709" w:footer="709" w:gutter="0"/>
          <w:cols w:space="708"/>
          <w:docGrid w:linePitch="360"/>
        </w:sectPr>
      </w:pPr>
    </w:p>
    <w:p w14:paraId="1EB2D0FF" w14:textId="77777777" w:rsidR="00344225" w:rsidRPr="005D1A5D" w:rsidRDefault="00344225" w:rsidP="00344225">
      <w:pPr>
        <w:pStyle w:val="H3"/>
        <w:rPr>
          <w:color w:val="5E2F7E" w:themeColor="accent5"/>
          <w:sz w:val="32"/>
          <w:szCs w:val="32"/>
        </w:rPr>
      </w:pPr>
      <w:r w:rsidRPr="005D1A5D">
        <w:rPr>
          <w:color w:val="5E2F7E" w:themeColor="accent5"/>
          <w:sz w:val="32"/>
          <w:szCs w:val="32"/>
        </w:rPr>
        <w:lastRenderedPageBreak/>
        <w:t>Activity 3: Refine and improve hospital costing</w:t>
      </w:r>
    </w:p>
    <w:p w14:paraId="4D088CFE" w14:textId="331DFB02" w:rsidR="00344225" w:rsidRPr="00640BC4" w:rsidRDefault="00344225" w:rsidP="00344225">
      <w:pPr>
        <w:rPr>
          <w:color w:val="1C1C1C"/>
          <w:sz w:val="18"/>
          <w:szCs w:val="18"/>
        </w:rPr>
      </w:pPr>
      <w:r w:rsidRPr="00640BC4">
        <w:rPr>
          <w:color w:val="1C1C1C"/>
          <w:sz w:val="18"/>
          <w:szCs w:val="18"/>
        </w:rPr>
        <w:t>Hospital costing focuses on the cost and mix of resources used to deliver patient care and plays a vital role in activity based funding. Costing informs the development of activity based funding classification systems and provides valuable information for pricing purposes.</w:t>
      </w:r>
    </w:p>
    <w:p w14:paraId="5C15DB9E" w14:textId="22F9DDB1" w:rsidR="00344225" w:rsidRDefault="00344225" w:rsidP="00344225">
      <w:pPr>
        <w:rPr>
          <w:color w:val="1C1C1C"/>
          <w:sz w:val="18"/>
          <w:szCs w:val="18"/>
        </w:rPr>
      </w:pPr>
      <w:r w:rsidRPr="00640BC4">
        <w:rPr>
          <w:color w:val="1C1C1C"/>
          <w:sz w:val="18"/>
          <w:szCs w:val="18"/>
        </w:rPr>
        <w:t>A key output for IHPA is to coordinate the annual National Hospital Cost Data Collection</w:t>
      </w:r>
      <w:r>
        <w:rPr>
          <w:color w:val="1C1C1C"/>
          <w:sz w:val="18"/>
          <w:szCs w:val="18"/>
        </w:rPr>
        <w:t xml:space="preserve"> (NHCDC)</w:t>
      </w:r>
      <w:r w:rsidRPr="00640BC4">
        <w:rPr>
          <w:color w:val="1C1C1C"/>
          <w:sz w:val="18"/>
          <w:szCs w:val="18"/>
        </w:rPr>
        <w:t>, which is the primary input into the national efficient price. This includes the development of national costing standards, collection, validation, quality assurance, analysis</w:t>
      </w:r>
      <w:r w:rsidR="00810167">
        <w:rPr>
          <w:color w:val="1C1C1C"/>
          <w:sz w:val="18"/>
          <w:szCs w:val="18"/>
        </w:rPr>
        <w:t>,</w:t>
      </w:r>
      <w:r w:rsidRPr="00640BC4">
        <w:rPr>
          <w:color w:val="1C1C1C"/>
          <w:sz w:val="18"/>
          <w:szCs w:val="18"/>
        </w:rPr>
        <w:t xml:space="preserve"> reporting, and benchmarking. The cost collection is undertaken in</w:t>
      </w:r>
      <w:r>
        <w:rPr>
          <w:color w:val="1C1C1C"/>
          <w:sz w:val="18"/>
          <w:szCs w:val="18"/>
        </w:rPr>
        <w:t> </w:t>
      </w:r>
      <w:r w:rsidRPr="00640BC4">
        <w:rPr>
          <w:color w:val="1C1C1C"/>
          <w:sz w:val="18"/>
          <w:szCs w:val="18"/>
        </w:rPr>
        <w:t>conjunction with states and terr</w:t>
      </w:r>
      <w:r>
        <w:rPr>
          <w:color w:val="1C1C1C"/>
          <w:sz w:val="18"/>
          <w:szCs w:val="18"/>
        </w:rPr>
        <w:t>itories, and private hospitals.</w:t>
      </w:r>
    </w:p>
    <w:p w14:paraId="4D971317" w14:textId="08A9BACA" w:rsidR="00344225" w:rsidRPr="00434223" w:rsidRDefault="00344225" w:rsidP="00344225">
      <w:pPr>
        <w:pStyle w:val="FigureHeading"/>
      </w:pPr>
      <w:bookmarkStart w:id="113" w:name="_Toc77354567"/>
      <w:bookmarkStart w:id="114" w:name="_Toc82510942"/>
      <w:r>
        <w:t xml:space="preserve">Figure </w:t>
      </w:r>
      <w:r w:rsidR="00A30F40">
        <w:t>9</w:t>
      </w:r>
      <w:r w:rsidRPr="00434223">
        <w:t xml:space="preserve">: Relationship between sources </w:t>
      </w:r>
      <w:r w:rsidRPr="00A356AA">
        <w:t>for</w:t>
      </w:r>
      <w:r w:rsidRPr="00434223">
        <w:t xml:space="preserve"> reporting of </w:t>
      </w:r>
      <w:r>
        <w:t>Activity 3</w:t>
      </w:r>
      <w:bookmarkEnd w:id="113"/>
      <w:bookmarkEnd w:id="114"/>
    </w:p>
    <w:p w14:paraId="37C43944" w14:textId="77777777" w:rsidR="00344225" w:rsidRPr="009A17F6" w:rsidRDefault="00344225" w:rsidP="00344225">
      <w:pPr>
        <w:pStyle w:val="H3"/>
        <w:rPr>
          <w:color w:val="5E2F7E" w:themeColor="accent5"/>
        </w:rPr>
      </w:pPr>
      <w:r w:rsidRPr="009A17F6">
        <w:rPr>
          <w:color w:val="5E2F7E" w:themeColor="accent5"/>
        </w:rPr>
        <w:t>Sources of reporting for the Annual Report 2020</w:t>
      </w:r>
      <w:r w:rsidRPr="00AC3A56">
        <w:rPr>
          <w:color w:val="5E2F7E" w:themeColor="accent5"/>
        </w:rPr>
        <w:t>–</w:t>
      </w:r>
      <w:r w:rsidRPr="009A17F6">
        <w:rPr>
          <w:color w:val="5E2F7E" w:themeColor="accent5"/>
        </w:rPr>
        <w:t>21 Performance</w:t>
      </w:r>
      <w:r>
        <w:rPr>
          <w:color w:val="5E2F7E" w:themeColor="accent5"/>
        </w:rPr>
        <w:t> </w:t>
      </w:r>
      <w:r w:rsidRPr="009A17F6">
        <w:rPr>
          <w:color w:val="5E2F7E" w:themeColor="accent5"/>
        </w:rPr>
        <w:t>Statement</w:t>
      </w:r>
    </w:p>
    <w:p w14:paraId="7DD5AC5B" w14:textId="77777777" w:rsidR="00344225" w:rsidRPr="009A17F6" w:rsidRDefault="00344225" w:rsidP="00344225">
      <w:pPr>
        <w:pStyle w:val="H4"/>
        <w:rPr>
          <w:color w:val="5E2F7E" w:themeColor="accent5"/>
        </w:rPr>
      </w:pPr>
      <w:r w:rsidRPr="00220A32">
        <w:rPr>
          <w:color w:val="5E2F7E" w:themeColor="accent5"/>
          <w:lang w:val="en-US"/>
        </w:rPr>
        <w:t>Portfolio Budget Statements 2020–21</w:t>
      </w:r>
    </w:p>
    <w:tbl>
      <w:tblPr>
        <w:tblStyle w:val="TableGrid"/>
        <w:tblW w:w="4966" w:type="pct"/>
        <w:tblCellMar>
          <w:top w:w="113" w:type="dxa"/>
        </w:tblCellMar>
        <w:tblLook w:val="04A0" w:firstRow="1" w:lastRow="0" w:firstColumn="1" w:lastColumn="0" w:noHBand="0" w:noVBand="1"/>
        <w:tblCaption w:val="Figure 9"/>
        <w:tblDescription w:val="Outcome 1"/>
      </w:tblPr>
      <w:tblGrid>
        <w:gridCol w:w="2685"/>
        <w:gridCol w:w="425"/>
        <w:gridCol w:w="1419"/>
        <w:gridCol w:w="425"/>
        <w:gridCol w:w="2682"/>
      </w:tblGrid>
      <w:tr w:rsidR="004F4503" w14:paraId="26CF4629" w14:textId="77777777" w:rsidTr="00344225">
        <w:trPr>
          <w:cnfStyle w:val="100000000000" w:firstRow="1" w:lastRow="0" w:firstColumn="0" w:lastColumn="0" w:oddVBand="0" w:evenVBand="0" w:oddHBand="0" w:evenHBand="0" w:firstRowFirstColumn="0" w:firstRowLastColumn="0" w:lastRowFirstColumn="0" w:lastRowLastColumn="0"/>
          <w:trHeight w:val="1071"/>
        </w:trPr>
        <w:tc>
          <w:tcPr>
            <w:tcW w:w="1759" w:type="pct"/>
            <w:vMerge w:val="restart"/>
          </w:tcPr>
          <w:p w14:paraId="37F8FB56" w14:textId="77777777" w:rsidR="004F4503" w:rsidRPr="00CD0946" w:rsidRDefault="004F4503" w:rsidP="006544B5">
            <w:pPr>
              <w:pStyle w:val="H4"/>
              <w:spacing w:before="120"/>
              <w:rPr>
                <w:color w:val="FFFFFF" w:themeColor="background2"/>
              </w:rPr>
            </w:pPr>
            <w:r w:rsidRPr="00CD0946">
              <w:rPr>
                <w:color w:val="FFFFFF" w:themeColor="background2"/>
              </w:rPr>
              <w:t>Outcome</w:t>
            </w:r>
            <w:r>
              <w:rPr>
                <w:color w:val="FFFFFF" w:themeColor="background2"/>
              </w:rPr>
              <w:t xml:space="preserve"> 1</w:t>
            </w:r>
          </w:p>
          <w:p w14:paraId="65CEDEAB" w14:textId="051F4479" w:rsidR="004F4503" w:rsidRPr="009A17F6" w:rsidRDefault="00344225" w:rsidP="006544B5">
            <w:pPr>
              <w:pStyle w:val="Body"/>
              <w:spacing w:before="120"/>
              <w:rPr>
                <w:color w:val="FFFFFF" w:themeColor="background2"/>
                <w:sz w:val="16"/>
                <w:szCs w:val="16"/>
              </w:rPr>
            </w:pPr>
            <w:r w:rsidRPr="00344225">
              <w:rPr>
                <w:color w:val="FFFFFF" w:themeColor="background2"/>
                <w:sz w:val="16"/>
                <w:szCs w:val="16"/>
              </w:rPr>
              <w:t>Promote improved efficiency in, and</w:t>
            </w:r>
            <w:r w:rsidR="00FF5DE3">
              <w:rPr>
                <w:color w:val="FFFFFF" w:themeColor="background2"/>
                <w:sz w:val="16"/>
                <w:szCs w:val="16"/>
              </w:rPr>
              <w:t> </w:t>
            </w:r>
            <w:r w:rsidRPr="00344225">
              <w:rPr>
                <w:color w:val="FFFFFF" w:themeColor="background2"/>
                <w:sz w:val="16"/>
                <w:szCs w:val="16"/>
              </w:rPr>
              <w:t>access to, public hospital services primarily through setting efficient national prices and levels of block funding for hospital activities</w:t>
            </w:r>
            <w:r w:rsidR="009C37E2">
              <w:rPr>
                <w:color w:val="FFFFFF" w:themeColor="background2"/>
                <w:sz w:val="16"/>
                <w:szCs w:val="16"/>
              </w:rPr>
              <w:t>.</w:t>
            </w:r>
          </w:p>
        </w:tc>
        <w:tc>
          <w:tcPr>
            <w:tcW w:w="278" w:type="pct"/>
            <w:vMerge w:val="restart"/>
            <w:shd w:val="clear" w:color="auto" w:fill="FFFFFF" w:themeFill="background2"/>
          </w:tcPr>
          <w:p w14:paraId="4C412A73" w14:textId="77777777" w:rsidR="004F4503" w:rsidRDefault="004F4503" w:rsidP="006544B5">
            <w:pPr>
              <w:pStyle w:val="Body"/>
            </w:pPr>
            <w:r>
              <w:rPr>
                <w:noProof/>
                <w:color w:val="FFFFFF" w:themeColor="background2"/>
                <w:lang w:val="en-AU" w:eastAsia="en-AU"/>
              </w:rPr>
              <mc:AlternateContent>
                <mc:Choice Requires="wps">
                  <w:drawing>
                    <wp:anchor distT="0" distB="0" distL="114300" distR="114300" simplePos="0" relativeHeight="251777024" behindDoc="0" locked="0" layoutInCell="1" allowOverlap="1" wp14:anchorId="5AC46DD4" wp14:editId="189FDA3C">
                      <wp:simplePos x="0" y="0"/>
                      <wp:positionH relativeFrom="column">
                        <wp:posOffset>-83160</wp:posOffset>
                      </wp:positionH>
                      <wp:positionV relativeFrom="paragraph">
                        <wp:posOffset>885825</wp:posOffset>
                      </wp:positionV>
                      <wp:extent cx="289560" cy="0"/>
                      <wp:effectExtent l="0" t="95250" r="0" b="95250"/>
                      <wp:wrapNone/>
                      <wp:docPr id="120" name="Straight Arrow Connector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6D3595" id="Straight Arrow Connector 120" o:spid="_x0000_s1026" type="#_x0000_t32" alt="&quot;&quot;" style="position:absolute;margin-left:-6.55pt;margin-top:69.75pt;width:22.8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776000" behindDoc="0" locked="0" layoutInCell="1" allowOverlap="1" wp14:anchorId="38F936A8" wp14:editId="308811F6">
                      <wp:simplePos x="0" y="0"/>
                      <wp:positionH relativeFrom="column">
                        <wp:posOffset>-82814</wp:posOffset>
                      </wp:positionH>
                      <wp:positionV relativeFrom="paragraph">
                        <wp:posOffset>157631</wp:posOffset>
                      </wp:positionV>
                      <wp:extent cx="289711" cy="0"/>
                      <wp:effectExtent l="0" t="95250" r="0" b="95250"/>
                      <wp:wrapNone/>
                      <wp:docPr id="121" name="Straight Arrow Connector 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712127" id="Straight Arrow Connector 121" o:spid="_x0000_s1026" type="#_x0000_t32" alt="&quot;&quot;" style="position:absolute;margin-left:-6.5pt;margin-top:12.4pt;width:22.8pt;height: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" strokecolor="#5e2f7e [3208]" strokeweight="2.25pt">
                      <v:stroke endarrow="open" joinstyle="miter"/>
                    </v:shape>
                  </w:pict>
                </mc:Fallback>
              </mc:AlternateContent>
            </w:r>
          </w:p>
        </w:tc>
        <w:tc>
          <w:tcPr>
            <w:tcW w:w="929" w:type="pct"/>
            <w:shd w:val="clear" w:color="auto" w:fill="DCD3E2"/>
          </w:tcPr>
          <w:tbl>
            <w:tblPr>
              <w:tblStyle w:val="TableGrid"/>
              <w:tblW w:w="5000" w:type="pct"/>
              <w:tblLook w:val="04A0" w:firstRow="1" w:lastRow="0" w:firstColumn="1" w:lastColumn="0" w:noHBand="0" w:noVBand="1"/>
            </w:tblPr>
            <w:tblGrid>
              <w:gridCol w:w="1183"/>
            </w:tblGrid>
            <w:tr w:rsidR="004F4503" w14:paraId="3E9B2BB7"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7B065FEE" w14:textId="05CAF2D1" w:rsidR="004F4503" w:rsidRDefault="004F4503" w:rsidP="0051776D">
                  <w:pPr>
                    <w:pStyle w:val="H4"/>
                    <w:spacing w:before="40" w:after="40"/>
                    <w:rPr>
                      <w:color w:val="5E2F7E" w:themeColor="accent5"/>
                    </w:rPr>
                  </w:pPr>
                  <w:r>
                    <w:rPr>
                      <w:color w:val="5E2F7E" w:themeColor="accent5"/>
                    </w:rPr>
                    <w:t>Work Program 2020</w:t>
                  </w:r>
                  <w:r w:rsidR="00B45CFC">
                    <w:rPr>
                      <w:color w:val="5E2F7E" w:themeColor="accent5"/>
                    </w:rPr>
                    <w:t>–</w:t>
                  </w:r>
                  <w:r>
                    <w:rPr>
                      <w:color w:val="5E2F7E" w:themeColor="accent5"/>
                    </w:rPr>
                    <w:t>21</w:t>
                  </w:r>
                </w:p>
              </w:tc>
            </w:tr>
          </w:tbl>
          <w:p w14:paraId="61E8E7DE" w14:textId="77777777" w:rsidR="004F4503" w:rsidRPr="00181E61" w:rsidRDefault="004F4503" w:rsidP="006544B5">
            <w:pPr>
              <w:pStyle w:val="H4"/>
              <w:spacing w:before="120" w:after="120"/>
              <w:rPr>
                <w:color w:val="5E2F7E" w:themeColor="accent5"/>
              </w:rPr>
            </w:pPr>
          </w:p>
        </w:tc>
        <w:tc>
          <w:tcPr>
            <w:tcW w:w="278" w:type="pct"/>
            <w:vMerge w:val="restart"/>
            <w:tcBorders>
              <w:right w:val="single" w:sz="18" w:space="0" w:color="5E2F7E" w:themeColor="accent5"/>
            </w:tcBorders>
            <w:shd w:val="clear" w:color="auto" w:fill="FFFFFF" w:themeFill="background2"/>
          </w:tcPr>
          <w:p w14:paraId="3F140810" w14:textId="77777777" w:rsidR="004F4503" w:rsidRDefault="004F4503" w:rsidP="006544B5">
            <w:pPr>
              <w:pStyle w:val="H4"/>
              <w:spacing w:before="120" w:after="120"/>
            </w:pPr>
            <w:r>
              <w:rPr>
                <w:noProof/>
                <w:color w:val="FFFFFF" w:themeColor="background2"/>
                <w:lang w:val="en-AU" w:eastAsia="en-AU"/>
              </w:rPr>
              <mc:AlternateContent>
                <mc:Choice Requires="wps">
                  <w:drawing>
                    <wp:anchor distT="0" distB="0" distL="114300" distR="114300" simplePos="0" relativeHeight="251779072" behindDoc="0" locked="0" layoutInCell="1" allowOverlap="1" wp14:anchorId="201848ED" wp14:editId="4783EF69">
                      <wp:simplePos x="0" y="0"/>
                      <wp:positionH relativeFrom="column">
                        <wp:posOffset>-75686</wp:posOffset>
                      </wp:positionH>
                      <wp:positionV relativeFrom="page">
                        <wp:posOffset>885300</wp:posOffset>
                      </wp:positionV>
                      <wp:extent cx="278130" cy="0"/>
                      <wp:effectExtent l="0" t="95250" r="7620" b="95250"/>
                      <wp:wrapNone/>
                      <wp:docPr id="122" name="Straight Arrow Connector 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3349F0" id="Straight Arrow Connector 122" o:spid="_x0000_s1026" type="#_x0000_t32" alt="&quot;&quot;" style="position:absolute;margin-left:-5.95pt;margin-top:69.7pt;width:21.9pt;height:0;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" strokecolor="#5e2f7e [3208]" strokeweight="2.25pt">
                      <v:stroke endarrow="open" joinstyle="miter"/>
                      <w10:wrap anchory="page"/>
                    </v:shape>
                  </w:pict>
                </mc:Fallback>
              </mc:AlternateContent>
            </w:r>
            <w:r>
              <w:rPr>
                <w:noProof/>
                <w:color w:val="FFFFFF" w:themeColor="background2"/>
                <w:lang w:val="en-AU" w:eastAsia="en-AU"/>
              </w:rPr>
              <mc:AlternateContent>
                <mc:Choice Requires="wps">
                  <w:drawing>
                    <wp:anchor distT="0" distB="0" distL="114300" distR="114300" simplePos="0" relativeHeight="251778048" behindDoc="0" locked="0" layoutInCell="1" allowOverlap="1" wp14:anchorId="7F28781E" wp14:editId="6F25CFC0">
                      <wp:simplePos x="0" y="0"/>
                      <wp:positionH relativeFrom="column">
                        <wp:posOffset>-75565</wp:posOffset>
                      </wp:positionH>
                      <wp:positionV relativeFrom="page">
                        <wp:posOffset>128173</wp:posOffset>
                      </wp:positionV>
                      <wp:extent cx="278130" cy="0"/>
                      <wp:effectExtent l="0" t="95250" r="7620" b="95250"/>
                      <wp:wrapNone/>
                      <wp:docPr id="123" name="Straight Arrow Connector 1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386CD0" id="Straight Arrow Connector 123" o:spid="_x0000_s1026" type="#_x0000_t32" alt="&quot;&quot;" style="position:absolute;margin-left:-5.95pt;margin-top:10.1pt;width:21.9pt;height:0;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" strokecolor="#5e2f7e [3208]" strokeweight="2.25pt">
                      <v:stroke endarrow="open" joinstyle="miter"/>
                      <w10:wrap anchory="page"/>
                    </v:shape>
                  </w:pict>
                </mc:Fallback>
              </mc:AlternateContent>
            </w:r>
          </w:p>
        </w:tc>
        <w:tc>
          <w:tcPr>
            <w:tcW w:w="1756" w:type="pc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3"/>
              <w:gridCol w:w="1233"/>
            </w:tblGrid>
            <w:tr w:rsidR="004F4503" w:rsidRPr="00A137B9" w14:paraId="28581F57" w14:textId="77777777" w:rsidTr="006544B5">
              <w:tc>
                <w:tcPr>
                  <w:tcW w:w="2500" w:type="pct"/>
                  <w:shd w:val="clear" w:color="auto" w:fill="FFFFFF" w:themeFill="background2"/>
                </w:tcPr>
                <w:p w14:paraId="7E863489" w14:textId="37F6BC9B" w:rsidR="004F4503" w:rsidRPr="00A137B9" w:rsidRDefault="004F4503" w:rsidP="006544B5">
                  <w:pPr>
                    <w:pStyle w:val="Body-Financial"/>
                    <w:spacing w:before="120" w:after="0"/>
                  </w:pPr>
                  <w:r w:rsidRPr="00A137B9">
                    <w:rPr>
                      <w:b/>
                      <w:bCs/>
                    </w:rPr>
                    <w:t xml:space="preserve">Strategic objective </w:t>
                  </w:r>
                  <w:r w:rsidR="00392F85">
                    <w:rPr>
                      <w:b/>
                      <w:bCs/>
                    </w:rPr>
                    <w:t>3</w:t>
                  </w:r>
                  <w:r>
                    <w:br/>
                  </w:r>
                  <w:r w:rsidR="00392F85" w:rsidRPr="00392F85">
                    <w:t>Refine and improve hospital costing</w:t>
                  </w:r>
                </w:p>
              </w:tc>
              <w:tc>
                <w:tcPr>
                  <w:tcW w:w="2500" w:type="pct"/>
                  <w:shd w:val="clear" w:color="auto" w:fill="FFFFFF" w:themeFill="background2"/>
                </w:tcPr>
                <w:p w14:paraId="7D9A6D18" w14:textId="2C3B8068" w:rsidR="004F4503" w:rsidRPr="00A137B9" w:rsidRDefault="004F4503" w:rsidP="006544B5">
                  <w:pPr>
                    <w:pStyle w:val="Body-Financial"/>
                    <w:spacing w:before="120" w:after="0"/>
                  </w:pPr>
                  <w:r w:rsidRPr="009A17F6">
                    <w:t xml:space="preserve">Activity </w:t>
                  </w:r>
                  <w:r w:rsidR="00392F85">
                    <w:t>3</w:t>
                  </w:r>
                  <w:r w:rsidRPr="009A17F6">
                    <w:t>:</w:t>
                  </w:r>
                  <w:r w:rsidRPr="009A17F6">
                    <w:br/>
                  </w:r>
                  <w:r w:rsidR="00392F85" w:rsidRPr="00392F85">
                    <w:t>Refine and improve hospital costing</w:t>
                  </w:r>
                </w:p>
              </w:tc>
            </w:tr>
          </w:tbl>
          <w:p w14:paraId="57B71C8E" w14:textId="77777777" w:rsidR="004F4503" w:rsidRDefault="004F4503" w:rsidP="006544B5">
            <w:pPr>
              <w:pStyle w:val="Body-Financial"/>
              <w:spacing w:before="120" w:after="0"/>
            </w:pPr>
          </w:p>
        </w:tc>
      </w:tr>
      <w:tr w:rsidR="004F4503" w14:paraId="683EE840" w14:textId="77777777" w:rsidTr="00344225">
        <w:trPr>
          <w:cnfStyle w:val="100000000000" w:firstRow="1" w:lastRow="0" w:firstColumn="0" w:lastColumn="0" w:oddVBand="0" w:evenVBand="0" w:oddHBand="0" w:evenHBand="0" w:firstRowFirstColumn="0" w:firstRowLastColumn="0" w:lastRowFirstColumn="0" w:lastRowLastColumn="0"/>
          <w:trHeight w:val="1070"/>
        </w:trPr>
        <w:tc>
          <w:tcPr>
            <w:tcW w:w="1759" w:type="pct"/>
            <w:vMerge/>
          </w:tcPr>
          <w:p w14:paraId="78C34CD0" w14:textId="77777777" w:rsidR="004F4503" w:rsidRPr="00CD0946" w:rsidRDefault="004F4503" w:rsidP="006544B5">
            <w:pPr>
              <w:pStyle w:val="H4"/>
              <w:spacing w:before="120"/>
              <w:rPr>
                <w:color w:val="FFFFFF" w:themeColor="background2"/>
              </w:rPr>
            </w:pPr>
          </w:p>
        </w:tc>
        <w:tc>
          <w:tcPr>
            <w:tcW w:w="278" w:type="pct"/>
            <w:vMerge/>
            <w:shd w:val="clear" w:color="auto" w:fill="FFFFFF" w:themeFill="background2"/>
          </w:tcPr>
          <w:p w14:paraId="7766B10F" w14:textId="77777777" w:rsidR="004F4503" w:rsidRDefault="004F4503" w:rsidP="006544B5">
            <w:pPr>
              <w:pStyle w:val="Body"/>
              <w:rPr>
                <w:noProof/>
                <w:color w:val="FFFFFF" w:themeColor="background2"/>
              </w:rPr>
            </w:pPr>
          </w:p>
        </w:tc>
        <w:tc>
          <w:tcPr>
            <w:tcW w:w="929" w:type="pct"/>
            <w:shd w:val="clear" w:color="auto" w:fill="DCD3E2"/>
          </w:tcPr>
          <w:tbl>
            <w:tblPr>
              <w:tblStyle w:val="TableGrid"/>
              <w:tblW w:w="5000" w:type="pct"/>
              <w:tblLook w:val="04A0" w:firstRow="1" w:lastRow="0" w:firstColumn="1" w:lastColumn="0" w:noHBand="0" w:noVBand="1"/>
            </w:tblPr>
            <w:tblGrid>
              <w:gridCol w:w="1183"/>
            </w:tblGrid>
            <w:tr w:rsidR="004F4503" w14:paraId="50E7C4F8"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39A38310" w14:textId="6FCC0BC1" w:rsidR="004F4503" w:rsidRDefault="004F4503" w:rsidP="0051776D">
                  <w:pPr>
                    <w:pStyle w:val="H4"/>
                    <w:spacing w:before="40" w:after="40"/>
                    <w:rPr>
                      <w:color w:val="5E2F7E" w:themeColor="accent5"/>
                    </w:rPr>
                  </w:pPr>
                  <w:r>
                    <w:rPr>
                      <w:color w:val="5E2F7E" w:themeColor="accent5"/>
                    </w:rPr>
                    <w:t>Corporate Plan 2020</w:t>
                  </w:r>
                  <w:r w:rsidR="00B45CFC">
                    <w:rPr>
                      <w:color w:val="5E2F7E" w:themeColor="accent5"/>
                    </w:rPr>
                    <w:t>–</w:t>
                  </w:r>
                  <w:r>
                    <w:rPr>
                      <w:color w:val="5E2F7E" w:themeColor="accent5"/>
                    </w:rPr>
                    <w:t>21</w:t>
                  </w:r>
                </w:p>
              </w:tc>
            </w:tr>
          </w:tbl>
          <w:p w14:paraId="667C34DC" w14:textId="77777777" w:rsidR="004F4503" w:rsidRPr="00181E61" w:rsidRDefault="004F4503" w:rsidP="006544B5">
            <w:pPr>
              <w:pStyle w:val="H4"/>
              <w:spacing w:before="120" w:after="120"/>
              <w:rPr>
                <w:color w:val="5E2F7E" w:themeColor="accent5"/>
              </w:rPr>
            </w:pPr>
          </w:p>
        </w:tc>
        <w:tc>
          <w:tcPr>
            <w:tcW w:w="278" w:type="pct"/>
            <w:vMerge/>
            <w:tcBorders>
              <w:right w:val="single" w:sz="18" w:space="0" w:color="5E2F7E" w:themeColor="accent5"/>
            </w:tcBorders>
            <w:shd w:val="clear" w:color="auto" w:fill="FFFFFF" w:themeFill="background2"/>
          </w:tcPr>
          <w:p w14:paraId="4604C2CC" w14:textId="77777777" w:rsidR="004F4503" w:rsidRDefault="004F4503" w:rsidP="006544B5">
            <w:pPr>
              <w:pStyle w:val="H4"/>
              <w:spacing w:before="120" w:after="120"/>
            </w:pPr>
          </w:p>
        </w:tc>
        <w:tc>
          <w:tcPr>
            <w:tcW w:w="1756" w:type="pct"/>
            <w:tcBorders>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3"/>
              <w:gridCol w:w="1233"/>
            </w:tblGrid>
            <w:tr w:rsidR="004F4503" w:rsidRPr="00A137B9" w14:paraId="13DCA3B1" w14:textId="77777777" w:rsidTr="006544B5">
              <w:trPr>
                <w:trHeight w:val="505"/>
              </w:trPr>
              <w:tc>
                <w:tcPr>
                  <w:tcW w:w="2500" w:type="pct"/>
                  <w:shd w:val="clear" w:color="auto" w:fill="FFFFFF" w:themeFill="background2"/>
                </w:tcPr>
                <w:p w14:paraId="3FB1F502" w14:textId="6D0C4D20" w:rsidR="004F4503" w:rsidRPr="00A137B9" w:rsidRDefault="004F4503" w:rsidP="006544B5">
                  <w:pPr>
                    <w:pStyle w:val="Body-Financial"/>
                    <w:spacing w:before="120" w:after="0"/>
                  </w:pPr>
                  <w:r w:rsidRPr="00A137B9">
                    <w:rPr>
                      <w:b/>
                      <w:bCs/>
                    </w:rPr>
                    <w:t xml:space="preserve">Strategic objective </w:t>
                  </w:r>
                  <w:r w:rsidR="00392F85">
                    <w:rPr>
                      <w:b/>
                      <w:bCs/>
                    </w:rPr>
                    <w:t>3</w:t>
                  </w:r>
                  <w:r>
                    <w:br/>
                  </w:r>
                  <w:r w:rsidR="00392F85" w:rsidRPr="00392F85">
                    <w:t>Refine and improve hospital costing</w:t>
                  </w:r>
                </w:p>
              </w:tc>
              <w:tc>
                <w:tcPr>
                  <w:tcW w:w="2500" w:type="pct"/>
                  <w:shd w:val="clear" w:color="auto" w:fill="FFFFFF" w:themeFill="background2"/>
                </w:tcPr>
                <w:p w14:paraId="291132F5" w14:textId="2004E32F" w:rsidR="004F4503" w:rsidRPr="00A137B9" w:rsidRDefault="004F4503" w:rsidP="006544B5">
                  <w:pPr>
                    <w:pStyle w:val="Body-Financial"/>
                    <w:spacing w:before="120" w:after="0"/>
                  </w:pPr>
                  <w:r w:rsidRPr="009A17F6">
                    <w:t xml:space="preserve">Activity </w:t>
                  </w:r>
                  <w:r w:rsidR="00392F85">
                    <w:t>3</w:t>
                  </w:r>
                  <w:r w:rsidRPr="009A17F6">
                    <w:t>:</w:t>
                  </w:r>
                  <w:r w:rsidRPr="009A17F6">
                    <w:br/>
                  </w:r>
                  <w:r w:rsidR="00392F85" w:rsidRPr="00392F85">
                    <w:t>Refine and improve hospital costing</w:t>
                  </w:r>
                </w:p>
              </w:tc>
            </w:tr>
          </w:tbl>
          <w:p w14:paraId="12808A1B" w14:textId="77777777" w:rsidR="004F4503" w:rsidRPr="00A137B9" w:rsidRDefault="004F4503" w:rsidP="006544B5">
            <w:pPr>
              <w:pStyle w:val="Body-Financial"/>
              <w:spacing w:after="0"/>
              <w:rPr>
                <w:b/>
                <w:bCs/>
              </w:rPr>
            </w:pPr>
          </w:p>
        </w:tc>
      </w:tr>
      <w:tr w:rsidR="004F4503" w14:paraId="68D0013E" w14:textId="77777777" w:rsidTr="00344225">
        <w:trPr>
          <w:cnfStyle w:val="100000000000" w:firstRow="1" w:lastRow="0" w:firstColumn="0" w:lastColumn="0" w:oddVBand="0" w:evenVBand="0" w:oddHBand="0" w:evenHBand="0" w:firstRowFirstColumn="0" w:firstRowLastColumn="0" w:lastRowFirstColumn="0" w:lastRowLastColumn="0"/>
          <w:trHeight w:val="3156"/>
        </w:trPr>
        <w:tc>
          <w:tcPr>
            <w:tcW w:w="1759" w:type="pct"/>
            <w:shd w:val="clear" w:color="auto" w:fill="DCD3E2"/>
          </w:tcPr>
          <w:p w14:paraId="5060D32A" w14:textId="77777777" w:rsidR="004F4503" w:rsidRPr="00521543" w:rsidRDefault="004F4503" w:rsidP="006544B5">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2D91CC06" w14:textId="50DACD63" w:rsidR="004F4503" w:rsidRPr="009A17F6" w:rsidRDefault="00344225" w:rsidP="006544B5">
            <w:pPr>
              <w:pStyle w:val="Body"/>
              <w:spacing w:before="120"/>
              <w:rPr>
                <w:sz w:val="16"/>
                <w:szCs w:val="16"/>
              </w:rPr>
            </w:pPr>
            <w:r w:rsidRPr="00344225">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p>
        </w:tc>
        <w:tc>
          <w:tcPr>
            <w:tcW w:w="278" w:type="pct"/>
            <w:shd w:val="clear" w:color="auto" w:fill="FFFFFF" w:themeFill="background2"/>
          </w:tcPr>
          <w:p w14:paraId="4D4CCCE2" w14:textId="77777777" w:rsidR="004F4503" w:rsidRDefault="004F4503" w:rsidP="006544B5">
            <w:pPr>
              <w:pStyle w:val="Body"/>
            </w:pPr>
          </w:p>
        </w:tc>
        <w:tc>
          <w:tcPr>
            <w:tcW w:w="929" w:type="pct"/>
            <w:shd w:val="clear" w:color="auto" w:fill="DCD3E2"/>
          </w:tcPr>
          <w:p w14:paraId="165CD79D" w14:textId="77777777" w:rsidR="004F4503" w:rsidRDefault="004F4503" w:rsidP="006544B5">
            <w:pPr>
              <w:pStyle w:val="Body"/>
            </w:pPr>
          </w:p>
        </w:tc>
        <w:tc>
          <w:tcPr>
            <w:tcW w:w="278" w:type="pct"/>
            <w:tcBorders>
              <w:right w:val="single" w:sz="18" w:space="0" w:color="5E2F7E" w:themeColor="accent5"/>
            </w:tcBorders>
            <w:shd w:val="clear" w:color="auto" w:fill="FFFFFF" w:themeFill="background2"/>
          </w:tcPr>
          <w:p w14:paraId="02C86FE4" w14:textId="77777777" w:rsidR="004F4503" w:rsidRDefault="004F4503" w:rsidP="006544B5">
            <w:pPr>
              <w:pStyle w:val="Body"/>
            </w:pPr>
          </w:p>
        </w:tc>
        <w:tc>
          <w:tcPr>
            <w:tcW w:w="1756" w:type="pct"/>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5E7926BD" w14:textId="77777777" w:rsidR="004F4503" w:rsidRDefault="004F4503" w:rsidP="006544B5">
            <w:pPr>
              <w:pStyle w:val="Body"/>
            </w:pPr>
          </w:p>
        </w:tc>
      </w:tr>
    </w:tbl>
    <w:p w14:paraId="0ECC9D8A" w14:textId="77777777" w:rsidR="004F4503" w:rsidRDefault="004F4503" w:rsidP="004F4503">
      <w:pPr>
        <w:pStyle w:val="Body"/>
      </w:pPr>
    </w:p>
    <w:p w14:paraId="0BCE27EF" w14:textId="77777777" w:rsidR="000915E2" w:rsidRDefault="000915E2" w:rsidP="00DA135D">
      <w:pPr>
        <w:pStyle w:val="Body"/>
        <w:sectPr w:rsidR="000915E2" w:rsidSect="00441579">
          <w:footerReference w:type="default" r:id="rId147"/>
          <w:pgSz w:w="9979" w:h="14175"/>
          <w:pgMar w:top="1134" w:right="1134" w:bottom="1134" w:left="1134" w:header="709" w:footer="709" w:gutter="0"/>
          <w:cols w:space="708"/>
          <w:docGrid w:linePitch="360"/>
        </w:sectPr>
      </w:pPr>
    </w:p>
    <w:p w14:paraId="131A14D7" w14:textId="4C489C22" w:rsidR="000915E2" w:rsidRPr="005D1A5D" w:rsidRDefault="00624210" w:rsidP="00B45CFC">
      <w:pPr>
        <w:pStyle w:val="H3"/>
        <w:spacing w:after="0"/>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761664" behindDoc="1" locked="0" layoutInCell="1" allowOverlap="1" wp14:anchorId="2329ACE5" wp14:editId="2B847127">
                <wp:simplePos x="0" y="0"/>
                <wp:positionH relativeFrom="margin">
                  <wp:align>center</wp:align>
                </wp:positionH>
                <wp:positionV relativeFrom="paragraph">
                  <wp:posOffset>-635</wp:posOffset>
                </wp:positionV>
                <wp:extent cx="5069205" cy="2230143"/>
                <wp:effectExtent l="0" t="0" r="17145" b="17780"/>
                <wp:wrapNone/>
                <wp:docPr id="110" name="Rectangle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2230143"/>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8EA69D" id="Rectangle 110" o:spid="_x0000_s1026" alt="&quot;&quot;" style="position:absolute;margin-left:0;margin-top:-.05pt;width:399.15pt;height:175.6pt;z-index:-2515548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" filled="f" strokecolor="#7030a0" strokeweight=".5pt">
                <w10:wrap anchorx="margin"/>
              </v:rect>
            </w:pict>
          </mc:Fallback>
        </mc:AlternateContent>
      </w:r>
      <w:r w:rsidR="000915E2" w:rsidRPr="005D1A5D">
        <w:rPr>
          <w:color w:val="5E2F7E" w:themeColor="accent5"/>
          <w:sz w:val="28"/>
          <w:szCs w:val="28"/>
        </w:rPr>
        <w:t xml:space="preserve">Results </w:t>
      </w:r>
    </w:p>
    <w:p w14:paraId="6A9E277D" w14:textId="520190C3" w:rsidR="000915E2" w:rsidRPr="004E67F4" w:rsidRDefault="000915E2" w:rsidP="00B45CFC">
      <w:pPr>
        <w:pStyle w:val="FigureHeading"/>
        <w:spacing w:before="120"/>
      </w:pPr>
      <w:bookmarkStart w:id="115" w:name="_Toc82510943"/>
      <w:r>
        <w:t xml:space="preserve">Table </w:t>
      </w:r>
      <w:r w:rsidR="00AC254C">
        <w:t>5</w:t>
      </w:r>
      <w:r>
        <w:t xml:space="preserve">: Summary of Performance </w:t>
      </w:r>
      <w:r w:rsidRPr="007F5C9E">
        <w:t xml:space="preserve">for </w:t>
      </w:r>
      <w:r>
        <w:t xml:space="preserve">Activity 3 in </w:t>
      </w:r>
      <w:r w:rsidRPr="007F5C9E">
        <w:t>2020–21</w:t>
      </w:r>
      <w:bookmarkEnd w:id="115"/>
    </w:p>
    <w:tbl>
      <w:tblPr>
        <w:tblStyle w:val="IHPATable"/>
        <w:tblW w:w="7663" w:type="dxa"/>
        <w:tblLayout w:type="fixed"/>
        <w:tblLook w:val="0020" w:firstRow="1" w:lastRow="0" w:firstColumn="0" w:lastColumn="0" w:noHBand="0" w:noVBand="0"/>
        <w:tblCaption w:val="Table 5"/>
        <w:tblDescription w:val="Summary of Performance for Activity 3: Refine and improve hospital costing"/>
      </w:tblPr>
      <w:tblGrid>
        <w:gridCol w:w="6671"/>
        <w:gridCol w:w="992"/>
      </w:tblGrid>
      <w:tr w:rsidR="000915E2" w:rsidRPr="004E67F4" w14:paraId="389F3DAC" w14:textId="77777777" w:rsidTr="00316E60">
        <w:trPr>
          <w:cnfStyle w:val="100000000000" w:firstRow="1" w:lastRow="0" w:firstColumn="0" w:lastColumn="0" w:oddVBand="0" w:evenVBand="0" w:oddHBand="0" w:evenHBand="0" w:firstRowFirstColumn="0" w:firstRowLastColumn="0" w:lastRowFirstColumn="0" w:lastRowLastColumn="0"/>
          <w:trHeight w:val="283"/>
        </w:trPr>
        <w:tc>
          <w:tcPr>
            <w:tcW w:w="7663" w:type="dxa"/>
            <w:gridSpan w:val="2"/>
            <w:shd w:val="clear" w:color="auto" w:fill="5E2F7E" w:themeFill="accent5"/>
          </w:tcPr>
          <w:p w14:paraId="505DC6C4" w14:textId="77777777" w:rsidR="000915E2" w:rsidRPr="004E67F4" w:rsidRDefault="000915E2" w:rsidP="00C757AB">
            <w:pPr>
              <w:spacing w:before="80" w:after="80"/>
              <w:rPr>
                <w:color w:val="1C1C1C"/>
                <w:szCs w:val="18"/>
              </w:rPr>
            </w:pPr>
            <w:r w:rsidRPr="007F5C9E">
              <w:rPr>
                <w:b/>
                <w:bCs/>
                <w:szCs w:val="18"/>
                <w:lang w:val="en-US"/>
              </w:rPr>
              <w:t>Summary of Performance for Activit</w:t>
            </w:r>
            <w:r>
              <w:rPr>
                <w:b/>
                <w:bCs/>
                <w:szCs w:val="18"/>
                <w:lang w:val="en-US"/>
              </w:rPr>
              <w:t>y 3</w:t>
            </w:r>
            <w:r w:rsidRPr="007F5C9E">
              <w:rPr>
                <w:b/>
                <w:bCs/>
                <w:szCs w:val="18"/>
                <w:lang w:val="en-US"/>
              </w:rPr>
              <w:t xml:space="preserve">: </w:t>
            </w:r>
            <w:r w:rsidRPr="000A0743">
              <w:rPr>
                <w:b/>
                <w:bCs/>
                <w:szCs w:val="18"/>
                <w:lang w:val="en-US"/>
              </w:rPr>
              <w:t>Refine and improve hospital costing</w:t>
            </w:r>
          </w:p>
        </w:tc>
      </w:tr>
      <w:tr w:rsidR="00747545" w:rsidRPr="004E67F4" w14:paraId="5DE1340D" w14:textId="77777777" w:rsidTr="00316E60">
        <w:trPr>
          <w:cnfStyle w:val="000000100000" w:firstRow="0" w:lastRow="0" w:firstColumn="0" w:lastColumn="0" w:oddVBand="0" w:evenVBand="0" w:oddHBand="1" w:evenHBand="0" w:firstRowFirstColumn="0" w:firstRowLastColumn="0" w:lastRowFirstColumn="0" w:lastRowLastColumn="0"/>
          <w:trHeight w:val="283"/>
        </w:trPr>
        <w:tc>
          <w:tcPr>
            <w:tcW w:w="6671" w:type="dxa"/>
          </w:tcPr>
          <w:p w14:paraId="500DBB9C" w14:textId="65D2B3AE" w:rsidR="00747545" w:rsidRPr="004E67F4" w:rsidRDefault="00747545" w:rsidP="00C757AB">
            <w:pPr>
              <w:spacing w:before="60" w:after="60"/>
              <w:ind w:right="-112"/>
              <w:rPr>
                <w:color w:val="1C1C1C"/>
                <w:sz w:val="16"/>
                <w:szCs w:val="16"/>
              </w:rPr>
            </w:pPr>
            <w:r w:rsidRPr="0031348A">
              <w:rPr>
                <w:color w:val="1C1C1C"/>
                <w:sz w:val="16"/>
                <w:szCs w:val="16"/>
              </w:rPr>
              <w:t xml:space="preserve">Evaluate compliance with new aspects of the </w:t>
            </w:r>
            <w:r>
              <w:rPr>
                <w:color w:val="1C1C1C"/>
                <w:sz w:val="16"/>
                <w:szCs w:val="16"/>
              </w:rPr>
              <w:t>Australian Hospital Patient Costing Standards</w:t>
            </w:r>
            <w:r w:rsidRPr="0031348A">
              <w:rPr>
                <w:color w:val="1C1C1C"/>
                <w:sz w:val="16"/>
                <w:szCs w:val="16"/>
              </w:rPr>
              <w:t xml:space="preserve"> Version 4.0</w:t>
            </w:r>
          </w:p>
        </w:tc>
        <w:tc>
          <w:tcPr>
            <w:tcW w:w="992" w:type="dxa"/>
          </w:tcPr>
          <w:p w14:paraId="39E33E7E" w14:textId="52BBE5EC" w:rsidR="00747545" w:rsidRPr="004E67F4" w:rsidRDefault="00747545" w:rsidP="00C757AB">
            <w:pPr>
              <w:spacing w:before="60" w:after="60"/>
              <w:ind w:right="-112"/>
              <w:jc w:val="right"/>
              <w:rPr>
                <w:color w:val="1C1C1C"/>
                <w:sz w:val="16"/>
                <w:szCs w:val="16"/>
              </w:rPr>
            </w:pPr>
            <w:r>
              <w:rPr>
                <w:color w:val="1C1C1C"/>
                <w:sz w:val="16"/>
                <w:szCs w:val="16"/>
              </w:rPr>
              <w:t>Delivered</w:t>
            </w:r>
          </w:p>
        </w:tc>
      </w:tr>
      <w:tr w:rsidR="00747545" w:rsidRPr="004E67F4" w14:paraId="424876F7" w14:textId="77777777" w:rsidTr="00316E60">
        <w:trPr>
          <w:cnfStyle w:val="000000010000" w:firstRow="0" w:lastRow="0" w:firstColumn="0" w:lastColumn="0" w:oddVBand="0" w:evenVBand="0" w:oddHBand="0" w:evenHBand="1" w:firstRowFirstColumn="0" w:firstRowLastColumn="0" w:lastRowFirstColumn="0" w:lastRowLastColumn="0"/>
          <w:trHeight w:val="283"/>
        </w:trPr>
        <w:tc>
          <w:tcPr>
            <w:tcW w:w="6671" w:type="dxa"/>
          </w:tcPr>
          <w:p w14:paraId="2396AD1E" w14:textId="2B1B3014" w:rsidR="00747545" w:rsidRPr="004E67F4" w:rsidRDefault="00747545" w:rsidP="00C757AB">
            <w:pPr>
              <w:spacing w:before="60" w:after="60"/>
              <w:ind w:right="-112"/>
              <w:rPr>
                <w:color w:val="1C1C1C"/>
                <w:sz w:val="16"/>
                <w:szCs w:val="16"/>
              </w:rPr>
            </w:pPr>
            <w:r w:rsidRPr="00C5304F">
              <w:rPr>
                <w:color w:val="1C1C1C"/>
                <w:sz w:val="16"/>
                <w:szCs w:val="16"/>
              </w:rPr>
              <w:t xml:space="preserve">Release Round 23 </w:t>
            </w:r>
            <w:r>
              <w:rPr>
                <w:color w:val="1C1C1C"/>
                <w:sz w:val="16"/>
                <w:szCs w:val="16"/>
              </w:rPr>
              <w:t>National Hospital Cost Data Collection</w:t>
            </w:r>
            <w:r w:rsidRPr="00C5304F">
              <w:rPr>
                <w:color w:val="1C1C1C"/>
                <w:sz w:val="16"/>
                <w:szCs w:val="16"/>
              </w:rPr>
              <w:t xml:space="preserve"> public sector report</w:t>
            </w:r>
          </w:p>
        </w:tc>
        <w:tc>
          <w:tcPr>
            <w:tcW w:w="992" w:type="dxa"/>
          </w:tcPr>
          <w:p w14:paraId="667C1BEE" w14:textId="01A6C6F4" w:rsidR="00747545" w:rsidRPr="004E67F4" w:rsidRDefault="00747545" w:rsidP="00C757AB">
            <w:pPr>
              <w:spacing w:before="60" w:after="60"/>
              <w:ind w:right="-112"/>
              <w:jc w:val="right"/>
              <w:rPr>
                <w:color w:val="1C1C1C"/>
                <w:sz w:val="16"/>
                <w:szCs w:val="16"/>
              </w:rPr>
            </w:pPr>
            <w:r w:rsidRPr="004E67F4">
              <w:rPr>
                <w:color w:val="1C1C1C"/>
                <w:sz w:val="16"/>
                <w:szCs w:val="16"/>
              </w:rPr>
              <w:t>Delivered</w:t>
            </w:r>
          </w:p>
        </w:tc>
      </w:tr>
      <w:tr w:rsidR="00747545" w:rsidRPr="004E67F4" w:rsidDel="00CE79BB" w14:paraId="090724B3" w14:textId="77777777" w:rsidTr="00316E60">
        <w:trPr>
          <w:cnfStyle w:val="000000100000" w:firstRow="0" w:lastRow="0" w:firstColumn="0" w:lastColumn="0" w:oddVBand="0" w:evenVBand="0" w:oddHBand="1" w:evenHBand="0" w:firstRowFirstColumn="0" w:firstRowLastColumn="0" w:lastRowFirstColumn="0" w:lastRowLastColumn="0"/>
          <w:trHeight w:val="283"/>
        </w:trPr>
        <w:tc>
          <w:tcPr>
            <w:tcW w:w="6671" w:type="dxa"/>
          </w:tcPr>
          <w:p w14:paraId="7108C515" w14:textId="73CC67F2" w:rsidR="00747545" w:rsidRPr="004E67F4" w:rsidRDefault="00747545" w:rsidP="00C757AB">
            <w:pPr>
              <w:spacing w:before="60" w:after="60"/>
              <w:ind w:right="-112"/>
              <w:rPr>
                <w:color w:val="1C1C1C"/>
                <w:sz w:val="16"/>
                <w:szCs w:val="16"/>
              </w:rPr>
            </w:pPr>
            <w:r w:rsidRPr="00C5304F">
              <w:rPr>
                <w:color w:val="1C1C1C"/>
                <w:sz w:val="16"/>
                <w:szCs w:val="16"/>
              </w:rPr>
              <w:t xml:space="preserve">Release Round 23 </w:t>
            </w:r>
            <w:r>
              <w:rPr>
                <w:color w:val="1C1C1C"/>
                <w:sz w:val="16"/>
                <w:szCs w:val="16"/>
              </w:rPr>
              <w:t>National Hospital Cost Data Collection</w:t>
            </w:r>
            <w:r w:rsidRPr="00C5304F">
              <w:rPr>
                <w:color w:val="1C1C1C"/>
                <w:sz w:val="16"/>
                <w:szCs w:val="16"/>
              </w:rPr>
              <w:t xml:space="preserve"> cost weight tables for private hospitals</w:t>
            </w:r>
          </w:p>
        </w:tc>
        <w:tc>
          <w:tcPr>
            <w:tcW w:w="992" w:type="dxa"/>
          </w:tcPr>
          <w:p w14:paraId="787DB149" w14:textId="778E6F8A" w:rsidR="00747545" w:rsidRPr="004E67F4" w:rsidDel="00CE79BB" w:rsidRDefault="00747545" w:rsidP="00C757AB">
            <w:pPr>
              <w:spacing w:before="60" w:after="60"/>
              <w:ind w:right="-112"/>
              <w:jc w:val="right"/>
              <w:rPr>
                <w:color w:val="1C1C1C"/>
                <w:sz w:val="16"/>
                <w:szCs w:val="16"/>
              </w:rPr>
            </w:pPr>
            <w:r w:rsidRPr="004E67F4">
              <w:rPr>
                <w:color w:val="1C1C1C"/>
                <w:sz w:val="16"/>
                <w:szCs w:val="16"/>
              </w:rPr>
              <w:t>Delivered</w:t>
            </w:r>
          </w:p>
        </w:tc>
      </w:tr>
      <w:tr w:rsidR="00747545" w:rsidRPr="004E67F4" w:rsidDel="00CE79BB" w14:paraId="57BABE61" w14:textId="77777777" w:rsidTr="00316E60">
        <w:trPr>
          <w:cnfStyle w:val="000000010000" w:firstRow="0" w:lastRow="0" w:firstColumn="0" w:lastColumn="0" w:oddVBand="0" w:evenVBand="0" w:oddHBand="0" w:evenHBand="1" w:firstRowFirstColumn="0" w:firstRowLastColumn="0" w:lastRowFirstColumn="0" w:lastRowLastColumn="0"/>
          <w:trHeight w:val="283"/>
        </w:trPr>
        <w:tc>
          <w:tcPr>
            <w:tcW w:w="6671" w:type="dxa"/>
          </w:tcPr>
          <w:p w14:paraId="72179F25" w14:textId="4E3FAE92" w:rsidR="00747545" w:rsidRPr="004E67F4" w:rsidRDefault="00747545" w:rsidP="00C757AB">
            <w:pPr>
              <w:spacing w:before="60" w:after="60"/>
              <w:ind w:right="-112"/>
              <w:rPr>
                <w:color w:val="1C1C1C"/>
                <w:sz w:val="16"/>
                <w:szCs w:val="16"/>
              </w:rPr>
            </w:pPr>
            <w:r w:rsidRPr="00C5304F">
              <w:rPr>
                <w:color w:val="1C1C1C"/>
                <w:sz w:val="16"/>
                <w:szCs w:val="16"/>
              </w:rPr>
              <w:t xml:space="preserve">Release the </w:t>
            </w:r>
            <w:r>
              <w:rPr>
                <w:color w:val="1C1C1C"/>
                <w:sz w:val="16"/>
                <w:szCs w:val="16"/>
              </w:rPr>
              <w:t>National Hospital Cost Data Collection</w:t>
            </w:r>
            <w:r w:rsidRPr="00C5304F">
              <w:rPr>
                <w:color w:val="1C1C1C"/>
                <w:sz w:val="16"/>
                <w:szCs w:val="16"/>
              </w:rPr>
              <w:t xml:space="preserve"> Round 23 Independent Financial </w:t>
            </w:r>
            <w:r>
              <w:rPr>
                <w:color w:val="1C1C1C"/>
                <w:sz w:val="16"/>
                <w:szCs w:val="16"/>
              </w:rPr>
              <w:t>Review</w:t>
            </w:r>
          </w:p>
        </w:tc>
        <w:tc>
          <w:tcPr>
            <w:tcW w:w="992" w:type="dxa"/>
          </w:tcPr>
          <w:p w14:paraId="0F415085" w14:textId="6675BB89" w:rsidR="00747545" w:rsidRPr="004E67F4" w:rsidDel="00CE79BB" w:rsidRDefault="00747545" w:rsidP="00C757AB">
            <w:pPr>
              <w:spacing w:before="60" w:after="60"/>
              <w:ind w:right="-112"/>
              <w:jc w:val="right"/>
              <w:rPr>
                <w:color w:val="1C1C1C"/>
                <w:sz w:val="16"/>
                <w:szCs w:val="16"/>
              </w:rPr>
            </w:pPr>
            <w:r>
              <w:rPr>
                <w:color w:val="1C1C1C"/>
                <w:sz w:val="16"/>
                <w:szCs w:val="16"/>
              </w:rPr>
              <w:t>Not delivered</w:t>
            </w:r>
          </w:p>
        </w:tc>
      </w:tr>
      <w:tr w:rsidR="00747545" w:rsidRPr="004E67F4" w:rsidDel="00CE79BB" w14:paraId="4A725896" w14:textId="77777777" w:rsidTr="00316E60">
        <w:trPr>
          <w:cnfStyle w:val="000000100000" w:firstRow="0" w:lastRow="0" w:firstColumn="0" w:lastColumn="0" w:oddVBand="0" w:evenVBand="0" w:oddHBand="1" w:evenHBand="0" w:firstRowFirstColumn="0" w:firstRowLastColumn="0" w:lastRowFirstColumn="0" w:lastRowLastColumn="0"/>
          <w:trHeight w:val="283"/>
        </w:trPr>
        <w:tc>
          <w:tcPr>
            <w:tcW w:w="6671" w:type="dxa"/>
          </w:tcPr>
          <w:p w14:paraId="6B87F45D" w14:textId="3106DA3F" w:rsidR="00747545" w:rsidRPr="00C5304F" w:rsidRDefault="00747545" w:rsidP="00C757AB">
            <w:pPr>
              <w:spacing w:before="60" w:after="60"/>
              <w:ind w:right="-112"/>
              <w:rPr>
                <w:color w:val="1C1C1C"/>
                <w:sz w:val="16"/>
                <w:szCs w:val="16"/>
              </w:rPr>
            </w:pPr>
            <w:r w:rsidRPr="008E68C3">
              <w:rPr>
                <w:color w:val="1C1C1C"/>
                <w:sz w:val="16"/>
                <w:szCs w:val="16"/>
              </w:rPr>
              <w:t>IHPA will work towards phasing out the private pati</w:t>
            </w:r>
            <w:r>
              <w:rPr>
                <w:color w:val="1C1C1C"/>
                <w:sz w:val="16"/>
                <w:szCs w:val="16"/>
              </w:rPr>
              <w:t xml:space="preserve">ent correction factor for the </w:t>
            </w:r>
            <w:r w:rsidR="00691C6A" w:rsidRPr="003020AC">
              <w:rPr>
                <w:color w:val="1C1C1C"/>
                <w:sz w:val="16"/>
                <w:szCs w:val="16"/>
              </w:rPr>
              <w:t>National Effici</w:t>
            </w:r>
            <w:r w:rsidR="00691C6A">
              <w:rPr>
                <w:color w:val="1C1C1C"/>
                <w:sz w:val="16"/>
                <w:szCs w:val="16"/>
              </w:rPr>
              <w:t>ent Price Determination 2021−22</w:t>
            </w:r>
          </w:p>
        </w:tc>
        <w:tc>
          <w:tcPr>
            <w:tcW w:w="992" w:type="dxa"/>
          </w:tcPr>
          <w:p w14:paraId="59B68753" w14:textId="42D8E0E5" w:rsidR="00747545" w:rsidRDefault="00747545" w:rsidP="00C757AB">
            <w:pPr>
              <w:spacing w:before="60" w:after="60"/>
              <w:ind w:right="-112"/>
              <w:jc w:val="right"/>
              <w:rPr>
                <w:color w:val="1C1C1C"/>
                <w:sz w:val="16"/>
                <w:szCs w:val="16"/>
              </w:rPr>
            </w:pPr>
            <w:r>
              <w:rPr>
                <w:color w:val="1C1C1C"/>
                <w:sz w:val="16"/>
                <w:szCs w:val="16"/>
              </w:rPr>
              <w:t>Ongoing</w:t>
            </w:r>
          </w:p>
        </w:tc>
      </w:tr>
    </w:tbl>
    <w:p w14:paraId="13F72A10" w14:textId="77777777" w:rsidR="00624210" w:rsidRDefault="00624210" w:rsidP="00DA135D">
      <w:pPr>
        <w:pStyle w:val="Body"/>
      </w:pPr>
    </w:p>
    <w:p w14:paraId="15D98A39" w14:textId="107C8496" w:rsidR="00624210" w:rsidRDefault="00624210" w:rsidP="00DA135D">
      <w:pPr>
        <w:pStyle w:val="Body"/>
        <w:sectPr w:rsidR="00624210" w:rsidSect="00441579">
          <w:footerReference w:type="default" r:id="rId148"/>
          <w:pgSz w:w="9979" w:h="14175"/>
          <w:pgMar w:top="1134" w:right="1134" w:bottom="1134" w:left="1134" w:header="709" w:footer="709" w:gutter="0"/>
          <w:cols w:space="708"/>
          <w:docGrid w:linePitch="360"/>
        </w:sectPr>
      </w:pPr>
    </w:p>
    <w:tbl>
      <w:tblPr>
        <w:tblStyle w:val="TableGrid"/>
        <w:tblW w:w="5056" w:type="pct"/>
        <w:tblCellMar>
          <w:right w:w="142" w:type="dxa"/>
        </w:tblCellMar>
        <w:tblLook w:val="04A0" w:firstRow="1" w:lastRow="0" w:firstColumn="1" w:lastColumn="0" w:noHBand="0" w:noVBand="1"/>
        <w:tblCaption w:val="Table 5"/>
        <w:tblDescription w:val="Performance criteria"/>
      </w:tblPr>
      <w:tblGrid>
        <w:gridCol w:w="2752"/>
        <w:gridCol w:w="415"/>
        <w:gridCol w:w="4630"/>
      </w:tblGrid>
      <w:tr w:rsidR="009017AE" w:rsidRPr="00DF5D28" w14:paraId="28A42964" w14:textId="77777777" w:rsidTr="00B45CFC">
        <w:trPr>
          <w:cnfStyle w:val="100000000000" w:firstRow="1" w:lastRow="0" w:firstColumn="0" w:lastColumn="0" w:oddVBand="0" w:evenVBand="0" w:oddHBand="0" w:evenHBand="0" w:firstRowFirstColumn="0" w:firstRowLastColumn="0" w:lastRowFirstColumn="0" w:lastRowLastColumn="0"/>
          <w:trHeight w:val="576"/>
        </w:trPr>
        <w:tc>
          <w:tcPr>
            <w:tcW w:w="1765" w:type="pct"/>
          </w:tcPr>
          <w:p w14:paraId="07A19F78" w14:textId="462CD714" w:rsidR="009017AE" w:rsidRPr="00DF5D28" w:rsidRDefault="009017AE" w:rsidP="006544B5">
            <w:pPr>
              <w:pStyle w:val="H4"/>
              <w:spacing w:before="120"/>
              <w:rPr>
                <w:color w:val="FFFFFF" w:themeColor="background2"/>
              </w:rPr>
            </w:pPr>
            <w:r>
              <w:rPr>
                <w:color w:val="FFFFFF" w:themeColor="background2"/>
              </w:rPr>
              <w:t xml:space="preserve">Performance </w:t>
            </w:r>
            <w:r w:rsidR="00B45CFC">
              <w:rPr>
                <w:color w:val="FFFFFF" w:themeColor="background2"/>
              </w:rPr>
              <w:t>c</w:t>
            </w:r>
            <w:r>
              <w:rPr>
                <w:color w:val="FFFFFF" w:themeColor="background2"/>
              </w:rPr>
              <w:t>riteria</w:t>
            </w:r>
          </w:p>
        </w:tc>
        <w:tc>
          <w:tcPr>
            <w:tcW w:w="266" w:type="pct"/>
            <w:shd w:val="clear" w:color="auto" w:fill="FFFFFF" w:themeFill="background2"/>
          </w:tcPr>
          <w:p w14:paraId="5E6F615C" w14:textId="77777777" w:rsidR="009017AE" w:rsidRDefault="009017AE" w:rsidP="006544B5">
            <w:pPr>
              <w:pStyle w:val="Body"/>
              <w:spacing w:before="120"/>
            </w:pPr>
          </w:p>
        </w:tc>
        <w:tc>
          <w:tcPr>
            <w:tcW w:w="2968" w:type="pct"/>
          </w:tcPr>
          <w:p w14:paraId="71F6EB0C" w14:textId="77777777" w:rsidR="009017AE" w:rsidRPr="00DF5D28" w:rsidRDefault="009017AE"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9017AE" w14:paraId="5C4309F7" w14:textId="77777777" w:rsidTr="00B45CFC">
        <w:trPr>
          <w:cnfStyle w:val="100000000000" w:firstRow="1" w:lastRow="0" w:firstColumn="0" w:lastColumn="0" w:oddVBand="0" w:evenVBand="0" w:oddHBand="0" w:evenHBand="0" w:firstRowFirstColumn="0" w:firstRowLastColumn="0" w:lastRowFirstColumn="0" w:lastRowLastColumn="0"/>
          <w:trHeight w:val="2036"/>
        </w:trPr>
        <w:tc>
          <w:tcPr>
            <w:tcW w:w="1765" w:type="pct"/>
            <w:shd w:val="clear" w:color="auto" w:fill="DCD3E2"/>
          </w:tcPr>
          <w:p w14:paraId="3CD4A8E3" w14:textId="549AF5FD" w:rsidR="009017AE" w:rsidRPr="00DF5D28" w:rsidRDefault="00B45CFC" w:rsidP="00B45CFC">
            <w:pPr>
              <w:pStyle w:val="NumberListNoIndent"/>
              <w:numPr>
                <w:ilvl w:val="0"/>
                <w:numId w:val="24"/>
              </w:numPr>
              <w:spacing w:before="240"/>
            </w:pPr>
            <w:r>
              <w:rPr>
                <w:noProof/>
                <w:color w:val="FFFFFF" w:themeColor="background2"/>
                <w:lang w:val="en-AU" w:eastAsia="en-AU"/>
              </w:rPr>
              <mc:AlternateContent>
                <mc:Choice Requires="wps">
                  <w:drawing>
                    <wp:anchor distT="0" distB="0" distL="114300" distR="114300" simplePos="0" relativeHeight="251763712" behindDoc="0" locked="0" layoutInCell="1" allowOverlap="1" wp14:anchorId="0B7A338A" wp14:editId="12F5AF20">
                      <wp:simplePos x="0" y="0"/>
                      <wp:positionH relativeFrom="column">
                        <wp:posOffset>1672590</wp:posOffset>
                      </wp:positionH>
                      <wp:positionV relativeFrom="paragraph">
                        <wp:posOffset>224790</wp:posOffset>
                      </wp:positionV>
                      <wp:extent cx="289560" cy="0"/>
                      <wp:effectExtent l="0" t="95250" r="0" b="95250"/>
                      <wp:wrapNone/>
                      <wp:docPr id="111" name="Straight Arrow Connector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031EA9" id="Straight Arrow Connector 111" o:spid="_x0000_s1026" type="#_x0000_t32" alt="&quot;&quot;" style="position:absolute;margin-left:131.7pt;margin-top:17.7pt;width:22.8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" strokecolor="#5e2f7e [3208]" strokeweight="2.25pt">
                      <v:stroke endarrow="open" joinstyle="miter"/>
                    </v:shape>
                  </w:pict>
                </mc:Fallback>
              </mc:AlternateContent>
            </w:r>
            <w:r w:rsidRPr="00B45CFC">
              <w:t>Evaluate compliance with new aspects of the Australian Hospital Patient Costing Standards Version (AHPCS) Version 4.0</w:t>
            </w:r>
            <w:r w:rsidR="00064783">
              <w:t>.</w:t>
            </w:r>
          </w:p>
        </w:tc>
        <w:tc>
          <w:tcPr>
            <w:tcW w:w="266" w:type="pct"/>
            <w:shd w:val="clear" w:color="auto" w:fill="FFFFFF" w:themeFill="background2"/>
          </w:tcPr>
          <w:p w14:paraId="455FD1D9" w14:textId="2C531E50" w:rsidR="009017AE" w:rsidRPr="007D6047" w:rsidRDefault="009017AE" w:rsidP="006544B5">
            <w:pPr>
              <w:pStyle w:val="Body"/>
              <w:rPr>
                <w:color w:val="auto"/>
              </w:rPr>
            </w:pPr>
          </w:p>
        </w:tc>
        <w:tc>
          <w:tcPr>
            <w:tcW w:w="2968" w:type="pct"/>
            <w:shd w:val="clear" w:color="auto" w:fill="DCD3E2"/>
          </w:tcPr>
          <w:p w14:paraId="08025351" w14:textId="76487F3F" w:rsidR="009017AE" w:rsidRPr="007D6047" w:rsidRDefault="00C473B7" w:rsidP="006544B5">
            <w:pPr>
              <w:pStyle w:val="TOCBody"/>
              <w:spacing w:before="240"/>
              <w:ind w:left="33"/>
              <w:rPr>
                <w:color w:val="auto"/>
              </w:rPr>
            </w:pPr>
            <w:r w:rsidRPr="00C473B7">
              <w:rPr>
                <w:color w:val="auto"/>
              </w:rPr>
              <w:t>IHPA evaluates compliance to the AHPCS Version 4.0 through its annual NHCDC Independent Financial Review, which was cancelled for 2021 due to the impact of COVID-19 on jurisdictions and health services. To ensure compliance with the AHPCS Version 4.0, IHPA requested jurisdictions to confirm their compliance in their Data Quality Statement Release Round 23 NHCDC public sector report.</w:t>
            </w:r>
          </w:p>
        </w:tc>
      </w:tr>
      <w:tr w:rsidR="009017AE" w14:paraId="6AB4FBB2" w14:textId="77777777" w:rsidTr="00B45CFC">
        <w:trPr>
          <w:cnfStyle w:val="100000000000" w:firstRow="1" w:lastRow="0" w:firstColumn="0" w:lastColumn="0" w:oddVBand="0" w:evenVBand="0" w:oddHBand="0" w:evenHBand="0" w:firstRowFirstColumn="0" w:firstRowLastColumn="0" w:lastRowFirstColumn="0" w:lastRowLastColumn="0"/>
          <w:trHeight w:val="1554"/>
        </w:trPr>
        <w:tc>
          <w:tcPr>
            <w:tcW w:w="1765" w:type="pct"/>
            <w:shd w:val="clear" w:color="auto" w:fill="DCD3E2"/>
          </w:tcPr>
          <w:p w14:paraId="12E223C5" w14:textId="6E5BD8D9" w:rsidR="009017AE" w:rsidRPr="008D346E" w:rsidRDefault="00671B55" w:rsidP="009017AE">
            <w:pPr>
              <w:pStyle w:val="NumberListNoIndent"/>
            </w:pPr>
            <w:r>
              <w:rPr>
                <w:noProof/>
                <w:color w:val="FFFFFF" w:themeColor="background2"/>
                <w:lang w:val="en-AU" w:eastAsia="en-AU"/>
              </w:rPr>
              <mc:AlternateContent>
                <mc:Choice Requires="wps">
                  <w:drawing>
                    <wp:anchor distT="0" distB="0" distL="114300" distR="114300" simplePos="0" relativeHeight="251764736" behindDoc="0" locked="0" layoutInCell="1" allowOverlap="1" wp14:anchorId="31A84154" wp14:editId="764C1CD0">
                      <wp:simplePos x="0" y="0"/>
                      <wp:positionH relativeFrom="column">
                        <wp:posOffset>1670685</wp:posOffset>
                      </wp:positionH>
                      <wp:positionV relativeFrom="paragraph">
                        <wp:posOffset>80563</wp:posOffset>
                      </wp:positionV>
                      <wp:extent cx="289560" cy="0"/>
                      <wp:effectExtent l="0" t="95250" r="0" b="95250"/>
                      <wp:wrapNone/>
                      <wp:docPr id="112" name="Straight Arrow Connector 1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4FE8A" id="Straight Arrow Connector 112" o:spid="_x0000_s1026" type="#_x0000_t32" alt="&quot;&quot;" style="position:absolute;margin-left:131.55pt;margin-top:6.35pt;width:22.8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" strokecolor="#5e2f7e [3208]" strokeweight="2.25pt">
                      <v:stroke endarrow="open" joinstyle="miter"/>
                    </v:shape>
                  </w:pict>
                </mc:Fallback>
              </mc:AlternateContent>
            </w:r>
            <w:r w:rsidR="00B45CFC" w:rsidRPr="00B45CFC">
              <w:t>Release Round 23 NHCDC public sector report</w:t>
            </w:r>
            <w:r w:rsidR="00064783">
              <w:t>.</w:t>
            </w:r>
          </w:p>
        </w:tc>
        <w:tc>
          <w:tcPr>
            <w:tcW w:w="266" w:type="pct"/>
            <w:shd w:val="clear" w:color="auto" w:fill="FFFFFF" w:themeFill="background2"/>
          </w:tcPr>
          <w:p w14:paraId="08830AA5" w14:textId="678B34B1" w:rsidR="009017AE" w:rsidRPr="007D6047" w:rsidRDefault="009017AE" w:rsidP="009017AE">
            <w:pPr>
              <w:pStyle w:val="Body"/>
              <w:rPr>
                <w:color w:val="auto"/>
              </w:rPr>
            </w:pPr>
          </w:p>
        </w:tc>
        <w:tc>
          <w:tcPr>
            <w:tcW w:w="2968" w:type="pct"/>
            <w:shd w:val="clear" w:color="auto" w:fill="DCD3E2"/>
          </w:tcPr>
          <w:p w14:paraId="263C19C2" w14:textId="1CA150F9" w:rsidR="009017AE" w:rsidRPr="007D6047" w:rsidRDefault="00C473B7" w:rsidP="00C473B7">
            <w:pPr>
              <w:pStyle w:val="Body"/>
            </w:pPr>
            <w:r>
              <w:t>The Round 23 NHCDC report for the public sector was</w:t>
            </w:r>
            <w:r w:rsidR="001C2533">
              <w:t> </w:t>
            </w:r>
            <w:r>
              <w:t xml:space="preserve">published on </w:t>
            </w:r>
            <w:r w:rsidR="00F20DC1">
              <w:t xml:space="preserve">the </w:t>
            </w:r>
            <w:r>
              <w:t>IHPA website in February 2021. In</w:t>
            </w:r>
            <w:r w:rsidR="001C2533">
              <w:t> </w:t>
            </w:r>
            <w:r>
              <w:t>2020–</w:t>
            </w:r>
            <w:r w:rsidR="001C2533">
              <w:t> </w:t>
            </w:r>
            <w:r>
              <w:t>21, IHPA continued to adapt the NHCDC report into a consolidated infographics and thematic article designed to support jurisdictions and to broaden the understanding of its use among a wider audience.</w:t>
            </w:r>
          </w:p>
        </w:tc>
      </w:tr>
      <w:tr w:rsidR="009017AE" w14:paraId="0B22E028" w14:textId="77777777" w:rsidTr="00671B55">
        <w:trPr>
          <w:cnfStyle w:val="100000000000" w:firstRow="1" w:lastRow="0" w:firstColumn="0" w:lastColumn="0" w:oddVBand="0" w:evenVBand="0" w:oddHBand="0" w:evenHBand="0" w:firstRowFirstColumn="0" w:firstRowLastColumn="0" w:lastRowFirstColumn="0" w:lastRowLastColumn="0"/>
          <w:trHeight w:val="958"/>
        </w:trPr>
        <w:tc>
          <w:tcPr>
            <w:tcW w:w="1765" w:type="pct"/>
            <w:shd w:val="clear" w:color="auto" w:fill="DCD3E2"/>
          </w:tcPr>
          <w:p w14:paraId="3C28BBCC" w14:textId="73ADD1F0" w:rsidR="009017AE" w:rsidRPr="008D346E" w:rsidRDefault="00671B55" w:rsidP="00671B55">
            <w:pPr>
              <w:pStyle w:val="NumberListNoIndent"/>
            </w:pPr>
            <w:r w:rsidRPr="00671B55">
              <w:t>Release Round 23 NHCDC cost weight tables for private</w:t>
            </w:r>
            <w:r w:rsidR="00532D6B">
              <w:t> </w:t>
            </w:r>
            <w:r w:rsidRPr="00671B55">
              <w:t>hospitals</w:t>
            </w:r>
            <w:r w:rsidR="00064783">
              <w:t>.</w:t>
            </w:r>
          </w:p>
        </w:tc>
        <w:tc>
          <w:tcPr>
            <w:tcW w:w="266" w:type="pct"/>
            <w:shd w:val="clear" w:color="auto" w:fill="FFFFFF" w:themeFill="background2"/>
          </w:tcPr>
          <w:p w14:paraId="01B95CAD" w14:textId="7D9CA1D7" w:rsidR="009017AE" w:rsidRPr="007D6047" w:rsidRDefault="00B45CFC" w:rsidP="009017AE">
            <w:pPr>
              <w:pStyle w:val="Body"/>
              <w:rPr>
                <w:color w:val="auto"/>
              </w:rPr>
            </w:pPr>
            <w:r>
              <w:rPr>
                <w:noProof/>
                <w:color w:val="FFFFFF" w:themeColor="background2"/>
                <w:lang w:val="en-AU" w:eastAsia="en-AU"/>
              </w:rPr>
              <mc:AlternateContent>
                <mc:Choice Requires="wps">
                  <w:drawing>
                    <wp:anchor distT="0" distB="0" distL="114300" distR="114300" simplePos="0" relativeHeight="251765760" behindDoc="0" locked="0" layoutInCell="1" allowOverlap="1" wp14:anchorId="6CD9BBB2" wp14:editId="60FA4E9F">
                      <wp:simplePos x="0" y="0"/>
                      <wp:positionH relativeFrom="column">
                        <wp:posOffset>-68662</wp:posOffset>
                      </wp:positionH>
                      <wp:positionV relativeFrom="paragraph">
                        <wp:posOffset>66040</wp:posOffset>
                      </wp:positionV>
                      <wp:extent cx="289560" cy="0"/>
                      <wp:effectExtent l="0" t="95250" r="0" b="95250"/>
                      <wp:wrapNone/>
                      <wp:docPr id="113" name="Straight Arrow Connector 1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CA4574" id="Straight Arrow Connector 113" o:spid="_x0000_s1026" type="#_x0000_t32" alt="&quot;&quot;" style="position:absolute;margin-left:-5.4pt;margin-top:5.2pt;width:22.8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" strokecolor="#5e2f7e [3208]" strokeweight="2.25pt">
                      <v:stroke endarrow="open" joinstyle="miter"/>
                    </v:shape>
                  </w:pict>
                </mc:Fallback>
              </mc:AlternateContent>
            </w:r>
          </w:p>
        </w:tc>
        <w:tc>
          <w:tcPr>
            <w:tcW w:w="2968" w:type="pct"/>
            <w:shd w:val="clear" w:color="auto" w:fill="DCD3E2"/>
          </w:tcPr>
          <w:p w14:paraId="3F250AFA" w14:textId="7A26CFDB" w:rsidR="009017AE" w:rsidRPr="007D6047" w:rsidRDefault="00C473B7" w:rsidP="009017AE">
            <w:pPr>
              <w:pStyle w:val="Body"/>
            </w:pPr>
            <w:r w:rsidRPr="00C473B7">
              <w:t xml:space="preserve">Round 23 cost weight tables for private hospitals were published on </w:t>
            </w:r>
            <w:r w:rsidR="00F20DC1">
              <w:t xml:space="preserve">the </w:t>
            </w:r>
            <w:r w:rsidRPr="00C473B7">
              <w:t>IHPA website in April 2021.</w:t>
            </w:r>
          </w:p>
        </w:tc>
      </w:tr>
      <w:tr w:rsidR="009017AE" w14:paraId="756053C2" w14:textId="77777777" w:rsidTr="00671B55">
        <w:trPr>
          <w:cnfStyle w:val="100000000000" w:firstRow="1" w:lastRow="0" w:firstColumn="0" w:lastColumn="0" w:oddVBand="0" w:evenVBand="0" w:oddHBand="0" w:evenHBand="0" w:firstRowFirstColumn="0" w:firstRowLastColumn="0" w:lastRowFirstColumn="0" w:lastRowLastColumn="0"/>
          <w:trHeight w:val="844"/>
        </w:trPr>
        <w:tc>
          <w:tcPr>
            <w:tcW w:w="1765" w:type="pct"/>
            <w:shd w:val="clear" w:color="auto" w:fill="DCD3E2"/>
          </w:tcPr>
          <w:p w14:paraId="53FE2603" w14:textId="738C97F0" w:rsidR="009017AE" w:rsidRPr="008D346E" w:rsidRDefault="00671B55" w:rsidP="00671B55">
            <w:pPr>
              <w:pStyle w:val="NumberListNoIndent"/>
            </w:pPr>
            <w:r>
              <w:rPr>
                <w:noProof/>
                <w:color w:val="FFFFFF" w:themeColor="background2"/>
                <w:lang w:val="en-AU" w:eastAsia="en-AU"/>
              </w:rPr>
              <mc:AlternateContent>
                <mc:Choice Requires="wps">
                  <w:drawing>
                    <wp:anchor distT="0" distB="0" distL="114300" distR="114300" simplePos="0" relativeHeight="251766784" behindDoc="0" locked="0" layoutInCell="1" allowOverlap="1" wp14:anchorId="14C6C08E" wp14:editId="7DA71BB9">
                      <wp:simplePos x="0" y="0"/>
                      <wp:positionH relativeFrom="column">
                        <wp:posOffset>1669415</wp:posOffset>
                      </wp:positionH>
                      <wp:positionV relativeFrom="paragraph">
                        <wp:posOffset>80563</wp:posOffset>
                      </wp:positionV>
                      <wp:extent cx="289560" cy="0"/>
                      <wp:effectExtent l="0" t="95250" r="0" b="95250"/>
                      <wp:wrapNone/>
                      <wp:docPr id="114" name="Straight Arrow Connector 1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7E12C" id="Straight Arrow Connector 114" o:spid="_x0000_s1026" type="#_x0000_t32" alt="&quot;&quot;" style="position:absolute;margin-left:131.45pt;margin-top:6.35pt;width:22.8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" strokecolor="#5e2f7e [3208]" strokeweight="2.25pt">
                      <v:stroke endarrow="open" joinstyle="miter"/>
                    </v:shape>
                  </w:pict>
                </mc:Fallback>
              </mc:AlternateContent>
            </w:r>
            <w:r w:rsidRPr="00671B55">
              <w:t>Release the NHCDC Round</w:t>
            </w:r>
            <w:r w:rsidR="0009119B">
              <w:t> </w:t>
            </w:r>
            <w:r w:rsidRPr="00671B55">
              <w:t>23 Independent Financial Review</w:t>
            </w:r>
            <w:r w:rsidR="00064783">
              <w:t>.</w:t>
            </w:r>
          </w:p>
        </w:tc>
        <w:tc>
          <w:tcPr>
            <w:tcW w:w="266" w:type="pct"/>
            <w:shd w:val="clear" w:color="auto" w:fill="FFFFFF" w:themeFill="background2"/>
          </w:tcPr>
          <w:p w14:paraId="580525DE" w14:textId="54759C8E" w:rsidR="009017AE" w:rsidRPr="007D6047" w:rsidRDefault="009017AE" w:rsidP="006544B5">
            <w:pPr>
              <w:pStyle w:val="Body"/>
              <w:rPr>
                <w:color w:val="auto"/>
              </w:rPr>
            </w:pPr>
          </w:p>
        </w:tc>
        <w:tc>
          <w:tcPr>
            <w:tcW w:w="2968" w:type="pct"/>
            <w:shd w:val="clear" w:color="auto" w:fill="DCD3E2"/>
          </w:tcPr>
          <w:p w14:paraId="63FCD410" w14:textId="56E5AA94" w:rsidR="009017AE" w:rsidRPr="007D6047" w:rsidRDefault="00F20DC1" w:rsidP="009017AE">
            <w:pPr>
              <w:pStyle w:val="TOCBody"/>
              <w:ind w:left="33"/>
              <w:rPr>
                <w:color w:val="auto"/>
              </w:rPr>
            </w:pPr>
            <w:r>
              <w:rPr>
                <w:color w:val="auto"/>
              </w:rPr>
              <w:t xml:space="preserve">The </w:t>
            </w:r>
            <w:r w:rsidR="00C473B7" w:rsidRPr="00C473B7">
              <w:rPr>
                <w:color w:val="auto"/>
              </w:rPr>
              <w:t>Round 23 Independent Financial Review was cancelled due</w:t>
            </w:r>
            <w:r w:rsidR="00532D6B">
              <w:rPr>
                <w:color w:val="auto"/>
              </w:rPr>
              <w:t> </w:t>
            </w:r>
            <w:r w:rsidR="00C473B7" w:rsidRPr="00C473B7">
              <w:rPr>
                <w:color w:val="auto"/>
              </w:rPr>
              <w:t>to the impact of COVID-19 on jurisdictions and health</w:t>
            </w:r>
            <w:r w:rsidR="00532D6B">
              <w:rPr>
                <w:color w:val="auto"/>
              </w:rPr>
              <w:t> </w:t>
            </w:r>
            <w:r w:rsidR="00C473B7" w:rsidRPr="00C473B7">
              <w:rPr>
                <w:color w:val="auto"/>
              </w:rPr>
              <w:t>services.</w:t>
            </w:r>
          </w:p>
        </w:tc>
      </w:tr>
      <w:tr w:rsidR="00B45CFC" w14:paraId="3079E3C8" w14:textId="77777777" w:rsidTr="00671B55">
        <w:trPr>
          <w:cnfStyle w:val="100000000000" w:firstRow="1" w:lastRow="0" w:firstColumn="0" w:lastColumn="0" w:oddVBand="0" w:evenVBand="0" w:oddHBand="0" w:evenHBand="0" w:firstRowFirstColumn="0" w:firstRowLastColumn="0" w:lastRowFirstColumn="0" w:lastRowLastColumn="0"/>
          <w:trHeight w:val="1423"/>
        </w:trPr>
        <w:tc>
          <w:tcPr>
            <w:tcW w:w="1765" w:type="pct"/>
            <w:shd w:val="clear" w:color="auto" w:fill="DCD3E2"/>
          </w:tcPr>
          <w:p w14:paraId="71A48DD7" w14:textId="7EED6019" w:rsidR="00B45CFC" w:rsidRPr="00671B55" w:rsidRDefault="00671B55">
            <w:pPr>
              <w:pStyle w:val="NumberListNoIndent"/>
              <w:rPr>
                <w:noProof/>
              </w:rPr>
            </w:pPr>
            <w:r w:rsidRPr="00671B55">
              <w:rPr>
                <w:noProof/>
              </w:rPr>
              <w:t xml:space="preserve">IHPA will work towards phasing out the private patient correction factor for </w:t>
            </w:r>
            <w:r w:rsidR="00C12B37" w:rsidRPr="00C12B37">
              <w:rPr>
                <w:noProof/>
                <w:color w:val="auto"/>
              </w:rPr>
              <w:t xml:space="preserve">National </w:t>
            </w:r>
            <w:r w:rsidR="00AB2D2F">
              <w:rPr>
                <w:noProof/>
                <w:color w:val="auto"/>
              </w:rPr>
              <w:t>Efficient Pricing Determination</w:t>
            </w:r>
            <w:r w:rsidR="00C12B37" w:rsidRPr="00C12B37">
              <w:rPr>
                <w:noProof/>
                <w:color w:val="auto"/>
              </w:rPr>
              <w:t xml:space="preserve"> 2021–22</w:t>
            </w:r>
            <w:r w:rsidR="00064783">
              <w:rPr>
                <w:noProof/>
                <w:color w:val="auto"/>
              </w:rPr>
              <w:t>.</w:t>
            </w:r>
          </w:p>
        </w:tc>
        <w:tc>
          <w:tcPr>
            <w:tcW w:w="266" w:type="pct"/>
            <w:shd w:val="clear" w:color="auto" w:fill="FFFFFF" w:themeFill="background2"/>
          </w:tcPr>
          <w:p w14:paraId="50E25968" w14:textId="38AC3387" w:rsidR="00B45CFC" w:rsidRPr="00B45CFC" w:rsidRDefault="00671B55"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888640" behindDoc="0" locked="0" layoutInCell="1" allowOverlap="1" wp14:anchorId="41419EA8" wp14:editId="0EDF92FA">
                      <wp:simplePos x="0" y="0"/>
                      <wp:positionH relativeFrom="column">
                        <wp:posOffset>-67945</wp:posOffset>
                      </wp:positionH>
                      <wp:positionV relativeFrom="paragraph">
                        <wp:posOffset>81198</wp:posOffset>
                      </wp:positionV>
                      <wp:extent cx="289560" cy="0"/>
                      <wp:effectExtent l="0" t="95250" r="0" b="95250"/>
                      <wp:wrapNone/>
                      <wp:docPr id="22" name="Straight Arrow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0C1E06" id="Straight Arrow Connector 22" o:spid="_x0000_s1026" type="#_x0000_t32" alt="&quot;&quot;" style="position:absolute;margin-left:-5.35pt;margin-top:6.4pt;width:22.8pt;height:0;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" strokecolor="#5e2f7e [3208]" strokeweight="2.25pt">
                      <v:stroke endarrow="open" joinstyle="miter"/>
                    </v:shape>
                  </w:pict>
                </mc:Fallback>
              </mc:AlternateContent>
            </w:r>
          </w:p>
        </w:tc>
        <w:tc>
          <w:tcPr>
            <w:tcW w:w="2968" w:type="pct"/>
            <w:shd w:val="clear" w:color="auto" w:fill="DCD3E2"/>
          </w:tcPr>
          <w:p w14:paraId="168CBEA1" w14:textId="4CD3C62E" w:rsidR="00B45CFC" w:rsidRPr="00B45CFC" w:rsidRDefault="00C473B7" w:rsidP="009017AE">
            <w:pPr>
              <w:pStyle w:val="TOCBody"/>
              <w:ind w:left="33"/>
              <w:rPr>
                <w:color w:val="auto"/>
              </w:rPr>
            </w:pPr>
            <w:r w:rsidRPr="00C473B7">
              <w:rPr>
                <w:color w:val="auto"/>
              </w:rPr>
              <w:t>IHPA will work towards phasing out the private patient correction factor for the National Efficient Pric</w:t>
            </w:r>
            <w:r w:rsidR="00AB2D2F">
              <w:rPr>
                <w:color w:val="auto"/>
              </w:rPr>
              <w:t>e</w:t>
            </w:r>
            <w:r w:rsidRPr="00C473B7">
              <w:rPr>
                <w:color w:val="auto"/>
              </w:rPr>
              <w:t xml:space="preserve"> Determination 2021–22 and will continue to work towards</w:t>
            </w:r>
            <w:r w:rsidR="0009119B">
              <w:rPr>
                <w:color w:val="auto"/>
              </w:rPr>
              <w:t> </w:t>
            </w:r>
            <w:r w:rsidRPr="00C473B7">
              <w:rPr>
                <w:color w:val="auto"/>
              </w:rPr>
              <w:t>phasing out the private patient correction factor in</w:t>
            </w:r>
            <w:r w:rsidR="0009119B">
              <w:rPr>
                <w:color w:val="auto"/>
              </w:rPr>
              <w:t> </w:t>
            </w:r>
            <w:r w:rsidRPr="00C473B7">
              <w:rPr>
                <w:color w:val="auto"/>
              </w:rPr>
              <w:t>future</w:t>
            </w:r>
            <w:r w:rsidR="0009119B">
              <w:rPr>
                <w:color w:val="auto"/>
              </w:rPr>
              <w:t> </w:t>
            </w:r>
            <w:r w:rsidRPr="00C473B7">
              <w:rPr>
                <w:color w:val="auto"/>
              </w:rPr>
              <w:t>Determinations.</w:t>
            </w:r>
          </w:p>
        </w:tc>
      </w:tr>
    </w:tbl>
    <w:p w14:paraId="5F99E77C" w14:textId="77777777" w:rsidR="00624210" w:rsidRPr="000915E2" w:rsidRDefault="00624210" w:rsidP="00624210">
      <w:pPr>
        <w:pStyle w:val="Body"/>
        <w:rPr>
          <w:highlight w:val="yellow"/>
        </w:rPr>
      </w:pPr>
    </w:p>
    <w:p w14:paraId="0B42B9D0" w14:textId="77777777" w:rsidR="000915E2" w:rsidRDefault="000915E2" w:rsidP="00DA135D">
      <w:pPr>
        <w:pStyle w:val="Body"/>
        <w:sectPr w:rsidR="000915E2" w:rsidSect="00B45CFC">
          <w:type w:val="continuous"/>
          <w:pgSz w:w="9979" w:h="14175"/>
          <w:pgMar w:top="993" w:right="1134" w:bottom="1134" w:left="1134" w:header="709" w:footer="709" w:gutter="0"/>
          <w:cols w:space="708"/>
          <w:docGrid w:linePitch="360"/>
        </w:sectPr>
      </w:pPr>
    </w:p>
    <w:p w14:paraId="35FEA41F" w14:textId="77777777" w:rsidR="005E546B" w:rsidRPr="009955A5" w:rsidRDefault="005E546B" w:rsidP="005E546B">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871232" behindDoc="1" locked="0" layoutInCell="1" allowOverlap="1" wp14:anchorId="2560DA0E" wp14:editId="32164395">
                <wp:simplePos x="0" y="0"/>
                <wp:positionH relativeFrom="margin">
                  <wp:align>center</wp:align>
                </wp:positionH>
                <wp:positionV relativeFrom="paragraph">
                  <wp:posOffset>-635</wp:posOffset>
                </wp:positionV>
                <wp:extent cx="5069205" cy="4028793"/>
                <wp:effectExtent l="0" t="0" r="17145" b="10160"/>
                <wp:wrapNone/>
                <wp:docPr id="45" name="Rectangle 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4028793"/>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6038D3" id="Rectangle 45" o:spid="_x0000_s1026" alt="&quot;&quot;" style="position:absolute;margin-left:0;margin-top:-.05pt;width:399.15pt;height:317.25pt;z-index:-25144524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" filled="f" strokecolor="#7030a0" strokeweight=".5pt">
                <w10:wrap anchorx="margin"/>
              </v:rect>
            </w:pict>
          </mc:Fallback>
        </mc:AlternateContent>
      </w:r>
      <w:r w:rsidRPr="009955A5">
        <w:rPr>
          <w:color w:val="5E2F7E" w:themeColor="accent5"/>
          <w:sz w:val="28"/>
          <w:szCs w:val="28"/>
        </w:rPr>
        <w:t xml:space="preserve">Analysis </w:t>
      </w:r>
    </w:p>
    <w:p w14:paraId="31704B7C" w14:textId="4069332E" w:rsidR="0014701E" w:rsidRDefault="0014701E" w:rsidP="0014701E">
      <w:pPr>
        <w:pStyle w:val="Body"/>
      </w:pPr>
      <w:r>
        <w:t xml:space="preserve">In 2020–21, IHPA maintained its annual NHCDC and delivered the report for the public sector in February 2021. Through this report, IHPA ensures the effective collection and reporting of costing information to support activity based funding outcomes. </w:t>
      </w:r>
    </w:p>
    <w:p w14:paraId="3C0C95C2" w14:textId="77777777" w:rsidR="0014701E" w:rsidRDefault="0014701E" w:rsidP="0014701E">
      <w:pPr>
        <w:pStyle w:val="Body"/>
      </w:pPr>
      <w:r>
        <w:t xml:space="preserve">In 2021, IHPA reviewed and enhanced the report. In response to stakeholder feedback, results were also made clearer by IHPA through its infographics. IHPA redeveloped the infographics to combine and streamline content for the ease of stakeholders’ reference. </w:t>
      </w:r>
    </w:p>
    <w:p w14:paraId="49DA18C8" w14:textId="36DCCEE7" w:rsidR="0014701E" w:rsidRDefault="0014701E" w:rsidP="0014701E">
      <w:pPr>
        <w:pStyle w:val="Body"/>
      </w:pPr>
      <w:r>
        <w:t>Due to the impact of COVID-19, the Independent Financial Review of the NHCDC Round 23 (financial year 2018–19) was cancelled in consideration of jurisdictions’ capacity to participate as they respon</w:t>
      </w:r>
      <w:r w:rsidR="00BF1DF7">
        <w:t>ded</w:t>
      </w:r>
      <w:r>
        <w:t xml:space="preserve"> to the</w:t>
      </w:r>
      <w:r w:rsidR="00E5578B">
        <w:t> </w:t>
      </w:r>
      <w:r>
        <w:t xml:space="preserve">pandemic. </w:t>
      </w:r>
    </w:p>
    <w:p w14:paraId="4EF57A4F" w14:textId="19F8BDA4" w:rsidR="0014701E" w:rsidRDefault="0014701E" w:rsidP="0014701E">
      <w:pPr>
        <w:pStyle w:val="Body"/>
      </w:pPr>
      <w:r>
        <w:t>In the absence of the Independent Financial Review, IHPA updated the data quality statements to include questions on the compliance with the AHPCS by jurisdictions. In July 2020, IHPA commenced reviewing the AHPCS to ensure the standards remained up-to-date and still served the purpose for costing patient episodes in</w:t>
      </w:r>
      <w:r w:rsidR="003F4FF7">
        <w:t> </w:t>
      </w:r>
      <w:r>
        <w:t xml:space="preserve">the current setting in public hospitals. </w:t>
      </w:r>
    </w:p>
    <w:p w14:paraId="3A6217BE" w14:textId="06E8ADCA" w:rsidR="0014701E" w:rsidRDefault="0014701E" w:rsidP="0014701E">
      <w:pPr>
        <w:pStyle w:val="Body"/>
      </w:pPr>
      <w:r>
        <w:t xml:space="preserve">In 2020, </w:t>
      </w:r>
      <w:r w:rsidR="00F20DC1">
        <w:t xml:space="preserve">the </w:t>
      </w:r>
      <w:r w:rsidRPr="001E4514">
        <w:t>Australian Accounting Standards Board</w:t>
      </w:r>
      <w:r>
        <w:t xml:space="preserve"> accounting standard 16 (AASB16) was implemented and the AHPCS were </w:t>
      </w:r>
      <w:r w:rsidRPr="001E4514">
        <w:t>subsequently reviewed to ensure that they were in line with AASB</w:t>
      </w:r>
      <w:r>
        <w:t xml:space="preserve">. The review of the standards assessed the impact of the new accounting standards, as well as other areas in the standards as raised by jurisdictions. </w:t>
      </w:r>
    </w:p>
    <w:p w14:paraId="11C0A8C9" w14:textId="13DECDB8" w:rsidR="00BC5F42" w:rsidRPr="00BC5F42" w:rsidRDefault="00FF62A7" w:rsidP="00FF62A7">
      <w:pPr>
        <w:pStyle w:val="Body"/>
        <w:sectPr w:rsidR="00BC5F42" w:rsidRPr="00BC5F42" w:rsidSect="00441579">
          <w:footerReference w:type="default" r:id="rId149"/>
          <w:pgSz w:w="9979" w:h="14175"/>
          <w:pgMar w:top="1134" w:right="1134" w:bottom="1134" w:left="1134" w:header="709" w:footer="709" w:gutter="0"/>
          <w:cols w:space="708"/>
          <w:docGrid w:linePitch="360"/>
        </w:sectPr>
      </w:pPr>
      <w:r>
        <w:rPr>
          <w:noProof/>
          <w:lang w:val="en-AU" w:eastAsia="en-AU"/>
        </w:rPr>
        <w:drawing>
          <wp:anchor distT="0" distB="0" distL="114300" distR="114300" simplePos="0" relativeHeight="251890688" behindDoc="1" locked="0" layoutInCell="1" allowOverlap="1" wp14:anchorId="2A14A656" wp14:editId="1B2B7EE7">
            <wp:simplePos x="0" y="0"/>
            <wp:positionH relativeFrom="margin">
              <wp:posOffset>-409575</wp:posOffset>
            </wp:positionH>
            <wp:positionV relativeFrom="paragraph">
              <wp:posOffset>1088943</wp:posOffset>
            </wp:positionV>
            <wp:extent cx="5706110" cy="18510885"/>
            <wp:effectExtent l="0" t="0" r="8890" b="5715"/>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110"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t>In addition to the public sector NHCDC, IHPA delivers the NHCDC for the private sector, which was delivered in April 2021</w:t>
      </w:r>
      <w:r w:rsidR="005E546B">
        <w:t>.</w:t>
      </w:r>
      <w:r w:rsidRPr="00FF62A7">
        <w:rPr>
          <w:noProof/>
          <w:lang w:val="en-AU" w:eastAsia="en-AU"/>
        </w:rPr>
        <w:t xml:space="preserve"> </w:t>
      </w:r>
    </w:p>
    <w:p w14:paraId="7E907414" w14:textId="77777777" w:rsidR="0014701E" w:rsidRPr="005D1A5D" w:rsidRDefault="0014701E" w:rsidP="006544B5">
      <w:pPr>
        <w:pStyle w:val="H3"/>
        <w:rPr>
          <w:color w:val="5E2F7E" w:themeColor="accent5"/>
          <w:sz w:val="32"/>
          <w:szCs w:val="32"/>
        </w:rPr>
      </w:pPr>
      <w:r w:rsidRPr="005D1A5D">
        <w:rPr>
          <w:color w:val="5E2F7E" w:themeColor="accent5"/>
          <w:sz w:val="32"/>
          <w:szCs w:val="32"/>
        </w:rPr>
        <w:lastRenderedPageBreak/>
        <w:t>Activity 4: Develop hospital data requirements and collect data</w:t>
      </w:r>
    </w:p>
    <w:p w14:paraId="06C22C63" w14:textId="3ABAFCE1" w:rsidR="0014701E" w:rsidRPr="00640BC4" w:rsidRDefault="0014701E" w:rsidP="006544B5">
      <w:pPr>
        <w:rPr>
          <w:color w:val="1C1C1C"/>
          <w:sz w:val="18"/>
          <w:szCs w:val="18"/>
        </w:rPr>
      </w:pPr>
      <w:r w:rsidRPr="00640BC4">
        <w:rPr>
          <w:color w:val="1C1C1C"/>
          <w:sz w:val="18"/>
          <w:szCs w:val="18"/>
        </w:rPr>
        <w:t>Timely, accurate and reliable public hospital data is vital to both the development of activity based funding classifications for hospital services and in determining the national efficient price of those</w:t>
      </w:r>
      <w:r>
        <w:rPr>
          <w:color w:val="1C1C1C"/>
          <w:sz w:val="18"/>
          <w:szCs w:val="18"/>
        </w:rPr>
        <w:t> </w:t>
      </w:r>
      <w:r w:rsidRPr="00640BC4">
        <w:rPr>
          <w:color w:val="1C1C1C"/>
          <w:sz w:val="18"/>
          <w:szCs w:val="18"/>
        </w:rPr>
        <w:t xml:space="preserve">services. </w:t>
      </w:r>
    </w:p>
    <w:p w14:paraId="622D9506" w14:textId="77777777" w:rsidR="0014701E" w:rsidRPr="00640BC4" w:rsidRDefault="0014701E" w:rsidP="006544B5">
      <w:pPr>
        <w:rPr>
          <w:color w:val="1C1C1C"/>
          <w:sz w:val="18"/>
          <w:szCs w:val="18"/>
        </w:rPr>
      </w:pPr>
      <w:r w:rsidRPr="00640BC4">
        <w:rPr>
          <w:color w:val="1C1C1C"/>
          <w:sz w:val="18"/>
          <w:szCs w:val="18"/>
        </w:rPr>
        <w:t>IHPA has developed a rolling Three Year Data</w:t>
      </w:r>
      <w:r>
        <w:rPr>
          <w:color w:val="1C1C1C"/>
          <w:sz w:val="18"/>
          <w:szCs w:val="18"/>
        </w:rPr>
        <w:t> </w:t>
      </w:r>
      <w:r w:rsidRPr="00640BC4">
        <w:rPr>
          <w:color w:val="1C1C1C"/>
          <w:sz w:val="18"/>
          <w:szCs w:val="18"/>
        </w:rPr>
        <w:t xml:space="preserve">Plan to communicate to the Australian Government and states and territories the data requirements, data standards and timelines that IHPA will use to collect data over the coming three years. </w:t>
      </w:r>
    </w:p>
    <w:p w14:paraId="09BAF6D4" w14:textId="77777777" w:rsidR="0014701E" w:rsidRPr="00640BC4" w:rsidRDefault="0014701E" w:rsidP="006544B5">
      <w:pPr>
        <w:rPr>
          <w:color w:val="1C1C1C"/>
          <w:sz w:val="18"/>
          <w:szCs w:val="18"/>
        </w:rPr>
      </w:pPr>
      <w:r w:rsidRPr="00640BC4">
        <w:rPr>
          <w:color w:val="1C1C1C"/>
          <w:sz w:val="18"/>
          <w:szCs w:val="18"/>
        </w:rPr>
        <w:t>To ensure greater transparency, IHPA publishes data compliance reports on a quarterly basis</w:t>
      </w:r>
      <w:r>
        <w:rPr>
          <w:color w:val="1C1C1C"/>
          <w:sz w:val="18"/>
          <w:szCs w:val="18"/>
        </w:rPr>
        <w:t>,</w:t>
      </w:r>
      <w:r w:rsidRPr="00640BC4">
        <w:rPr>
          <w:color w:val="1C1C1C"/>
          <w:sz w:val="18"/>
          <w:szCs w:val="18"/>
        </w:rPr>
        <w:t xml:space="preserve"> which indicate jurisdictional compliance with the</w:t>
      </w:r>
      <w:r>
        <w:rPr>
          <w:color w:val="1C1C1C"/>
          <w:sz w:val="18"/>
          <w:szCs w:val="18"/>
        </w:rPr>
        <w:t> </w:t>
      </w:r>
      <w:r w:rsidRPr="00640BC4">
        <w:rPr>
          <w:color w:val="1C1C1C"/>
          <w:sz w:val="18"/>
          <w:szCs w:val="18"/>
        </w:rPr>
        <w:t>specifications in the Three Year Data Plan.</w:t>
      </w:r>
    </w:p>
    <w:p w14:paraId="649BC8DA" w14:textId="3A32227C" w:rsidR="0014701E" w:rsidRPr="00434223" w:rsidRDefault="0014701E" w:rsidP="00CF2FE3">
      <w:pPr>
        <w:pStyle w:val="FigureHeading"/>
      </w:pPr>
      <w:bookmarkStart w:id="116" w:name="_Toc82510944"/>
      <w:r>
        <w:t>Figure 1</w:t>
      </w:r>
      <w:r w:rsidR="00A30F40">
        <w:t>0</w:t>
      </w:r>
      <w:r w:rsidRPr="00434223">
        <w:t xml:space="preserve">: Relationship between sources </w:t>
      </w:r>
      <w:r w:rsidRPr="00A356AA">
        <w:t>for</w:t>
      </w:r>
      <w:r w:rsidRPr="00434223">
        <w:t xml:space="preserve"> reporting of </w:t>
      </w:r>
      <w:r>
        <w:t>Activity 4</w:t>
      </w:r>
      <w:bookmarkEnd w:id="116"/>
      <w:r>
        <w:t xml:space="preserve"> </w:t>
      </w:r>
    </w:p>
    <w:p w14:paraId="477548FC" w14:textId="77777777" w:rsidR="0014701E" w:rsidRPr="009A17F6" w:rsidRDefault="0014701E" w:rsidP="006544B5">
      <w:pPr>
        <w:pStyle w:val="H3"/>
        <w:rPr>
          <w:color w:val="5E2F7E" w:themeColor="accent5"/>
        </w:rPr>
      </w:pPr>
      <w:r w:rsidRPr="009A17F6">
        <w:rPr>
          <w:color w:val="5E2F7E" w:themeColor="accent5"/>
        </w:rPr>
        <w:t>Sources of reporting for the Annual Report 2020</w:t>
      </w:r>
      <w:r w:rsidRPr="00AC3A56">
        <w:rPr>
          <w:color w:val="5E2F7E" w:themeColor="accent5"/>
        </w:rPr>
        <w:t>–</w:t>
      </w:r>
      <w:r w:rsidRPr="009A17F6">
        <w:rPr>
          <w:color w:val="5E2F7E" w:themeColor="accent5"/>
        </w:rPr>
        <w:t>21 Performance</w:t>
      </w:r>
      <w:r>
        <w:rPr>
          <w:color w:val="5E2F7E" w:themeColor="accent5"/>
        </w:rPr>
        <w:t> </w:t>
      </w:r>
      <w:r w:rsidRPr="009A17F6">
        <w:rPr>
          <w:color w:val="5E2F7E" w:themeColor="accent5"/>
        </w:rPr>
        <w:t>Statement</w:t>
      </w:r>
    </w:p>
    <w:p w14:paraId="797DB3B3" w14:textId="77777777" w:rsidR="0014701E" w:rsidRPr="009A17F6" w:rsidRDefault="0014701E" w:rsidP="0014701E">
      <w:pPr>
        <w:pStyle w:val="H4"/>
        <w:rPr>
          <w:color w:val="5E2F7E" w:themeColor="accent5"/>
        </w:rPr>
      </w:pPr>
      <w:r w:rsidRPr="00220A32">
        <w:rPr>
          <w:color w:val="5E2F7E" w:themeColor="accent5"/>
          <w:lang w:val="en-US"/>
        </w:rPr>
        <w:t>Portfolio Budget Statements 2020–21</w:t>
      </w:r>
    </w:p>
    <w:tbl>
      <w:tblPr>
        <w:tblStyle w:val="TableGrid"/>
        <w:tblW w:w="4966" w:type="pct"/>
        <w:tblCellMar>
          <w:top w:w="113" w:type="dxa"/>
        </w:tblCellMar>
        <w:tblLook w:val="04A0" w:firstRow="1" w:lastRow="0" w:firstColumn="1" w:lastColumn="0" w:noHBand="0" w:noVBand="1"/>
        <w:tblCaption w:val="Figure 10"/>
        <w:tblDescription w:val="Outcome 1"/>
      </w:tblPr>
      <w:tblGrid>
        <w:gridCol w:w="2687"/>
        <w:gridCol w:w="424"/>
        <w:gridCol w:w="1419"/>
        <w:gridCol w:w="425"/>
        <w:gridCol w:w="2681"/>
      </w:tblGrid>
      <w:tr w:rsidR="004334A8" w14:paraId="40908B8E" w14:textId="77777777" w:rsidTr="006544B5">
        <w:trPr>
          <w:cnfStyle w:val="100000000000" w:firstRow="1" w:lastRow="0" w:firstColumn="0" w:lastColumn="0" w:oddVBand="0" w:evenVBand="0" w:oddHBand="0" w:evenHBand="0" w:firstRowFirstColumn="0" w:firstRowLastColumn="0" w:lastRowFirstColumn="0" w:lastRowLastColumn="0"/>
          <w:trHeight w:val="1071"/>
        </w:trPr>
        <w:tc>
          <w:tcPr>
            <w:tcW w:w="1761" w:type="pct"/>
            <w:vMerge w:val="restart"/>
          </w:tcPr>
          <w:p w14:paraId="01284DD7" w14:textId="77777777" w:rsidR="004334A8" w:rsidRPr="00CD0946" w:rsidRDefault="004334A8" w:rsidP="006544B5">
            <w:pPr>
              <w:pStyle w:val="H4"/>
              <w:spacing w:before="120"/>
              <w:rPr>
                <w:color w:val="FFFFFF" w:themeColor="background2"/>
              </w:rPr>
            </w:pPr>
            <w:r w:rsidRPr="00CD0946">
              <w:rPr>
                <w:color w:val="FFFFFF" w:themeColor="background2"/>
              </w:rPr>
              <w:t>Outcome</w:t>
            </w:r>
            <w:r>
              <w:rPr>
                <w:color w:val="FFFFFF" w:themeColor="background2"/>
              </w:rPr>
              <w:t xml:space="preserve"> 1</w:t>
            </w:r>
          </w:p>
          <w:p w14:paraId="023EE1D0" w14:textId="60D46BCE" w:rsidR="004334A8" w:rsidRPr="009A17F6" w:rsidRDefault="0014701E" w:rsidP="006544B5">
            <w:pPr>
              <w:pStyle w:val="Body"/>
              <w:spacing w:before="120"/>
              <w:rPr>
                <w:color w:val="FFFFFF" w:themeColor="background2"/>
                <w:sz w:val="16"/>
                <w:szCs w:val="16"/>
              </w:rPr>
            </w:pPr>
            <w:r w:rsidRPr="009A17F6">
              <w:rPr>
                <w:color w:val="FFFFFF" w:themeColor="background2"/>
                <w:sz w:val="16"/>
                <w:szCs w:val="16"/>
              </w:rPr>
              <w:t>Promote improved efficiency in, and</w:t>
            </w:r>
            <w:r w:rsidR="00FF5DE3">
              <w:rPr>
                <w:color w:val="FFFFFF" w:themeColor="background2"/>
                <w:sz w:val="16"/>
                <w:szCs w:val="16"/>
              </w:rPr>
              <w:t> </w:t>
            </w:r>
            <w:r w:rsidRPr="009A17F6">
              <w:rPr>
                <w:color w:val="FFFFFF" w:themeColor="background2"/>
                <w:sz w:val="16"/>
                <w:szCs w:val="16"/>
              </w:rPr>
              <w:t>access to, public hospital services primarily through setting efficient national prices and levels of block funding for hospital activities</w:t>
            </w:r>
            <w:r w:rsidR="009C37E2">
              <w:rPr>
                <w:color w:val="FFFFFF" w:themeColor="background2"/>
                <w:sz w:val="16"/>
                <w:szCs w:val="16"/>
              </w:rPr>
              <w:t>.</w:t>
            </w:r>
          </w:p>
        </w:tc>
        <w:tc>
          <w:tcPr>
            <w:tcW w:w="278" w:type="pct"/>
            <w:vMerge w:val="restart"/>
            <w:shd w:val="clear" w:color="auto" w:fill="FFFFFF" w:themeFill="background2"/>
          </w:tcPr>
          <w:p w14:paraId="41699E96" w14:textId="77777777" w:rsidR="004334A8" w:rsidRDefault="004334A8" w:rsidP="006544B5">
            <w:pPr>
              <w:pStyle w:val="Body"/>
            </w:pPr>
            <w:r>
              <w:rPr>
                <w:noProof/>
                <w:color w:val="FFFFFF" w:themeColor="background2"/>
                <w:lang w:val="en-AU" w:eastAsia="en-AU"/>
              </w:rPr>
              <mc:AlternateContent>
                <mc:Choice Requires="wps">
                  <w:drawing>
                    <wp:anchor distT="0" distB="0" distL="114300" distR="114300" simplePos="0" relativeHeight="251782144" behindDoc="0" locked="0" layoutInCell="1" allowOverlap="1" wp14:anchorId="664FADD5" wp14:editId="0B2B3406">
                      <wp:simplePos x="0" y="0"/>
                      <wp:positionH relativeFrom="column">
                        <wp:posOffset>-83160</wp:posOffset>
                      </wp:positionH>
                      <wp:positionV relativeFrom="paragraph">
                        <wp:posOffset>885825</wp:posOffset>
                      </wp:positionV>
                      <wp:extent cx="289560" cy="0"/>
                      <wp:effectExtent l="0" t="95250" r="0" b="95250"/>
                      <wp:wrapNone/>
                      <wp:docPr id="124" name="Straight Arrow Connector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A9756" id="Straight Arrow Connector 124" o:spid="_x0000_s1026" type="#_x0000_t32" alt="&quot;&quot;" style="position:absolute;margin-left:-6.55pt;margin-top:69.75pt;width:22.8pt;height: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781120" behindDoc="0" locked="0" layoutInCell="1" allowOverlap="1" wp14:anchorId="5AAAB2D5" wp14:editId="6EB01A3D">
                      <wp:simplePos x="0" y="0"/>
                      <wp:positionH relativeFrom="column">
                        <wp:posOffset>-82814</wp:posOffset>
                      </wp:positionH>
                      <wp:positionV relativeFrom="paragraph">
                        <wp:posOffset>157631</wp:posOffset>
                      </wp:positionV>
                      <wp:extent cx="289711" cy="0"/>
                      <wp:effectExtent l="0" t="95250" r="0" b="95250"/>
                      <wp:wrapNone/>
                      <wp:docPr id="125" name="Straight Arrow Connector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EF0625" id="Straight Arrow Connector 125" o:spid="_x0000_s1026" type="#_x0000_t32" alt="&quot;&quot;" style="position:absolute;margin-left:-6.5pt;margin-top:12.4pt;width:22.8pt;height: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" strokecolor="#5e2f7e [3208]" strokeweight="2.25pt">
                      <v:stroke endarrow="open" joinstyle="miter"/>
                    </v:shape>
                  </w:pict>
                </mc:Fallback>
              </mc:AlternateContent>
            </w:r>
          </w:p>
        </w:tc>
        <w:tc>
          <w:tcPr>
            <w:tcW w:w="926" w:type="pct"/>
            <w:shd w:val="clear" w:color="auto" w:fill="DCD3E2"/>
          </w:tcPr>
          <w:tbl>
            <w:tblPr>
              <w:tblStyle w:val="TableGrid"/>
              <w:tblW w:w="5000" w:type="pct"/>
              <w:tblLook w:val="04A0" w:firstRow="1" w:lastRow="0" w:firstColumn="1" w:lastColumn="0" w:noHBand="0" w:noVBand="1"/>
            </w:tblPr>
            <w:tblGrid>
              <w:gridCol w:w="1183"/>
            </w:tblGrid>
            <w:tr w:rsidR="004334A8" w14:paraId="6E7CA830"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0BF5C469" w14:textId="4DE376AC" w:rsidR="004334A8" w:rsidRDefault="004334A8" w:rsidP="0051776D">
                  <w:pPr>
                    <w:pStyle w:val="H4"/>
                    <w:spacing w:before="40" w:after="40"/>
                    <w:rPr>
                      <w:color w:val="5E2F7E" w:themeColor="accent5"/>
                    </w:rPr>
                  </w:pPr>
                  <w:r>
                    <w:rPr>
                      <w:color w:val="5E2F7E" w:themeColor="accent5"/>
                    </w:rPr>
                    <w:t>Work Program 2020</w:t>
                  </w:r>
                  <w:r w:rsidR="00F04630">
                    <w:rPr>
                      <w:color w:val="5E2F7E" w:themeColor="accent5"/>
                    </w:rPr>
                    <w:t>–</w:t>
                  </w:r>
                  <w:r>
                    <w:rPr>
                      <w:color w:val="5E2F7E" w:themeColor="accent5"/>
                    </w:rPr>
                    <w:t>21</w:t>
                  </w:r>
                </w:p>
              </w:tc>
            </w:tr>
          </w:tbl>
          <w:p w14:paraId="3F4D348C" w14:textId="77777777" w:rsidR="004334A8" w:rsidRPr="00181E61" w:rsidRDefault="004334A8" w:rsidP="006544B5">
            <w:pPr>
              <w:pStyle w:val="H4"/>
              <w:spacing w:before="120" w:after="120"/>
              <w:rPr>
                <w:color w:val="5E2F7E" w:themeColor="accent5"/>
              </w:rPr>
            </w:pPr>
          </w:p>
        </w:tc>
        <w:tc>
          <w:tcPr>
            <w:tcW w:w="279" w:type="pct"/>
            <w:vMerge w:val="restart"/>
            <w:tcBorders>
              <w:right w:val="single" w:sz="18" w:space="0" w:color="5E2F7E" w:themeColor="accent5"/>
            </w:tcBorders>
            <w:shd w:val="clear" w:color="auto" w:fill="FFFFFF" w:themeFill="background2"/>
          </w:tcPr>
          <w:p w14:paraId="0FE5A31F" w14:textId="77777777" w:rsidR="004334A8" w:rsidRDefault="004334A8" w:rsidP="006544B5">
            <w:pPr>
              <w:pStyle w:val="H4"/>
              <w:spacing w:before="120" w:after="120"/>
            </w:pPr>
            <w:r>
              <w:rPr>
                <w:noProof/>
                <w:color w:val="FFFFFF" w:themeColor="background2"/>
                <w:lang w:val="en-AU" w:eastAsia="en-AU"/>
              </w:rPr>
              <mc:AlternateContent>
                <mc:Choice Requires="wps">
                  <w:drawing>
                    <wp:anchor distT="0" distB="0" distL="114300" distR="114300" simplePos="0" relativeHeight="251784192" behindDoc="0" locked="0" layoutInCell="1" allowOverlap="1" wp14:anchorId="251A5118" wp14:editId="1377805B">
                      <wp:simplePos x="0" y="0"/>
                      <wp:positionH relativeFrom="column">
                        <wp:posOffset>-75686</wp:posOffset>
                      </wp:positionH>
                      <wp:positionV relativeFrom="page">
                        <wp:posOffset>885300</wp:posOffset>
                      </wp:positionV>
                      <wp:extent cx="278130" cy="0"/>
                      <wp:effectExtent l="0" t="95250" r="7620" b="95250"/>
                      <wp:wrapNone/>
                      <wp:docPr id="126" name="Straight Arrow Connector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E30705" id="Straight Arrow Connector 126" o:spid="_x0000_s1026" type="#_x0000_t32" alt="&quot;&quot;" style="position:absolute;margin-left:-5.95pt;margin-top:69.7pt;width:21.9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" strokecolor="#5e2f7e [3208]" strokeweight="2.25pt">
                      <v:stroke endarrow="open" joinstyle="miter"/>
                      <w10:wrap anchory="page"/>
                    </v:shape>
                  </w:pict>
                </mc:Fallback>
              </mc:AlternateContent>
            </w:r>
            <w:r>
              <w:rPr>
                <w:noProof/>
                <w:color w:val="FFFFFF" w:themeColor="background2"/>
                <w:lang w:val="en-AU" w:eastAsia="en-AU"/>
              </w:rPr>
              <mc:AlternateContent>
                <mc:Choice Requires="wps">
                  <w:drawing>
                    <wp:anchor distT="0" distB="0" distL="114300" distR="114300" simplePos="0" relativeHeight="251783168" behindDoc="0" locked="0" layoutInCell="1" allowOverlap="1" wp14:anchorId="5A681D34" wp14:editId="74EB8A72">
                      <wp:simplePos x="0" y="0"/>
                      <wp:positionH relativeFrom="column">
                        <wp:posOffset>-75565</wp:posOffset>
                      </wp:positionH>
                      <wp:positionV relativeFrom="page">
                        <wp:posOffset>128173</wp:posOffset>
                      </wp:positionV>
                      <wp:extent cx="278130" cy="0"/>
                      <wp:effectExtent l="0" t="95250" r="7620" b="95250"/>
                      <wp:wrapNone/>
                      <wp:docPr id="127" name="Straight Arrow Connector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B94147" id="Straight Arrow Connector 127" o:spid="_x0000_s1026" type="#_x0000_t32" alt="&quot;&quot;" style="position:absolute;margin-left:-5.95pt;margin-top:10.1pt;width:21.9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" strokecolor="#5e2f7e [3208]" strokeweight="2.25pt">
                      <v:stroke endarrow="open" joinstyle="miter"/>
                      <w10:wrap anchory="page"/>
                    </v:shape>
                  </w:pict>
                </mc:Fallback>
              </mc:AlternateContent>
            </w:r>
          </w:p>
        </w:tc>
        <w:tc>
          <w:tcPr>
            <w:tcW w:w="1756" w:type="pc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2"/>
              <w:gridCol w:w="1233"/>
            </w:tblGrid>
            <w:tr w:rsidR="004334A8" w:rsidRPr="00A137B9" w14:paraId="07A474C7" w14:textId="77777777" w:rsidTr="006544B5">
              <w:tc>
                <w:tcPr>
                  <w:tcW w:w="2500" w:type="pct"/>
                  <w:shd w:val="clear" w:color="auto" w:fill="FFFFFF" w:themeFill="background2"/>
                </w:tcPr>
                <w:p w14:paraId="77AFA1F1" w14:textId="34C78BD9" w:rsidR="004334A8" w:rsidRPr="00A137B9" w:rsidRDefault="004334A8" w:rsidP="006544B5">
                  <w:pPr>
                    <w:pStyle w:val="Body-Financial"/>
                    <w:spacing w:before="120" w:after="0"/>
                  </w:pPr>
                  <w:r w:rsidRPr="00A137B9">
                    <w:rPr>
                      <w:b/>
                      <w:bCs/>
                    </w:rPr>
                    <w:t xml:space="preserve">Strategic objective </w:t>
                  </w:r>
                  <w:r>
                    <w:rPr>
                      <w:b/>
                      <w:bCs/>
                    </w:rPr>
                    <w:t>4</w:t>
                  </w:r>
                  <w:r>
                    <w:br/>
                  </w:r>
                  <w:r w:rsidRPr="004334A8">
                    <w:t>Determine data requirements and collect data</w:t>
                  </w:r>
                </w:p>
              </w:tc>
              <w:tc>
                <w:tcPr>
                  <w:tcW w:w="2500" w:type="pct"/>
                  <w:shd w:val="clear" w:color="auto" w:fill="FFFFFF" w:themeFill="background2"/>
                </w:tcPr>
                <w:p w14:paraId="27E497E8" w14:textId="15856230" w:rsidR="004334A8" w:rsidRPr="00A137B9" w:rsidRDefault="004334A8" w:rsidP="006544B5">
                  <w:pPr>
                    <w:pStyle w:val="Body-Financial"/>
                    <w:spacing w:before="120" w:after="0"/>
                  </w:pPr>
                  <w:r w:rsidRPr="009A17F6">
                    <w:t xml:space="preserve">Activity </w:t>
                  </w:r>
                  <w:r>
                    <w:t>4</w:t>
                  </w:r>
                  <w:r w:rsidRPr="009A17F6">
                    <w:t>:</w:t>
                  </w:r>
                  <w:r w:rsidRPr="009A17F6">
                    <w:br/>
                  </w:r>
                  <w:r w:rsidRPr="004334A8">
                    <w:t>Develop hospital data requirements and collect data</w:t>
                  </w:r>
                </w:p>
              </w:tc>
            </w:tr>
          </w:tbl>
          <w:p w14:paraId="4B20B36F" w14:textId="77777777" w:rsidR="004334A8" w:rsidRDefault="004334A8" w:rsidP="006544B5">
            <w:pPr>
              <w:pStyle w:val="Body-Financial"/>
              <w:spacing w:before="120" w:after="0"/>
            </w:pPr>
          </w:p>
        </w:tc>
      </w:tr>
      <w:tr w:rsidR="004334A8" w14:paraId="160AD9F5" w14:textId="77777777" w:rsidTr="006544B5">
        <w:trPr>
          <w:cnfStyle w:val="100000000000" w:firstRow="1" w:lastRow="0" w:firstColumn="0" w:lastColumn="0" w:oddVBand="0" w:evenVBand="0" w:oddHBand="0" w:evenHBand="0" w:firstRowFirstColumn="0" w:firstRowLastColumn="0" w:lastRowFirstColumn="0" w:lastRowLastColumn="0"/>
          <w:trHeight w:val="1070"/>
        </w:trPr>
        <w:tc>
          <w:tcPr>
            <w:tcW w:w="1761" w:type="pct"/>
            <w:vMerge/>
          </w:tcPr>
          <w:p w14:paraId="0446A573" w14:textId="77777777" w:rsidR="004334A8" w:rsidRPr="00CD0946" w:rsidRDefault="004334A8" w:rsidP="006544B5">
            <w:pPr>
              <w:pStyle w:val="H4"/>
              <w:spacing w:before="120"/>
              <w:rPr>
                <w:color w:val="FFFFFF" w:themeColor="background2"/>
              </w:rPr>
            </w:pPr>
          </w:p>
        </w:tc>
        <w:tc>
          <w:tcPr>
            <w:tcW w:w="278" w:type="pct"/>
            <w:vMerge/>
            <w:shd w:val="clear" w:color="auto" w:fill="FFFFFF" w:themeFill="background2"/>
          </w:tcPr>
          <w:p w14:paraId="2545DE9B" w14:textId="77777777" w:rsidR="004334A8" w:rsidRDefault="004334A8" w:rsidP="006544B5">
            <w:pPr>
              <w:pStyle w:val="Body"/>
              <w:rPr>
                <w:noProof/>
                <w:color w:val="FFFFFF" w:themeColor="background2"/>
              </w:rPr>
            </w:pPr>
          </w:p>
        </w:tc>
        <w:tc>
          <w:tcPr>
            <w:tcW w:w="926" w:type="pct"/>
            <w:shd w:val="clear" w:color="auto" w:fill="DCD3E2"/>
          </w:tcPr>
          <w:tbl>
            <w:tblPr>
              <w:tblStyle w:val="TableGrid"/>
              <w:tblW w:w="5000" w:type="pct"/>
              <w:tblLook w:val="04A0" w:firstRow="1" w:lastRow="0" w:firstColumn="1" w:lastColumn="0" w:noHBand="0" w:noVBand="1"/>
            </w:tblPr>
            <w:tblGrid>
              <w:gridCol w:w="1183"/>
            </w:tblGrid>
            <w:tr w:rsidR="004334A8" w14:paraId="4BB38350"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0479B222" w14:textId="52CAF101" w:rsidR="004334A8" w:rsidRDefault="004334A8" w:rsidP="0051776D">
                  <w:pPr>
                    <w:pStyle w:val="H4"/>
                    <w:spacing w:before="40" w:after="40"/>
                    <w:rPr>
                      <w:color w:val="5E2F7E" w:themeColor="accent5"/>
                    </w:rPr>
                  </w:pPr>
                  <w:r>
                    <w:rPr>
                      <w:color w:val="5E2F7E" w:themeColor="accent5"/>
                    </w:rPr>
                    <w:t>Corporate Plan 2020</w:t>
                  </w:r>
                  <w:r w:rsidR="00F04630">
                    <w:rPr>
                      <w:color w:val="5E2F7E" w:themeColor="accent5"/>
                    </w:rPr>
                    <w:t>–</w:t>
                  </w:r>
                  <w:r>
                    <w:rPr>
                      <w:color w:val="5E2F7E" w:themeColor="accent5"/>
                    </w:rPr>
                    <w:t>21</w:t>
                  </w:r>
                </w:p>
              </w:tc>
            </w:tr>
          </w:tbl>
          <w:p w14:paraId="40C18069" w14:textId="77777777" w:rsidR="004334A8" w:rsidRPr="00181E61" w:rsidRDefault="004334A8" w:rsidP="006544B5">
            <w:pPr>
              <w:pStyle w:val="H4"/>
              <w:spacing w:before="120" w:after="120"/>
              <w:rPr>
                <w:color w:val="5E2F7E" w:themeColor="accent5"/>
              </w:rPr>
            </w:pPr>
          </w:p>
        </w:tc>
        <w:tc>
          <w:tcPr>
            <w:tcW w:w="279" w:type="pct"/>
            <w:vMerge/>
            <w:tcBorders>
              <w:right w:val="single" w:sz="18" w:space="0" w:color="5E2F7E" w:themeColor="accent5"/>
            </w:tcBorders>
            <w:shd w:val="clear" w:color="auto" w:fill="FFFFFF" w:themeFill="background2"/>
          </w:tcPr>
          <w:p w14:paraId="5A6808A5" w14:textId="77777777" w:rsidR="004334A8" w:rsidRDefault="004334A8" w:rsidP="006544B5">
            <w:pPr>
              <w:pStyle w:val="H4"/>
              <w:spacing w:before="120" w:after="120"/>
            </w:pPr>
          </w:p>
        </w:tc>
        <w:tc>
          <w:tcPr>
            <w:tcW w:w="1756" w:type="pct"/>
            <w:tcBorders>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2"/>
              <w:gridCol w:w="1233"/>
            </w:tblGrid>
            <w:tr w:rsidR="004334A8" w:rsidRPr="00A137B9" w14:paraId="0F06C56F" w14:textId="77777777" w:rsidTr="006544B5">
              <w:trPr>
                <w:trHeight w:val="505"/>
              </w:trPr>
              <w:tc>
                <w:tcPr>
                  <w:tcW w:w="2500" w:type="pct"/>
                  <w:shd w:val="clear" w:color="auto" w:fill="FFFFFF" w:themeFill="background2"/>
                </w:tcPr>
                <w:p w14:paraId="64208D3D" w14:textId="3DB1A6C3" w:rsidR="004334A8" w:rsidRPr="00A137B9" w:rsidRDefault="004334A8" w:rsidP="006544B5">
                  <w:pPr>
                    <w:pStyle w:val="Body-Financial"/>
                    <w:spacing w:before="120" w:after="0"/>
                  </w:pPr>
                  <w:r w:rsidRPr="00A137B9">
                    <w:rPr>
                      <w:b/>
                      <w:bCs/>
                    </w:rPr>
                    <w:t xml:space="preserve">Strategic objective </w:t>
                  </w:r>
                  <w:r>
                    <w:rPr>
                      <w:b/>
                      <w:bCs/>
                    </w:rPr>
                    <w:t>4</w:t>
                  </w:r>
                  <w:r>
                    <w:br/>
                  </w:r>
                  <w:r w:rsidRPr="004334A8">
                    <w:t>Determine data requirements and collect data</w:t>
                  </w:r>
                </w:p>
              </w:tc>
              <w:tc>
                <w:tcPr>
                  <w:tcW w:w="2500" w:type="pct"/>
                  <w:shd w:val="clear" w:color="auto" w:fill="FFFFFF" w:themeFill="background2"/>
                </w:tcPr>
                <w:p w14:paraId="4FD73B32" w14:textId="480248D9" w:rsidR="004334A8" w:rsidRPr="00A137B9" w:rsidRDefault="004334A8" w:rsidP="006544B5">
                  <w:pPr>
                    <w:pStyle w:val="Body-Financial"/>
                    <w:spacing w:before="120" w:after="0"/>
                  </w:pPr>
                  <w:r w:rsidRPr="009A17F6">
                    <w:t xml:space="preserve">Activity </w:t>
                  </w:r>
                  <w:r>
                    <w:t>4</w:t>
                  </w:r>
                  <w:r w:rsidRPr="009A17F6">
                    <w:t>:</w:t>
                  </w:r>
                  <w:r w:rsidRPr="009A17F6">
                    <w:br/>
                  </w:r>
                  <w:r w:rsidRPr="004334A8">
                    <w:t>Develop hospital data requirements and collect data</w:t>
                  </w:r>
                </w:p>
              </w:tc>
            </w:tr>
          </w:tbl>
          <w:p w14:paraId="11D0E5C1" w14:textId="77777777" w:rsidR="004334A8" w:rsidRPr="00A137B9" w:rsidRDefault="004334A8" w:rsidP="006544B5">
            <w:pPr>
              <w:pStyle w:val="Body-Financial"/>
              <w:spacing w:after="0"/>
              <w:rPr>
                <w:b/>
                <w:bCs/>
              </w:rPr>
            </w:pPr>
          </w:p>
        </w:tc>
      </w:tr>
      <w:tr w:rsidR="004334A8" w14:paraId="2059522F" w14:textId="77777777" w:rsidTr="006544B5">
        <w:trPr>
          <w:cnfStyle w:val="100000000000" w:firstRow="1" w:lastRow="0" w:firstColumn="0" w:lastColumn="0" w:oddVBand="0" w:evenVBand="0" w:oddHBand="0" w:evenHBand="0" w:firstRowFirstColumn="0" w:firstRowLastColumn="0" w:lastRowFirstColumn="0" w:lastRowLastColumn="0"/>
          <w:trHeight w:val="3156"/>
        </w:trPr>
        <w:tc>
          <w:tcPr>
            <w:tcW w:w="1761" w:type="pct"/>
            <w:shd w:val="clear" w:color="auto" w:fill="DCD3E2"/>
          </w:tcPr>
          <w:p w14:paraId="3958525D" w14:textId="77777777" w:rsidR="004334A8" w:rsidRPr="00521543" w:rsidRDefault="004334A8" w:rsidP="006544B5">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0C5C82C5" w14:textId="13A059C8" w:rsidR="004334A8" w:rsidRPr="009A17F6" w:rsidRDefault="0014701E" w:rsidP="006544B5">
            <w:pPr>
              <w:pStyle w:val="Body"/>
              <w:spacing w:before="120"/>
              <w:rPr>
                <w:sz w:val="16"/>
                <w:szCs w:val="16"/>
              </w:rPr>
            </w:pPr>
            <w:r w:rsidRPr="00174683">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r>
              <w:rPr>
                <w:sz w:val="16"/>
                <w:szCs w:val="16"/>
              </w:rPr>
              <w:t>.</w:t>
            </w:r>
          </w:p>
        </w:tc>
        <w:tc>
          <w:tcPr>
            <w:tcW w:w="278" w:type="pct"/>
            <w:shd w:val="clear" w:color="auto" w:fill="FFFFFF" w:themeFill="background2"/>
          </w:tcPr>
          <w:p w14:paraId="54116FE5" w14:textId="77777777" w:rsidR="004334A8" w:rsidRDefault="004334A8" w:rsidP="006544B5">
            <w:pPr>
              <w:pStyle w:val="Body"/>
            </w:pPr>
          </w:p>
        </w:tc>
        <w:tc>
          <w:tcPr>
            <w:tcW w:w="926" w:type="pct"/>
            <w:shd w:val="clear" w:color="auto" w:fill="DCD3E2"/>
          </w:tcPr>
          <w:p w14:paraId="3BFE841A" w14:textId="77777777" w:rsidR="004334A8" w:rsidRDefault="004334A8" w:rsidP="006544B5">
            <w:pPr>
              <w:pStyle w:val="Body"/>
            </w:pPr>
          </w:p>
        </w:tc>
        <w:tc>
          <w:tcPr>
            <w:tcW w:w="279" w:type="pct"/>
            <w:tcBorders>
              <w:right w:val="single" w:sz="18" w:space="0" w:color="5E2F7E" w:themeColor="accent5"/>
            </w:tcBorders>
            <w:shd w:val="clear" w:color="auto" w:fill="FFFFFF" w:themeFill="background2"/>
          </w:tcPr>
          <w:p w14:paraId="2E1EA01B" w14:textId="77777777" w:rsidR="004334A8" w:rsidRDefault="004334A8" w:rsidP="006544B5">
            <w:pPr>
              <w:pStyle w:val="Body"/>
            </w:pPr>
          </w:p>
        </w:tc>
        <w:tc>
          <w:tcPr>
            <w:tcW w:w="1756" w:type="pct"/>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67F0EA4C" w14:textId="77777777" w:rsidR="004334A8" w:rsidRDefault="004334A8" w:rsidP="006544B5">
            <w:pPr>
              <w:pStyle w:val="Body"/>
            </w:pPr>
          </w:p>
        </w:tc>
      </w:tr>
    </w:tbl>
    <w:p w14:paraId="1DB2901F" w14:textId="77777777" w:rsidR="004334A8" w:rsidRDefault="004334A8" w:rsidP="004334A8">
      <w:pPr>
        <w:pStyle w:val="Body"/>
      </w:pPr>
    </w:p>
    <w:p w14:paraId="2DA6B529" w14:textId="77777777" w:rsidR="00F641EF" w:rsidRDefault="00F641EF" w:rsidP="00DA135D">
      <w:pPr>
        <w:pStyle w:val="Body"/>
        <w:sectPr w:rsidR="00F641EF" w:rsidSect="00441579">
          <w:footerReference w:type="default" r:id="rId150"/>
          <w:pgSz w:w="9979" w:h="14175"/>
          <w:pgMar w:top="1134" w:right="1134" w:bottom="1134" w:left="1134" w:header="709" w:footer="709" w:gutter="0"/>
          <w:cols w:space="708"/>
          <w:docGrid w:linePitch="360"/>
        </w:sectPr>
      </w:pPr>
    </w:p>
    <w:p w14:paraId="3D742910" w14:textId="19BAD420" w:rsidR="00F641EF" w:rsidRPr="005D1A5D" w:rsidRDefault="000928D2" w:rsidP="00F641EF">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786240" behindDoc="1" locked="0" layoutInCell="1" allowOverlap="1" wp14:anchorId="673B579B" wp14:editId="6A83E30C">
                <wp:simplePos x="0" y="0"/>
                <wp:positionH relativeFrom="margin">
                  <wp:align>center</wp:align>
                </wp:positionH>
                <wp:positionV relativeFrom="paragraph">
                  <wp:posOffset>-635</wp:posOffset>
                </wp:positionV>
                <wp:extent cx="5069205" cy="3647029"/>
                <wp:effectExtent l="0" t="0" r="17145" b="10795"/>
                <wp:wrapNone/>
                <wp:docPr id="128" name="Rectangle 1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3647029"/>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986348" id="Rectangle 128" o:spid="_x0000_s1026" alt="&quot;&quot;" style="position:absolute;margin-left:0;margin-top:-.05pt;width:399.15pt;height:287.15pt;z-index:-2515302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" filled="f" strokecolor="#7030a0" strokeweight=".5pt">
                <w10:wrap anchorx="margin"/>
              </v:rect>
            </w:pict>
          </mc:Fallback>
        </mc:AlternateContent>
      </w:r>
      <w:r w:rsidR="00F641EF" w:rsidRPr="005D1A5D">
        <w:rPr>
          <w:color w:val="5E2F7E" w:themeColor="accent5"/>
          <w:sz w:val="28"/>
          <w:szCs w:val="28"/>
        </w:rPr>
        <w:t>Results</w:t>
      </w:r>
    </w:p>
    <w:p w14:paraId="49F0A9F5" w14:textId="33BF3236" w:rsidR="00F641EF" w:rsidRPr="004E67F4" w:rsidRDefault="00F641EF" w:rsidP="00F641EF">
      <w:pPr>
        <w:pStyle w:val="FigureHeading"/>
      </w:pPr>
      <w:bookmarkStart w:id="117" w:name="_Toc82510945"/>
      <w:r>
        <w:t xml:space="preserve">Table </w:t>
      </w:r>
      <w:r w:rsidR="00AC254C">
        <w:t>6</w:t>
      </w:r>
      <w:r>
        <w:t xml:space="preserve">: Summary of Performance </w:t>
      </w:r>
      <w:r w:rsidRPr="007F5C9E">
        <w:t xml:space="preserve">for </w:t>
      </w:r>
      <w:r>
        <w:t xml:space="preserve">Activity 4 in </w:t>
      </w:r>
      <w:r w:rsidRPr="007F5C9E">
        <w:t>2020–21</w:t>
      </w:r>
      <w:bookmarkEnd w:id="117"/>
    </w:p>
    <w:tbl>
      <w:tblPr>
        <w:tblStyle w:val="IHPATable"/>
        <w:tblW w:w="7663" w:type="dxa"/>
        <w:tblLayout w:type="fixed"/>
        <w:tblLook w:val="0020" w:firstRow="1" w:lastRow="0" w:firstColumn="0" w:lastColumn="0" w:noHBand="0" w:noVBand="0"/>
        <w:tblCaption w:val="Table 6"/>
        <w:tblDescription w:val="Summary of Performance for Activity 4: Develop hospital data requirements and collect data"/>
      </w:tblPr>
      <w:tblGrid>
        <w:gridCol w:w="6529"/>
        <w:gridCol w:w="1134"/>
      </w:tblGrid>
      <w:tr w:rsidR="00F641EF" w:rsidRPr="004E67F4" w14:paraId="26E9AC6E" w14:textId="77777777" w:rsidTr="00316E60">
        <w:trPr>
          <w:cnfStyle w:val="100000000000" w:firstRow="1" w:lastRow="0" w:firstColumn="0" w:lastColumn="0" w:oddVBand="0" w:evenVBand="0" w:oddHBand="0" w:evenHBand="0" w:firstRowFirstColumn="0" w:firstRowLastColumn="0" w:lastRowFirstColumn="0" w:lastRowLastColumn="0"/>
          <w:trHeight w:val="20"/>
        </w:trPr>
        <w:tc>
          <w:tcPr>
            <w:tcW w:w="7663" w:type="dxa"/>
            <w:gridSpan w:val="2"/>
            <w:shd w:val="clear" w:color="auto" w:fill="5E2F7E" w:themeFill="accent5"/>
          </w:tcPr>
          <w:p w14:paraId="30B4E609" w14:textId="77777777" w:rsidR="00F641EF" w:rsidRPr="004E67F4" w:rsidRDefault="00F641EF" w:rsidP="00C757AB">
            <w:pPr>
              <w:spacing w:before="120" w:after="120"/>
              <w:rPr>
                <w:color w:val="1C1C1C"/>
                <w:szCs w:val="18"/>
              </w:rPr>
            </w:pPr>
            <w:r w:rsidRPr="007F5C9E">
              <w:rPr>
                <w:b/>
                <w:bCs/>
                <w:szCs w:val="18"/>
                <w:lang w:val="en-US"/>
              </w:rPr>
              <w:t>Summary of Performance for Activit</w:t>
            </w:r>
            <w:r>
              <w:rPr>
                <w:b/>
                <w:bCs/>
                <w:szCs w:val="18"/>
                <w:lang w:val="en-US"/>
              </w:rPr>
              <w:t>y 4:</w:t>
            </w:r>
            <w:r w:rsidRPr="004E67F4">
              <w:rPr>
                <w:b/>
                <w:bCs/>
                <w:szCs w:val="18"/>
                <w:lang w:val="en-US"/>
              </w:rPr>
              <w:t xml:space="preserve"> Develop hospital data requirements and collect data</w:t>
            </w:r>
          </w:p>
        </w:tc>
      </w:tr>
      <w:tr w:rsidR="0014701E" w:rsidRPr="004E67F4" w14:paraId="23696943"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6529" w:type="dxa"/>
          </w:tcPr>
          <w:p w14:paraId="6D88C489" w14:textId="2AFE2EC1" w:rsidR="0014701E" w:rsidRPr="004E67F4" w:rsidRDefault="0014701E" w:rsidP="00C757AB">
            <w:pPr>
              <w:spacing w:before="120" w:after="120"/>
              <w:rPr>
                <w:color w:val="1C1C1C"/>
                <w:sz w:val="16"/>
                <w:szCs w:val="16"/>
              </w:rPr>
            </w:pPr>
            <w:r w:rsidRPr="004E67F4">
              <w:rPr>
                <w:color w:val="1C1C1C"/>
                <w:sz w:val="16"/>
                <w:szCs w:val="16"/>
              </w:rPr>
              <w:t xml:space="preserve">Publish the Three Year Data Plan 2021–22 </w:t>
            </w:r>
            <w:r>
              <w:rPr>
                <w:color w:val="1C1C1C"/>
                <w:sz w:val="16"/>
                <w:szCs w:val="16"/>
              </w:rPr>
              <w:t>to</w:t>
            </w:r>
            <w:r w:rsidRPr="004E67F4">
              <w:rPr>
                <w:color w:val="1C1C1C"/>
                <w:sz w:val="16"/>
                <w:szCs w:val="16"/>
              </w:rPr>
              <w:t xml:space="preserve"> 2023–24</w:t>
            </w:r>
          </w:p>
        </w:tc>
        <w:tc>
          <w:tcPr>
            <w:tcW w:w="1134" w:type="dxa"/>
          </w:tcPr>
          <w:p w14:paraId="32E8AE09" w14:textId="647AFB79" w:rsidR="0014701E" w:rsidRPr="004E67F4" w:rsidRDefault="0014701E" w:rsidP="00C757AB">
            <w:pPr>
              <w:spacing w:before="120" w:after="120"/>
              <w:jc w:val="right"/>
              <w:rPr>
                <w:color w:val="1C1C1C"/>
                <w:sz w:val="16"/>
                <w:szCs w:val="16"/>
              </w:rPr>
            </w:pPr>
            <w:r w:rsidRPr="004E67F4">
              <w:rPr>
                <w:color w:val="1C1C1C"/>
                <w:sz w:val="16"/>
                <w:szCs w:val="16"/>
              </w:rPr>
              <w:t>Delivered</w:t>
            </w:r>
          </w:p>
        </w:tc>
      </w:tr>
      <w:tr w:rsidR="0014701E" w:rsidRPr="004E67F4" w14:paraId="5A06C98D"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6529" w:type="dxa"/>
          </w:tcPr>
          <w:p w14:paraId="1DF7E896" w14:textId="03982545" w:rsidR="0014701E" w:rsidRPr="004E67F4" w:rsidRDefault="0014701E" w:rsidP="00C757AB">
            <w:pPr>
              <w:spacing w:before="120" w:after="120"/>
              <w:rPr>
                <w:color w:val="1C1C1C"/>
                <w:sz w:val="16"/>
                <w:szCs w:val="16"/>
              </w:rPr>
            </w:pPr>
            <w:r w:rsidRPr="004E67F4">
              <w:rPr>
                <w:color w:val="1C1C1C"/>
                <w:sz w:val="16"/>
                <w:szCs w:val="16"/>
              </w:rPr>
              <w:t>Complete phasing out aggregate non-admitted data for activity based funding reporting</w:t>
            </w:r>
          </w:p>
        </w:tc>
        <w:tc>
          <w:tcPr>
            <w:tcW w:w="1134" w:type="dxa"/>
          </w:tcPr>
          <w:p w14:paraId="4AA293A4" w14:textId="1C38B266" w:rsidR="0014701E" w:rsidRPr="004E67F4" w:rsidRDefault="0014701E" w:rsidP="00C757AB">
            <w:pPr>
              <w:spacing w:before="120" w:after="120"/>
              <w:jc w:val="right"/>
              <w:rPr>
                <w:color w:val="1C1C1C"/>
                <w:sz w:val="16"/>
                <w:szCs w:val="16"/>
              </w:rPr>
            </w:pPr>
            <w:r w:rsidRPr="004E67F4">
              <w:rPr>
                <w:color w:val="1C1C1C"/>
                <w:sz w:val="16"/>
                <w:szCs w:val="16"/>
              </w:rPr>
              <w:t>Delivered</w:t>
            </w:r>
          </w:p>
        </w:tc>
      </w:tr>
      <w:tr w:rsidR="0014701E" w:rsidRPr="004E67F4" w14:paraId="283A8C4A"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6529" w:type="dxa"/>
          </w:tcPr>
          <w:p w14:paraId="516F114B" w14:textId="6F286F7D" w:rsidR="0014701E" w:rsidRPr="004E67F4" w:rsidRDefault="0014701E" w:rsidP="00C757AB">
            <w:pPr>
              <w:spacing w:before="120" w:after="120"/>
              <w:rPr>
                <w:color w:val="1C1C1C"/>
                <w:sz w:val="16"/>
                <w:szCs w:val="16"/>
              </w:rPr>
            </w:pPr>
            <w:r w:rsidRPr="004E67F4">
              <w:rPr>
                <w:color w:val="1C1C1C"/>
                <w:sz w:val="16"/>
                <w:szCs w:val="16"/>
              </w:rPr>
              <w:t xml:space="preserve">Complete the annual review of Activity Based Funding National Best </w:t>
            </w:r>
            <w:proofErr w:type="spellStart"/>
            <w:r w:rsidRPr="004E67F4">
              <w:rPr>
                <w:color w:val="1C1C1C"/>
                <w:sz w:val="16"/>
                <w:szCs w:val="16"/>
              </w:rPr>
              <w:t>Endeavours</w:t>
            </w:r>
            <w:proofErr w:type="spellEnd"/>
            <w:r w:rsidRPr="004E67F4">
              <w:rPr>
                <w:color w:val="1C1C1C"/>
                <w:sz w:val="16"/>
                <w:szCs w:val="16"/>
              </w:rPr>
              <w:t xml:space="preserve"> Data Sets and National Minimum Data Sets</w:t>
            </w:r>
          </w:p>
        </w:tc>
        <w:tc>
          <w:tcPr>
            <w:tcW w:w="1134" w:type="dxa"/>
          </w:tcPr>
          <w:p w14:paraId="2CF759BE" w14:textId="198D57E9" w:rsidR="0014701E" w:rsidRPr="004E67F4" w:rsidRDefault="0014701E" w:rsidP="00C757AB">
            <w:pPr>
              <w:spacing w:before="120" w:after="120"/>
              <w:jc w:val="right"/>
              <w:rPr>
                <w:color w:val="1C1C1C"/>
                <w:sz w:val="16"/>
                <w:szCs w:val="16"/>
              </w:rPr>
            </w:pPr>
            <w:r w:rsidRPr="004E67F4">
              <w:rPr>
                <w:color w:val="1C1C1C"/>
                <w:sz w:val="16"/>
                <w:szCs w:val="16"/>
              </w:rPr>
              <w:t>Delivered</w:t>
            </w:r>
          </w:p>
        </w:tc>
      </w:tr>
      <w:tr w:rsidR="0014701E" w:rsidRPr="004E67F4" w14:paraId="6BEAE04C"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6529" w:type="dxa"/>
          </w:tcPr>
          <w:p w14:paraId="6924CA8C" w14:textId="60EED5F2" w:rsidR="0014701E" w:rsidRPr="004E67F4" w:rsidRDefault="0014701E" w:rsidP="00C757AB">
            <w:pPr>
              <w:spacing w:before="120" w:after="120"/>
              <w:rPr>
                <w:color w:val="1C1C1C"/>
                <w:sz w:val="16"/>
                <w:szCs w:val="16"/>
              </w:rPr>
            </w:pPr>
            <w:r w:rsidRPr="004E67F4">
              <w:rPr>
                <w:color w:val="1C1C1C"/>
                <w:sz w:val="16"/>
                <w:szCs w:val="16"/>
              </w:rPr>
              <w:t>Develop the process for the collection of Individual Healthcare Identifiers as part of national data sets</w:t>
            </w:r>
          </w:p>
        </w:tc>
        <w:tc>
          <w:tcPr>
            <w:tcW w:w="1134" w:type="dxa"/>
          </w:tcPr>
          <w:p w14:paraId="437B4AA1" w14:textId="2442D3AE" w:rsidR="0014701E" w:rsidRPr="004E67F4" w:rsidRDefault="0014701E" w:rsidP="00C757AB">
            <w:pPr>
              <w:spacing w:before="120" w:after="120"/>
              <w:jc w:val="right"/>
              <w:rPr>
                <w:color w:val="1C1C1C"/>
                <w:sz w:val="16"/>
                <w:szCs w:val="16"/>
              </w:rPr>
            </w:pPr>
            <w:r w:rsidRPr="004E67F4">
              <w:rPr>
                <w:color w:val="1C1C1C"/>
                <w:sz w:val="16"/>
                <w:szCs w:val="16"/>
              </w:rPr>
              <w:t>Ongoing</w:t>
            </w:r>
          </w:p>
        </w:tc>
      </w:tr>
      <w:tr w:rsidR="0014701E" w:rsidRPr="004E67F4" w14:paraId="25F0A3DC"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6529" w:type="dxa"/>
          </w:tcPr>
          <w:p w14:paraId="2CABAD56" w14:textId="750808CC" w:rsidR="0014701E" w:rsidRPr="004E67F4" w:rsidRDefault="0014701E" w:rsidP="00C757AB">
            <w:pPr>
              <w:spacing w:before="120" w:after="120"/>
              <w:rPr>
                <w:color w:val="1C1C1C"/>
                <w:sz w:val="16"/>
                <w:szCs w:val="16"/>
              </w:rPr>
            </w:pPr>
            <w:r w:rsidRPr="004E67F4">
              <w:rPr>
                <w:color w:val="1C1C1C"/>
                <w:sz w:val="16"/>
                <w:szCs w:val="16"/>
              </w:rPr>
              <w:t>Further develop the secure data management system functionality</w:t>
            </w:r>
          </w:p>
        </w:tc>
        <w:tc>
          <w:tcPr>
            <w:tcW w:w="1134" w:type="dxa"/>
          </w:tcPr>
          <w:p w14:paraId="51257B1B" w14:textId="37D842F4" w:rsidR="0014701E" w:rsidRPr="004E67F4" w:rsidRDefault="0014701E" w:rsidP="00C757AB">
            <w:pPr>
              <w:spacing w:before="120" w:after="120"/>
              <w:jc w:val="right"/>
              <w:rPr>
                <w:color w:val="1C1C1C"/>
                <w:sz w:val="16"/>
                <w:szCs w:val="16"/>
              </w:rPr>
            </w:pPr>
            <w:r w:rsidRPr="004E67F4">
              <w:rPr>
                <w:color w:val="1C1C1C"/>
                <w:sz w:val="16"/>
                <w:szCs w:val="16"/>
              </w:rPr>
              <w:t>Ongoing</w:t>
            </w:r>
          </w:p>
        </w:tc>
      </w:tr>
      <w:tr w:rsidR="0014701E" w:rsidRPr="004E67F4" w14:paraId="72576C00"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6529" w:type="dxa"/>
          </w:tcPr>
          <w:p w14:paraId="1BCAFBBA" w14:textId="0E9FD387" w:rsidR="0014701E" w:rsidRPr="004E67F4" w:rsidRDefault="0014701E" w:rsidP="00C757AB">
            <w:pPr>
              <w:spacing w:before="120" w:after="120"/>
              <w:rPr>
                <w:color w:val="1C1C1C"/>
                <w:sz w:val="16"/>
                <w:szCs w:val="16"/>
              </w:rPr>
            </w:pPr>
            <w:r w:rsidRPr="004E67F4">
              <w:rPr>
                <w:color w:val="1C1C1C"/>
                <w:sz w:val="16"/>
                <w:szCs w:val="16"/>
              </w:rPr>
              <w:t>Collect jurisdictional submissions for 2020 activity based funding activity data on a quarterly basis</w:t>
            </w:r>
          </w:p>
        </w:tc>
        <w:tc>
          <w:tcPr>
            <w:tcW w:w="1134" w:type="dxa"/>
          </w:tcPr>
          <w:p w14:paraId="5527C903" w14:textId="3FFCA902" w:rsidR="0014701E" w:rsidRPr="004E67F4" w:rsidRDefault="0014701E" w:rsidP="00C757AB">
            <w:pPr>
              <w:spacing w:before="120" w:after="120"/>
              <w:jc w:val="right"/>
              <w:rPr>
                <w:color w:val="1C1C1C"/>
                <w:sz w:val="16"/>
                <w:szCs w:val="16"/>
              </w:rPr>
            </w:pPr>
            <w:r w:rsidRPr="004E67F4">
              <w:rPr>
                <w:color w:val="1C1C1C"/>
                <w:sz w:val="16"/>
                <w:szCs w:val="16"/>
              </w:rPr>
              <w:t>Delivered</w:t>
            </w:r>
          </w:p>
        </w:tc>
      </w:tr>
      <w:tr w:rsidR="0014701E" w:rsidRPr="004E67F4" w14:paraId="74D08B8D"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6529" w:type="dxa"/>
          </w:tcPr>
          <w:p w14:paraId="1ED73C21" w14:textId="3DADA2A0" w:rsidR="0014701E" w:rsidRPr="004E67F4" w:rsidRDefault="0014701E" w:rsidP="00C757AB">
            <w:pPr>
              <w:spacing w:before="120" w:after="120"/>
              <w:rPr>
                <w:color w:val="1C1C1C"/>
                <w:sz w:val="16"/>
                <w:szCs w:val="16"/>
              </w:rPr>
            </w:pPr>
            <w:r w:rsidRPr="004E67F4">
              <w:rPr>
                <w:color w:val="1C1C1C"/>
                <w:sz w:val="16"/>
                <w:szCs w:val="16"/>
              </w:rPr>
              <w:t>Publish data compliance report for each quarter in 2020</w:t>
            </w:r>
          </w:p>
        </w:tc>
        <w:tc>
          <w:tcPr>
            <w:tcW w:w="1134" w:type="dxa"/>
          </w:tcPr>
          <w:p w14:paraId="422A88D8" w14:textId="6CAFD8EF" w:rsidR="0014701E" w:rsidRPr="004E67F4" w:rsidRDefault="0014701E" w:rsidP="00C757AB">
            <w:pPr>
              <w:spacing w:before="120" w:after="120"/>
              <w:jc w:val="right"/>
              <w:rPr>
                <w:color w:val="1C1C1C"/>
                <w:sz w:val="16"/>
                <w:szCs w:val="16"/>
              </w:rPr>
            </w:pPr>
            <w:r w:rsidRPr="004E67F4">
              <w:rPr>
                <w:color w:val="1C1C1C"/>
                <w:sz w:val="16"/>
                <w:szCs w:val="16"/>
              </w:rPr>
              <w:t>Delivered</w:t>
            </w:r>
          </w:p>
        </w:tc>
      </w:tr>
      <w:tr w:rsidR="0014701E" w:rsidRPr="004E67F4" w14:paraId="5F0B2CEC"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6529" w:type="dxa"/>
          </w:tcPr>
          <w:p w14:paraId="7F868C31" w14:textId="067E9B2A" w:rsidR="0014701E" w:rsidRPr="004E67F4" w:rsidRDefault="0014701E" w:rsidP="00C757AB">
            <w:pPr>
              <w:spacing w:before="120" w:after="120"/>
              <w:rPr>
                <w:color w:val="1C1C1C"/>
                <w:sz w:val="16"/>
                <w:szCs w:val="16"/>
              </w:rPr>
            </w:pPr>
            <w:r w:rsidRPr="004E67F4">
              <w:rPr>
                <w:color w:val="1C1C1C"/>
                <w:sz w:val="16"/>
                <w:szCs w:val="16"/>
              </w:rPr>
              <w:t>Continue to expand access to the National Benchmarking Portal</w:t>
            </w:r>
          </w:p>
        </w:tc>
        <w:tc>
          <w:tcPr>
            <w:tcW w:w="1134" w:type="dxa"/>
          </w:tcPr>
          <w:p w14:paraId="67BD2A43" w14:textId="772A3308" w:rsidR="0014701E" w:rsidRPr="004E67F4" w:rsidRDefault="0014701E" w:rsidP="00C757AB">
            <w:pPr>
              <w:spacing w:before="120" w:after="120"/>
              <w:jc w:val="right"/>
              <w:rPr>
                <w:color w:val="1C1C1C"/>
                <w:sz w:val="16"/>
                <w:szCs w:val="16"/>
              </w:rPr>
            </w:pPr>
            <w:r w:rsidRPr="004E67F4">
              <w:rPr>
                <w:color w:val="1C1C1C"/>
                <w:sz w:val="16"/>
                <w:szCs w:val="16"/>
              </w:rPr>
              <w:t>Ongoing</w:t>
            </w:r>
          </w:p>
        </w:tc>
      </w:tr>
      <w:tr w:rsidR="00334DD5" w:rsidRPr="004E67F4" w14:paraId="66F16018"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6529" w:type="dxa"/>
          </w:tcPr>
          <w:p w14:paraId="15B10548" w14:textId="77777777" w:rsidR="00334DD5" w:rsidRPr="004E67F4" w:rsidRDefault="00334DD5" w:rsidP="00C757AB">
            <w:pPr>
              <w:spacing w:before="120" w:after="120"/>
              <w:rPr>
                <w:color w:val="1C1C1C"/>
                <w:sz w:val="16"/>
                <w:szCs w:val="16"/>
              </w:rPr>
            </w:pPr>
          </w:p>
        </w:tc>
        <w:tc>
          <w:tcPr>
            <w:tcW w:w="1134" w:type="dxa"/>
          </w:tcPr>
          <w:p w14:paraId="43246988" w14:textId="77777777" w:rsidR="00334DD5" w:rsidRPr="004E67F4" w:rsidRDefault="00334DD5" w:rsidP="00C757AB">
            <w:pPr>
              <w:spacing w:before="120" w:after="120"/>
              <w:jc w:val="right"/>
              <w:rPr>
                <w:color w:val="1C1C1C"/>
                <w:sz w:val="16"/>
                <w:szCs w:val="16"/>
              </w:rPr>
            </w:pPr>
          </w:p>
        </w:tc>
      </w:tr>
    </w:tbl>
    <w:tbl>
      <w:tblPr>
        <w:tblStyle w:val="TableGrid"/>
        <w:tblW w:w="4994" w:type="pct"/>
        <w:tblCellMar>
          <w:right w:w="142" w:type="dxa"/>
        </w:tblCellMar>
        <w:tblLook w:val="04A0" w:firstRow="1" w:lastRow="0" w:firstColumn="1" w:lastColumn="0" w:noHBand="0" w:noVBand="1"/>
        <w:tblCaption w:val="Table 6"/>
        <w:tblDescription w:val="Summary of Performance for Activity 4: Develop hospital data requirements and collect data"/>
      </w:tblPr>
      <w:tblGrid>
        <w:gridCol w:w="2834"/>
        <w:gridCol w:w="427"/>
        <w:gridCol w:w="4441"/>
      </w:tblGrid>
      <w:tr w:rsidR="002A6CC9" w:rsidRPr="00DF5D28" w14:paraId="50C6CD5C" w14:textId="77777777" w:rsidTr="006544B5">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2E58A92E" w14:textId="77777777" w:rsidR="002A6CC9" w:rsidRPr="00DF5D28" w:rsidRDefault="002A6CC9" w:rsidP="006544B5">
            <w:pPr>
              <w:pStyle w:val="H4"/>
              <w:spacing w:before="120"/>
              <w:rPr>
                <w:color w:val="FFFFFF" w:themeColor="background2"/>
              </w:rPr>
            </w:pPr>
            <w:r>
              <w:rPr>
                <w:color w:val="FFFFFF" w:themeColor="background2"/>
              </w:rPr>
              <w:t>Performance criteria</w:t>
            </w:r>
          </w:p>
        </w:tc>
        <w:tc>
          <w:tcPr>
            <w:tcW w:w="277" w:type="pct"/>
            <w:shd w:val="clear" w:color="auto" w:fill="FFFFFF" w:themeFill="background2"/>
          </w:tcPr>
          <w:p w14:paraId="1A5F02CF" w14:textId="77777777" w:rsidR="002A6CC9" w:rsidRDefault="002A6CC9" w:rsidP="006544B5">
            <w:pPr>
              <w:pStyle w:val="Body"/>
              <w:spacing w:before="120"/>
            </w:pPr>
          </w:p>
        </w:tc>
        <w:tc>
          <w:tcPr>
            <w:tcW w:w="2883" w:type="pct"/>
          </w:tcPr>
          <w:p w14:paraId="49FB8269" w14:textId="77777777" w:rsidR="002A6CC9" w:rsidRPr="00DF5D28" w:rsidRDefault="002A6CC9"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2A6CC9" w14:paraId="45DACD42" w14:textId="77777777" w:rsidTr="006544B5">
        <w:trPr>
          <w:cnfStyle w:val="100000000000" w:firstRow="1" w:lastRow="0" w:firstColumn="0" w:lastColumn="0" w:oddVBand="0" w:evenVBand="0" w:oddHBand="0" w:evenHBand="0" w:firstRowFirstColumn="0" w:firstRowLastColumn="0" w:lastRowFirstColumn="0" w:lastRowLastColumn="0"/>
          <w:trHeight w:val="1113"/>
        </w:trPr>
        <w:tc>
          <w:tcPr>
            <w:tcW w:w="1840" w:type="pct"/>
            <w:shd w:val="clear" w:color="auto" w:fill="DCD3E2"/>
          </w:tcPr>
          <w:p w14:paraId="75C12CBE" w14:textId="11201CD6" w:rsidR="002A6CC9" w:rsidRPr="00DF5D28" w:rsidRDefault="002A6CC9" w:rsidP="002A6CC9">
            <w:pPr>
              <w:pStyle w:val="NumberListNoIndent"/>
              <w:numPr>
                <w:ilvl w:val="0"/>
                <w:numId w:val="28"/>
              </w:numPr>
              <w:spacing w:before="240"/>
            </w:pPr>
            <w:r>
              <w:rPr>
                <w:noProof/>
                <w:color w:val="FFFFFF" w:themeColor="background2"/>
                <w:lang w:val="en-AU" w:eastAsia="en-AU"/>
              </w:rPr>
              <mc:AlternateContent>
                <mc:Choice Requires="wps">
                  <w:drawing>
                    <wp:anchor distT="0" distB="0" distL="114300" distR="114300" simplePos="0" relativeHeight="251951104" behindDoc="0" locked="0" layoutInCell="1" allowOverlap="1" wp14:anchorId="0C027DC9" wp14:editId="60AA21D8">
                      <wp:simplePos x="0" y="0"/>
                      <wp:positionH relativeFrom="column">
                        <wp:posOffset>1723802</wp:posOffset>
                      </wp:positionH>
                      <wp:positionV relativeFrom="paragraph">
                        <wp:posOffset>224790</wp:posOffset>
                      </wp:positionV>
                      <wp:extent cx="289560" cy="0"/>
                      <wp:effectExtent l="0" t="95250" r="0" b="95250"/>
                      <wp:wrapNone/>
                      <wp:docPr id="315" name="Straight Arrow Connector 3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noFill/>
                              <a:ln w="28575" cap="flat" cmpd="sng" algn="ctr">
                                <a:solidFill>
                                  <a:srgbClr val="5E2F7E"/>
                                </a:solidFill>
                                <a:prstDash val="solid"/>
                                <a:miter lim="800000"/>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5829E430" id="Straight Arrow Connector 315" o:spid="_x0000_s1026" type="#_x0000_t32" alt="&quot;&quot;" style="position:absolute;margin-left:135.75pt;margin-top:17.7pt;width:22.8pt;height:0;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" strokecolor="#5e2f7e" strokeweight="2.25pt">
                      <v:stroke endarrow="open" joinstyle="miter"/>
                    </v:shape>
                  </w:pict>
                </mc:Fallback>
              </mc:AlternateContent>
            </w:r>
            <w:r w:rsidRPr="00DB323F">
              <w:t>Update Three Year Data Plan annually and publish on the IHPA website by June 2021</w:t>
            </w:r>
            <w:r w:rsidR="009847D1">
              <w:t>.</w:t>
            </w:r>
          </w:p>
        </w:tc>
        <w:tc>
          <w:tcPr>
            <w:tcW w:w="277" w:type="pct"/>
            <w:shd w:val="clear" w:color="auto" w:fill="FFFFFF" w:themeFill="background2"/>
          </w:tcPr>
          <w:p w14:paraId="0EDE6B90" w14:textId="77777777" w:rsidR="002A6CC9" w:rsidRPr="007D6047" w:rsidRDefault="002A6CC9" w:rsidP="006544B5">
            <w:pPr>
              <w:pStyle w:val="Body"/>
              <w:rPr>
                <w:color w:val="auto"/>
              </w:rPr>
            </w:pPr>
          </w:p>
        </w:tc>
        <w:tc>
          <w:tcPr>
            <w:tcW w:w="2883" w:type="pct"/>
            <w:shd w:val="clear" w:color="auto" w:fill="DCD3E2"/>
          </w:tcPr>
          <w:p w14:paraId="05D13494" w14:textId="66005323" w:rsidR="002A6CC9" w:rsidRPr="007D6047" w:rsidRDefault="002A6CC9" w:rsidP="006544B5">
            <w:pPr>
              <w:pStyle w:val="TOCBody"/>
              <w:spacing w:before="240"/>
              <w:ind w:left="33"/>
              <w:rPr>
                <w:color w:val="auto"/>
              </w:rPr>
            </w:pPr>
            <w:r w:rsidRPr="00DB323F">
              <w:rPr>
                <w:color w:val="auto"/>
              </w:rPr>
              <w:t>The Three Year Data Plan was updated and published in</w:t>
            </w:r>
            <w:r w:rsidR="00691C6A">
              <w:rPr>
                <w:color w:val="auto"/>
              </w:rPr>
              <w:t> </w:t>
            </w:r>
            <w:r w:rsidRPr="00DB323F">
              <w:rPr>
                <w:color w:val="auto"/>
              </w:rPr>
              <w:t>June 2021.</w:t>
            </w:r>
          </w:p>
        </w:tc>
      </w:tr>
      <w:tr w:rsidR="002A6CC9" w14:paraId="42A00E8B" w14:textId="77777777" w:rsidTr="002A6CC9">
        <w:trPr>
          <w:cnfStyle w:val="100000000000" w:firstRow="1" w:lastRow="0" w:firstColumn="0" w:lastColumn="0" w:oddVBand="0" w:evenVBand="0" w:oddHBand="0" w:evenHBand="0" w:firstRowFirstColumn="0" w:firstRowLastColumn="0" w:lastRowFirstColumn="0" w:lastRowLastColumn="0"/>
          <w:trHeight w:val="1567"/>
        </w:trPr>
        <w:tc>
          <w:tcPr>
            <w:tcW w:w="1840" w:type="pct"/>
            <w:shd w:val="clear" w:color="auto" w:fill="DCD3E2"/>
          </w:tcPr>
          <w:p w14:paraId="28E872DB" w14:textId="17FEE71B" w:rsidR="002A6CC9" w:rsidRPr="008D346E" w:rsidRDefault="002A6CC9" w:rsidP="002A6CC9">
            <w:pPr>
              <w:pStyle w:val="NumberListNoIndent"/>
              <w:numPr>
                <w:ilvl w:val="0"/>
                <w:numId w:val="12"/>
              </w:numPr>
            </w:pPr>
            <w:r>
              <w:rPr>
                <w:noProof/>
                <w:color w:val="FFFFFF" w:themeColor="background2"/>
                <w:lang w:val="en-AU" w:eastAsia="en-AU"/>
              </w:rPr>
              <mc:AlternateContent>
                <mc:Choice Requires="wps">
                  <w:drawing>
                    <wp:anchor distT="0" distB="0" distL="114300" distR="114300" simplePos="0" relativeHeight="251952128" behindDoc="0" locked="0" layoutInCell="1" allowOverlap="1" wp14:anchorId="5E9B2BD7" wp14:editId="79E1372E">
                      <wp:simplePos x="0" y="0"/>
                      <wp:positionH relativeFrom="column">
                        <wp:posOffset>1723390</wp:posOffset>
                      </wp:positionH>
                      <wp:positionV relativeFrom="paragraph">
                        <wp:posOffset>66201</wp:posOffset>
                      </wp:positionV>
                      <wp:extent cx="289560" cy="0"/>
                      <wp:effectExtent l="0" t="95250" r="0" b="95250"/>
                      <wp:wrapNone/>
                      <wp:docPr id="316" name="Straight Arrow Connector 3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noFill/>
                              <a:ln w="28575" cap="flat" cmpd="sng" algn="ctr">
                                <a:solidFill>
                                  <a:srgbClr val="5E2F7E"/>
                                </a:solidFill>
                                <a:prstDash val="solid"/>
                                <a:miter lim="800000"/>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662DD27" id="Straight Arrow Connector 316" o:spid="_x0000_s1026" type="#_x0000_t32" alt="&quot;&quot;" style="position:absolute;margin-left:135.7pt;margin-top:5.2pt;width:22.8pt;height:0;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" strokecolor="#5e2f7e" strokeweight="2.25pt">
                      <v:stroke endarrow="open" joinstyle="miter"/>
                    </v:shape>
                  </w:pict>
                </mc:Fallback>
              </mc:AlternateContent>
            </w:r>
            <w:r w:rsidRPr="00945719">
              <w:t>Complete phasing out aggregate non-admitted data</w:t>
            </w:r>
            <w:r w:rsidR="0009119B">
              <w:t> </w:t>
            </w:r>
            <w:r w:rsidRPr="00945719">
              <w:t>for activity based funding</w:t>
            </w:r>
            <w:r w:rsidR="0009119B">
              <w:t> </w:t>
            </w:r>
            <w:r w:rsidRPr="00945719">
              <w:t>reporting</w:t>
            </w:r>
            <w:r w:rsidR="009847D1">
              <w:t>.</w:t>
            </w:r>
          </w:p>
        </w:tc>
        <w:tc>
          <w:tcPr>
            <w:tcW w:w="277" w:type="pct"/>
            <w:shd w:val="clear" w:color="auto" w:fill="FFFFFF" w:themeFill="background2"/>
          </w:tcPr>
          <w:p w14:paraId="788B0B81" w14:textId="77777777" w:rsidR="002A6CC9" w:rsidRPr="007D6047" w:rsidRDefault="002A6CC9" w:rsidP="006544B5">
            <w:pPr>
              <w:pStyle w:val="Body"/>
              <w:rPr>
                <w:color w:val="auto"/>
              </w:rPr>
            </w:pPr>
          </w:p>
        </w:tc>
        <w:tc>
          <w:tcPr>
            <w:tcW w:w="2883" w:type="pct"/>
            <w:shd w:val="clear" w:color="auto" w:fill="DCD3E2"/>
          </w:tcPr>
          <w:p w14:paraId="09454CCD" w14:textId="2595AE35" w:rsidR="002A6CC9" w:rsidRPr="007D6047" w:rsidRDefault="002A6CC9" w:rsidP="006544B5">
            <w:pPr>
              <w:pStyle w:val="Body"/>
            </w:pPr>
            <w:r w:rsidRPr="00B75579">
              <w:t>IHPA continues to develop activity based funding data</w:t>
            </w:r>
            <w:r w:rsidR="00FC727D">
              <w:t> </w:t>
            </w:r>
            <w:r w:rsidRPr="00B75579">
              <w:t>specifications on an annual basis, or as required, in</w:t>
            </w:r>
            <w:r w:rsidR="00FC727D">
              <w:t> </w:t>
            </w:r>
            <w:r w:rsidRPr="00B75579">
              <w:t>alignment with the Three Year Data Plan. Data</w:t>
            </w:r>
            <w:r w:rsidR="00D3170E">
              <w:t> </w:t>
            </w:r>
            <w:r w:rsidRPr="00B75579">
              <w:t>specifications are developed with regard to published</w:t>
            </w:r>
            <w:r w:rsidR="00D3170E">
              <w:t> </w:t>
            </w:r>
            <w:r w:rsidRPr="00B75579">
              <w:t>data</w:t>
            </w:r>
            <w:r w:rsidR="00FC727D">
              <w:t> </w:t>
            </w:r>
            <w:r w:rsidRPr="00B75579">
              <w:t>standards.</w:t>
            </w:r>
            <w:r>
              <w:t xml:space="preserve"> IHPA will only accept non</w:t>
            </w:r>
            <w:r w:rsidR="00D3170E">
              <w:noBreakHyphen/>
            </w:r>
            <w:r>
              <w:t>admitted care patient level data from July 2021.</w:t>
            </w:r>
          </w:p>
        </w:tc>
      </w:tr>
      <w:tr w:rsidR="002A6CC9" w14:paraId="0EAAC4BD" w14:textId="77777777" w:rsidTr="002A6CC9">
        <w:trPr>
          <w:cnfStyle w:val="100000000000" w:firstRow="1" w:lastRow="0" w:firstColumn="0" w:lastColumn="0" w:oddVBand="0" w:evenVBand="0" w:oddHBand="0" w:evenHBand="0" w:firstRowFirstColumn="0" w:firstRowLastColumn="0" w:lastRowFirstColumn="0" w:lastRowLastColumn="0"/>
          <w:trHeight w:val="1420"/>
        </w:trPr>
        <w:tc>
          <w:tcPr>
            <w:tcW w:w="1840" w:type="pct"/>
            <w:shd w:val="clear" w:color="auto" w:fill="DCD3E2"/>
          </w:tcPr>
          <w:p w14:paraId="60DA980B" w14:textId="28F4B47A" w:rsidR="002A6CC9" w:rsidRPr="008D346E" w:rsidRDefault="002A6CC9" w:rsidP="002A6CC9">
            <w:pPr>
              <w:pStyle w:val="NumberListNoIndent"/>
              <w:numPr>
                <w:ilvl w:val="0"/>
                <w:numId w:val="12"/>
              </w:numPr>
            </w:pPr>
            <w:r w:rsidRPr="00524BBD">
              <w:rPr>
                <w:noProof/>
                <w:color w:val="auto"/>
              </w:rPr>
              <w:t xml:space="preserve">Develop </w:t>
            </w:r>
            <w:r>
              <w:rPr>
                <w:noProof/>
                <w:color w:val="auto"/>
              </w:rPr>
              <w:t>appropriate data specifications</w:t>
            </w:r>
            <w:r w:rsidRPr="00524BBD">
              <w:rPr>
                <w:noProof/>
                <w:color w:val="auto"/>
              </w:rPr>
              <w:t xml:space="preserve"> and ensure information provided for decision</w:t>
            </w:r>
            <w:r w:rsidR="009847D1">
              <w:rPr>
                <w:noProof/>
                <w:color w:val="auto"/>
              </w:rPr>
              <w:noBreakHyphen/>
            </w:r>
            <w:r w:rsidRPr="00524BBD">
              <w:rPr>
                <w:noProof/>
                <w:color w:val="auto"/>
              </w:rPr>
              <w:t>making meets those</w:t>
            </w:r>
            <w:r w:rsidR="0009119B">
              <w:rPr>
                <w:noProof/>
                <w:color w:val="auto"/>
              </w:rPr>
              <w:t> </w:t>
            </w:r>
            <w:r w:rsidRPr="00524BBD">
              <w:rPr>
                <w:noProof/>
                <w:color w:val="auto"/>
              </w:rPr>
              <w:t>specifications</w:t>
            </w:r>
            <w:r w:rsidR="009847D1">
              <w:rPr>
                <w:noProof/>
                <w:color w:val="auto"/>
              </w:rPr>
              <w:t>.</w:t>
            </w:r>
          </w:p>
        </w:tc>
        <w:tc>
          <w:tcPr>
            <w:tcW w:w="277" w:type="pct"/>
            <w:shd w:val="clear" w:color="auto" w:fill="FFFFFF" w:themeFill="background2"/>
          </w:tcPr>
          <w:p w14:paraId="3D07CD31" w14:textId="77777777" w:rsidR="002A6CC9" w:rsidRPr="007D6047" w:rsidRDefault="002A6CC9"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954176" behindDoc="0" locked="0" layoutInCell="1" allowOverlap="1" wp14:anchorId="163CCA81" wp14:editId="500EC623">
                      <wp:simplePos x="0" y="0"/>
                      <wp:positionH relativeFrom="column">
                        <wp:posOffset>-62865</wp:posOffset>
                      </wp:positionH>
                      <wp:positionV relativeFrom="paragraph">
                        <wp:posOffset>64698</wp:posOffset>
                      </wp:positionV>
                      <wp:extent cx="289560" cy="0"/>
                      <wp:effectExtent l="0" t="133350" r="0" b="133350"/>
                      <wp:wrapNone/>
                      <wp:docPr id="317" name="Straight Arrow Connector 3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noFill/>
                              <a:ln w="28575" cap="flat" cmpd="sng" algn="ctr">
                                <a:solidFill>
                                  <a:srgbClr val="5E2F7E"/>
                                </a:solidFill>
                                <a:prstDash val="solid"/>
                                <a:miter lim="800000"/>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3E6601C" id="Straight Arrow Connector 317" o:spid="_x0000_s1026" type="#_x0000_t32" alt="&quot;&quot;" style="position:absolute;margin-left:-4.95pt;margin-top:5.1pt;width:22.8pt;height:0;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" strokecolor="#5e2f7e" strokeweight="2.25pt">
                      <v:stroke endarrow="open" joinstyle="miter"/>
                    </v:shape>
                  </w:pict>
                </mc:Fallback>
              </mc:AlternateContent>
            </w:r>
          </w:p>
        </w:tc>
        <w:tc>
          <w:tcPr>
            <w:tcW w:w="2883" w:type="pct"/>
            <w:shd w:val="clear" w:color="auto" w:fill="DCD3E2"/>
          </w:tcPr>
          <w:p w14:paraId="6F57998E" w14:textId="77777777" w:rsidR="002A6CC9" w:rsidRPr="007D6047" w:rsidRDefault="002A6CC9" w:rsidP="002A6CC9">
            <w:pPr>
              <w:pStyle w:val="Body"/>
            </w:pPr>
            <w:r w:rsidRPr="00DB323F">
              <w:rPr>
                <w:color w:val="auto"/>
              </w:rPr>
              <w:t>Activity based funding data submissions were assessed based on the published data standards</w:t>
            </w:r>
            <w:r>
              <w:rPr>
                <w:color w:val="auto"/>
              </w:rPr>
              <w:t>.</w:t>
            </w:r>
          </w:p>
        </w:tc>
      </w:tr>
      <w:tr w:rsidR="002A6CC9" w14:paraId="7DD26891" w14:textId="77777777" w:rsidTr="006544B5">
        <w:trPr>
          <w:cnfStyle w:val="100000000000" w:firstRow="1" w:lastRow="0" w:firstColumn="0" w:lastColumn="0" w:oddVBand="0" w:evenVBand="0" w:oddHBand="0" w:evenHBand="0" w:firstRowFirstColumn="0" w:firstRowLastColumn="0" w:lastRowFirstColumn="0" w:lastRowLastColumn="0"/>
          <w:trHeight w:val="1130"/>
        </w:trPr>
        <w:tc>
          <w:tcPr>
            <w:tcW w:w="1840" w:type="pct"/>
            <w:shd w:val="clear" w:color="auto" w:fill="DCD3E2"/>
          </w:tcPr>
          <w:p w14:paraId="484A4CB8" w14:textId="4EBC729A" w:rsidR="002A6CC9" w:rsidRPr="008D346E" w:rsidRDefault="002A6CC9" w:rsidP="002A6CC9">
            <w:pPr>
              <w:pStyle w:val="NumberListNoIndent"/>
              <w:numPr>
                <w:ilvl w:val="0"/>
                <w:numId w:val="12"/>
              </w:numPr>
            </w:pPr>
            <w:r>
              <w:rPr>
                <w:noProof/>
                <w:color w:val="FFFFFF" w:themeColor="background2"/>
                <w:lang w:val="en-AU" w:eastAsia="en-AU"/>
              </w:rPr>
              <mc:AlternateContent>
                <mc:Choice Requires="wps">
                  <w:drawing>
                    <wp:anchor distT="0" distB="0" distL="114300" distR="114300" simplePos="0" relativeHeight="251953152" behindDoc="0" locked="0" layoutInCell="1" allowOverlap="1" wp14:anchorId="4430EFA0" wp14:editId="61D4123E">
                      <wp:simplePos x="0" y="0"/>
                      <wp:positionH relativeFrom="column">
                        <wp:posOffset>1717675</wp:posOffset>
                      </wp:positionH>
                      <wp:positionV relativeFrom="paragraph">
                        <wp:posOffset>59690</wp:posOffset>
                      </wp:positionV>
                      <wp:extent cx="289560" cy="0"/>
                      <wp:effectExtent l="0" t="133350" r="0" b="133350"/>
                      <wp:wrapNone/>
                      <wp:docPr id="318" name="Straight Arrow Connector 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noFill/>
                              <a:ln w="28575" cap="flat" cmpd="sng" algn="ctr">
                                <a:solidFill>
                                  <a:srgbClr val="5E2F7E"/>
                                </a:solidFill>
                                <a:prstDash val="solid"/>
                                <a:miter lim="800000"/>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EBB078C" id="Straight Arrow Connector 318" o:spid="_x0000_s1026" type="#_x0000_t32" alt="&quot;&quot;" style="position:absolute;margin-left:135.25pt;margin-top:4.7pt;width:22.8pt;height:0;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" strokecolor="#5e2f7e" strokeweight="2.25pt">
                      <v:stroke endarrow="open" joinstyle="miter"/>
                    </v:shape>
                  </w:pict>
                </mc:Fallback>
              </mc:AlternateContent>
            </w:r>
            <w:r w:rsidRPr="00945719">
              <w:t>Develop the process for the collection of Individual Healthcare Identifiers as part of</w:t>
            </w:r>
            <w:r w:rsidR="0009119B">
              <w:t> </w:t>
            </w:r>
            <w:r w:rsidRPr="00945719">
              <w:t>national data sets</w:t>
            </w:r>
            <w:r w:rsidR="009847D1">
              <w:t>.</w:t>
            </w:r>
          </w:p>
        </w:tc>
        <w:tc>
          <w:tcPr>
            <w:tcW w:w="277" w:type="pct"/>
            <w:shd w:val="clear" w:color="auto" w:fill="FFFFFF" w:themeFill="background2"/>
          </w:tcPr>
          <w:p w14:paraId="656E0250" w14:textId="77777777" w:rsidR="002A6CC9" w:rsidRPr="007D6047" w:rsidRDefault="002A6CC9" w:rsidP="006544B5">
            <w:pPr>
              <w:pStyle w:val="Body"/>
              <w:rPr>
                <w:color w:val="auto"/>
              </w:rPr>
            </w:pPr>
          </w:p>
        </w:tc>
        <w:tc>
          <w:tcPr>
            <w:tcW w:w="2883" w:type="pct"/>
            <w:shd w:val="clear" w:color="auto" w:fill="DCD3E2"/>
          </w:tcPr>
          <w:p w14:paraId="485B9E3D" w14:textId="5A7F015D" w:rsidR="00370A8D" w:rsidRPr="00370A8D" w:rsidRDefault="002A6CC9" w:rsidP="0071594B">
            <w:pPr>
              <w:pStyle w:val="TOCBody"/>
              <w:ind w:left="33"/>
            </w:pPr>
            <w:r w:rsidRPr="00DB323F">
              <w:rPr>
                <w:color w:val="auto"/>
              </w:rPr>
              <w:t>IHPA established a process and engaged with some states</w:t>
            </w:r>
            <w:r w:rsidR="00EA03B9">
              <w:rPr>
                <w:color w:val="auto"/>
              </w:rPr>
              <w:t> </w:t>
            </w:r>
            <w:r w:rsidRPr="00DB323F">
              <w:rPr>
                <w:color w:val="auto"/>
              </w:rPr>
              <w:t>and territories to undertake pilot collection of the Individual</w:t>
            </w:r>
            <w:r w:rsidR="00EA03B9">
              <w:rPr>
                <w:color w:val="auto"/>
              </w:rPr>
              <w:t> </w:t>
            </w:r>
            <w:r w:rsidRPr="00DB323F">
              <w:rPr>
                <w:color w:val="auto"/>
              </w:rPr>
              <w:t>Healthcare Identifier as part of national data</w:t>
            </w:r>
            <w:r w:rsidR="00EA03B9">
              <w:rPr>
                <w:color w:val="auto"/>
              </w:rPr>
              <w:t> </w:t>
            </w:r>
            <w:r w:rsidRPr="00DB323F">
              <w:rPr>
                <w:color w:val="auto"/>
              </w:rPr>
              <w:t>submission.</w:t>
            </w:r>
          </w:p>
        </w:tc>
      </w:tr>
    </w:tbl>
    <w:p w14:paraId="35E4238F" w14:textId="77777777" w:rsidR="0071594B" w:rsidRDefault="0071594B" w:rsidP="006544B5">
      <w:pPr>
        <w:pStyle w:val="H4"/>
        <w:spacing w:before="120"/>
        <w:rPr>
          <w:color w:val="FFFFFF" w:themeColor="background2"/>
        </w:rPr>
        <w:sectPr w:rsidR="0071594B" w:rsidSect="00441579">
          <w:footerReference w:type="default" r:id="rId151"/>
          <w:pgSz w:w="9979" w:h="14175"/>
          <w:pgMar w:top="1134" w:right="1134" w:bottom="1134" w:left="1134" w:header="709" w:footer="709" w:gutter="0"/>
          <w:cols w:space="708"/>
          <w:docGrid w:linePitch="360"/>
        </w:sectPr>
      </w:pPr>
    </w:p>
    <w:tbl>
      <w:tblPr>
        <w:tblStyle w:val="TableGrid"/>
        <w:tblpPr w:leftFromText="180" w:rightFromText="180" w:vertAnchor="text" w:horzAnchor="margin" w:tblpY="-124"/>
        <w:tblW w:w="4994" w:type="pct"/>
        <w:tblCellMar>
          <w:right w:w="142" w:type="dxa"/>
        </w:tblCellMar>
        <w:tblLook w:val="04A0" w:firstRow="1" w:lastRow="0" w:firstColumn="1" w:lastColumn="0" w:noHBand="0" w:noVBand="1"/>
      </w:tblPr>
      <w:tblGrid>
        <w:gridCol w:w="2834"/>
        <w:gridCol w:w="427"/>
        <w:gridCol w:w="4441"/>
      </w:tblGrid>
      <w:tr w:rsidR="002A6CC9" w:rsidRPr="00DF5D28" w14:paraId="69A306B0" w14:textId="77777777" w:rsidTr="006544B5">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343C88C1" w14:textId="6119CD41" w:rsidR="002A6CC9" w:rsidRPr="00DF5D28" w:rsidRDefault="002A6CC9" w:rsidP="006544B5">
            <w:pPr>
              <w:pStyle w:val="H4"/>
              <w:spacing w:before="120"/>
              <w:rPr>
                <w:color w:val="FFFFFF" w:themeColor="background2"/>
              </w:rPr>
            </w:pPr>
            <w:r>
              <w:rPr>
                <w:color w:val="FFFFFF" w:themeColor="background2"/>
              </w:rPr>
              <w:lastRenderedPageBreak/>
              <w:t>Performance criteria</w:t>
            </w:r>
          </w:p>
        </w:tc>
        <w:tc>
          <w:tcPr>
            <w:tcW w:w="277" w:type="pct"/>
            <w:shd w:val="clear" w:color="auto" w:fill="FFFFFF" w:themeFill="background2"/>
          </w:tcPr>
          <w:p w14:paraId="1157172D" w14:textId="77777777" w:rsidR="002A6CC9" w:rsidRDefault="002A6CC9" w:rsidP="006544B5">
            <w:pPr>
              <w:pStyle w:val="Body"/>
              <w:spacing w:before="120"/>
            </w:pPr>
          </w:p>
        </w:tc>
        <w:tc>
          <w:tcPr>
            <w:tcW w:w="2883" w:type="pct"/>
          </w:tcPr>
          <w:p w14:paraId="5520E2A0" w14:textId="77777777" w:rsidR="002A6CC9" w:rsidRPr="00DF5D28" w:rsidRDefault="002A6CC9"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2A6CC9" w:rsidRPr="00DB323F" w14:paraId="59CC961E" w14:textId="77777777" w:rsidTr="006544B5">
        <w:trPr>
          <w:cnfStyle w:val="100000000000" w:firstRow="1" w:lastRow="0" w:firstColumn="0" w:lastColumn="0" w:oddVBand="0" w:evenVBand="0" w:oddHBand="0" w:evenHBand="0" w:firstRowFirstColumn="0" w:firstRowLastColumn="0" w:lastRowFirstColumn="0" w:lastRowLastColumn="0"/>
          <w:trHeight w:val="985"/>
        </w:trPr>
        <w:tc>
          <w:tcPr>
            <w:tcW w:w="1840" w:type="pct"/>
            <w:shd w:val="clear" w:color="auto" w:fill="DCD3E2"/>
          </w:tcPr>
          <w:p w14:paraId="2E4483BA" w14:textId="2E856652" w:rsidR="002A6CC9" w:rsidRPr="00524BBD" w:rsidRDefault="002A6CC9" w:rsidP="002A6CC9">
            <w:pPr>
              <w:pStyle w:val="NumberListNoIndent"/>
              <w:numPr>
                <w:ilvl w:val="0"/>
                <w:numId w:val="12"/>
              </w:numPr>
              <w:spacing w:before="120"/>
              <w:ind w:left="357" w:hanging="357"/>
              <w:rPr>
                <w:noProof/>
              </w:rPr>
            </w:pPr>
            <w:r w:rsidRPr="00945719">
              <w:rPr>
                <w:noProof/>
                <w:color w:val="auto"/>
              </w:rPr>
              <w:t>Further develop the secure data</w:t>
            </w:r>
            <w:r w:rsidR="0009119B">
              <w:rPr>
                <w:noProof/>
                <w:color w:val="auto"/>
              </w:rPr>
              <w:t> </w:t>
            </w:r>
            <w:r w:rsidRPr="00945719">
              <w:rPr>
                <w:noProof/>
                <w:color w:val="auto"/>
              </w:rPr>
              <w:t>management system functionality</w:t>
            </w:r>
            <w:r w:rsidR="009847D1">
              <w:rPr>
                <w:noProof/>
                <w:color w:val="auto"/>
              </w:rPr>
              <w:t>.</w:t>
            </w:r>
          </w:p>
        </w:tc>
        <w:tc>
          <w:tcPr>
            <w:tcW w:w="277" w:type="pct"/>
            <w:shd w:val="clear" w:color="auto" w:fill="FFFFFF" w:themeFill="background2"/>
          </w:tcPr>
          <w:p w14:paraId="157E3EBB" w14:textId="77777777" w:rsidR="002A6CC9" w:rsidRPr="00DB323F" w:rsidRDefault="002A6CC9"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956224" behindDoc="0" locked="0" layoutInCell="1" allowOverlap="1" wp14:anchorId="00FE28BB" wp14:editId="1FCCB316">
                      <wp:simplePos x="0" y="0"/>
                      <wp:positionH relativeFrom="column">
                        <wp:posOffset>-73025</wp:posOffset>
                      </wp:positionH>
                      <wp:positionV relativeFrom="paragraph">
                        <wp:posOffset>136525</wp:posOffset>
                      </wp:positionV>
                      <wp:extent cx="289560" cy="0"/>
                      <wp:effectExtent l="0" t="95250" r="0" b="95250"/>
                      <wp:wrapNone/>
                      <wp:docPr id="327" name="Straight Arrow Connector 3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2CB25F" id="Straight Arrow Connector 327" o:spid="_x0000_s1026" type="#_x0000_t32" alt="&quot;&quot;" style="position:absolute;margin-left:-5.75pt;margin-top:10.75pt;width:22.8pt;height:0;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" strokecolor="#5e2f7e [3208]" strokeweight="2.25pt">
                      <v:stroke endarrow="open" joinstyle="miter"/>
                    </v:shape>
                  </w:pict>
                </mc:Fallback>
              </mc:AlternateContent>
            </w:r>
          </w:p>
        </w:tc>
        <w:tc>
          <w:tcPr>
            <w:tcW w:w="2883" w:type="pct"/>
            <w:shd w:val="clear" w:color="auto" w:fill="DCD3E2"/>
          </w:tcPr>
          <w:p w14:paraId="27393C57" w14:textId="77777777" w:rsidR="002A6CC9" w:rsidRPr="00DB323F" w:rsidRDefault="002A6CC9" w:rsidP="006544B5">
            <w:pPr>
              <w:pStyle w:val="TOCBody"/>
              <w:spacing w:before="120"/>
              <w:ind w:left="34"/>
              <w:rPr>
                <w:color w:val="auto"/>
              </w:rPr>
            </w:pPr>
            <w:r>
              <w:rPr>
                <w:color w:val="auto"/>
              </w:rPr>
              <w:t>I</w:t>
            </w:r>
            <w:r w:rsidRPr="00524BBD">
              <w:rPr>
                <w:color w:val="auto"/>
              </w:rPr>
              <w:t>HPA will continue to develop the secure data management system to support its core technical functions, while ensuring the current high standards of data security are maintained.</w:t>
            </w:r>
          </w:p>
        </w:tc>
      </w:tr>
      <w:tr w:rsidR="002A6CC9" w:rsidRPr="00DB323F" w14:paraId="6B2F82E8" w14:textId="77777777" w:rsidTr="006544B5">
        <w:trPr>
          <w:cnfStyle w:val="100000000000" w:firstRow="1" w:lastRow="0" w:firstColumn="0" w:lastColumn="0" w:oddVBand="0" w:evenVBand="0" w:oddHBand="0" w:evenHBand="0" w:firstRowFirstColumn="0" w:firstRowLastColumn="0" w:lastRowFirstColumn="0" w:lastRowLastColumn="0"/>
          <w:trHeight w:val="1126"/>
        </w:trPr>
        <w:tc>
          <w:tcPr>
            <w:tcW w:w="1840" w:type="pct"/>
            <w:shd w:val="clear" w:color="auto" w:fill="DCD3E2"/>
          </w:tcPr>
          <w:p w14:paraId="18A7E5CD" w14:textId="4EB3329A" w:rsidR="002A6CC9" w:rsidRPr="00524BBD" w:rsidRDefault="002A6CC9" w:rsidP="002A6CC9">
            <w:pPr>
              <w:pStyle w:val="NumberListNoIndent"/>
              <w:numPr>
                <w:ilvl w:val="0"/>
                <w:numId w:val="12"/>
              </w:numPr>
              <w:rPr>
                <w:noProof/>
              </w:rPr>
            </w:pPr>
            <w:r>
              <w:rPr>
                <w:noProof/>
                <w:color w:val="FFFFFF" w:themeColor="background2"/>
                <w:lang w:val="en-AU" w:eastAsia="en-AU"/>
              </w:rPr>
              <mc:AlternateContent>
                <mc:Choice Requires="wps">
                  <w:drawing>
                    <wp:anchor distT="0" distB="0" distL="114300" distR="114300" simplePos="0" relativeHeight="251957248" behindDoc="0" locked="0" layoutInCell="1" allowOverlap="1" wp14:anchorId="47A6E87D" wp14:editId="0AFF0F50">
                      <wp:simplePos x="0" y="0"/>
                      <wp:positionH relativeFrom="column">
                        <wp:posOffset>1729105</wp:posOffset>
                      </wp:positionH>
                      <wp:positionV relativeFrom="paragraph">
                        <wp:posOffset>67366</wp:posOffset>
                      </wp:positionV>
                      <wp:extent cx="289560" cy="0"/>
                      <wp:effectExtent l="0" t="95250" r="0" b="95250"/>
                      <wp:wrapNone/>
                      <wp:docPr id="328" name="Straight Arrow Connector 3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BA44F3" id="Straight Arrow Connector 328" o:spid="_x0000_s1026" type="#_x0000_t32" alt="&quot;&quot;" style="position:absolute;margin-left:136.15pt;margin-top:5.3pt;width:22.8pt;height:0;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" strokecolor="#5e2f7e [3208]" strokeweight="2.25pt">
                      <v:stroke endarrow="open" joinstyle="miter"/>
                    </v:shape>
                  </w:pict>
                </mc:Fallback>
              </mc:AlternateContent>
            </w:r>
            <w:r w:rsidRPr="00945719">
              <w:rPr>
                <w:noProof/>
                <w:color w:val="auto"/>
              </w:rPr>
              <w:t>Collect jurisdictional submissions for 2020 activity based funding activity data on a quarterly basis</w:t>
            </w:r>
            <w:r w:rsidR="009847D1">
              <w:rPr>
                <w:noProof/>
                <w:color w:val="auto"/>
              </w:rPr>
              <w:t>.</w:t>
            </w:r>
          </w:p>
        </w:tc>
        <w:tc>
          <w:tcPr>
            <w:tcW w:w="277" w:type="pct"/>
            <w:shd w:val="clear" w:color="auto" w:fill="FFFFFF" w:themeFill="background2"/>
          </w:tcPr>
          <w:p w14:paraId="7C27A856" w14:textId="77777777" w:rsidR="002A6CC9" w:rsidRPr="00DB323F" w:rsidRDefault="002A6CC9" w:rsidP="006544B5">
            <w:pPr>
              <w:pStyle w:val="Body"/>
              <w:rPr>
                <w:color w:val="auto"/>
              </w:rPr>
            </w:pPr>
          </w:p>
        </w:tc>
        <w:tc>
          <w:tcPr>
            <w:tcW w:w="2883" w:type="pct"/>
            <w:shd w:val="clear" w:color="auto" w:fill="DCD3E2"/>
          </w:tcPr>
          <w:p w14:paraId="61EA0E32" w14:textId="76E80592" w:rsidR="002A6CC9" w:rsidRPr="00AC3A56" w:rsidRDefault="002A6CC9" w:rsidP="002A6CC9">
            <w:pPr>
              <w:pStyle w:val="TOCBody"/>
              <w:ind w:left="33"/>
            </w:pPr>
            <w:r w:rsidRPr="00524BBD">
              <w:rPr>
                <w:color w:val="auto"/>
              </w:rPr>
              <w:t>IHPA collected the 2020 activity based funding activity data submissions from state and territory health departments for each quarter.</w:t>
            </w:r>
          </w:p>
        </w:tc>
      </w:tr>
      <w:tr w:rsidR="002A6CC9" w:rsidRPr="00DB323F" w14:paraId="3780A65B" w14:textId="77777777" w:rsidTr="006544B5">
        <w:trPr>
          <w:cnfStyle w:val="100000000000" w:firstRow="1" w:lastRow="0" w:firstColumn="0" w:lastColumn="0" w:oddVBand="0" w:evenVBand="0" w:oddHBand="0" w:evenHBand="0" w:firstRowFirstColumn="0" w:firstRowLastColumn="0" w:lastRowFirstColumn="0" w:lastRowLastColumn="0"/>
          <w:trHeight w:val="1553"/>
        </w:trPr>
        <w:tc>
          <w:tcPr>
            <w:tcW w:w="1840" w:type="pct"/>
            <w:shd w:val="clear" w:color="auto" w:fill="DCD3E2"/>
          </w:tcPr>
          <w:p w14:paraId="18BDE9F5" w14:textId="4BA91D7A" w:rsidR="002A6CC9" w:rsidRPr="00524BBD" w:rsidRDefault="002A6CC9" w:rsidP="002A6CC9">
            <w:pPr>
              <w:pStyle w:val="NumberListNoIndent"/>
              <w:numPr>
                <w:ilvl w:val="0"/>
                <w:numId w:val="12"/>
              </w:numPr>
              <w:rPr>
                <w:noProof/>
                <w:color w:val="auto"/>
              </w:rPr>
            </w:pPr>
            <w:r>
              <w:rPr>
                <w:noProof/>
                <w:color w:val="FFFFFF" w:themeColor="background2"/>
                <w:lang w:val="en-AU" w:eastAsia="en-AU"/>
              </w:rPr>
              <mc:AlternateContent>
                <mc:Choice Requires="wps">
                  <w:drawing>
                    <wp:anchor distT="0" distB="0" distL="114300" distR="114300" simplePos="0" relativeHeight="251958272" behindDoc="0" locked="0" layoutInCell="1" allowOverlap="1" wp14:anchorId="3B0B6A7D" wp14:editId="75FB2C01">
                      <wp:simplePos x="0" y="0"/>
                      <wp:positionH relativeFrom="column">
                        <wp:posOffset>1729105</wp:posOffset>
                      </wp:positionH>
                      <wp:positionV relativeFrom="paragraph">
                        <wp:posOffset>69271</wp:posOffset>
                      </wp:positionV>
                      <wp:extent cx="289560" cy="0"/>
                      <wp:effectExtent l="0" t="95250" r="0" b="95250"/>
                      <wp:wrapNone/>
                      <wp:docPr id="329" name="Straight Arrow Connector 3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98B7BF" id="Straight Arrow Connector 329" o:spid="_x0000_s1026" type="#_x0000_t32" alt="&quot;&quot;" style="position:absolute;margin-left:136.15pt;margin-top:5.45pt;width:22.8pt;height:0;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" strokecolor="#5e2f7e [3208]" strokeweight="2.25pt">
                      <v:stroke endarrow="open" joinstyle="miter"/>
                    </v:shape>
                  </w:pict>
                </mc:Fallback>
              </mc:AlternateContent>
            </w:r>
            <w:r w:rsidRPr="00524BBD">
              <w:rPr>
                <w:noProof/>
                <w:color w:val="auto"/>
              </w:rPr>
              <w:t>Publish a report on a quarterly rolling basis, outlining compliance with the data requirements and data standards specified in the rolling Three Year Data Plan</w:t>
            </w:r>
            <w:r w:rsidR="009847D1">
              <w:rPr>
                <w:noProof/>
                <w:color w:val="auto"/>
              </w:rPr>
              <w:t>.</w:t>
            </w:r>
          </w:p>
        </w:tc>
        <w:tc>
          <w:tcPr>
            <w:tcW w:w="277" w:type="pct"/>
            <w:shd w:val="clear" w:color="auto" w:fill="FFFFFF" w:themeFill="background2"/>
          </w:tcPr>
          <w:p w14:paraId="48C5103B" w14:textId="77777777" w:rsidR="002A6CC9" w:rsidRPr="00DB323F" w:rsidRDefault="002A6CC9" w:rsidP="006544B5">
            <w:pPr>
              <w:pStyle w:val="Body"/>
              <w:rPr>
                <w:color w:val="auto"/>
              </w:rPr>
            </w:pPr>
          </w:p>
        </w:tc>
        <w:tc>
          <w:tcPr>
            <w:tcW w:w="2883" w:type="pct"/>
            <w:shd w:val="clear" w:color="auto" w:fill="DCD3E2"/>
          </w:tcPr>
          <w:p w14:paraId="4B0C7210" w14:textId="574422D3" w:rsidR="002A6CC9" w:rsidRPr="00524BBD" w:rsidRDefault="002A6CC9" w:rsidP="006544B5">
            <w:pPr>
              <w:pStyle w:val="TOCBody"/>
              <w:ind w:left="33"/>
              <w:rPr>
                <w:color w:val="auto"/>
              </w:rPr>
            </w:pPr>
            <w:r w:rsidRPr="00524BBD">
              <w:rPr>
                <w:color w:val="auto"/>
              </w:rPr>
              <w:t>The quarterly data compliance reports were developed in consultation with jurisdictions and</w:t>
            </w:r>
            <w:r w:rsidR="00F20DC1">
              <w:rPr>
                <w:color w:val="auto"/>
              </w:rPr>
              <w:t xml:space="preserve"> were</w:t>
            </w:r>
            <w:r w:rsidRPr="00524BBD">
              <w:rPr>
                <w:color w:val="auto"/>
              </w:rPr>
              <w:t xml:space="preserve"> published on the IHPA website. The IHPA Data Compliance Policy was used to assess jurisdictional compliance ratings.</w:t>
            </w:r>
          </w:p>
        </w:tc>
      </w:tr>
      <w:tr w:rsidR="002A6CC9" w:rsidRPr="00DB323F" w14:paraId="415BFCCD" w14:textId="77777777" w:rsidTr="006544B5">
        <w:trPr>
          <w:cnfStyle w:val="100000000000" w:firstRow="1" w:lastRow="0" w:firstColumn="0" w:lastColumn="0" w:oddVBand="0" w:evenVBand="0" w:oddHBand="0" w:evenHBand="0" w:firstRowFirstColumn="0" w:firstRowLastColumn="0" w:lastRowFirstColumn="0" w:lastRowLastColumn="0"/>
          <w:trHeight w:val="1142"/>
        </w:trPr>
        <w:tc>
          <w:tcPr>
            <w:tcW w:w="1840" w:type="pct"/>
            <w:shd w:val="clear" w:color="auto" w:fill="DCD3E2"/>
          </w:tcPr>
          <w:p w14:paraId="5D7AC307" w14:textId="7D060E61" w:rsidR="002A6CC9" w:rsidRPr="00524BBD" w:rsidRDefault="002A6CC9" w:rsidP="002A6CC9">
            <w:pPr>
              <w:pStyle w:val="NumberListNoIndent"/>
              <w:numPr>
                <w:ilvl w:val="0"/>
                <w:numId w:val="12"/>
              </w:numPr>
              <w:rPr>
                <w:noProof/>
                <w:color w:val="auto"/>
              </w:rPr>
            </w:pPr>
            <w:r>
              <w:rPr>
                <w:noProof/>
                <w:color w:val="FFFFFF" w:themeColor="background2"/>
                <w:lang w:val="en-AU" w:eastAsia="en-AU"/>
              </w:rPr>
              <mc:AlternateContent>
                <mc:Choice Requires="wps">
                  <w:drawing>
                    <wp:anchor distT="0" distB="0" distL="114300" distR="114300" simplePos="0" relativeHeight="251959296" behindDoc="0" locked="0" layoutInCell="1" allowOverlap="1" wp14:anchorId="027E9F9A" wp14:editId="3FD40831">
                      <wp:simplePos x="0" y="0"/>
                      <wp:positionH relativeFrom="column">
                        <wp:posOffset>1729105</wp:posOffset>
                      </wp:positionH>
                      <wp:positionV relativeFrom="paragraph">
                        <wp:posOffset>64770</wp:posOffset>
                      </wp:positionV>
                      <wp:extent cx="289560" cy="0"/>
                      <wp:effectExtent l="0" t="95250" r="0" b="95250"/>
                      <wp:wrapNone/>
                      <wp:docPr id="330" name="Straight Arrow Connector 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6E959" id="Straight Arrow Connector 330" o:spid="_x0000_s1026" type="#_x0000_t32" alt="&quot;&quot;" style="position:absolute;margin-left:136.15pt;margin-top:5.1pt;width:22.8pt;height:0;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" strokecolor="#5e2f7e [3208]" strokeweight="2.25pt">
                      <v:stroke endarrow="open" joinstyle="miter"/>
                    </v:shape>
                  </w:pict>
                </mc:Fallback>
              </mc:AlternateContent>
            </w:r>
            <w:r w:rsidRPr="00524BBD">
              <w:rPr>
                <w:noProof/>
                <w:color w:val="auto"/>
              </w:rPr>
              <w:t>Develop a process to expand the current access to National Benchmarking Portal</w:t>
            </w:r>
            <w:r w:rsidR="009847D1">
              <w:rPr>
                <w:noProof/>
                <w:color w:val="auto"/>
              </w:rPr>
              <w:t>.</w:t>
            </w:r>
          </w:p>
        </w:tc>
        <w:tc>
          <w:tcPr>
            <w:tcW w:w="277" w:type="pct"/>
            <w:shd w:val="clear" w:color="auto" w:fill="FFFFFF" w:themeFill="background2"/>
          </w:tcPr>
          <w:p w14:paraId="4998D8CE" w14:textId="77777777" w:rsidR="002A6CC9" w:rsidRPr="00DB323F" w:rsidRDefault="002A6CC9" w:rsidP="006544B5">
            <w:pPr>
              <w:pStyle w:val="Body"/>
              <w:rPr>
                <w:color w:val="auto"/>
              </w:rPr>
            </w:pPr>
          </w:p>
        </w:tc>
        <w:tc>
          <w:tcPr>
            <w:tcW w:w="2883" w:type="pct"/>
            <w:shd w:val="clear" w:color="auto" w:fill="DCD3E2"/>
          </w:tcPr>
          <w:p w14:paraId="07C23AF2" w14:textId="04EE45C4" w:rsidR="002A6CC9" w:rsidRPr="00524BBD" w:rsidRDefault="002A6CC9" w:rsidP="006544B5">
            <w:pPr>
              <w:pStyle w:val="TOCBody"/>
              <w:ind w:left="33"/>
              <w:rPr>
                <w:color w:val="auto"/>
              </w:rPr>
            </w:pPr>
            <w:r w:rsidRPr="00524BBD">
              <w:rPr>
                <w:color w:val="auto"/>
              </w:rPr>
              <w:t>IHPA consulted with stakeholders to work out a feasible pathway to expand access to the National Benchmarking Portal to the public by December 2021, while ensuring sufficient context and privacy pro</w:t>
            </w:r>
            <w:r w:rsidR="00514951">
              <w:rPr>
                <w:color w:val="auto"/>
              </w:rPr>
              <w:t>t</w:t>
            </w:r>
            <w:r w:rsidRPr="00524BBD">
              <w:rPr>
                <w:color w:val="auto"/>
              </w:rPr>
              <w:t>ections are in place.</w:t>
            </w:r>
          </w:p>
        </w:tc>
      </w:tr>
    </w:tbl>
    <w:p w14:paraId="0FC09580" w14:textId="77777777" w:rsidR="002A6CC9" w:rsidRDefault="002A6CC9" w:rsidP="00F641EF">
      <w:pPr>
        <w:pStyle w:val="Body"/>
      </w:pPr>
    </w:p>
    <w:p w14:paraId="47139815" w14:textId="77777777" w:rsidR="00BC5F42" w:rsidRPr="009955A5" w:rsidRDefault="00BC5F42" w:rsidP="00BC5F42">
      <w:pPr>
        <w:pStyle w:val="H3"/>
        <w:rPr>
          <w:color w:val="5E2F7E" w:themeColor="accent5"/>
          <w:sz w:val="28"/>
          <w:szCs w:val="28"/>
        </w:rPr>
      </w:pPr>
      <w:r>
        <w:rPr>
          <w:noProof/>
          <w:color w:val="5E2F7E" w:themeColor="accent5"/>
          <w:sz w:val="28"/>
          <w:szCs w:val="28"/>
          <w:lang w:val="en-AU" w:eastAsia="en-AU"/>
        </w:rPr>
        <mc:AlternateContent>
          <mc:Choice Requires="wps">
            <w:drawing>
              <wp:anchor distT="0" distB="0" distL="114300" distR="114300" simplePos="0" relativeHeight="251865088" behindDoc="1" locked="0" layoutInCell="1" allowOverlap="1" wp14:anchorId="3F9678BB" wp14:editId="444B13F2">
                <wp:simplePos x="0" y="0"/>
                <wp:positionH relativeFrom="margin">
                  <wp:align>center</wp:align>
                </wp:positionH>
                <wp:positionV relativeFrom="paragraph">
                  <wp:posOffset>-635</wp:posOffset>
                </wp:positionV>
                <wp:extent cx="5069205" cy="3829616"/>
                <wp:effectExtent l="0" t="0" r="17145" b="19050"/>
                <wp:wrapNone/>
                <wp:docPr id="38" name="Rectangl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3829616"/>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63A425" id="Rectangle 38" o:spid="_x0000_s1026" alt="&quot;&quot;" style="position:absolute;margin-left:0;margin-top:-.05pt;width:399.15pt;height:301.55pt;z-index:-251451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" filled="f" strokecolor="#7030a0" strokeweight=".5pt">
                <w10:wrap anchorx="margin"/>
              </v:rect>
            </w:pict>
          </mc:Fallback>
        </mc:AlternateContent>
      </w:r>
      <w:r w:rsidRPr="009955A5">
        <w:rPr>
          <w:color w:val="5E2F7E" w:themeColor="accent5"/>
          <w:sz w:val="28"/>
          <w:szCs w:val="28"/>
        </w:rPr>
        <w:t xml:space="preserve">Analysis </w:t>
      </w:r>
    </w:p>
    <w:p w14:paraId="281B2117" w14:textId="23DEAAD2" w:rsidR="00D37CE0" w:rsidRDefault="00D37CE0" w:rsidP="00D37CE0">
      <w:pPr>
        <w:pStyle w:val="Body"/>
      </w:pPr>
      <w:r>
        <w:t>In June 2021, IHPA published its eighth rolling Three Year Data Plan, covering the period 2021–22 to 2023–</w:t>
      </w:r>
      <w:r>
        <w:rPr>
          <w:rFonts w:ascii="Arial" w:hAnsi="Arial" w:cs="Arial"/>
        </w:rPr>
        <w:t>‍</w:t>
      </w:r>
      <w:r>
        <w:t>24. The plan specifies the data requirements and timelines that IHPA will use to collect data over the next three years. Following the Administrator of the National Health Funding Pool’s decision to phase out aggregate non</w:t>
      </w:r>
      <w:r w:rsidR="006F4B21">
        <w:t>-</w:t>
      </w:r>
      <w:r>
        <w:t>admitted activity reporting for funding and reconciliation purposes from 1 July 2021, IHPA will only accept non-admitted care patient level data from th</w:t>
      </w:r>
      <w:r w:rsidR="00F54D46">
        <w:t>at</w:t>
      </w:r>
      <w:r>
        <w:t xml:space="preserve"> date.</w:t>
      </w:r>
    </w:p>
    <w:p w14:paraId="33D13351" w14:textId="165EF922" w:rsidR="00D37CE0" w:rsidRDefault="00D37CE0" w:rsidP="00D37CE0">
      <w:pPr>
        <w:pStyle w:val="Body"/>
      </w:pPr>
      <w:r>
        <w:t>Through the Pricing Framework for Australian Public Hospital Services 2021–22, IHPA continues to advocate for the routine collection of the Individual Healthcare Identifier to provide greater transparency of the patient journey and to support implementation of new funding models. IHPA is working with jurisdictions to undertake a pilot collection of the Individual Healthcare Identifier as part of national data submission</w:t>
      </w:r>
      <w:r w:rsidR="006C0D92">
        <w:t>s</w:t>
      </w:r>
      <w:r>
        <w:t xml:space="preserve">. The pilot is set to commence in 2021 to support jurisdictions in addressing implementation issues. The pilot will consider data specifications and data submission processes. </w:t>
      </w:r>
    </w:p>
    <w:p w14:paraId="7BAA7A99" w14:textId="77777777" w:rsidR="00D37CE0" w:rsidRDefault="00D37CE0" w:rsidP="00D37CE0">
      <w:pPr>
        <w:pStyle w:val="Body"/>
      </w:pPr>
      <w:r>
        <w:t xml:space="preserve">IHPA has worked with jurisdictions and other stakeholders in order to make the National Benchmarking Portal publicly available in December 2021. Throughout 2020–21, this has included continuing work to ensure the appropriate privacy protections are in place for its release to the public, which will enhance policy decisions and improve patient outcomes. This is also supplemented by the development of the new secure data management system, which is set to continue over 2021–22. </w:t>
      </w:r>
    </w:p>
    <w:p w14:paraId="6D84F883" w14:textId="562E270F" w:rsidR="00A13CEB" w:rsidRDefault="00D37CE0" w:rsidP="00D37CE0">
      <w:pPr>
        <w:pStyle w:val="Body"/>
      </w:pPr>
      <w:r>
        <w:t>IHPA has collected jurisdictional activity data submissions for 2020–21 on a quarterly basis and has published the associated data compliance reports for each quarter on its website in accordance with the IHPA Data Compliance Policy</w:t>
      </w:r>
      <w:r w:rsidR="00A13CEB">
        <w:t>.</w:t>
      </w:r>
    </w:p>
    <w:p w14:paraId="5EB5D257" w14:textId="4E117F9C" w:rsidR="00381206" w:rsidRDefault="00381206" w:rsidP="00DA135D">
      <w:pPr>
        <w:pStyle w:val="Body"/>
        <w:sectPr w:rsidR="00381206" w:rsidSect="00441579">
          <w:footerReference w:type="default" r:id="rId152"/>
          <w:pgSz w:w="9979" w:h="14175"/>
          <w:pgMar w:top="1134" w:right="1134" w:bottom="1134" w:left="1134" w:header="709" w:footer="709" w:gutter="0"/>
          <w:cols w:space="708"/>
          <w:docGrid w:linePitch="360"/>
        </w:sectPr>
      </w:pPr>
    </w:p>
    <w:p w14:paraId="069C4500" w14:textId="77777777" w:rsidR="00D37CE0" w:rsidRPr="005D1A5D" w:rsidRDefault="00D37CE0" w:rsidP="006544B5">
      <w:pPr>
        <w:pStyle w:val="H3"/>
        <w:rPr>
          <w:color w:val="5E2F7E" w:themeColor="accent5"/>
          <w:sz w:val="32"/>
          <w:szCs w:val="32"/>
        </w:rPr>
      </w:pPr>
      <w:r w:rsidRPr="005D1A5D">
        <w:rPr>
          <w:color w:val="5E2F7E" w:themeColor="accent5"/>
          <w:sz w:val="32"/>
          <w:szCs w:val="32"/>
        </w:rPr>
        <w:lastRenderedPageBreak/>
        <w:t>Activity 5: Resolve disputes on cost‑shifting and cross‑border issues</w:t>
      </w:r>
    </w:p>
    <w:p w14:paraId="340FC095" w14:textId="77777777" w:rsidR="00D37CE0" w:rsidRPr="005D1A5D" w:rsidRDefault="00D37CE0" w:rsidP="006544B5">
      <w:pPr>
        <w:rPr>
          <w:sz w:val="18"/>
        </w:rPr>
      </w:pPr>
      <w:r w:rsidRPr="00C41F5A">
        <w:rPr>
          <w:color w:val="1C1C1C"/>
          <w:sz w:val="18"/>
          <w:szCs w:val="18"/>
        </w:rPr>
        <w:t>IHPA has a role to investigate and make recommendations concerning cross-border disputes between states and territories and to make assessm</w:t>
      </w:r>
      <w:r>
        <w:rPr>
          <w:color w:val="1C1C1C"/>
          <w:sz w:val="18"/>
          <w:szCs w:val="18"/>
        </w:rPr>
        <w:t>ents of cost‑shifting disputes.</w:t>
      </w:r>
    </w:p>
    <w:p w14:paraId="5B5BD4B7" w14:textId="326A3DE1" w:rsidR="00D37CE0" w:rsidRDefault="00D37CE0" w:rsidP="006544B5">
      <w:pPr>
        <w:pStyle w:val="FigureHeading"/>
      </w:pPr>
      <w:bookmarkStart w:id="118" w:name="_Toc77354570"/>
      <w:bookmarkStart w:id="119" w:name="_Toc82510946"/>
      <w:r>
        <w:t>Figure 1</w:t>
      </w:r>
      <w:r w:rsidR="00A30F40">
        <w:t>1</w:t>
      </w:r>
      <w:r w:rsidRPr="00434223">
        <w:t xml:space="preserve">: Relationship between sources </w:t>
      </w:r>
      <w:r w:rsidRPr="00A356AA">
        <w:t>for</w:t>
      </w:r>
      <w:r w:rsidRPr="00434223">
        <w:t xml:space="preserve"> reporting of </w:t>
      </w:r>
      <w:r>
        <w:t>Activity 5</w:t>
      </w:r>
      <w:bookmarkEnd w:id="118"/>
      <w:bookmarkEnd w:id="119"/>
    </w:p>
    <w:p w14:paraId="6CFC6059" w14:textId="77777777" w:rsidR="00D37CE0" w:rsidRPr="009A17F6" w:rsidRDefault="00D37CE0" w:rsidP="006544B5">
      <w:pPr>
        <w:pStyle w:val="H3"/>
        <w:rPr>
          <w:color w:val="5E2F7E" w:themeColor="accent5"/>
        </w:rPr>
      </w:pPr>
      <w:r w:rsidRPr="009A17F6">
        <w:rPr>
          <w:color w:val="5E2F7E" w:themeColor="accent5"/>
        </w:rPr>
        <w:t>Sources of reporting for the Annual Report 2020</w:t>
      </w:r>
      <w:r w:rsidRPr="00AC3A56">
        <w:rPr>
          <w:color w:val="5E2F7E" w:themeColor="accent5"/>
        </w:rPr>
        <w:t>–</w:t>
      </w:r>
      <w:r w:rsidRPr="009A17F6">
        <w:rPr>
          <w:color w:val="5E2F7E" w:themeColor="accent5"/>
        </w:rPr>
        <w:t>21 Performance</w:t>
      </w:r>
      <w:r>
        <w:rPr>
          <w:color w:val="5E2F7E" w:themeColor="accent5"/>
        </w:rPr>
        <w:t> </w:t>
      </w:r>
      <w:r w:rsidRPr="009A17F6">
        <w:rPr>
          <w:color w:val="5E2F7E" w:themeColor="accent5"/>
        </w:rPr>
        <w:t>Statement</w:t>
      </w:r>
    </w:p>
    <w:p w14:paraId="29091771" w14:textId="77777777" w:rsidR="00D37CE0" w:rsidRPr="009A17F6" w:rsidRDefault="00D37CE0" w:rsidP="00D37CE0">
      <w:pPr>
        <w:pStyle w:val="H4"/>
        <w:rPr>
          <w:color w:val="5E2F7E" w:themeColor="accent5"/>
        </w:rPr>
      </w:pPr>
      <w:r w:rsidRPr="00220A32">
        <w:rPr>
          <w:color w:val="5E2F7E" w:themeColor="accent5"/>
          <w:lang w:val="en-US"/>
        </w:rPr>
        <w:t>Portfolio Budget Statements 2020–21</w:t>
      </w:r>
    </w:p>
    <w:tbl>
      <w:tblPr>
        <w:tblStyle w:val="TableGrid"/>
        <w:tblW w:w="4966" w:type="pct"/>
        <w:tblCellMar>
          <w:top w:w="113" w:type="dxa"/>
        </w:tblCellMar>
        <w:tblLook w:val="04A0" w:firstRow="1" w:lastRow="0" w:firstColumn="1" w:lastColumn="0" w:noHBand="0" w:noVBand="1"/>
        <w:tblCaption w:val="Figure 11"/>
        <w:tblDescription w:val="Outcome 1"/>
      </w:tblPr>
      <w:tblGrid>
        <w:gridCol w:w="2687"/>
        <w:gridCol w:w="424"/>
        <w:gridCol w:w="1419"/>
        <w:gridCol w:w="425"/>
        <w:gridCol w:w="2681"/>
      </w:tblGrid>
      <w:tr w:rsidR="00524BBD" w14:paraId="112606E4" w14:textId="77777777" w:rsidTr="006544B5">
        <w:trPr>
          <w:cnfStyle w:val="100000000000" w:firstRow="1" w:lastRow="0" w:firstColumn="0" w:lastColumn="0" w:oddVBand="0" w:evenVBand="0" w:oddHBand="0" w:evenHBand="0" w:firstRowFirstColumn="0" w:firstRowLastColumn="0" w:lastRowFirstColumn="0" w:lastRowLastColumn="0"/>
          <w:trHeight w:val="1071"/>
        </w:trPr>
        <w:tc>
          <w:tcPr>
            <w:tcW w:w="1761" w:type="pct"/>
            <w:vMerge w:val="restart"/>
          </w:tcPr>
          <w:p w14:paraId="1C67793C" w14:textId="77777777" w:rsidR="00524BBD" w:rsidRPr="00CD0946" w:rsidRDefault="00524BBD" w:rsidP="006544B5">
            <w:pPr>
              <w:pStyle w:val="H4"/>
              <w:spacing w:before="120"/>
              <w:rPr>
                <w:color w:val="FFFFFF" w:themeColor="background2"/>
              </w:rPr>
            </w:pPr>
            <w:r w:rsidRPr="00CD0946">
              <w:rPr>
                <w:color w:val="FFFFFF" w:themeColor="background2"/>
              </w:rPr>
              <w:t>Outcome</w:t>
            </w:r>
            <w:r>
              <w:rPr>
                <w:color w:val="FFFFFF" w:themeColor="background2"/>
              </w:rPr>
              <w:t xml:space="preserve"> 1</w:t>
            </w:r>
          </w:p>
          <w:p w14:paraId="48A2B0C3" w14:textId="264D9774" w:rsidR="00524BBD" w:rsidRPr="009A17F6" w:rsidRDefault="00FF458B" w:rsidP="006544B5">
            <w:pPr>
              <w:pStyle w:val="Body"/>
              <w:spacing w:before="120"/>
              <w:rPr>
                <w:color w:val="FFFFFF" w:themeColor="background2"/>
                <w:sz w:val="16"/>
                <w:szCs w:val="16"/>
              </w:rPr>
            </w:pPr>
            <w:r w:rsidRPr="009A17F6">
              <w:rPr>
                <w:color w:val="FFFFFF" w:themeColor="background2"/>
                <w:sz w:val="16"/>
                <w:szCs w:val="16"/>
              </w:rPr>
              <w:t>Promote improved efficiency in, and</w:t>
            </w:r>
            <w:r w:rsidR="00FF5DE3">
              <w:rPr>
                <w:color w:val="FFFFFF" w:themeColor="background2"/>
                <w:sz w:val="16"/>
                <w:szCs w:val="16"/>
              </w:rPr>
              <w:t> </w:t>
            </w:r>
            <w:r w:rsidRPr="009A17F6">
              <w:rPr>
                <w:color w:val="FFFFFF" w:themeColor="background2"/>
                <w:sz w:val="16"/>
                <w:szCs w:val="16"/>
              </w:rPr>
              <w:t>access to, public hospital services primarily through setting efficient national prices and levels of block funding for hospital activities</w:t>
            </w:r>
            <w:r w:rsidR="009C37E2">
              <w:rPr>
                <w:color w:val="FFFFFF" w:themeColor="background2"/>
                <w:sz w:val="16"/>
                <w:szCs w:val="16"/>
              </w:rPr>
              <w:t>.</w:t>
            </w:r>
          </w:p>
        </w:tc>
        <w:tc>
          <w:tcPr>
            <w:tcW w:w="278" w:type="pct"/>
            <w:vMerge w:val="restart"/>
            <w:shd w:val="clear" w:color="auto" w:fill="FFFFFF" w:themeFill="background2"/>
          </w:tcPr>
          <w:p w14:paraId="24640AFF" w14:textId="77777777" w:rsidR="00524BBD" w:rsidRDefault="00524BBD" w:rsidP="006544B5">
            <w:pPr>
              <w:pStyle w:val="Body"/>
            </w:pPr>
            <w:r>
              <w:rPr>
                <w:noProof/>
                <w:color w:val="FFFFFF" w:themeColor="background2"/>
                <w:lang w:val="en-AU" w:eastAsia="en-AU"/>
              </w:rPr>
              <mc:AlternateContent>
                <mc:Choice Requires="wps">
                  <w:drawing>
                    <wp:anchor distT="0" distB="0" distL="114300" distR="114300" simplePos="0" relativeHeight="251802624" behindDoc="0" locked="0" layoutInCell="1" allowOverlap="1" wp14:anchorId="22B8719E" wp14:editId="07B5498C">
                      <wp:simplePos x="0" y="0"/>
                      <wp:positionH relativeFrom="column">
                        <wp:posOffset>-83160</wp:posOffset>
                      </wp:positionH>
                      <wp:positionV relativeFrom="paragraph">
                        <wp:posOffset>885825</wp:posOffset>
                      </wp:positionV>
                      <wp:extent cx="289560" cy="0"/>
                      <wp:effectExtent l="0" t="95250" r="0" b="95250"/>
                      <wp:wrapNone/>
                      <wp:docPr id="137" name="Straight Arrow Connector 1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548D5D" id="Straight Arrow Connector 137" o:spid="_x0000_s1026" type="#_x0000_t32" alt="&quot;&quot;" style="position:absolute;margin-left:-6.55pt;margin-top:69.75pt;width:22.8pt;height: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801600" behindDoc="0" locked="0" layoutInCell="1" allowOverlap="1" wp14:anchorId="1D6F7EB1" wp14:editId="0F490415">
                      <wp:simplePos x="0" y="0"/>
                      <wp:positionH relativeFrom="column">
                        <wp:posOffset>-82814</wp:posOffset>
                      </wp:positionH>
                      <wp:positionV relativeFrom="paragraph">
                        <wp:posOffset>157631</wp:posOffset>
                      </wp:positionV>
                      <wp:extent cx="289711" cy="0"/>
                      <wp:effectExtent l="0" t="95250" r="0" b="95250"/>
                      <wp:wrapNone/>
                      <wp:docPr id="138" name="Straight Arrow Connector 1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0F51B3" id="Straight Arrow Connector 138" o:spid="_x0000_s1026" type="#_x0000_t32" alt="&quot;&quot;" style="position:absolute;margin-left:-6.5pt;margin-top:12.4pt;width:22.8pt;height:0;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" strokecolor="#5e2f7e [3208]" strokeweight="2.25pt">
                      <v:stroke endarrow="open" joinstyle="miter"/>
                    </v:shape>
                  </w:pict>
                </mc:Fallback>
              </mc:AlternateContent>
            </w:r>
          </w:p>
        </w:tc>
        <w:tc>
          <w:tcPr>
            <w:tcW w:w="926" w:type="pct"/>
            <w:shd w:val="clear" w:color="auto" w:fill="DCD3E2"/>
          </w:tcPr>
          <w:tbl>
            <w:tblPr>
              <w:tblStyle w:val="TableGrid"/>
              <w:tblW w:w="5000" w:type="pct"/>
              <w:tblLook w:val="04A0" w:firstRow="1" w:lastRow="0" w:firstColumn="1" w:lastColumn="0" w:noHBand="0" w:noVBand="1"/>
            </w:tblPr>
            <w:tblGrid>
              <w:gridCol w:w="1183"/>
            </w:tblGrid>
            <w:tr w:rsidR="00524BBD" w14:paraId="74AF075A"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2D06B087" w14:textId="0E9BA280" w:rsidR="00524BBD" w:rsidRDefault="00524BBD" w:rsidP="0051776D">
                  <w:pPr>
                    <w:pStyle w:val="H4"/>
                    <w:spacing w:before="40" w:after="40"/>
                    <w:rPr>
                      <w:color w:val="5E2F7E" w:themeColor="accent5"/>
                    </w:rPr>
                  </w:pPr>
                  <w:r>
                    <w:rPr>
                      <w:color w:val="5E2F7E" w:themeColor="accent5"/>
                    </w:rPr>
                    <w:t>Work Program 2020</w:t>
                  </w:r>
                  <w:r w:rsidR="002D002B">
                    <w:rPr>
                      <w:color w:val="5E2F7E" w:themeColor="accent5"/>
                    </w:rPr>
                    <w:t>–</w:t>
                  </w:r>
                  <w:r>
                    <w:rPr>
                      <w:color w:val="5E2F7E" w:themeColor="accent5"/>
                    </w:rPr>
                    <w:t>21</w:t>
                  </w:r>
                </w:p>
              </w:tc>
            </w:tr>
          </w:tbl>
          <w:p w14:paraId="79B9FF81" w14:textId="77777777" w:rsidR="00524BBD" w:rsidRPr="00181E61" w:rsidRDefault="00524BBD" w:rsidP="006544B5">
            <w:pPr>
              <w:pStyle w:val="H4"/>
              <w:spacing w:before="120" w:after="120"/>
              <w:rPr>
                <w:color w:val="5E2F7E" w:themeColor="accent5"/>
              </w:rPr>
            </w:pPr>
          </w:p>
        </w:tc>
        <w:tc>
          <w:tcPr>
            <w:tcW w:w="279" w:type="pct"/>
            <w:vMerge w:val="restart"/>
            <w:tcBorders>
              <w:right w:val="single" w:sz="18" w:space="0" w:color="5E2F7E" w:themeColor="accent5"/>
            </w:tcBorders>
            <w:shd w:val="clear" w:color="auto" w:fill="FFFFFF" w:themeFill="background2"/>
          </w:tcPr>
          <w:p w14:paraId="6F8BE2C9" w14:textId="77777777" w:rsidR="00524BBD" w:rsidRDefault="00524BBD" w:rsidP="006544B5">
            <w:pPr>
              <w:pStyle w:val="H4"/>
              <w:spacing w:before="120" w:after="120"/>
            </w:pPr>
            <w:r>
              <w:rPr>
                <w:noProof/>
                <w:color w:val="FFFFFF" w:themeColor="background2"/>
                <w:lang w:val="en-AU" w:eastAsia="en-AU"/>
              </w:rPr>
              <mc:AlternateContent>
                <mc:Choice Requires="wps">
                  <w:drawing>
                    <wp:anchor distT="0" distB="0" distL="114300" distR="114300" simplePos="0" relativeHeight="251804672" behindDoc="0" locked="0" layoutInCell="1" allowOverlap="1" wp14:anchorId="3CE87F01" wp14:editId="2F310C65">
                      <wp:simplePos x="0" y="0"/>
                      <wp:positionH relativeFrom="column">
                        <wp:posOffset>-75686</wp:posOffset>
                      </wp:positionH>
                      <wp:positionV relativeFrom="page">
                        <wp:posOffset>885300</wp:posOffset>
                      </wp:positionV>
                      <wp:extent cx="278130" cy="0"/>
                      <wp:effectExtent l="0" t="95250" r="7620" b="95250"/>
                      <wp:wrapNone/>
                      <wp:docPr id="139" name="Straight Arrow Connector 1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37F896" id="Straight Arrow Connector 139" o:spid="_x0000_s1026" type="#_x0000_t32" alt="&quot;&quot;" style="position:absolute;margin-left:-5.95pt;margin-top:69.7pt;width:21.9pt;height:0;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" strokecolor="#5e2f7e [3208]" strokeweight="2.25pt">
                      <v:stroke endarrow="open" joinstyle="miter"/>
                      <w10:wrap anchory="page"/>
                    </v:shape>
                  </w:pict>
                </mc:Fallback>
              </mc:AlternateContent>
            </w:r>
            <w:r>
              <w:rPr>
                <w:noProof/>
                <w:color w:val="FFFFFF" w:themeColor="background2"/>
                <w:lang w:val="en-AU" w:eastAsia="en-AU"/>
              </w:rPr>
              <mc:AlternateContent>
                <mc:Choice Requires="wps">
                  <w:drawing>
                    <wp:anchor distT="0" distB="0" distL="114300" distR="114300" simplePos="0" relativeHeight="251803648" behindDoc="0" locked="0" layoutInCell="1" allowOverlap="1" wp14:anchorId="14EE8125" wp14:editId="7F2E52F2">
                      <wp:simplePos x="0" y="0"/>
                      <wp:positionH relativeFrom="column">
                        <wp:posOffset>-75565</wp:posOffset>
                      </wp:positionH>
                      <wp:positionV relativeFrom="page">
                        <wp:posOffset>128173</wp:posOffset>
                      </wp:positionV>
                      <wp:extent cx="278130" cy="0"/>
                      <wp:effectExtent l="0" t="95250" r="7620" b="95250"/>
                      <wp:wrapNone/>
                      <wp:docPr id="140" name="Straight Arrow Connector 1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B41CD3" id="Straight Arrow Connector 140" o:spid="_x0000_s1026" type="#_x0000_t32" alt="&quot;&quot;" style="position:absolute;margin-left:-5.95pt;margin-top:10.1pt;width:21.9pt;height: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" strokecolor="#5e2f7e [3208]" strokeweight="2.25pt">
                      <v:stroke endarrow="open" joinstyle="miter"/>
                      <w10:wrap anchory="page"/>
                    </v:shape>
                  </w:pict>
                </mc:Fallback>
              </mc:AlternateContent>
            </w:r>
          </w:p>
        </w:tc>
        <w:tc>
          <w:tcPr>
            <w:tcW w:w="1756" w:type="pc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2"/>
              <w:gridCol w:w="1233"/>
            </w:tblGrid>
            <w:tr w:rsidR="00524BBD" w:rsidRPr="00A137B9" w14:paraId="6559AC1B" w14:textId="77777777" w:rsidTr="006544B5">
              <w:tc>
                <w:tcPr>
                  <w:tcW w:w="2500" w:type="pct"/>
                  <w:shd w:val="clear" w:color="auto" w:fill="FFFFFF" w:themeFill="background2"/>
                </w:tcPr>
                <w:p w14:paraId="64881AA6" w14:textId="44106276" w:rsidR="00524BBD" w:rsidRPr="00A137B9" w:rsidRDefault="00524BBD" w:rsidP="006544B5">
                  <w:pPr>
                    <w:pStyle w:val="Body-Financial"/>
                    <w:spacing w:before="120" w:after="0"/>
                  </w:pPr>
                  <w:r w:rsidRPr="00A137B9">
                    <w:rPr>
                      <w:b/>
                      <w:bCs/>
                    </w:rPr>
                    <w:t xml:space="preserve">Strategic objective </w:t>
                  </w:r>
                  <w:r>
                    <w:rPr>
                      <w:b/>
                      <w:bCs/>
                    </w:rPr>
                    <w:t>5</w:t>
                  </w:r>
                  <w:r>
                    <w:br/>
                  </w:r>
                  <w:r w:rsidRPr="00524BBD">
                    <w:t>Resolve disputes on</w:t>
                  </w:r>
                  <w:r>
                    <w:t> </w:t>
                  </w:r>
                  <w:r w:rsidRPr="00524BBD">
                    <w:t>cost‑shifting and cross‑border issues</w:t>
                  </w:r>
                </w:p>
              </w:tc>
              <w:tc>
                <w:tcPr>
                  <w:tcW w:w="2500" w:type="pct"/>
                  <w:shd w:val="clear" w:color="auto" w:fill="FFFFFF" w:themeFill="background2"/>
                </w:tcPr>
                <w:p w14:paraId="54734638" w14:textId="6F5A00C7" w:rsidR="00524BBD" w:rsidRPr="00A137B9" w:rsidRDefault="00524BBD" w:rsidP="006544B5">
                  <w:pPr>
                    <w:pStyle w:val="Body-Financial"/>
                    <w:spacing w:before="120" w:after="0"/>
                  </w:pPr>
                  <w:r w:rsidRPr="009A17F6">
                    <w:t xml:space="preserve">Activity </w:t>
                  </w:r>
                  <w:r>
                    <w:t>5</w:t>
                  </w:r>
                  <w:r w:rsidRPr="009A17F6">
                    <w:t>:</w:t>
                  </w:r>
                  <w:r w:rsidRPr="009A17F6">
                    <w:br/>
                  </w:r>
                  <w:r w:rsidRPr="00524BBD">
                    <w:t>Resolve disputes on</w:t>
                  </w:r>
                  <w:r w:rsidR="009F39A0">
                    <w:t> </w:t>
                  </w:r>
                  <w:r w:rsidRPr="00524BBD">
                    <w:t>cost‑shifting and cross‑border issues</w:t>
                  </w:r>
                </w:p>
              </w:tc>
            </w:tr>
          </w:tbl>
          <w:p w14:paraId="3C2C78E0" w14:textId="77777777" w:rsidR="00524BBD" w:rsidRDefault="00524BBD" w:rsidP="006544B5">
            <w:pPr>
              <w:pStyle w:val="Body-Financial"/>
              <w:spacing w:before="120" w:after="0"/>
            </w:pPr>
          </w:p>
        </w:tc>
      </w:tr>
      <w:tr w:rsidR="00524BBD" w14:paraId="5473385D" w14:textId="77777777" w:rsidTr="006544B5">
        <w:trPr>
          <w:cnfStyle w:val="100000000000" w:firstRow="1" w:lastRow="0" w:firstColumn="0" w:lastColumn="0" w:oddVBand="0" w:evenVBand="0" w:oddHBand="0" w:evenHBand="0" w:firstRowFirstColumn="0" w:firstRowLastColumn="0" w:lastRowFirstColumn="0" w:lastRowLastColumn="0"/>
          <w:trHeight w:val="1070"/>
        </w:trPr>
        <w:tc>
          <w:tcPr>
            <w:tcW w:w="1761" w:type="pct"/>
            <w:vMerge/>
          </w:tcPr>
          <w:p w14:paraId="7AE30050" w14:textId="77777777" w:rsidR="00524BBD" w:rsidRPr="00CD0946" w:rsidRDefault="00524BBD" w:rsidP="006544B5">
            <w:pPr>
              <w:pStyle w:val="H4"/>
              <w:spacing w:before="120"/>
              <w:rPr>
                <w:color w:val="FFFFFF" w:themeColor="background2"/>
              </w:rPr>
            </w:pPr>
          </w:p>
        </w:tc>
        <w:tc>
          <w:tcPr>
            <w:tcW w:w="278" w:type="pct"/>
            <w:vMerge/>
            <w:shd w:val="clear" w:color="auto" w:fill="FFFFFF" w:themeFill="background2"/>
          </w:tcPr>
          <w:p w14:paraId="718FF2B2" w14:textId="77777777" w:rsidR="00524BBD" w:rsidRDefault="00524BBD" w:rsidP="006544B5">
            <w:pPr>
              <w:pStyle w:val="Body"/>
              <w:rPr>
                <w:noProof/>
                <w:color w:val="FFFFFF" w:themeColor="background2"/>
              </w:rPr>
            </w:pPr>
          </w:p>
        </w:tc>
        <w:tc>
          <w:tcPr>
            <w:tcW w:w="926" w:type="pct"/>
            <w:shd w:val="clear" w:color="auto" w:fill="DCD3E2"/>
          </w:tcPr>
          <w:tbl>
            <w:tblPr>
              <w:tblStyle w:val="TableGrid"/>
              <w:tblW w:w="5000" w:type="pct"/>
              <w:tblLook w:val="04A0" w:firstRow="1" w:lastRow="0" w:firstColumn="1" w:lastColumn="0" w:noHBand="0" w:noVBand="1"/>
            </w:tblPr>
            <w:tblGrid>
              <w:gridCol w:w="1183"/>
            </w:tblGrid>
            <w:tr w:rsidR="00524BBD" w14:paraId="5AD7087F"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3A5E9DC3" w14:textId="6D7ABD2E" w:rsidR="00524BBD" w:rsidRDefault="00524BBD" w:rsidP="0051776D">
                  <w:pPr>
                    <w:pStyle w:val="H4"/>
                    <w:spacing w:before="40" w:after="40"/>
                    <w:rPr>
                      <w:color w:val="5E2F7E" w:themeColor="accent5"/>
                    </w:rPr>
                  </w:pPr>
                  <w:r>
                    <w:rPr>
                      <w:color w:val="5E2F7E" w:themeColor="accent5"/>
                    </w:rPr>
                    <w:t>Corporate Plan 2020</w:t>
                  </w:r>
                  <w:r w:rsidR="002D002B">
                    <w:rPr>
                      <w:color w:val="5E2F7E" w:themeColor="accent5"/>
                    </w:rPr>
                    <w:t>–</w:t>
                  </w:r>
                  <w:r>
                    <w:rPr>
                      <w:color w:val="5E2F7E" w:themeColor="accent5"/>
                    </w:rPr>
                    <w:t>21</w:t>
                  </w:r>
                </w:p>
              </w:tc>
            </w:tr>
          </w:tbl>
          <w:p w14:paraId="066DD4FE" w14:textId="77777777" w:rsidR="00524BBD" w:rsidRPr="00181E61" w:rsidRDefault="00524BBD" w:rsidP="006544B5">
            <w:pPr>
              <w:pStyle w:val="H4"/>
              <w:spacing w:before="120" w:after="120"/>
              <w:rPr>
                <w:color w:val="5E2F7E" w:themeColor="accent5"/>
              </w:rPr>
            </w:pPr>
          </w:p>
        </w:tc>
        <w:tc>
          <w:tcPr>
            <w:tcW w:w="279" w:type="pct"/>
            <w:vMerge/>
            <w:tcBorders>
              <w:right w:val="single" w:sz="18" w:space="0" w:color="5E2F7E" w:themeColor="accent5"/>
            </w:tcBorders>
            <w:shd w:val="clear" w:color="auto" w:fill="FFFFFF" w:themeFill="background2"/>
          </w:tcPr>
          <w:p w14:paraId="3E90DA7B" w14:textId="77777777" w:rsidR="00524BBD" w:rsidRDefault="00524BBD" w:rsidP="006544B5">
            <w:pPr>
              <w:pStyle w:val="H4"/>
              <w:spacing w:before="120" w:after="120"/>
            </w:pPr>
          </w:p>
        </w:tc>
        <w:tc>
          <w:tcPr>
            <w:tcW w:w="1756" w:type="pct"/>
            <w:tcBorders>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2"/>
              <w:gridCol w:w="1233"/>
            </w:tblGrid>
            <w:tr w:rsidR="00524BBD" w:rsidRPr="00A137B9" w14:paraId="06D5750C" w14:textId="77777777" w:rsidTr="006544B5">
              <w:trPr>
                <w:trHeight w:val="505"/>
              </w:trPr>
              <w:tc>
                <w:tcPr>
                  <w:tcW w:w="2500" w:type="pct"/>
                  <w:shd w:val="clear" w:color="auto" w:fill="FFFFFF" w:themeFill="background2"/>
                </w:tcPr>
                <w:p w14:paraId="561A8217" w14:textId="25EDFCAF" w:rsidR="00524BBD" w:rsidRPr="00A137B9" w:rsidRDefault="00524BBD" w:rsidP="006544B5">
                  <w:pPr>
                    <w:pStyle w:val="Body-Financial"/>
                    <w:spacing w:before="120" w:after="0"/>
                  </w:pPr>
                  <w:r w:rsidRPr="00A137B9">
                    <w:rPr>
                      <w:b/>
                      <w:bCs/>
                    </w:rPr>
                    <w:t xml:space="preserve">Strategic objective </w:t>
                  </w:r>
                  <w:r>
                    <w:rPr>
                      <w:b/>
                      <w:bCs/>
                    </w:rPr>
                    <w:t>5</w:t>
                  </w:r>
                  <w:r>
                    <w:br/>
                  </w:r>
                  <w:r w:rsidRPr="00524BBD">
                    <w:t>Resolve disputes on</w:t>
                  </w:r>
                  <w:r>
                    <w:t> </w:t>
                  </w:r>
                  <w:r w:rsidRPr="00524BBD">
                    <w:t>cost‑shifting and cross‑border issues</w:t>
                  </w:r>
                </w:p>
              </w:tc>
              <w:tc>
                <w:tcPr>
                  <w:tcW w:w="2500" w:type="pct"/>
                  <w:shd w:val="clear" w:color="auto" w:fill="FFFFFF" w:themeFill="background2"/>
                </w:tcPr>
                <w:p w14:paraId="51FD8B4A" w14:textId="3014B6E5" w:rsidR="00524BBD" w:rsidRPr="00A137B9" w:rsidRDefault="00524BBD" w:rsidP="006544B5">
                  <w:pPr>
                    <w:pStyle w:val="Body-Financial"/>
                    <w:spacing w:before="120" w:after="0"/>
                  </w:pPr>
                  <w:r w:rsidRPr="009A17F6">
                    <w:t xml:space="preserve">Activity </w:t>
                  </w:r>
                  <w:r>
                    <w:t>5</w:t>
                  </w:r>
                  <w:r w:rsidRPr="009A17F6">
                    <w:t>:</w:t>
                  </w:r>
                  <w:r w:rsidRPr="009A17F6">
                    <w:br/>
                  </w:r>
                  <w:r w:rsidRPr="00524BBD">
                    <w:t>Resolve disputes on</w:t>
                  </w:r>
                  <w:r w:rsidR="009F39A0">
                    <w:t> </w:t>
                  </w:r>
                  <w:r w:rsidRPr="00524BBD">
                    <w:t>cost‑shifting and cross‑border issues</w:t>
                  </w:r>
                </w:p>
              </w:tc>
            </w:tr>
          </w:tbl>
          <w:p w14:paraId="45F7F4B2" w14:textId="77777777" w:rsidR="00524BBD" w:rsidRPr="00A137B9" w:rsidRDefault="00524BBD" w:rsidP="006544B5">
            <w:pPr>
              <w:pStyle w:val="Body-Financial"/>
              <w:spacing w:after="0"/>
              <w:rPr>
                <w:b/>
                <w:bCs/>
              </w:rPr>
            </w:pPr>
          </w:p>
        </w:tc>
      </w:tr>
      <w:tr w:rsidR="00524BBD" w14:paraId="79546FC2" w14:textId="77777777" w:rsidTr="006544B5">
        <w:trPr>
          <w:cnfStyle w:val="100000000000" w:firstRow="1" w:lastRow="0" w:firstColumn="0" w:lastColumn="0" w:oddVBand="0" w:evenVBand="0" w:oddHBand="0" w:evenHBand="0" w:firstRowFirstColumn="0" w:firstRowLastColumn="0" w:lastRowFirstColumn="0" w:lastRowLastColumn="0"/>
          <w:trHeight w:val="3156"/>
        </w:trPr>
        <w:tc>
          <w:tcPr>
            <w:tcW w:w="1761" w:type="pct"/>
            <w:shd w:val="clear" w:color="auto" w:fill="DCD3E2"/>
          </w:tcPr>
          <w:p w14:paraId="6346309C" w14:textId="77777777" w:rsidR="00524BBD" w:rsidRPr="00521543" w:rsidRDefault="00524BBD" w:rsidP="006544B5">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16C3AEEF" w14:textId="6911F9B1" w:rsidR="00524BBD" w:rsidRPr="009A17F6" w:rsidRDefault="00FF458B" w:rsidP="006544B5">
            <w:pPr>
              <w:pStyle w:val="Body"/>
              <w:spacing w:before="120"/>
              <w:rPr>
                <w:sz w:val="16"/>
                <w:szCs w:val="16"/>
              </w:rPr>
            </w:pPr>
            <w:r w:rsidRPr="00174683">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r>
              <w:rPr>
                <w:sz w:val="16"/>
                <w:szCs w:val="16"/>
              </w:rPr>
              <w:t>.</w:t>
            </w:r>
          </w:p>
        </w:tc>
        <w:tc>
          <w:tcPr>
            <w:tcW w:w="278" w:type="pct"/>
            <w:shd w:val="clear" w:color="auto" w:fill="FFFFFF" w:themeFill="background2"/>
          </w:tcPr>
          <w:p w14:paraId="6C1ACDA1" w14:textId="77777777" w:rsidR="00524BBD" w:rsidRDefault="00524BBD" w:rsidP="006544B5">
            <w:pPr>
              <w:pStyle w:val="Body"/>
            </w:pPr>
          </w:p>
        </w:tc>
        <w:tc>
          <w:tcPr>
            <w:tcW w:w="926" w:type="pct"/>
            <w:shd w:val="clear" w:color="auto" w:fill="DCD3E2"/>
          </w:tcPr>
          <w:p w14:paraId="5B4F8C47" w14:textId="77777777" w:rsidR="00524BBD" w:rsidRDefault="00524BBD" w:rsidP="006544B5">
            <w:pPr>
              <w:pStyle w:val="Body"/>
            </w:pPr>
          </w:p>
        </w:tc>
        <w:tc>
          <w:tcPr>
            <w:tcW w:w="279" w:type="pct"/>
            <w:tcBorders>
              <w:right w:val="single" w:sz="18" w:space="0" w:color="5E2F7E" w:themeColor="accent5"/>
            </w:tcBorders>
            <w:shd w:val="clear" w:color="auto" w:fill="FFFFFF" w:themeFill="background2"/>
          </w:tcPr>
          <w:p w14:paraId="15C56420" w14:textId="77777777" w:rsidR="00524BBD" w:rsidRDefault="00524BBD" w:rsidP="006544B5">
            <w:pPr>
              <w:pStyle w:val="Body"/>
            </w:pPr>
          </w:p>
        </w:tc>
        <w:tc>
          <w:tcPr>
            <w:tcW w:w="1756" w:type="pct"/>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509EDB6B" w14:textId="77777777" w:rsidR="00524BBD" w:rsidRDefault="00524BBD" w:rsidP="006544B5">
            <w:pPr>
              <w:pStyle w:val="Body"/>
            </w:pPr>
          </w:p>
        </w:tc>
      </w:tr>
    </w:tbl>
    <w:p w14:paraId="37506827" w14:textId="77777777" w:rsidR="00524BBD" w:rsidRDefault="00524BBD" w:rsidP="00524BBD">
      <w:pPr>
        <w:pStyle w:val="Body"/>
      </w:pPr>
    </w:p>
    <w:p w14:paraId="28A1FD77" w14:textId="77777777" w:rsidR="00EA6FFC" w:rsidRDefault="00EA6FFC" w:rsidP="00BC53A5">
      <w:pPr>
        <w:pStyle w:val="Body"/>
        <w:sectPr w:rsidR="00EA6FFC" w:rsidSect="00441579">
          <w:footerReference w:type="default" r:id="rId153"/>
          <w:pgSz w:w="9979" w:h="14175"/>
          <w:pgMar w:top="1134" w:right="1134" w:bottom="1134" w:left="1134" w:header="709" w:footer="709" w:gutter="0"/>
          <w:cols w:space="708"/>
          <w:docGrid w:linePitch="360"/>
        </w:sectPr>
      </w:pPr>
    </w:p>
    <w:p w14:paraId="07520928" w14:textId="5DF1BFB1" w:rsidR="00046B54" w:rsidRPr="005D1A5D" w:rsidRDefault="00524BBD" w:rsidP="00046B54">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806720" behindDoc="1" locked="0" layoutInCell="1" allowOverlap="1" wp14:anchorId="65A29CA8" wp14:editId="50D344F1">
                <wp:simplePos x="0" y="0"/>
                <wp:positionH relativeFrom="margin">
                  <wp:align>center</wp:align>
                </wp:positionH>
                <wp:positionV relativeFrom="paragraph">
                  <wp:posOffset>-635</wp:posOffset>
                </wp:positionV>
                <wp:extent cx="5069205" cy="1521561"/>
                <wp:effectExtent l="0" t="0" r="17145" b="21590"/>
                <wp:wrapNone/>
                <wp:docPr id="141" name="Rectangle 1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1521561"/>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64E7D5" id="Rectangle 141" o:spid="_x0000_s1026" alt="&quot;&quot;" style="position:absolute;margin-left:0;margin-top:-.05pt;width:399.15pt;height:119.8pt;z-index:-2515097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" filled="f" strokecolor="#7030a0" strokeweight=".5pt">
                <w10:wrap anchorx="margin"/>
              </v:rect>
            </w:pict>
          </mc:Fallback>
        </mc:AlternateContent>
      </w:r>
      <w:r w:rsidR="00046B54" w:rsidRPr="005D1A5D">
        <w:rPr>
          <w:color w:val="5E2F7E" w:themeColor="accent5"/>
          <w:sz w:val="28"/>
          <w:szCs w:val="28"/>
        </w:rPr>
        <w:t>Results</w:t>
      </w:r>
    </w:p>
    <w:p w14:paraId="7135F2CF" w14:textId="216ECCDF" w:rsidR="00046B54" w:rsidRPr="004E67F4" w:rsidRDefault="00046B54" w:rsidP="00046B54">
      <w:pPr>
        <w:pStyle w:val="FigureHeading"/>
      </w:pPr>
      <w:bookmarkStart w:id="120" w:name="_Toc82510947"/>
      <w:r>
        <w:t xml:space="preserve">Table </w:t>
      </w:r>
      <w:r w:rsidR="00AC254C">
        <w:t>7</w:t>
      </w:r>
      <w:r>
        <w:t xml:space="preserve">: Summary of Performance </w:t>
      </w:r>
      <w:r w:rsidRPr="007F5C9E">
        <w:t xml:space="preserve">for </w:t>
      </w:r>
      <w:r>
        <w:t xml:space="preserve">Activity 5 in </w:t>
      </w:r>
      <w:r w:rsidRPr="007F5C9E">
        <w:t>2020–21</w:t>
      </w:r>
      <w:bookmarkEnd w:id="120"/>
    </w:p>
    <w:tbl>
      <w:tblPr>
        <w:tblStyle w:val="IHPATable"/>
        <w:tblW w:w="7663" w:type="dxa"/>
        <w:tblLayout w:type="fixed"/>
        <w:tblLook w:val="0020" w:firstRow="1" w:lastRow="0" w:firstColumn="0" w:lastColumn="0" w:noHBand="0" w:noVBand="0"/>
        <w:tblCaption w:val="Table 7"/>
        <w:tblDescription w:val="Summary of Performance for Activity 5: Resolve disputes on cost‑shifting and cross‑border issues "/>
      </w:tblPr>
      <w:tblGrid>
        <w:gridCol w:w="5820"/>
        <w:gridCol w:w="1843"/>
      </w:tblGrid>
      <w:tr w:rsidR="00046B54" w:rsidRPr="004E67F4" w14:paraId="45A6CDB8" w14:textId="77777777" w:rsidTr="00316E60">
        <w:trPr>
          <w:cnfStyle w:val="100000000000" w:firstRow="1" w:lastRow="0" w:firstColumn="0" w:lastColumn="0" w:oddVBand="0" w:evenVBand="0" w:oddHBand="0" w:evenHBand="0" w:firstRowFirstColumn="0" w:firstRowLastColumn="0" w:lastRowFirstColumn="0" w:lastRowLastColumn="0"/>
          <w:trHeight w:val="20"/>
        </w:trPr>
        <w:tc>
          <w:tcPr>
            <w:tcW w:w="7663" w:type="dxa"/>
            <w:gridSpan w:val="2"/>
            <w:shd w:val="clear" w:color="auto" w:fill="5E2F7E" w:themeFill="accent5"/>
          </w:tcPr>
          <w:p w14:paraId="3DB0E0A4" w14:textId="77777777" w:rsidR="00046B54" w:rsidRPr="004E67F4" w:rsidRDefault="00046B54" w:rsidP="00316E60">
            <w:pPr>
              <w:spacing w:before="120" w:after="120"/>
              <w:rPr>
                <w:color w:val="1C1C1C"/>
                <w:szCs w:val="18"/>
              </w:rPr>
            </w:pPr>
            <w:r>
              <w:rPr>
                <w:b/>
                <w:bCs/>
                <w:szCs w:val="18"/>
                <w:lang w:val="en-US"/>
              </w:rPr>
              <w:t xml:space="preserve"> </w:t>
            </w:r>
            <w:r w:rsidRPr="007F5C9E">
              <w:rPr>
                <w:b/>
                <w:bCs/>
                <w:szCs w:val="18"/>
                <w:lang w:val="en-US"/>
              </w:rPr>
              <w:t>Summary of Performance for Activit</w:t>
            </w:r>
            <w:r>
              <w:rPr>
                <w:b/>
                <w:bCs/>
                <w:szCs w:val="18"/>
                <w:lang w:val="en-US"/>
              </w:rPr>
              <w:t>y 5:</w:t>
            </w:r>
            <w:r w:rsidRPr="004E67F4">
              <w:rPr>
                <w:b/>
                <w:bCs/>
                <w:szCs w:val="18"/>
                <w:lang w:val="en-US"/>
              </w:rPr>
              <w:t xml:space="preserve"> Resolve disputes on cost‑shifting and cross‑border issues</w:t>
            </w:r>
            <w:r>
              <w:rPr>
                <w:b/>
                <w:bCs/>
                <w:szCs w:val="18"/>
                <w:lang w:val="en-US"/>
              </w:rPr>
              <w:t xml:space="preserve"> </w:t>
            </w:r>
          </w:p>
        </w:tc>
      </w:tr>
      <w:tr w:rsidR="00046B54" w:rsidRPr="004E67F4" w14:paraId="634D1780"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2B2ED307" w14:textId="187BC05E" w:rsidR="00046B54" w:rsidRPr="004E67F4" w:rsidRDefault="00046B54" w:rsidP="00316E60">
            <w:pPr>
              <w:spacing w:before="120" w:after="120"/>
              <w:rPr>
                <w:color w:val="1C1C1C"/>
                <w:sz w:val="16"/>
                <w:szCs w:val="16"/>
              </w:rPr>
            </w:pPr>
            <w:r w:rsidRPr="004E67F4">
              <w:rPr>
                <w:color w:val="1C1C1C"/>
                <w:sz w:val="16"/>
                <w:szCs w:val="16"/>
              </w:rPr>
              <w:t>Publish an updated Cost-</w:t>
            </w:r>
            <w:r w:rsidR="00E66026">
              <w:rPr>
                <w:color w:val="1C1C1C"/>
                <w:sz w:val="16"/>
                <w:szCs w:val="16"/>
              </w:rPr>
              <w:t>S</w:t>
            </w:r>
            <w:r w:rsidRPr="004E67F4">
              <w:rPr>
                <w:color w:val="1C1C1C"/>
                <w:sz w:val="16"/>
                <w:szCs w:val="16"/>
              </w:rPr>
              <w:t>hifting and Cross-</w:t>
            </w:r>
            <w:r w:rsidR="00E66026">
              <w:rPr>
                <w:color w:val="1C1C1C"/>
                <w:sz w:val="16"/>
                <w:szCs w:val="16"/>
              </w:rPr>
              <w:t>B</w:t>
            </w:r>
            <w:r w:rsidRPr="004E67F4">
              <w:rPr>
                <w:color w:val="1C1C1C"/>
                <w:sz w:val="16"/>
                <w:szCs w:val="16"/>
              </w:rPr>
              <w:t>order Dispute Resolution Framework</w:t>
            </w:r>
          </w:p>
        </w:tc>
        <w:tc>
          <w:tcPr>
            <w:tcW w:w="1843" w:type="dxa"/>
          </w:tcPr>
          <w:p w14:paraId="3E627C73" w14:textId="77777777" w:rsidR="00046B54" w:rsidRPr="004E67F4" w:rsidRDefault="00046B54" w:rsidP="00316E60">
            <w:pPr>
              <w:spacing w:before="120" w:after="120"/>
              <w:jc w:val="right"/>
              <w:rPr>
                <w:color w:val="1C1C1C"/>
                <w:sz w:val="16"/>
                <w:szCs w:val="16"/>
              </w:rPr>
            </w:pPr>
            <w:r w:rsidRPr="004E67F4">
              <w:rPr>
                <w:color w:val="1C1C1C"/>
                <w:sz w:val="16"/>
                <w:szCs w:val="16"/>
              </w:rPr>
              <w:t>Delivered</w:t>
            </w:r>
          </w:p>
        </w:tc>
      </w:tr>
    </w:tbl>
    <w:p w14:paraId="31668EF0" w14:textId="752897D6" w:rsidR="00EA6FFC" w:rsidRDefault="00EA6FFC" w:rsidP="002613B5">
      <w:pPr>
        <w:pStyle w:val="Body"/>
        <w:spacing w:after="240"/>
      </w:pPr>
    </w:p>
    <w:tbl>
      <w:tblPr>
        <w:tblStyle w:val="TableGrid"/>
        <w:tblW w:w="4994" w:type="pct"/>
        <w:tblCellMar>
          <w:right w:w="142" w:type="dxa"/>
        </w:tblCellMar>
        <w:tblLook w:val="04A0" w:firstRow="1" w:lastRow="0" w:firstColumn="1" w:lastColumn="0" w:noHBand="0" w:noVBand="1"/>
        <w:tblCaption w:val="Table 7"/>
        <w:tblDescription w:val="Performance criteria"/>
      </w:tblPr>
      <w:tblGrid>
        <w:gridCol w:w="2834"/>
        <w:gridCol w:w="427"/>
        <w:gridCol w:w="4441"/>
      </w:tblGrid>
      <w:tr w:rsidR="00524BBD" w:rsidRPr="00DF5D28" w14:paraId="3F0FBD13" w14:textId="77777777" w:rsidTr="006544B5">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69D10B24" w14:textId="32840899" w:rsidR="00524BBD" w:rsidRPr="00DF5D28" w:rsidRDefault="00524BBD" w:rsidP="006544B5">
            <w:pPr>
              <w:pStyle w:val="H4"/>
              <w:spacing w:before="120"/>
              <w:rPr>
                <w:color w:val="FFFFFF" w:themeColor="background2"/>
              </w:rPr>
            </w:pPr>
            <w:r>
              <w:rPr>
                <w:color w:val="FFFFFF" w:themeColor="background2"/>
              </w:rPr>
              <w:t xml:space="preserve">Performance </w:t>
            </w:r>
            <w:r w:rsidR="00AB2D2F">
              <w:rPr>
                <w:color w:val="FFFFFF" w:themeColor="background2"/>
              </w:rPr>
              <w:t>c</w:t>
            </w:r>
            <w:r>
              <w:rPr>
                <w:color w:val="FFFFFF" w:themeColor="background2"/>
              </w:rPr>
              <w:t>riteria</w:t>
            </w:r>
          </w:p>
        </w:tc>
        <w:tc>
          <w:tcPr>
            <w:tcW w:w="277" w:type="pct"/>
            <w:shd w:val="clear" w:color="auto" w:fill="FFFFFF" w:themeFill="background2"/>
          </w:tcPr>
          <w:p w14:paraId="13A55AEB" w14:textId="77777777" w:rsidR="00524BBD" w:rsidRDefault="00524BBD" w:rsidP="006544B5">
            <w:pPr>
              <w:pStyle w:val="Body"/>
              <w:spacing w:before="120"/>
            </w:pPr>
          </w:p>
        </w:tc>
        <w:tc>
          <w:tcPr>
            <w:tcW w:w="2883" w:type="pct"/>
          </w:tcPr>
          <w:p w14:paraId="499D9FFE" w14:textId="77777777" w:rsidR="00524BBD" w:rsidRPr="00DF5D28" w:rsidRDefault="00524BBD"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524BBD" w14:paraId="58BA7FF8" w14:textId="77777777" w:rsidTr="00524BBD">
        <w:trPr>
          <w:cnfStyle w:val="100000000000" w:firstRow="1" w:lastRow="0" w:firstColumn="0" w:lastColumn="0" w:oddVBand="0" w:evenVBand="0" w:oddHBand="0" w:evenHBand="0" w:firstRowFirstColumn="0" w:firstRowLastColumn="0" w:lastRowFirstColumn="0" w:lastRowLastColumn="0"/>
          <w:trHeight w:val="1443"/>
        </w:trPr>
        <w:tc>
          <w:tcPr>
            <w:tcW w:w="1840" w:type="pct"/>
            <w:shd w:val="clear" w:color="auto" w:fill="DCD3E2"/>
          </w:tcPr>
          <w:p w14:paraId="59D547A9" w14:textId="77FEE709" w:rsidR="00524BBD" w:rsidRPr="00DF5D28" w:rsidRDefault="00524BBD" w:rsidP="008E4BC3">
            <w:pPr>
              <w:pStyle w:val="NumberListNoIndent"/>
              <w:numPr>
                <w:ilvl w:val="0"/>
                <w:numId w:val="26"/>
              </w:numPr>
              <w:spacing w:before="240"/>
            </w:pPr>
            <w:r>
              <w:rPr>
                <w:noProof/>
                <w:color w:val="FFFFFF" w:themeColor="background2"/>
                <w:lang w:val="en-AU" w:eastAsia="en-AU"/>
              </w:rPr>
              <mc:AlternateContent>
                <mc:Choice Requires="wps">
                  <w:drawing>
                    <wp:anchor distT="0" distB="0" distL="114300" distR="114300" simplePos="0" relativeHeight="251808768" behindDoc="0" locked="0" layoutInCell="1" allowOverlap="1" wp14:anchorId="2DF70D76" wp14:editId="5408BD86">
                      <wp:simplePos x="0" y="0"/>
                      <wp:positionH relativeFrom="column">
                        <wp:posOffset>1723802</wp:posOffset>
                      </wp:positionH>
                      <wp:positionV relativeFrom="paragraph">
                        <wp:posOffset>224790</wp:posOffset>
                      </wp:positionV>
                      <wp:extent cx="289560" cy="0"/>
                      <wp:effectExtent l="0" t="95250" r="0" b="95250"/>
                      <wp:wrapNone/>
                      <wp:docPr id="142" name="Straight Arrow Connector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D01BB9" id="Straight Arrow Connector 142" o:spid="_x0000_s1026" type="#_x0000_t32" alt="&quot;&quot;" style="position:absolute;margin-left:135.75pt;margin-top:17.7pt;width:22.8pt;height:0;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" strokecolor="#5e2f7e [3208]" strokeweight="2.25pt">
                      <v:stroke endarrow="open" joinstyle="miter"/>
                    </v:shape>
                  </w:pict>
                </mc:Fallback>
              </mc:AlternateContent>
            </w:r>
            <w:r w:rsidR="00FF458B" w:rsidRPr="00FF458B">
              <w:t>Review and publication of updated Cost-Shifting and Cross-Border Dispute Resolution Framework</w:t>
            </w:r>
            <w:r w:rsidR="00587F4D">
              <w:t>.</w:t>
            </w:r>
          </w:p>
        </w:tc>
        <w:tc>
          <w:tcPr>
            <w:tcW w:w="277" w:type="pct"/>
            <w:shd w:val="clear" w:color="auto" w:fill="FFFFFF" w:themeFill="background2"/>
          </w:tcPr>
          <w:p w14:paraId="662AFC5A" w14:textId="77777777" w:rsidR="00524BBD" w:rsidRPr="007D6047" w:rsidRDefault="00524BBD" w:rsidP="006544B5">
            <w:pPr>
              <w:pStyle w:val="Body"/>
              <w:rPr>
                <w:color w:val="auto"/>
              </w:rPr>
            </w:pPr>
          </w:p>
        </w:tc>
        <w:tc>
          <w:tcPr>
            <w:tcW w:w="2883" w:type="pct"/>
            <w:shd w:val="clear" w:color="auto" w:fill="DCD3E2"/>
          </w:tcPr>
          <w:p w14:paraId="1A20005C" w14:textId="469BCF5A" w:rsidR="00524BBD" w:rsidRPr="007D6047" w:rsidRDefault="00FF458B" w:rsidP="006544B5">
            <w:pPr>
              <w:pStyle w:val="TOCBody"/>
              <w:spacing w:before="240"/>
              <w:ind w:left="33"/>
              <w:rPr>
                <w:color w:val="auto"/>
              </w:rPr>
            </w:pPr>
            <w:r w:rsidRPr="00FF458B">
              <w:rPr>
                <w:color w:val="auto"/>
              </w:rPr>
              <w:t>An updated Cost-Shifting and Cross-Border Dispute Resolution Framework (Version 4.0) was published in April</w:t>
            </w:r>
            <w:r w:rsidR="00644D04">
              <w:rPr>
                <w:color w:val="auto"/>
              </w:rPr>
              <w:t> </w:t>
            </w:r>
            <w:r w:rsidRPr="00FF458B">
              <w:rPr>
                <w:color w:val="auto"/>
              </w:rPr>
              <w:t>2021.</w:t>
            </w:r>
          </w:p>
        </w:tc>
      </w:tr>
      <w:tr w:rsidR="00524BBD" w14:paraId="48574E9A" w14:textId="77777777" w:rsidTr="006544B5">
        <w:trPr>
          <w:cnfStyle w:val="100000000000" w:firstRow="1" w:lastRow="0" w:firstColumn="0" w:lastColumn="0" w:oddVBand="0" w:evenVBand="0" w:oddHBand="0" w:evenHBand="0" w:firstRowFirstColumn="0" w:firstRowLastColumn="0" w:lastRowFirstColumn="0" w:lastRowLastColumn="0"/>
          <w:trHeight w:val="1367"/>
        </w:trPr>
        <w:tc>
          <w:tcPr>
            <w:tcW w:w="1840" w:type="pct"/>
            <w:shd w:val="clear" w:color="auto" w:fill="DCD3E2"/>
          </w:tcPr>
          <w:p w14:paraId="05CC2FEE" w14:textId="3D7E1AB8" w:rsidR="00524BBD" w:rsidRPr="008D346E" w:rsidRDefault="00524BBD" w:rsidP="008E4BC3">
            <w:pPr>
              <w:pStyle w:val="NumberListNoIndent"/>
            </w:pPr>
            <w:r>
              <w:rPr>
                <w:noProof/>
                <w:color w:val="FFFFFF" w:themeColor="background2"/>
                <w:lang w:val="en-AU" w:eastAsia="en-AU"/>
              </w:rPr>
              <mc:AlternateContent>
                <mc:Choice Requires="wps">
                  <w:drawing>
                    <wp:anchor distT="0" distB="0" distL="114300" distR="114300" simplePos="0" relativeHeight="251809792" behindDoc="0" locked="0" layoutInCell="1" allowOverlap="1" wp14:anchorId="2AA5BE13" wp14:editId="6E5B8DB3">
                      <wp:simplePos x="0" y="0"/>
                      <wp:positionH relativeFrom="column">
                        <wp:posOffset>1723390</wp:posOffset>
                      </wp:positionH>
                      <wp:positionV relativeFrom="paragraph">
                        <wp:posOffset>66201</wp:posOffset>
                      </wp:positionV>
                      <wp:extent cx="289560" cy="0"/>
                      <wp:effectExtent l="0" t="95250" r="0" b="95250"/>
                      <wp:wrapNone/>
                      <wp:docPr id="143" name="Straight Arrow Connector 1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01119D" id="Straight Arrow Connector 143" o:spid="_x0000_s1026" type="#_x0000_t32" alt="&quot;&quot;" style="position:absolute;margin-left:135.7pt;margin-top:5.2pt;width:22.8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" strokecolor="#5e2f7e [3208]" strokeweight="2.25pt">
                      <v:stroke endarrow="open" joinstyle="miter"/>
                    </v:shape>
                  </w:pict>
                </mc:Fallback>
              </mc:AlternateContent>
            </w:r>
            <w:r w:rsidRPr="00524BBD">
              <w:t>Investigation of cost-shifting or cross</w:t>
            </w:r>
            <w:r w:rsidR="00765D39">
              <w:noBreakHyphen/>
            </w:r>
            <w:r w:rsidRPr="00524BBD">
              <w:t>border disputes and provision of recommendations or assessment within six months of receipt of the request</w:t>
            </w:r>
            <w:r w:rsidR="00587F4D">
              <w:t>.</w:t>
            </w:r>
          </w:p>
        </w:tc>
        <w:tc>
          <w:tcPr>
            <w:tcW w:w="277" w:type="pct"/>
            <w:shd w:val="clear" w:color="auto" w:fill="FFFFFF" w:themeFill="background2"/>
          </w:tcPr>
          <w:p w14:paraId="055760FB" w14:textId="77777777" w:rsidR="00524BBD" w:rsidRPr="007D6047" w:rsidRDefault="00524BBD" w:rsidP="006544B5">
            <w:pPr>
              <w:pStyle w:val="Body"/>
              <w:rPr>
                <w:color w:val="auto"/>
              </w:rPr>
            </w:pPr>
          </w:p>
        </w:tc>
        <w:tc>
          <w:tcPr>
            <w:tcW w:w="2883" w:type="pct"/>
            <w:shd w:val="clear" w:color="auto" w:fill="DCD3E2"/>
          </w:tcPr>
          <w:p w14:paraId="04303469" w14:textId="61CE38B1" w:rsidR="00524BBD" w:rsidRPr="007D6047" w:rsidRDefault="00FF458B" w:rsidP="006544B5">
            <w:pPr>
              <w:pStyle w:val="Body"/>
            </w:pPr>
            <w:r w:rsidRPr="00524BBD">
              <w:t xml:space="preserve">IHPA received a submission from </w:t>
            </w:r>
            <w:r w:rsidR="0014305E" w:rsidRPr="0014305E">
              <w:t>Queensland</w:t>
            </w:r>
            <w:r w:rsidRPr="00524BBD">
              <w:t xml:space="preserve"> in October 2020 under section 138 and 140 of the </w:t>
            </w:r>
            <w:r w:rsidRPr="006B23C7">
              <w:rPr>
                <w:i/>
              </w:rPr>
              <w:t>National Health Reform Act 2011</w:t>
            </w:r>
            <w:r w:rsidRPr="00524BBD">
              <w:t>. Terms were agreed between Q</w:t>
            </w:r>
            <w:r w:rsidR="0014305E">
              <w:t>ueens</w:t>
            </w:r>
            <w:r w:rsidRPr="00524BBD">
              <w:t>l</w:t>
            </w:r>
            <w:r w:rsidR="0014305E">
              <w:t>an</w:t>
            </w:r>
            <w:r w:rsidRPr="00524BBD">
              <w:t>d and N</w:t>
            </w:r>
            <w:r w:rsidR="0014305E">
              <w:t xml:space="preserve">ew </w:t>
            </w:r>
            <w:r w:rsidRPr="00524BBD">
              <w:t>S</w:t>
            </w:r>
            <w:r w:rsidR="0014305E">
              <w:t xml:space="preserve">outh </w:t>
            </w:r>
            <w:r w:rsidRPr="00524BBD">
              <w:t>W</w:t>
            </w:r>
            <w:r w:rsidR="0014305E">
              <w:t>ales</w:t>
            </w:r>
            <w:r w:rsidRPr="00524BBD">
              <w:t xml:space="preserve"> and</w:t>
            </w:r>
            <w:r w:rsidR="00F54D46">
              <w:t> </w:t>
            </w:r>
            <w:r w:rsidRPr="00524BBD">
              <w:t>no recommendation was required from IHPA.</w:t>
            </w:r>
          </w:p>
        </w:tc>
      </w:tr>
    </w:tbl>
    <w:p w14:paraId="48F8B606" w14:textId="086BDE79" w:rsidR="00524BBD" w:rsidRDefault="00524BBD" w:rsidP="00524BBD">
      <w:pPr>
        <w:pStyle w:val="NumberListNoIndent"/>
        <w:numPr>
          <w:ilvl w:val="0"/>
          <w:numId w:val="0"/>
        </w:numPr>
        <w:ind w:left="360" w:hanging="360"/>
      </w:pPr>
    </w:p>
    <w:p w14:paraId="703C85CB" w14:textId="77777777" w:rsidR="00BC5F42" w:rsidRPr="009955A5" w:rsidRDefault="00BC5F42" w:rsidP="00BC5F42">
      <w:pPr>
        <w:pStyle w:val="H3"/>
        <w:rPr>
          <w:color w:val="5E2F7E" w:themeColor="accent5"/>
          <w:sz w:val="28"/>
          <w:szCs w:val="28"/>
        </w:rPr>
      </w:pPr>
      <w:r>
        <w:rPr>
          <w:noProof/>
          <w:color w:val="5E2F7E" w:themeColor="accent5"/>
          <w:sz w:val="28"/>
          <w:szCs w:val="28"/>
          <w:lang w:val="en-AU" w:eastAsia="en-AU"/>
        </w:rPr>
        <mc:AlternateContent>
          <mc:Choice Requires="wps">
            <w:drawing>
              <wp:anchor distT="0" distB="0" distL="114300" distR="114300" simplePos="0" relativeHeight="251867136" behindDoc="1" locked="0" layoutInCell="1" allowOverlap="1" wp14:anchorId="2A3B8D77" wp14:editId="49580BEE">
                <wp:simplePos x="0" y="0"/>
                <wp:positionH relativeFrom="margin">
                  <wp:align>center</wp:align>
                </wp:positionH>
                <wp:positionV relativeFrom="paragraph">
                  <wp:posOffset>-635</wp:posOffset>
                </wp:positionV>
                <wp:extent cx="5069205" cy="2838450"/>
                <wp:effectExtent l="0" t="0" r="17145" b="19050"/>
                <wp:wrapNone/>
                <wp:docPr id="41" name="Rectangle 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2838450"/>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E0E57D" id="Rectangle 41" o:spid="_x0000_s1026" alt="&quot;&quot;" style="position:absolute;margin-left:0;margin-top:-.05pt;width:399.15pt;height:223.5pt;z-index:-2514493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" filled="f" strokecolor="#7030a0" strokeweight=".5pt">
                <w10:wrap anchorx="margin"/>
              </v:rect>
            </w:pict>
          </mc:Fallback>
        </mc:AlternateContent>
      </w:r>
      <w:r w:rsidRPr="009955A5">
        <w:rPr>
          <w:color w:val="5E2F7E" w:themeColor="accent5"/>
          <w:sz w:val="28"/>
          <w:szCs w:val="28"/>
        </w:rPr>
        <w:t xml:space="preserve">Analysis </w:t>
      </w:r>
    </w:p>
    <w:p w14:paraId="6DA3A6CF" w14:textId="57F34E04" w:rsidR="00B7792A" w:rsidRDefault="00B7792A" w:rsidP="00B7792A">
      <w:pPr>
        <w:pStyle w:val="Body"/>
      </w:pPr>
      <w:r>
        <w:t xml:space="preserve">As part of IHPA’s role to deliver fair funding for hospitals across the country through the setting of the national efficient price for public hospital services, the agency is required to manage cost-shifting and cross-border disputes under section 138 of the </w:t>
      </w:r>
      <w:r w:rsidRPr="006B23C7">
        <w:rPr>
          <w:i/>
        </w:rPr>
        <w:t>National Health Reform Act 2011</w:t>
      </w:r>
      <w:r>
        <w:t xml:space="preserve"> and clauses A110 to A126 of the Addendum to the National Health Reform Agreement 2020–25. </w:t>
      </w:r>
    </w:p>
    <w:p w14:paraId="3A433B33" w14:textId="77777777" w:rsidR="00B7792A" w:rsidRDefault="00B7792A" w:rsidP="00B7792A">
      <w:pPr>
        <w:pStyle w:val="Body"/>
      </w:pPr>
      <w:r>
        <w:t xml:space="preserve">IHPA follows the process outlined in the Cost-Shifting and Cross-Border Dispute Resolution Framework (the Framework) to investigate cross-border disputes to ensure they are managed in a timely, equitable and transparent manner. </w:t>
      </w:r>
    </w:p>
    <w:p w14:paraId="4042F1DD" w14:textId="2C04E0F9" w:rsidR="00B7792A" w:rsidRDefault="00B7792A" w:rsidP="00B7792A">
      <w:pPr>
        <w:pStyle w:val="Body"/>
      </w:pPr>
      <w:r>
        <w:t>The Pricing Authority and Chief Executive Officer of IHPA review the Framework</w:t>
      </w:r>
      <w:r w:rsidR="00F54D46">
        <w:t>,</w:t>
      </w:r>
      <w:r>
        <w:t xml:space="preserve"> including associated documentation, annually or as required. The Framework was last reviewed in April 2021.</w:t>
      </w:r>
    </w:p>
    <w:p w14:paraId="4D4ACE57" w14:textId="11A1211D" w:rsidR="00B93CB4" w:rsidRDefault="00B7792A" w:rsidP="00B7792A">
      <w:pPr>
        <w:pStyle w:val="Body"/>
        <w:sectPr w:rsidR="00B93CB4" w:rsidSect="00441579">
          <w:footerReference w:type="default" r:id="rId154"/>
          <w:pgSz w:w="9979" w:h="14175"/>
          <w:pgMar w:top="1134" w:right="1134" w:bottom="1134" w:left="1134" w:header="709" w:footer="709" w:gutter="0"/>
          <w:cols w:space="708"/>
          <w:docGrid w:linePitch="360"/>
        </w:sectPr>
      </w:pPr>
      <w:r>
        <w:t>In October 2020, IHPA received a submission from Q</w:t>
      </w:r>
      <w:r w:rsidR="00AB2D2F">
        <w:t>ueensland</w:t>
      </w:r>
      <w:r>
        <w:t xml:space="preserve"> with regards to cross-border funding contributions for N</w:t>
      </w:r>
      <w:r w:rsidR="00AB2D2F">
        <w:t xml:space="preserve">ew </w:t>
      </w:r>
      <w:r>
        <w:t>S</w:t>
      </w:r>
      <w:r w:rsidR="00AB2D2F">
        <w:t xml:space="preserve">outh </w:t>
      </w:r>
      <w:r>
        <w:t>W</w:t>
      </w:r>
      <w:r w:rsidR="00AB2D2F">
        <w:t>ales</w:t>
      </w:r>
      <w:r>
        <w:t xml:space="preserve"> residents treated in Q</w:t>
      </w:r>
      <w:r w:rsidR="00AB2D2F">
        <w:t>ueensland</w:t>
      </w:r>
      <w:r>
        <w:t xml:space="preserve"> hospitals. Through the Framework, IHPA</w:t>
      </w:r>
      <w:r w:rsidR="00D378EB">
        <w:t> </w:t>
      </w:r>
      <w:r>
        <w:t xml:space="preserve">employs six key stages in order to make recommendations to resolve </w:t>
      </w:r>
      <w:r w:rsidR="000D140D">
        <w:t xml:space="preserve">a </w:t>
      </w:r>
      <w:r>
        <w:t>dispute. In following this</w:t>
      </w:r>
      <w:r w:rsidR="00D378EB">
        <w:t> </w:t>
      </w:r>
      <w:r>
        <w:t>process, terms were agreed by the jurisdictions and no recommendation was required by IHPA</w:t>
      </w:r>
      <w:r w:rsidR="00BC5F42">
        <w:t>.</w:t>
      </w:r>
    </w:p>
    <w:p w14:paraId="6E8AE0AD" w14:textId="1F577EBC" w:rsidR="00B7792A" w:rsidRPr="005D1A5D" w:rsidRDefault="00B7792A" w:rsidP="006544B5">
      <w:pPr>
        <w:pStyle w:val="H3"/>
        <w:rPr>
          <w:color w:val="5E2F7E" w:themeColor="accent5"/>
          <w:sz w:val="32"/>
          <w:szCs w:val="32"/>
        </w:rPr>
      </w:pPr>
      <w:r w:rsidRPr="005D1A5D">
        <w:rPr>
          <w:color w:val="5E2F7E" w:themeColor="accent5"/>
          <w:sz w:val="32"/>
          <w:szCs w:val="32"/>
        </w:rPr>
        <w:lastRenderedPageBreak/>
        <w:t>Activity 6: Independent and transparent decision‑making and engagement with</w:t>
      </w:r>
      <w:r w:rsidR="0009119B">
        <w:rPr>
          <w:color w:val="5E2F7E" w:themeColor="accent5"/>
          <w:sz w:val="32"/>
          <w:szCs w:val="32"/>
        </w:rPr>
        <w:t> </w:t>
      </w:r>
      <w:r w:rsidRPr="005D1A5D">
        <w:rPr>
          <w:color w:val="5E2F7E" w:themeColor="accent5"/>
          <w:sz w:val="32"/>
          <w:szCs w:val="32"/>
        </w:rPr>
        <w:t>stakeholders</w:t>
      </w:r>
    </w:p>
    <w:p w14:paraId="60DA30A7" w14:textId="41A3530E" w:rsidR="00B7792A" w:rsidRPr="00C41F5A" w:rsidRDefault="00B7792A" w:rsidP="006544B5">
      <w:pPr>
        <w:rPr>
          <w:color w:val="1C1C1C"/>
          <w:sz w:val="18"/>
          <w:szCs w:val="18"/>
        </w:rPr>
      </w:pPr>
      <w:r w:rsidRPr="00C41F5A">
        <w:rPr>
          <w:color w:val="1C1C1C"/>
          <w:sz w:val="18"/>
          <w:szCs w:val="18"/>
        </w:rPr>
        <w:t>IHPA works in partnership with the Australian Government, state and territory governments and</w:t>
      </w:r>
      <w:r>
        <w:rPr>
          <w:color w:val="1C1C1C"/>
          <w:sz w:val="18"/>
          <w:szCs w:val="18"/>
        </w:rPr>
        <w:t> </w:t>
      </w:r>
      <w:r w:rsidRPr="00C41F5A">
        <w:rPr>
          <w:color w:val="1C1C1C"/>
          <w:sz w:val="18"/>
          <w:szCs w:val="18"/>
        </w:rPr>
        <w:t>other stakeholders. IHPA conducts its work independently from governments, which allows the agency to deliver</w:t>
      </w:r>
      <w:r w:rsidR="00743605">
        <w:rPr>
          <w:color w:val="1C1C1C"/>
          <w:sz w:val="18"/>
          <w:szCs w:val="18"/>
        </w:rPr>
        <w:t> </w:t>
      </w:r>
      <w:r w:rsidRPr="00C41F5A">
        <w:rPr>
          <w:color w:val="1C1C1C"/>
          <w:sz w:val="18"/>
          <w:szCs w:val="18"/>
        </w:rPr>
        <w:t>impartial, evidence‑based decisions. I</w:t>
      </w:r>
      <w:r w:rsidR="000D140D">
        <w:rPr>
          <w:color w:val="1C1C1C"/>
          <w:sz w:val="18"/>
          <w:szCs w:val="18"/>
        </w:rPr>
        <w:t>HPA</w:t>
      </w:r>
      <w:r w:rsidRPr="00C41F5A">
        <w:rPr>
          <w:color w:val="1C1C1C"/>
          <w:sz w:val="18"/>
          <w:szCs w:val="18"/>
        </w:rPr>
        <w:t xml:space="preserve"> is transparent in its decision‑making processes and consults</w:t>
      </w:r>
      <w:r w:rsidR="00743605">
        <w:rPr>
          <w:color w:val="1C1C1C"/>
          <w:sz w:val="18"/>
          <w:szCs w:val="18"/>
        </w:rPr>
        <w:t> </w:t>
      </w:r>
      <w:r w:rsidRPr="00C41F5A">
        <w:rPr>
          <w:color w:val="1C1C1C"/>
          <w:sz w:val="18"/>
          <w:szCs w:val="18"/>
        </w:rPr>
        <w:t>extensively across the health industry.</w:t>
      </w:r>
    </w:p>
    <w:p w14:paraId="2D894E69" w14:textId="7AB27099" w:rsidR="00B7792A" w:rsidRDefault="00B7792A" w:rsidP="006544B5">
      <w:pPr>
        <w:pStyle w:val="Body"/>
      </w:pPr>
      <w:r w:rsidRPr="00C41F5A">
        <w:t>Extensive consultation with governments and stakeholders informs the methodology that underpins IHPA’s decisions and work program. IHPA has a formal consultation framework in place to ensure that it draws on an</w:t>
      </w:r>
      <w:r w:rsidR="00D26B0D">
        <w:t> </w:t>
      </w:r>
      <w:r w:rsidRPr="00C41F5A">
        <w:t>extensive range of expertise in undertaking its functions. Input from stakeholders, through IHPA’s multiple committees and working groups, ensures that IHPA’s work is informed by expert clinical advice, which helps to</w:t>
      </w:r>
      <w:r>
        <w:t> </w:t>
      </w:r>
      <w:r w:rsidR="00F20DC1">
        <w:t>maintain</w:t>
      </w:r>
      <w:r w:rsidRPr="00C41F5A">
        <w:t xml:space="preserve"> IHPA’s credibility throughout the industry</w:t>
      </w:r>
      <w:r>
        <w:t>.</w:t>
      </w:r>
    </w:p>
    <w:p w14:paraId="0791E086" w14:textId="6AB92070" w:rsidR="00B7792A" w:rsidRPr="00434223" w:rsidRDefault="00B7792A" w:rsidP="006544B5">
      <w:pPr>
        <w:pStyle w:val="FigureHeading"/>
        <w:spacing w:after="120"/>
      </w:pPr>
      <w:bookmarkStart w:id="121" w:name="_Toc77354572"/>
      <w:bookmarkStart w:id="122" w:name="_Toc82510948"/>
      <w:r>
        <w:t>Figure 1</w:t>
      </w:r>
      <w:r w:rsidR="00A30F40">
        <w:t>2</w:t>
      </w:r>
      <w:r w:rsidRPr="00434223">
        <w:t xml:space="preserve">: Relationship between sources </w:t>
      </w:r>
      <w:r w:rsidRPr="00A356AA">
        <w:t>for</w:t>
      </w:r>
      <w:r w:rsidRPr="00434223">
        <w:t xml:space="preserve"> reporting of </w:t>
      </w:r>
      <w:r>
        <w:t>Activity 6</w:t>
      </w:r>
      <w:bookmarkEnd w:id="121"/>
      <w:bookmarkEnd w:id="122"/>
    </w:p>
    <w:p w14:paraId="025F2802" w14:textId="77777777" w:rsidR="00B7792A" w:rsidRPr="009A17F6" w:rsidRDefault="00B7792A" w:rsidP="006544B5">
      <w:pPr>
        <w:pStyle w:val="H3"/>
        <w:spacing w:before="120"/>
        <w:rPr>
          <w:color w:val="5E2F7E" w:themeColor="accent5"/>
        </w:rPr>
      </w:pPr>
      <w:r w:rsidRPr="009A17F6">
        <w:rPr>
          <w:color w:val="5E2F7E" w:themeColor="accent5"/>
        </w:rPr>
        <w:t>Sources of reporting for the Annual Report 2020</w:t>
      </w:r>
      <w:r w:rsidRPr="000A75C4">
        <w:rPr>
          <w:color w:val="5E2F7E" w:themeColor="accent5"/>
        </w:rPr>
        <w:t>–</w:t>
      </w:r>
      <w:r w:rsidRPr="009A17F6">
        <w:rPr>
          <w:color w:val="5E2F7E" w:themeColor="accent5"/>
        </w:rPr>
        <w:t>21 Performance</w:t>
      </w:r>
      <w:r>
        <w:rPr>
          <w:color w:val="5E2F7E" w:themeColor="accent5"/>
        </w:rPr>
        <w:t> </w:t>
      </w:r>
      <w:r w:rsidRPr="009A17F6">
        <w:rPr>
          <w:color w:val="5E2F7E" w:themeColor="accent5"/>
        </w:rPr>
        <w:t>Statement</w:t>
      </w:r>
    </w:p>
    <w:p w14:paraId="178E9877" w14:textId="77777777" w:rsidR="00B7792A" w:rsidRPr="009A17F6" w:rsidRDefault="00B7792A" w:rsidP="00B7792A">
      <w:pPr>
        <w:pStyle w:val="H4"/>
        <w:spacing w:before="120"/>
        <w:rPr>
          <w:color w:val="5E2F7E" w:themeColor="accent5"/>
        </w:rPr>
      </w:pPr>
      <w:r w:rsidRPr="00220A32">
        <w:rPr>
          <w:color w:val="5E2F7E" w:themeColor="accent5"/>
          <w:lang w:val="en-US"/>
        </w:rPr>
        <w:t>Portfolio Budget Statements 2020–21</w:t>
      </w:r>
    </w:p>
    <w:tbl>
      <w:tblPr>
        <w:tblStyle w:val="TableGrid"/>
        <w:tblW w:w="4966" w:type="pct"/>
        <w:tblCellMar>
          <w:top w:w="113" w:type="dxa"/>
        </w:tblCellMar>
        <w:tblLook w:val="04A0" w:firstRow="1" w:lastRow="0" w:firstColumn="1" w:lastColumn="0" w:noHBand="0" w:noVBand="1"/>
        <w:tblCaption w:val="Figure 12"/>
        <w:tblDescription w:val="Outcome 1"/>
      </w:tblPr>
      <w:tblGrid>
        <w:gridCol w:w="2687"/>
        <w:gridCol w:w="424"/>
        <w:gridCol w:w="1419"/>
        <w:gridCol w:w="425"/>
        <w:gridCol w:w="2681"/>
      </w:tblGrid>
      <w:tr w:rsidR="00FD1D99" w14:paraId="1F363BF0" w14:textId="77777777" w:rsidTr="006544B5">
        <w:trPr>
          <w:cnfStyle w:val="100000000000" w:firstRow="1" w:lastRow="0" w:firstColumn="0" w:lastColumn="0" w:oddVBand="0" w:evenVBand="0" w:oddHBand="0" w:evenHBand="0" w:firstRowFirstColumn="0" w:firstRowLastColumn="0" w:lastRowFirstColumn="0" w:lastRowLastColumn="0"/>
          <w:trHeight w:val="1071"/>
        </w:trPr>
        <w:tc>
          <w:tcPr>
            <w:tcW w:w="1761" w:type="pct"/>
            <w:vMerge w:val="restart"/>
          </w:tcPr>
          <w:p w14:paraId="333D78A1" w14:textId="77777777" w:rsidR="00FD1D99" w:rsidRPr="00CD0946" w:rsidRDefault="00FD1D99" w:rsidP="006544B5">
            <w:pPr>
              <w:pStyle w:val="H4"/>
              <w:spacing w:before="120"/>
              <w:rPr>
                <w:color w:val="FFFFFF" w:themeColor="background2"/>
              </w:rPr>
            </w:pPr>
            <w:r w:rsidRPr="00CD0946">
              <w:rPr>
                <w:color w:val="FFFFFF" w:themeColor="background2"/>
              </w:rPr>
              <w:t>Outcome</w:t>
            </w:r>
            <w:r>
              <w:rPr>
                <w:color w:val="FFFFFF" w:themeColor="background2"/>
              </w:rPr>
              <w:t xml:space="preserve"> 1</w:t>
            </w:r>
          </w:p>
          <w:p w14:paraId="584978C7" w14:textId="648D5571" w:rsidR="00FD1D99" w:rsidRPr="009A17F6" w:rsidRDefault="00FD1D99" w:rsidP="006544B5">
            <w:pPr>
              <w:pStyle w:val="Body"/>
              <w:spacing w:before="120"/>
              <w:rPr>
                <w:color w:val="FFFFFF" w:themeColor="background2"/>
                <w:sz w:val="16"/>
                <w:szCs w:val="16"/>
              </w:rPr>
            </w:pPr>
            <w:r w:rsidRPr="009A17F6">
              <w:rPr>
                <w:color w:val="FFFFFF" w:themeColor="background2"/>
                <w:sz w:val="16"/>
                <w:szCs w:val="16"/>
              </w:rPr>
              <w:t>Promote improved efficiency in, and</w:t>
            </w:r>
            <w:r w:rsidR="003636AD">
              <w:rPr>
                <w:color w:val="FFFFFF" w:themeColor="background2"/>
                <w:sz w:val="16"/>
                <w:szCs w:val="16"/>
              </w:rPr>
              <w:t> </w:t>
            </w:r>
            <w:r w:rsidRPr="009A17F6">
              <w:rPr>
                <w:color w:val="FFFFFF" w:themeColor="background2"/>
                <w:sz w:val="16"/>
                <w:szCs w:val="16"/>
              </w:rPr>
              <w:t>access to, public hospital services primarily through setting efficient national prices and levels of block funding for hospital activities</w:t>
            </w:r>
            <w:r w:rsidR="009C37E2">
              <w:rPr>
                <w:color w:val="FFFFFF" w:themeColor="background2"/>
                <w:sz w:val="16"/>
                <w:szCs w:val="16"/>
              </w:rPr>
              <w:t>.</w:t>
            </w:r>
          </w:p>
        </w:tc>
        <w:tc>
          <w:tcPr>
            <w:tcW w:w="278" w:type="pct"/>
            <w:vMerge w:val="restart"/>
            <w:shd w:val="clear" w:color="auto" w:fill="FFFFFF" w:themeFill="background2"/>
          </w:tcPr>
          <w:p w14:paraId="15AB3E4A" w14:textId="77777777" w:rsidR="00FD1D99" w:rsidRDefault="00FD1D99" w:rsidP="006544B5">
            <w:pPr>
              <w:pStyle w:val="Body"/>
            </w:pPr>
            <w:r>
              <w:rPr>
                <w:noProof/>
                <w:color w:val="FFFFFF" w:themeColor="background2"/>
                <w:lang w:val="en-AU" w:eastAsia="en-AU"/>
              </w:rPr>
              <mc:AlternateContent>
                <mc:Choice Requires="wps">
                  <w:drawing>
                    <wp:anchor distT="0" distB="0" distL="114300" distR="114300" simplePos="0" relativeHeight="251814912" behindDoc="0" locked="0" layoutInCell="1" allowOverlap="1" wp14:anchorId="09266E65" wp14:editId="03CAFAAC">
                      <wp:simplePos x="0" y="0"/>
                      <wp:positionH relativeFrom="column">
                        <wp:posOffset>-83160</wp:posOffset>
                      </wp:positionH>
                      <wp:positionV relativeFrom="paragraph">
                        <wp:posOffset>885825</wp:posOffset>
                      </wp:positionV>
                      <wp:extent cx="289560" cy="0"/>
                      <wp:effectExtent l="0" t="95250" r="0" b="95250"/>
                      <wp:wrapNone/>
                      <wp:docPr id="147" name="Straight Arrow Connector 1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5095B6" id="Straight Arrow Connector 147" o:spid="_x0000_s1026" type="#_x0000_t32" alt="&quot;&quot;" style="position:absolute;margin-left:-6.55pt;margin-top:69.75pt;width:22.8pt;height:0;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" strokecolor="#5e2f7e [3208]" strokeweight="2.25pt">
                      <v:stroke endarrow="open" joinstyle="miter"/>
                    </v:shape>
                  </w:pict>
                </mc:Fallback>
              </mc:AlternateContent>
            </w:r>
            <w:r>
              <w:rPr>
                <w:noProof/>
                <w:color w:val="FFFFFF" w:themeColor="background2"/>
                <w:lang w:val="en-AU" w:eastAsia="en-AU"/>
              </w:rPr>
              <mc:AlternateContent>
                <mc:Choice Requires="wps">
                  <w:drawing>
                    <wp:anchor distT="0" distB="0" distL="114300" distR="114300" simplePos="0" relativeHeight="251813888" behindDoc="0" locked="0" layoutInCell="1" allowOverlap="1" wp14:anchorId="37C36EDF" wp14:editId="51CE85B2">
                      <wp:simplePos x="0" y="0"/>
                      <wp:positionH relativeFrom="column">
                        <wp:posOffset>-82814</wp:posOffset>
                      </wp:positionH>
                      <wp:positionV relativeFrom="paragraph">
                        <wp:posOffset>157631</wp:posOffset>
                      </wp:positionV>
                      <wp:extent cx="289711" cy="0"/>
                      <wp:effectExtent l="0" t="95250" r="0" b="95250"/>
                      <wp:wrapNone/>
                      <wp:docPr id="148" name="Straight Arrow Connector 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711"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BA41AA" id="Straight Arrow Connector 148" o:spid="_x0000_s1026" type="#_x0000_t32" alt="&quot;&quot;" style="position:absolute;margin-left:-6.5pt;margin-top:12.4pt;width:22.8pt;height:0;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" strokecolor="#5e2f7e [3208]" strokeweight="2.25pt">
                      <v:stroke endarrow="open" joinstyle="miter"/>
                    </v:shape>
                  </w:pict>
                </mc:Fallback>
              </mc:AlternateContent>
            </w:r>
          </w:p>
        </w:tc>
        <w:tc>
          <w:tcPr>
            <w:tcW w:w="926" w:type="pct"/>
            <w:shd w:val="clear" w:color="auto" w:fill="DCD3E2"/>
          </w:tcPr>
          <w:tbl>
            <w:tblPr>
              <w:tblStyle w:val="TableGrid"/>
              <w:tblW w:w="5000" w:type="pct"/>
              <w:tblLook w:val="04A0" w:firstRow="1" w:lastRow="0" w:firstColumn="1" w:lastColumn="0" w:noHBand="0" w:noVBand="1"/>
            </w:tblPr>
            <w:tblGrid>
              <w:gridCol w:w="1183"/>
            </w:tblGrid>
            <w:tr w:rsidR="00FD1D99" w14:paraId="3083E219"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6581681C" w14:textId="7AC1D0F9" w:rsidR="00FD1D99" w:rsidRDefault="00FD1D99" w:rsidP="0051776D">
                  <w:pPr>
                    <w:pStyle w:val="H4"/>
                    <w:spacing w:before="40" w:after="40"/>
                    <w:rPr>
                      <w:color w:val="5E2F7E" w:themeColor="accent5"/>
                    </w:rPr>
                  </w:pPr>
                  <w:r>
                    <w:rPr>
                      <w:color w:val="5E2F7E" w:themeColor="accent5"/>
                    </w:rPr>
                    <w:t>Work Program 2020</w:t>
                  </w:r>
                  <w:r w:rsidR="006E63B9">
                    <w:rPr>
                      <w:color w:val="5E2F7E" w:themeColor="accent5"/>
                    </w:rPr>
                    <w:t>–</w:t>
                  </w:r>
                  <w:r>
                    <w:rPr>
                      <w:color w:val="5E2F7E" w:themeColor="accent5"/>
                    </w:rPr>
                    <w:t>21</w:t>
                  </w:r>
                </w:p>
              </w:tc>
            </w:tr>
          </w:tbl>
          <w:p w14:paraId="4E85B073" w14:textId="77777777" w:rsidR="00FD1D99" w:rsidRPr="00181E61" w:rsidRDefault="00FD1D99" w:rsidP="006544B5">
            <w:pPr>
              <w:pStyle w:val="H4"/>
              <w:spacing w:before="120" w:after="120"/>
              <w:rPr>
                <w:color w:val="5E2F7E" w:themeColor="accent5"/>
              </w:rPr>
            </w:pPr>
          </w:p>
        </w:tc>
        <w:tc>
          <w:tcPr>
            <w:tcW w:w="279" w:type="pct"/>
            <w:vMerge w:val="restart"/>
            <w:tcBorders>
              <w:right w:val="single" w:sz="18" w:space="0" w:color="5E2F7E" w:themeColor="accent5"/>
            </w:tcBorders>
            <w:shd w:val="clear" w:color="auto" w:fill="FFFFFF" w:themeFill="background2"/>
          </w:tcPr>
          <w:p w14:paraId="79CEFDAC" w14:textId="77777777" w:rsidR="00FD1D99" w:rsidRDefault="00FD1D99" w:rsidP="006544B5">
            <w:pPr>
              <w:pStyle w:val="H4"/>
              <w:spacing w:before="120" w:after="120"/>
            </w:pPr>
            <w:r>
              <w:rPr>
                <w:noProof/>
                <w:color w:val="FFFFFF" w:themeColor="background2"/>
                <w:lang w:val="en-AU" w:eastAsia="en-AU"/>
              </w:rPr>
              <mc:AlternateContent>
                <mc:Choice Requires="wps">
                  <w:drawing>
                    <wp:anchor distT="0" distB="0" distL="114300" distR="114300" simplePos="0" relativeHeight="251816960" behindDoc="0" locked="0" layoutInCell="1" allowOverlap="1" wp14:anchorId="77F89A30" wp14:editId="4829B9D5">
                      <wp:simplePos x="0" y="0"/>
                      <wp:positionH relativeFrom="column">
                        <wp:posOffset>-75686</wp:posOffset>
                      </wp:positionH>
                      <wp:positionV relativeFrom="page">
                        <wp:posOffset>885300</wp:posOffset>
                      </wp:positionV>
                      <wp:extent cx="278130" cy="0"/>
                      <wp:effectExtent l="0" t="95250" r="7620" b="95250"/>
                      <wp:wrapNone/>
                      <wp:docPr id="149" name="Straight Arrow Connector 1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8280AF" id="Straight Arrow Connector 149" o:spid="_x0000_s1026" type="#_x0000_t32" alt="&quot;&quot;" style="position:absolute;margin-left:-5.95pt;margin-top:69.7pt;width:21.9pt;height:0;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" strokecolor="#5e2f7e [3208]" strokeweight="2.25pt">
                      <v:stroke endarrow="open" joinstyle="miter"/>
                      <w10:wrap anchory="page"/>
                    </v:shape>
                  </w:pict>
                </mc:Fallback>
              </mc:AlternateContent>
            </w:r>
            <w:r>
              <w:rPr>
                <w:noProof/>
                <w:color w:val="FFFFFF" w:themeColor="background2"/>
                <w:lang w:val="en-AU" w:eastAsia="en-AU"/>
              </w:rPr>
              <mc:AlternateContent>
                <mc:Choice Requires="wps">
                  <w:drawing>
                    <wp:anchor distT="0" distB="0" distL="114300" distR="114300" simplePos="0" relativeHeight="251815936" behindDoc="0" locked="0" layoutInCell="1" allowOverlap="1" wp14:anchorId="127EBE16" wp14:editId="7AEBEE81">
                      <wp:simplePos x="0" y="0"/>
                      <wp:positionH relativeFrom="column">
                        <wp:posOffset>-75565</wp:posOffset>
                      </wp:positionH>
                      <wp:positionV relativeFrom="page">
                        <wp:posOffset>128173</wp:posOffset>
                      </wp:positionV>
                      <wp:extent cx="278130" cy="0"/>
                      <wp:effectExtent l="0" t="95250" r="7620" b="95250"/>
                      <wp:wrapNone/>
                      <wp:docPr id="150" name="Straight Arrow Connector 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7813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E823AD" id="Straight Arrow Connector 150" o:spid="_x0000_s1026" type="#_x0000_t32" alt="&quot;&quot;" style="position:absolute;margin-left:-5.95pt;margin-top:10.1pt;width:21.9pt;height:0;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" strokecolor="#5e2f7e [3208]" strokeweight="2.25pt">
                      <v:stroke endarrow="open" joinstyle="miter"/>
                      <w10:wrap anchory="page"/>
                    </v:shape>
                  </w:pict>
                </mc:Fallback>
              </mc:AlternateContent>
            </w:r>
          </w:p>
        </w:tc>
        <w:tc>
          <w:tcPr>
            <w:tcW w:w="1756" w:type="pct"/>
            <w:tcBorders>
              <w:top w:val="single" w:sz="18" w:space="0" w:color="5E2F7E" w:themeColor="accent5"/>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2"/>
              <w:gridCol w:w="1233"/>
            </w:tblGrid>
            <w:tr w:rsidR="00FD1D99" w:rsidRPr="00A137B9" w14:paraId="1F3C9232" w14:textId="77777777" w:rsidTr="006544B5">
              <w:tc>
                <w:tcPr>
                  <w:tcW w:w="2500" w:type="pct"/>
                  <w:shd w:val="clear" w:color="auto" w:fill="FFFFFF" w:themeFill="background2"/>
                </w:tcPr>
                <w:p w14:paraId="14E69DC8" w14:textId="70096EF4" w:rsidR="00FD1D99" w:rsidRPr="00A137B9" w:rsidRDefault="00FD1D99" w:rsidP="006544B5">
                  <w:pPr>
                    <w:pStyle w:val="Body-Financial"/>
                    <w:spacing w:before="120" w:after="0"/>
                  </w:pPr>
                  <w:r w:rsidRPr="00A137B9">
                    <w:rPr>
                      <w:b/>
                      <w:bCs/>
                    </w:rPr>
                    <w:t xml:space="preserve">Strategic objective </w:t>
                  </w:r>
                  <w:r>
                    <w:rPr>
                      <w:b/>
                      <w:bCs/>
                    </w:rPr>
                    <w:t>6</w:t>
                  </w:r>
                  <w:r>
                    <w:br/>
                  </w:r>
                  <w:r w:rsidRPr="00FD1D99">
                    <w:t>Independent and</w:t>
                  </w:r>
                  <w:r w:rsidR="009F39A0">
                    <w:t> </w:t>
                  </w:r>
                  <w:r w:rsidRPr="00FD1D99">
                    <w:t>transparent decision</w:t>
                  </w:r>
                  <w:r w:rsidR="009F39A0">
                    <w:noBreakHyphen/>
                  </w:r>
                  <w:r w:rsidRPr="00FD1D99">
                    <w:t>making and</w:t>
                  </w:r>
                  <w:r w:rsidR="009F39A0">
                    <w:t> </w:t>
                  </w:r>
                  <w:r w:rsidRPr="00FD1D99">
                    <w:t>engagement with</w:t>
                  </w:r>
                  <w:r w:rsidR="009F39A0">
                    <w:t> </w:t>
                  </w:r>
                  <w:r w:rsidRPr="00FD1D99">
                    <w:t>stakeholders</w:t>
                  </w:r>
                </w:p>
              </w:tc>
              <w:tc>
                <w:tcPr>
                  <w:tcW w:w="2500" w:type="pct"/>
                  <w:shd w:val="clear" w:color="auto" w:fill="FFFFFF" w:themeFill="background2"/>
                </w:tcPr>
                <w:p w14:paraId="6E3FC384" w14:textId="7F106AD0" w:rsidR="00FD1D99" w:rsidRPr="00A137B9" w:rsidRDefault="00FD1D99" w:rsidP="006544B5">
                  <w:pPr>
                    <w:pStyle w:val="Body-Financial"/>
                    <w:spacing w:before="120" w:after="0"/>
                  </w:pPr>
                  <w:r w:rsidRPr="009A17F6">
                    <w:t xml:space="preserve">Activity </w:t>
                  </w:r>
                  <w:r>
                    <w:t>6</w:t>
                  </w:r>
                  <w:r w:rsidRPr="009A17F6">
                    <w:t>:</w:t>
                  </w:r>
                  <w:r w:rsidRPr="009A17F6">
                    <w:br/>
                  </w:r>
                  <w:r w:rsidR="009F39A0" w:rsidRPr="009F39A0">
                    <w:t>Independent and</w:t>
                  </w:r>
                  <w:r w:rsidR="009C37E2">
                    <w:t> </w:t>
                  </w:r>
                  <w:r w:rsidR="009F39A0" w:rsidRPr="009F39A0">
                    <w:t>transparent decision</w:t>
                  </w:r>
                  <w:r w:rsidR="009C37E2">
                    <w:noBreakHyphen/>
                  </w:r>
                  <w:r w:rsidR="009F39A0" w:rsidRPr="009F39A0">
                    <w:t>making and</w:t>
                  </w:r>
                  <w:r w:rsidR="009C37E2">
                    <w:t> </w:t>
                  </w:r>
                  <w:r w:rsidR="009F39A0" w:rsidRPr="009F39A0">
                    <w:t>engagement with</w:t>
                  </w:r>
                  <w:r w:rsidR="009C37E2">
                    <w:t> </w:t>
                  </w:r>
                  <w:r w:rsidR="009F39A0" w:rsidRPr="009F39A0">
                    <w:t>stakeholders</w:t>
                  </w:r>
                </w:p>
              </w:tc>
            </w:tr>
          </w:tbl>
          <w:p w14:paraId="71C149B9" w14:textId="77777777" w:rsidR="00FD1D99" w:rsidRDefault="00FD1D99" w:rsidP="006544B5">
            <w:pPr>
              <w:pStyle w:val="Body-Financial"/>
              <w:spacing w:before="120" w:after="0"/>
            </w:pPr>
          </w:p>
        </w:tc>
      </w:tr>
      <w:tr w:rsidR="00FD1D99" w14:paraId="327890DE" w14:textId="77777777" w:rsidTr="00FD1D99">
        <w:trPr>
          <w:cnfStyle w:val="100000000000" w:firstRow="1" w:lastRow="0" w:firstColumn="0" w:lastColumn="0" w:oddVBand="0" w:evenVBand="0" w:oddHBand="0" w:evenHBand="0" w:firstRowFirstColumn="0" w:firstRowLastColumn="0" w:lastRowFirstColumn="0" w:lastRowLastColumn="0"/>
          <w:trHeight w:val="1054"/>
        </w:trPr>
        <w:tc>
          <w:tcPr>
            <w:tcW w:w="1761" w:type="pct"/>
            <w:vMerge/>
          </w:tcPr>
          <w:p w14:paraId="7EA6383B" w14:textId="77777777" w:rsidR="00FD1D99" w:rsidRPr="00CD0946" w:rsidRDefault="00FD1D99" w:rsidP="006544B5">
            <w:pPr>
              <w:pStyle w:val="H4"/>
              <w:spacing w:before="120"/>
              <w:rPr>
                <w:color w:val="FFFFFF" w:themeColor="background2"/>
              </w:rPr>
            </w:pPr>
          </w:p>
        </w:tc>
        <w:tc>
          <w:tcPr>
            <w:tcW w:w="278" w:type="pct"/>
            <w:vMerge/>
            <w:shd w:val="clear" w:color="auto" w:fill="FFFFFF" w:themeFill="background2"/>
          </w:tcPr>
          <w:p w14:paraId="49C82BAA" w14:textId="77777777" w:rsidR="00FD1D99" w:rsidRDefault="00FD1D99" w:rsidP="006544B5">
            <w:pPr>
              <w:pStyle w:val="Body"/>
              <w:rPr>
                <w:noProof/>
                <w:color w:val="FFFFFF" w:themeColor="background2"/>
              </w:rPr>
            </w:pPr>
          </w:p>
        </w:tc>
        <w:tc>
          <w:tcPr>
            <w:tcW w:w="926" w:type="pct"/>
            <w:shd w:val="clear" w:color="auto" w:fill="DCD3E2"/>
          </w:tcPr>
          <w:tbl>
            <w:tblPr>
              <w:tblStyle w:val="TableGrid"/>
              <w:tblW w:w="5000" w:type="pct"/>
              <w:tblLook w:val="04A0" w:firstRow="1" w:lastRow="0" w:firstColumn="1" w:lastColumn="0" w:noHBand="0" w:noVBand="1"/>
            </w:tblPr>
            <w:tblGrid>
              <w:gridCol w:w="1183"/>
            </w:tblGrid>
            <w:tr w:rsidR="00FD1D99" w14:paraId="743C1E63" w14:textId="77777777" w:rsidTr="0051776D">
              <w:trPr>
                <w:cnfStyle w:val="100000000000" w:firstRow="1" w:lastRow="0" w:firstColumn="0" w:lastColumn="0" w:oddVBand="0" w:evenVBand="0" w:oddHBand="0" w:evenHBand="0" w:firstRowFirstColumn="0" w:firstRowLastColumn="0" w:lastRowFirstColumn="0" w:lastRowLastColumn="0"/>
              </w:trPr>
              <w:tc>
                <w:tcPr>
                  <w:tcW w:w="5000" w:type="pct"/>
                  <w:tcBorders>
                    <w:top w:val="single" w:sz="8" w:space="0" w:color="5E2F7E" w:themeColor="accent5"/>
                    <w:left w:val="single" w:sz="8" w:space="0" w:color="5E2F7E" w:themeColor="accent5"/>
                    <w:bottom w:val="single" w:sz="8" w:space="0" w:color="5E2F7E" w:themeColor="accent5"/>
                    <w:right w:val="single" w:sz="8" w:space="0" w:color="5E2F7E" w:themeColor="accent5"/>
                  </w:tcBorders>
                  <w:shd w:val="clear" w:color="auto" w:fill="DCD3E2"/>
                </w:tcPr>
                <w:p w14:paraId="1F3FF8E5" w14:textId="1AEA3DA9" w:rsidR="00FD1D99" w:rsidRDefault="00FD1D99" w:rsidP="0051776D">
                  <w:pPr>
                    <w:pStyle w:val="H4"/>
                    <w:spacing w:before="40" w:after="40"/>
                    <w:rPr>
                      <w:color w:val="5E2F7E" w:themeColor="accent5"/>
                    </w:rPr>
                  </w:pPr>
                  <w:r>
                    <w:rPr>
                      <w:color w:val="5E2F7E" w:themeColor="accent5"/>
                    </w:rPr>
                    <w:t>Corporate Plan 2020</w:t>
                  </w:r>
                  <w:r w:rsidR="006E63B9">
                    <w:rPr>
                      <w:color w:val="5E2F7E" w:themeColor="accent5"/>
                    </w:rPr>
                    <w:t>–</w:t>
                  </w:r>
                  <w:r>
                    <w:rPr>
                      <w:color w:val="5E2F7E" w:themeColor="accent5"/>
                    </w:rPr>
                    <w:t>21</w:t>
                  </w:r>
                </w:p>
              </w:tc>
            </w:tr>
          </w:tbl>
          <w:p w14:paraId="4166BAD2" w14:textId="77777777" w:rsidR="00FD1D99" w:rsidRPr="00181E61" w:rsidRDefault="00FD1D99" w:rsidP="006544B5">
            <w:pPr>
              <w:pStyle w:val="H4"/>
              <w:spacing w:before="120" w:after="120"/>
              <w:rPr>
                <w:color w:val="5E2F7E" w:themeColor="accent5"/>
              </w:rPr>
            </w:pPr>
          </w:p>
        </w:tc>
        <w:tc>
          <w:tcPr>
            <w:tcW w:w="279" w:type="pct"/>
            <w:vMerge/>
            <w:tcBorders>
              <w:right w:val="single" w:sz="18" w:space="0" w:color="5E2F7E" w:themeColor="accent5"/>
            </w:tcBorders>
            <w:shd w:val="clear" w:color="auto" w:fill="FFFFFF" w:themeFill="background2"/>
          </w:tcPr>
          <w:p w14:paraId="1D19D1B3" w14:textId="77777777" w:rsidR="00FD1D99" w:rsidRDefault="00FD1D99" w:rsidP="006544B5">
            <w:pPr>
              <w:pStyle w:val="H4"/>
              <w:spacing w:before="120" w:after="120"/>
            </w:pPr>
          </w:p>
        </w:tc>
        <w:tc>
          <w:tcPr>
            <w:tcW w:w="1756" w:type="pct"/>
            <w:tcBorders>
              <w:left w:val="single" w:sz="18" w:space="0" w:color="5E2F7E" w:themeColor="accent5"/>
              <w:right w:val="single" w:sz="18" w:space="0" w:color="5E2F7E" w:themeColor="accent5"/>
            </w:tcBorders>
            <w:shd w:val="clear" w:color="auto" w:fill="FFFFFF" w:themeFill="background2"/>
          </w:tcPr>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232"/>
              <w:gridCol w:w="1233"/>
            </w:tblGrid>
            <w:tr w:rsidR="00FD1D99" w:rsidRPr="00A137B9" w14:paraId="09C6665F" w14:textId="77777777" w:rsidTr="006544B5">
              <w:trPr>
                <w:trHeight w:val="505"/>
              </w:trPr>
              <w:tc>
                <w:tcPr>
                  <w:tcW w:w="2500" w:type="pct"/>
                  <w:shd w:val="clear" w:color="auto" w:fill="FFFFFF" w:themeFill="background2"/>
                </w:tcPr>
                <w:p w14:paraId="028E777A" w14:textId="6D847BA9" w:rsidR="00FD1D99" w:rsidRPr="00A137B9" w:rsidRDefault="00FD1D99" w:rsidP="006544B5">
                  <w:pPr>
                    <w:pStyle w:val="Body-Financial"/>
                    <w:spacing w:before="120" w:after="0"/>
                  </w:pPr>
                  <w:r w:rsidRPr="00A137B9">
                    <w:rPr>
                      <w:b/>
                      <w:bCs/>
                    </w:rPr>
                    <w:t xml:space="preserve">Strategic objective </w:t>
                  </w:r>
                  <w:r>
                    <w:rPr>
                      <w:b/>
                      <w:bCs/>
                    </w:rPr>
                    <w:t>6</w:t>
                  </w:r>
                  <w:r>
                    <w:br/>
                  </w:r>
                  <w:r w:rsidR="009F39A0" w:rsidRPr="009F39A0">
                    <w:t>Independent and</w:t>
                  </w:r>
                  <w:r w:rsidR="009C37E2">
                    <w:t> </w:t>
                  </w:r>
                  <w:r w:rsidR="009F39A0" w:rsidRPr="009F39A0">
                    <w:t>transparent decision</w:t>
                  </w:r>
                  <w:r w:rsidR="009C37E2">
                    <w:noBreakHyphen/>
                  </w:r>
                  <w:r w:rsidR="009F39A0" w:rsidRPr="009F39A0">
                    <w:t>making and</w:t>
                  </w:r>
                  <w:r w:rsidR="009C37E2">
                    <w:t> </w:t>
                  </w:r>
                  <w:r w:rsidR="009F39A0" w:rsidRPr="009F39A0">
                    <w:t>engagement with</w:t>
                  </w:r>
                  <w:r w:rsidR="009C37E2">
                    <w:t> </w:t>
                  </w:r>
                  <w:r w:rsidR="009F39A0" w:rsidRPr="009F39A0">
                    <w:t>stakeholders</w:t>
                  </w:r>
                </w:p>
              </w:tc>
              <w:tc>
                <w:tcPr>
                  <w:tcW w:w="2500" w:type="pct"/>
                  <w:shd w:val="clear" w:color="auto" w:fill="FFFFFF" w:themeFill="background2"/>
                </w:tcPr>
                <w:p w14:paraId="2E8A46AF" w14:textId="47D94741" w:rsidR="00FD1D99" w:rsidRPr="00A137B9" w:rsidRDefault="00FD1D99" w:rsidP="006544B5">
                  <w:pPr>
                    <w:pStyle w:val="Body-Financial"/>
                    <w:spacing w:before="120" w:after="0"/>
                  </w:pPr>
                  <w:r w:rsidRPr="009A17F6">
                    <w:t xml:space="preserve">Activity </w:t>
                  </w:r>
                  <w:r>
                    <w:t>6</w:t>
                  </w:r>
                  <w:r w:rsidRPr="009A17F6">
                    <w:t>:</w:t>
                  </w:r>
                  <w:r w:rsidRPr="009A17F6">
                    <w:br/>
                  </w:r>
                  <w:r w:rsidR="009F39A0" w:rsidRPr="009F39A0">
                    <w:t>Independent and</w:t>
                  </w:r>
                  <w:r w:rsidR="009C37E2">
                    <w:t> </w:t>
                  </w:r>
                  <w:r w:rsidR="009F39A0" w:rsidRPr="009F39A0">
                    <w:t>transparent decision</w:t>
                  </w:r>
                  <w:r w:rsidR="009C37E2">
                    <w:noBreakHyphen/>
                  </w:r>
                  <w:r w:rsidR="009F39A0" w:rsidRPr="009F39A0">
                    <w:t>making and</w:t>
                  </w:r>
                  <w:r w:rsidR="009C37E2">
                    <w:t> </w:t>
                  </w:r>
                  <w:r w:rsidR="009F39A0" w:rsidRPr="009F39A0">
                    <w:t>engagement with</w:t>
                  </w:r>
                  <w:r w:rsidR="009C37E2">
                    <w:t> </w:t>
                  </w:r>
                  <w:r w:rsidR="009F39A0" w:rsidRPr="009F39A0">
                    <w:t>stakeholders</w:t>
                  </w:r>
                </w:p>
              </w:tc>
            </w:tr>
          </w:tbl>
          <w:p w14:paraId="1B51F6DF" w14:textId="77777777" w:rsidR="00FD1D99" w:rsidRPr="00A137B9" w:rsidRDefault="00FD1D99" w:rsidP="006544B5">
            <w:pPr>
              <w:pStyle w:val="Body-Financial"/>
              <w:spacing w:after="0"/>
              <w:rPr>
                <w:b/>
                <w:bCs/>
              </w:rPr>
            </w:pPr>
          </w:p>
        </w:tc>
      </w:tr>
      <w:tr w:rsidR="00FD1D99" w14:paraId="1EAB1BA3" w14:textId="77777777" w:rsidTr="00FD1D99">
        <w:trPr>
          <w:cnfStyle w:val="100000000000" w:firstRow="1" w:lastRow="0" w:firstColumn="0" w:lastColumn="0" w:oddVBand="0" w:evenVBand="0" w:oddHBand="0" w:evenHBand="0" w:firstRowFirstColumn="0" w:firstRowLastColumn="0" w:lastRowFirstColumn="0" w:lastRowLastColumn="0"/>
          <w:trHeight w:val="2973"/>
        </w:trPr>
        <w:tc>
          <w:tcPr>
            <w:tcW w:w="1761" w:type="pct"/>
            <w:shd w:val="clear" w:color="auto" w:fill="DCD3E2"/>
          </w:tcPr>
          <w:p w14:paraId="565A75E8" w14:textId="77777777" w:rsidR="00FD1D99" w:rsidRPr="00521543" w:rsidRDefault="00FD1D99" w:rsidP="006544B5">
            <w:pPr>
              <w:pStyle w:val="Body"/>
              <w:spacing w:before="120"/>
              <w:rPr>
                <w:rFonts w:ascii="Futura PT Demi" w:hAnsi="Futura PT Demi"/>
                <w:bCs/>
                <w:color w:val="5E2F7E" w:themeColor="accent5"/>
                <w:sz w:val="22"/>
              </w:rPr>
            </w:pPr>
            <w:r w:rsidRPr="00521543">
              <w:rPr>
                <w:rFonts w:ascii="Futura PT Demi" w:hAnsi="Futura PT Demi"/>
                <w:bCs/>
                <w:color w:val="5E2F7E" w:themeColor="accent5"/>
                <w:sz w:val="22"/>
              </w:rPr>
              <w:t>Program 1.1 Public</w:t>
            </w:r>
            <w:r>
              <w:rPr>
                <w:rFonts w:ascii="Futura PT Demi" w:hAnsi="Futura PT Demi"/>
                <w:bCs/>
                <w:color w:val="5E2F7E" w:themeColor="accent5"/>
                <w:sz w:val="22"/>
              </w:rPr>
              <w:t> </w:t>
            </w:r>
            <w:r w:rsidRPr="00521543">
              <w:rPr>
                <w:rFonts w:ascii="Futura PT Demi" w:hAnsi="Futura PT Demi"/>
                <w:bCs/>
                <w:color w:val="5E2F7E" w:themeColor="accent5"/>
                <w:sz w:val="22"/>
              </w:rPr>
              <w:t>Hospital Price Determinations</w:t>
            </w:r>
          </w:p>
          <w:p w14:paraId="676A1647" w14:textId="31B618E1" w:rsidR="00FD1D99" w:rsidRPr="009A17F6" w:rsidRDefault="00FD1D99" w:rsidP="006544B5">
            <w:pPr>
              <w:pStyle w:val="Body"/>
              <w:spacing w:before="120"/>
              <w:rPr>
                <w:sz w:val="16"/>
                <w:szCs w:val="16"/>
              </w:rPr>
            </w:pPr>
            <w:r w:rsidRPr="00174683">
              <w:rPr>
                <w:sz w:val="16"/>
                <w:szCs w:val="16"/>
              </w:rPr>
              <w:t>IHPA promotes improved efficiency in, and access to, public hospital services by providing independent advice to the Australian Government and state and territory governments regarding the efficient price of healthcare services, and by developing and implementing robust systems to support activity based funding for those services</w:t>
            </w:r>
            <w:r w:rsidR="000D140D">
              <w:rPr>
                <w:sz w:val="16"/>
                <w:szCs w:val="16"/>
              </w:rPr>
              <w:t>.</w:t>
            </w:r>
          </w:p>
        </w:tc>
        <w:tc>
          <w:tcPr>
            <w:tcW w:w="278" w:type="pct"/>
            <w:shd w:val="clear" w:color="auto" w:fill="FFFFFF" w:themeFill="background2"/>
          </w:tcPr>
          <w:p w14:paraId="6BE58931" w14:textId="77777777" w:rsidR="00FD1D99" w:rsidRDefault="00FD1D99" w:rsidP="006544B5">
            <w:pPr>
              <w:pStyle w:val="Body"/>
            </w:pPr>
          </w:p>
        </w:tc>
        <w:tc>
          <w:tcPr>
            <w:tcW w:w="926" w:type="pct"/>
            <w:shd w:val="clear" w:color="auto" w:fill="DCD3E2"/>
          </w:tcPr>
          <w:p w14:paraId="5FCD101D" w14:textId="77777777" w:rsidR="00FD1D99" w:rsidRDefault="00FD1D99" w:rsidP="006544B5">
            <w:pPr>
              <w:pStyle w:val="Body"/>
            </w:pPr>
          </w:p>
        </w:tc>
        <w:tc>
          <w:tcPr>
            <w:tcW w:w="279" w:type="pct"/>
            <w:tcBorders>
              <w:right w:val="single" w:sz="18" w:space="0" w:color="5E2F7E" w:themeColor="accent5"/>
            </w:tcBorders>
            <w:shd w:val="clear" w:color="auto" w:fill="FFFFFF" w:themeFill="background2"/>
          </w:tcPr>
          <w:p w14:paraId="58F0175A" w14:textId="77777777" w:rsidR="00FD1D99" w:rsidRDefault="00FD1D99" w:rsidP="006544B5">
            <w:pPr>
              <w:pStyle w:val="Body"/>
            </w:pPr>
          </w:p>
        </w:tc>
        <w:tc>
          <w:tcPr>
            <w:tcW w:w="1756" w:type="pct"/>
            <w:tcBorders>
              <w:left w:val="single" w:sz="18" w:space="0" w:color="5E2F7E" w:themeColor="accent5"/>
              <w:bottom w:val="single" w:sz="18" w:space="0" w:color="5E2F7E" w:themeColor="accent5"/>
              <w:right w:val="single" w:sz="18" w:space="0" w:color="5E2F7E" w:themeColor="accent5"/>
            </w:tcBorders>
            <w:shd w:val="clear" w:color="auto" w:fill="FFFFFF" w:themeFill="background2"/>
          </w:tcPr>
          <w:p w14:paraId="0DBCCA57" w14:textId="77777777" w:rsidR="00FD1D99" w:rsidRDefault="00FD1D99" w:rsidP="006544B5">
            <w:pPr>
              <w:pStyle w:val="Body"/>
            </w:pPr>
          </w:p>
        </w:tc>
      </w:tr>
    </w:tbl>
    <w:p w14:paraId="25500040" w14:textId="77777777" w:rsidR="00FD1D99" w:rsidRDefault="00FD1D99" w:rsidP="00FD1D99">
      <w:pPr>
        <w:pStyle w:val="Body"/>
      </w:pPr>
    </w:p>
    <w:p w14:paraId="708DA993" w14:textId="77777777" w:rsidR="00FA3894" w:rsidRDefault="00FA3894" w:rsidP="00BC53A5">
      <w:pPr>
        <w:pStyle w:val="Body"/>
        <w:sectPr w:rsidR="00FA3894" w:rsidSect="00FD1D99">
          <w:footerReference w:type="default" r:id="rId155"/>
          <w:pgSz w:w="9979" w:h="14175"/>
          <w:pgMar w:top="993" w:right="1134" w:bottom="1134" w:left="1134" w:header="709" w:footer="709" w:gutter="0"/>
          <w:cols w:space="708"/>
          <w:docGrid w:linePitch="360"/>
        </w:sectPr>
      </w:pPr>
    </w:p>
    <w:p w14:paraId="26DE1FFA" w14:textId="39C51149" w:rsidR="001D57D2" w:rsidRPr="00434223" w:rsidRDefault="0028126D" w:rsidP="001D57D2">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811840" behindDoc="1" locked="0" layoutInCell="1" allowOverlap="1" wp14:anchorId="1B321302" wp14:editId="1CFF473E">
                <wp:simplePos x="0" y="0"/>
                <wp:positionH relativeFrom="margin">
                  <wp:align>center</wp:align>
                </wp:positionH>
                <wp:positionV relativeFrom="paragraph">
                  <wp:posOffset>-635</wp:posOffset>
                </wp:positionV>
                <wp:extent cx="5069205" cy="3371850"/>
                <wp:effectExtent l="0" t="0" r="17145" b="19050"/>
                <wp:wrapNone/>
                <wp:docPr id="146" name="Rectangle 1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3371850"/>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F169B6" id="Rectangle 146" o:spid="_x0000_s1026" alt="&quot;&quot;" style="position:absolute;margin-left:0;margin-top:-.05pt;width:399.15pt;height:265.5pt;z-index:-2515046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" filled="f" strokecolor="#7030a0" strokeweight=".5pt">
                <w10:wrap anchorx="margin"/>
              </v:rect>
            </w:pict>
          </mc:Fallback>
        </mc:AlternateContent>
      </w:r>
      <w:r w:rsidR="001D57D2" w:rsidRPr="00434223">
        <w:rPr>
          <w:color w:val="5E2F7E" w:themeColor="accent5"/>
          <w:sz w:val="28"/>
          <w:szCs w:val="28"/>
        </w:rPr>
        <w:t>Results</w:t>
      </w:r>
    </w:p>
    <w:p w14:paraId="327D8E91" w14:textId="1797B4ED" w:rsidR="001D57D2" w:rsidRPr="004E67F4" w:rsidRDefault="001D57D2" w:rsidP="001D57D2">
      <w:pPr>
        <w:pStyle w:val="FigureHeading"/>
      </w:pPr>
      <w:bookmarkStart w:id="123" w:name="_Toc82510949"/>
      <w:r>
        <w:t xml:space="preserve">Table </w:t>
      </w:r>
      <w:r w:rsidR="00AC254C">
        <w:t>8</w:t>
      </w:r>
      <w:r>
        <w:t xml:space="preserve">: Summary of Performance </w:t>
      </w:r>
      <w:r w:rsidRPr="007F5C9E">
        <w:t xml:space="preserve">for </w:t>
      </w:r>
      <w:r>
        <w:t xml:space="preserve">Activity 6 in </w:t>
      </w:r>
      <w:r w:rsidRPr="007F5C9E">
        <w:t>2020–21</w:t>
      </w:r>
      <w:bookmarkEnd w:id="123"/>
    </w:p>
    <w:tbl>
      <w:tblPr>
        <w:tblStyle w:val="IHPATable"/>
        <w:tblW w:w="7663" w:type="dxa"/>
        <w:tblLayout w:type="fixed"/>
        <w:tblLook w:val="0020" w:firstRow="1" w:lastRow="0" w:firstColumn="0" w:lastColumn="0" w:noHBand="0" w:noVBand="0"/>
        <w:tblCaption w:val="Table 8"/>
        <w:tblDescription w:val="Summary of Performance for Activity 6: Independent and transparent decision-making and engagement with stakeholders"/>
      </w:tblPr>
      <w:tblGrid>
        <w:gridCol w:w="5820"/>
        <w:gridCol w:w="1843"/>
      </w:tblGrid>
      <w:tr w:rsidR="001D57D2" w:rsidRPr="004E67F4" w14:paraId="5DD42100" w14:textId="77777777" w:rsidTr="00316E60">
        <w:trPr>
          <w:cnfStyle w:val="100000000000" w:firstRow="1" w:lastRow="0" w:firstColumn="0" w:lastColumn="0" w:oddVBand="0" w:evenVBand="0" w:oddHBand="0" w:evenHBand="0" w:firstRowFirstColumn="0" w:firstRowLastColumn="0" w:lastRowFirstColumn="0" w:lastRowLastColumn="0"/>
          <w:trHeight w:val="20"/>
        </w:trPr>
        <w:tc>
          <w:tcPr>
            <w:tcW w:w="7663" w:type="dxa"/>
            <w:gridSpan w:val="2"/>
            <w:shd w:val="clear" w:color="auto" w:fill="5E2F7E" w:themeFill="accent5"/>
          </w:tcPr>
          <w:p w14:paraId="15D314DD" w14:textId="77777777" w:rsidR="001D57D2" w:rsidRPr="004E67F4" w:rsidRDefault="001D57D2" w:rsidP="00316E60">
            <w:pPr>
              <w:spacing w:before="120" w:after="120"/>
              <w:rPr>
                <w:color w:val="1C1C1C"/>
                <w:szCs w:val="18"/>
              </w:rPr>
            </w:pPr>
            <w:r w:rsidRPr="007F5C9E">
              <w:rPr>
                <w:b/>
                <w:bCs/>
                <w:szCs w:val="18"/>
                <w:lang w:val="en-US"/>
              </w:rPr>
              <w:t>Summary of Performance for Activit</w:t>
            </w:r>
            <w:r>
              <w:rPr>
                <w:b/>
                <w:bCs/>
                <w:szCs w:val="18"/>
                <w:lang w:val="en-US"/>
              </w:rPr>
              <w:t>y 6:</w:t>
            </w:r>
            <w:r w:rsidRPr="004E67F4">
              <w:rPr>
                <w:b/>
                <w:bCs/>
                <w:szCs w:val="18"/>
                <w:lang w:val="en-US"/>
              </w:rPr>
              <w:t xml:space="preserve"> Independent and transparent decision-making and engagement with stakeholders</w:t>
            </w:r>
          </w:p>
        </w:tc>
      </w:tr>
      <w:tr w:rsidR="00D8133C" w:rsidRPr="004E67F4" w14:paraId="5EC1FED2"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2E02D81D" w14:textId="6157F757" w:rsidR="00D8133C" w:rsidRPr="004E67F4" w:rsidRDefault="00D8133C" w:rsidP="00316E60">
            <w:pPr>
              <w:spacing w:before="120" w:after="120"/>
              <w:rPr>
                <w:color w:val="1C1C1C"/>
                <w:sz w:val="16"/>
                <w:szCs w:val="16"/>
              </w:rPr>
            </w:pPr>
            <w:r w:rsidRPr="00172894">
              <w:rPr>
                <w:color w:val="1C1C1C"/>
                <w:sz w:val="16"/>
                <w:szCs w:val="16"/>
              </w:rPr>
              <w:t>Provide</w:t>
            </w:r>
            <w:r>
              <w:rPr>
                <w:color w:val="1C1C1C"/>
                <w:sz w:val="16"/>
                <w:szCs w:val="16"/>
              </w:rPr>
              <w:t xml:space="preserve"> quarterly activity based funding</w:t>
            </w:r>
            <w:r w:rsidRPr="00172894">
              <w:rPr>
                <w:color w:val="1C1C1C"/>
                <w:sz w:val="16"/>
                <w:szCs w:val="16"/>
              </w:rPr>
              <w:t xml:space="preserve"> activity data reports to the Pricing Authority and Ju</w:t>
            </w:r>
            <w:r>
              <w:rPr>
                <w:color w:val="1C1C1C"/>
                <w:sz w:val="16"/>
                <w:szCs w:val="16"/>
              </w:rPr>
              <w:t>risdictional Advisory Committee</w:t>
            </w:r>
          </w:p>
        </w:tc>
        <w:tc>
          <w:tcPr>
            <w:tcW w:w="1843" w:type="dxa"/>
          </w:tcPr>
          <w:p w14:paraId="3E29A594" w14:textId="752A3B7F" w:rsidR="00D8133C" w:rsidRPr="004E67F4" w:rsidRDefault="00D8133C" w:rsidP="00316E60">
            <w:pPr>
              <w:spacing w:before="120" w:after="120"/>
              <w:jc w:val="right"/>
              <w:rPr>
                <w:color w:val="1C1C1C"/>
                <w:sz w:val="16"/>
                <w:szCs w:val="16"/>
              </w:rPr>
            </w:pPr>
            <w:r>
              <w:rPr>
                <w:color w:val="1C1C1C"/>
                <w:sz w:val="16"/>
                <w:szCs w:val="16"/>
              </w:rPr>
              <w:t>Delivered</w:t>
            </w:r>
          </w:p>
        </w:tc>
      </w:tr>
      <w:tr w:rsidR="00D8133C" w:rsidRPr="004E67F4" w14:paraId="77AF2F74"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5359B93F" w14:textId="6411FF7A" w:rsidR="00D8133C" w:rsidRPr="004E67F4" w:rsidRDefault="00D8133C" w:rsidP="00316E60">
            <w:pPr>
              <w:spacing w:before="120" w:after="120"/>
              <w:rPr>
                <w:color w:val="1C1C1C"/>
                <w:sz w:val="16"/>
                <w:szCs w:val="16"/>
              </w:rPr>
            </w:pPr>
            <w:r w:rsidRPr="00172894">
              <w:rPr>
                <w:color w:val="1C1C1C"/>
                <w:sz w:val="16"/>
                <w:szCs w:val="16"/>
              </w:rPr>
              <w:t xml:space="preserve">Publish evidence-based </w:t>
            </w:r>
            <w:r>
              <w:rPr>
                <w:color w:val="1C1C1C"/>
                <w:sz w:val="16"/>
                <w:szCs w:val="16"/>
              </w:rPr>
              <w:t>activity based funding related research and analysis</w:t>
            </w:r>
          </w:p>
        </w:tc>
        <w:tc>
          <w:tcPr>
            <w:tcW w:w="1843" w:type="dxa"/>
          </w:tcPr>
          <w:p w14:paraId="34248280" w14:textId="32BB3195" w:rsidR="00D8133C" w:rsidRPr="004E67F4" w:rsidRDefault="00D8133C" w:rsidP="00316E60">
            <w:pPr>
              <w:spacing w:before="120" w:after="120"/>
              <w:jc w:val="right"/>
              <w:rPr>
                <w:color w:val="1C1C1C"/>
                <w:sz w:val="16"/>
                <w:szCs w:val="16"/>
              </w:rPr>
            </w:pPr>
            <w:r>
              <w:rPr>
                <w:color w:val="1C1C1C"/>
                <w:sz w:val="16"/>
                <w:szCs w:val="16"/>
              </w:rPr>
              <w:t>Ongoing</w:t>
            </w:r>
          </w:p>
        </w:tc>
      </w:tr>
      <w:tr w:rsidR="00D8133C" w:rsidRPr="004E67F4" w14:paraId="2794E8BD" w14:textId="77777777" w:rsidTr="00316E60">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6D005424" w14:textId="453B5FDF" w:rsidR="00D8133C" w:rsidRPr="004E67F4" w:rsidRDefault="00D8133C" w:rsidP="00316E60">
            <w:pPr>
              <w:spacing w:before="120" w:after="120"/>
              <w:rPr>
                <w:color w:val="1C1C1C"/>
                <w:sz w:val="16"/>
                <w:szCs w:val="16"/>
              </w:rPr>
            </w:pPr>
            <w:r w:rsidRPr="004E67F4">
              <w:rPr>
                <w:color w:val="1C1C1C"/>
                <w:sz w:val="16"/>
                <w:szCs w:val="16"/>
              </w:rPr>
              <w:t>Progress investigation of bundled payments for stroke, and hip and knee replacements</w:t>
            </w:r>
          </w:p>
        </w:tc>
        <w:tc>
          <w:tcPr>
            <w:tcW w:w="1843" w:type="dxa"/>
          </w:tcPr>
          <w:p w14:paraId="40A8D234" w14:textId="6AFD060E" w:rsidR="00D8133C" w:rsidRPr="004E67F4" w:rsidRDefault="00D8133C" w:rsidP="00316E60">
            <w:pPr>
              <w:spacing w:before="120" w:after="120"/>
              <w:jc w:val="right"/>
              <w:rPr>
                <w:color w:val="1C1C1C"/>
                <w:sz w:val="16"/>
                <w:szCs w:val="16"/>
              </w:rPr>
            </w:pPr>
            <w:r w:rsidRPr="004E67F4">
              <w:rPr>
                <w:color w:val="1C1C1C"/>
                <w:sz w:val="16"/>
                <w:szCs w:val="16"/>
              </w:rPr>
              <w:t xml:space="preserve">Ongoing </w:t>
            </w:r>
          </w:p>
        </w:tc>
      </w:tr>
      <w:tr w:rsidR="00D8133C" w:rsidRPr="004E67F4" w14:paraId="0F92884D" w14:textId="77777777" w:rsidTr="00316E60">
        <w:trPr>
          <w:cnfStyle w:val="000000010000" w:firstRow="0" w:lastRow="0" w:firstColumn="0" w:lastColumn="0" w:oddVBand="0" w:evenVBand="0" w:oddHBand="0" w:evenHBand="1" w:firstRowFirstColumn="0" w:firstRowLastColumn="0" w:lastRowFirstColumn="0" w:lastRowLastColumn="0"/>
          <w:trHeight w:val="20"/>
        </w:trPr>
        <w:tc>
          <w:tcPr>
            <w:tcW w:w="5820" w:type="dxa"/>
          </w:tcPr>
          <w:p w14:paraId="437C3300" w14:textId="726AD5C5" w:rsidR="00D8133C" w:rsidRPr="004E67F4" w:rsidRDefault="00D8133C" w:rsidP="00316E60">
            <w:pPr>
              <w:spacing w:before="120" w:after="120"/>
              <w:rPr>
                <w:color w:val="1C1C1C"/>
                <w:sz w:val="16"/>
                <w:szCs w:val="16"/>
              </w:rPr>
            </w:pPr>
            <w:r w:rsidRPr="004E67F4">
              <w:rPr>
                <w:color w:val="1C1C1C"/>
                <w:sz w:val="16"/>
                <w:szCs w:val="16"/>
              </w:rPr>
              <w:t>Develop a capitation model for hospital avoidance programs</w:t>
            </w:r>
          </w:p>
        </w:tc>
        <w:tc>
          <w:tcPr>
            <w:tcW w:w="1843" w:type="dxa"/>
          </w:tcPr>
          <w:p w14:paraId="0EBD4F29" w14:textId="66C8248E" w:rsidR="00D8133C" w:rsidRPr="004E67F4" w:rsidRDefault="00D8133C" w:rsidP="00316E60">
            <w:pPr>
              <w:spacing w:before="120" w:after="120"/>
              <w:jc w:val="right"/>
              <w:rPr>
                <w:color w:val="1C1C1C"/>
                <w:sz w:val="16"/>
                <w:szCs w:val="16"/>
              </w:rPr>
            </w:pPr>
            <w:r w:rsidRPr="004E67F4">
              <w:rPr>
                <w:color w:val="1C1C1C"/>
                <w:sz w:val="16"/>
                <w:szCs w:val="16"/>
              </w:rPr>
              <w:t>Ongoing</w:t>
            </w:r>
          </w:p>
        </w:tc>
      </w:tr>
      <w:tr w:rsidR="00D8133C" w:rsidRPr="004E67F4" w14:paraId="59E60A3A" w14:textId="77777777" w:rsidTr="0065465D">
        <w:trPr>
          <w:cnfStyle w:val="000000100000" w:firstRow="0" w:lastRow="0" w:firstColumn="0" w:lastColumn="0" w:oddVBand="0" w:evenVBand="0" w:oddHBand="1" w:evenHBand="0" w:firstRowFirstColumn="0" w:firstRowLastColumn="0" w:lastRowFirstColumn="0" w:lastRowLastColumn="0"/>
          <w:trHeight w:val="20"/>
        </w:trPr>
        <w:tc>
          <w:tcPr>
            <w:tcW w:w="5820" w:type="dxa"/>
          </w:tcPr>
          <w:p w14:paraId="7413C9A9" w14:textId="5A82F85C" w:rsidR="00D8133C" w:rsidRPr="004E67F4" w:rsidRDefault="00D8133C" w:rsidP="00316E60">
            <w:pPr>
              <w:spacing w:before="120" w:after="120"/>
              <w:rPr>
                <w:color w:val="1C1C1C"/>
                <w:sz w:val="16"/>
                <w:szCs w:val="16"/>
              </w:rPr>
            </w:pPr>
            <w:r w:rsidRPr="00172894">
              <w:rPr>
                <w:color w:val="1C1C1C"/>
                <w:sz w:val="16"/>
                <w:szCs w:val="16"/>
              </w:rPr>
              <w:t>Implementation of strategies, tools and working papers to ensure that IHPA is providing information th</w:t>
            </w:r>
            <w:r>
              <w:rPr>
                <w:color w:val="1C1C1C"/>
                <w:sz w:val="16"/>
                <w:szCs w:val="16"/>
              </w:rPr>
              <w:t>at will inform its stakeholders</w:t>
            </w:r>
          </w:p>
        </w:tc>
        <w:tc>
          <w:tcPr>
            <w:tcW w:w="1843" w:type="dxa"/>
          </w:tcPr>
          <w:p w14:paraId="362C3B27" w14:textId="3657F7AC" w:rsidR="00D8133C" w:rsidRPr="004E67F4" w:rsidRDefault="00D8133C" w:rsidP="00316E60">
            <w:pPr>
              <w:spacing w:before="120" w:after="120"/>
              <w:jc w:val="right"/>
              <w:rPr>
                <w:color w:val="1C1C1C"/>
                <w:sz w:val="16"/>
                <w:szCs w:val="16"/>
              </w:rPr>
            </w:pPr>
            <w:r>
              <w:rPr>
                <w:color w:val="1C1C1C"/>
                <w:sz w:val="16"/>
                <w:szCs w:val="16"/>
              </w:rPr>
              <w:t>Ongoing</w:t>
            </w:r>
          </w:p>
        </w:tc>
      </w:tr>
      <w:tr w:rsidR="00D8133C" w:rsidRPr="004E67F4" w14:paraId="5860200D" w14:textId="77777777" w:rsidTr="0065465D">
        <w:trPr>
          <w:cnfStyle w:val="000000010000" w:firstRow="0" w:lastRow="0" w:firstColumn="0" w:lastColumn="0" w:oddVBand="0" w:evenVBand="0" w:oddHBand="0" w:evenHBand="1" w:firstRowFirstColumn="0" w:firstRowLastColumn="0" w:lastRowFirstColumn="0" w:lastRowLastColumn="0"/>
          <w:trHeight w:val="20"/>
        </w:trPr>
        <w:tc>
          <w:tcPr>
            <w:tcW w:w="5820" w:type="dxa"/>
            <w:tcBorders>
              <w:bottom w:val="single" w:sz="4" w:space="0" w:color="D9D9D9" w:themeColor="background2" w:themeShade="D9"/>
            </w:tcBorders>
          </w:tcPr>
          <w:p w14:paraId="0736DF2B" w14:textId="15877C48" w:rsidR="00D8133C" w:rsidRPr="004E67F4" w:rsidRDefault="00D8133C" w:rsidP="00316E60">
            <w:pPr>
              <w:spacing w:before="120" w:after="120"/>
              <w:rPr>
                <w:color w:val="1C1C1C"/>
                <w:sz w:val="16"/>
                <w:szCs w:val="16"/>
              </w:rPr>
            </w:pPr>
            <w:r>
              <w:rPr>
                <w:color w:val="1C1C1C"/>
                <w:sz w:val="16"/>
                <w:szCs w:val="16"/>
              </w:rPr>
              <w:t>Activity Based Funding Conference 2021</w:t>
            </w:r>
          </w:p>
        </w:tc>
        <w:tc>
          <w:tcPr>
            <w:tcW w:w="1843" w:type="dxa"/>
            <w:tcBorders>
              <w:bottom w:val="single" w:sz="4" w:space="0" w:color="D9D9D9" w:themeColor="background2" w:themeShade="D9"/>
            </w:tcBorders>
          </w:tcPr>
          <w:p w14:paraId="5F1C3668" w14:textId="61A09817" w:rsidR="00D8133C" w:rsidRPr="004E67F4" w:rsidRDefault="00D8133C" w:rsidP="00316E60">
            <w:pPr>
              <w:spacing w:before="120" w:after="120"/>
              <w:jc w:val="right"/>
              <w:rPr>
                <w:color w:val="1C1C1C"/>
                <w:sz w:val="16"/>
                <w:szCs w:val="16"/>
              </w:rPr>
            </w:pPr>
            <w:r>
              <w:rPr>
                <w:color w:val="1C1C1C"/>
                <w:sz w:val="16"/>
                <w:szCs w:val="16"/>
              </w:rPr>
              <w:t>Delivered</w:t>
            </w:r>
          </w:p>
        </w:tc>
      </w:tr>
    </w:tbl>
    <w:p w14:paraId="728A1FBC" w14:textId="0C55A6C5" w:rsidR="0028126D" w:rsidRDefault="0028126D" w:rsidP="001D57D2">
      <w:pPr>
        <w:pStyle w:val="Body"/>
      </w:pPr>
    </w:p>
    <w:tbl>
      <w:tblPr>
        <w:tblStyle w:val="TableGrid"/>
        <w:tblW w:w="4994" w:type="pct"/>
        <w:tblCellMar>
          <w:right w:w="142" w:type="dxa"/>
        </w:tblCellMar>
        <w:tblLook w:val="04A0" w:firstRow="1" w:lastRow="0" w:firstColumn="1" w:lastColumn="0" w:noHBand="0" w:noVBand="1"/>
        <w:tblCaption w:val="Table 8"/>
        <w:tblDescription w:val="Performance criteria"/>
      </w:tblPr>
      <w:tblGrid>
        <w:gridCol w:w="2834"/>
        <w:gridCol w:w="427"/>
        <w:gridCol w:w="4441"/>
      </w:tblGrid>
      <w:tr w:rsidR="00FD1D99" w:rsidRPr="00DF5D28" w14:paraId="0BD29C90" w14:textId="77777777" w:rsidTr="006544B5">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56CF55AE" w14:textId="488A46B5" w:rsidR="00FD1D99" w:rsidRPr="00DF5D28" w:rsidRDefault="00FD1D99" w:rsidP="006544B5">
            <w:pPr>
              <w:pStyle w:val="H4"/>
              <w:spacing w:before="120"/>
              <w:rPr>
                <w:color w:val="FFFFFF" w:themeColor="background2"/>
              </w:rPr>
            </w:pPr>
            <w:r>
              <w:rPr>
                <w:color w:val="FFFFFF" w:themeColor="background2"/>
              </w:rPr>
              <w:t xml:space="preserve">Performance </w:t>
            </w:r>
            <w:r w:rsidR="006E63B9">
              <w:rPr>
                <w:color w:val="FFFFFF" w:themeColor="background2"/>
              </w:rPr>
              <w:t>c</w:t>
            </w:r>
            <w:r>
              <w:rPr>
                <w:color w:val="FFFFFF" w:themeColor="background2"/>
              </w:rPr>
              <w:t>riteria</w:t>
            </w:r>
          </w:p>
        </w:tc>
        <w:tc>
          <w:tcPr>
            <w:tcW w:w="277" w:type="pct"/>
            <w:shd w:val="clear" w:color="auto" w:fill="FFFFFF" w:themeFill="background2"/>
          </w:tcPr>
          <w:p w14:paraId="6B16E247" w14:textId="77777777" w:rsidR="00FD1D99" w:rsidRDefault="00FD1D99" w:rsidP="006544B5">
            <w:pPr>
              <w:pStyle w:val="Body"/>
              <w:spacing w:before="120"/>
            </w:pPr>
          </w:p>
        </w:tc>
        <w:tc>
          <w:tcPr>
            <w:tcW w:w="2883" w:type="pct"/>
          </w:tcPr>
          <w:p w14:paraId="67F3B779" w14:textId="77777777" w:rsidR="00FD1D99" w:rsidRPr="00DF5D28" w:rsidRDefault="00FD1D99"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FD1D99" w14:paraId="611B6138" w14:textId="77777777" w:rsidTr="00FD1D99">
        <w:trPr>
          <w:cnfStyle w:val="100000000000" w:firstRow="1" w:lastRow="0" w:firstColumn="0" w:lastColumn="0" w:oddVBand="0" w:evenVBand="0" w:oddHBand="0" w:evenHBand="0" w:firstRowFirstColumn="0" w:firstRowLastColumn="0" w:lastRowFirstColumn="0" w:lastRowLastColumn="0"/>
          <w:trHeight w:val="1569"/>
        </w:trPr>
        <w:tc>
          <w:tcPr>
            <w:tcW w:w="1840" w:type="pct"/>
            <w:shd w:val="clear" w:color="auto" w:fill="DCD3E2"/>
          </w:tcPr>
          <w:p w14:paraId="29CD009A" w14:textId="4EEF4216" w:rsidR="00FD1D99" w:rsidRPr="00DF5D28" w:rsidRDefault="00FD1D99" w:rsidP="006E63B9">
            <w:pPr>
              <w:pStyle w:val="NumberListNoIndent"/>
              <w:numPr>
                <w:ilvl w:val="0"/>
                <w:numId w:val="27"/>
              </w:numPr>
              <w:spacing w:before="240"/>
            </w:pPr>
            <w:r>
              <w:rPr>
                <w:noProof/>
                <w:color w:val="FFFFFF" w:themeColor="background2"/>
                <w:lang w:val="en-AU" w:eastAsia="en-AU"/>
              </w:rPr>
              <mc:AlternateContent>
                <mc:Choice Requires="wps">
                  <w:drawing>
                    <wp:anchor distT="0" distB="0" distL="114300" distR="114300" simplePos="0" relativeHeight="251819008" behindDoc="0" locked="0" layoutInCell="1" allowOverlap="1" wp14:anchorId="061A90EB" wp14:editId="085CD631">
                      <wp:simplePos x="0" y="0"/>
                      <wp:positionH relativeFrom="column">
                        <wp:posOffset>1723802</wp:posOffset>
                      </wp:positionH>
                      <wp:positionV relativeFrom="paragraph">
                        <wp:posOffset>224790</wp:posOffset>
                      </wp:positionV>
                      <wp:extent cx="289560" cy="0"/>
                      <wp:effectExtent l="0" t="95250" r="0" b="95250"/>
                      <wp:wrapNone/>
                      <wp:docPr id="151" name="Straight Arrow Connector 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EDD79E" id="Straight Arrow Connector 151" o:spid="_x0000_s1026" type="#_x0000_t32" alt="&quot;&quot;" style="position:absolute;margin-left:135.75pt;margin-top:17.7pt;width:22.8pt;height: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" strokecolor="#5e2f7e [3208]" strokeweight="2.25pt">
                      <v:stroke endarrow="open" joinstyle="miter"/>
                    </v:shape>
                  </w:pict>
                </mc:Fallback>
              </mc:AlternateContent>
            </w:r>
            <w:r w:rsidR="006E63B9" w:rsidRPr="006E63B9">
              <w:t>Provide quarterly activity based funding activity data reports to the Pricing Authority and Jurisdictional Advisory Committee</w:t>
            </w:r>
            <w:r w:rsidR="00587F4D">
              <w:t>.</w:t>
            </w:r>
          </w:p>
        </w:tc>
        <w:tc>
          <w:tcPr>
            <w:tcW w:w="277" w:type="pct"/>
            <w:shd w:val="clear" w:color="auto" w:fill="FFFFFF" w:themeFill="background2"/>
          </w:tcPr>
          <w:p w14:paraId="389CE7F1" w14:textId="77777777" w:rsidR="00FD1D99" w:rsidRPr="007D6047" w:rsidRDefault="00FD1D99" w:rsidP="006544B5">
            <w:pPr>
              <w:pStyle w:val="Body"/>
              <w:rPr>
                <w:color w:val="auto"/>
              </w:rPr>
            </w:pPr>
          </w:p>
        </w:tc>
        <w:tc>
          <w:tcPr>
            <w:tcW w:w="2883" w:type="pct"/>
            <w:shd w:val="clear" w:color="auto" w:fill="DCD3E2"/>
          </w:tcPr>
          <w:p w14:paraId="767AD3C7" w14:textId="13194373" w:rsidR="00FD1D99" w:rsidRPr="007D6047" w:rsidRDefault="006E63B9" w:rsidP="006544B5">
            <w:pPr>
              <w:pStyle w:val="TOCBody"/>
              <w:spacing w:before="240"/>
              <w:ind w:left="33"/>
              <w:rPr>
                <w:color w:val="auto"/>
              </w:rPr>
            </w:pPr>
            <w:r w:rsidRPr="006E63B9">
              <w:rPr>
                <w:color w:val="auto"/>
              </w:rPr>
              <w:t>IHPA provides quarterly activity based funding activity data reports to the Pricing Authority, Jurisdictional Advisory Committee and Technical Advisory Committee</w:t>
            </w:r>
            <w:r w:rsidR="00AB2D2F">
              <w:rPr>
                <w:color w:val="auto"/>
              </w:rPr>
              <w:t>.</w:t>
            </w:r>
          </w:p>
        </w:tc>
      </w:tr>
      <w:tr w:rsidR="00FD1D99" w14:paraId="6CC614D8" w14:textId="77777777" w:rsidTr="006E63B9">
        <w:trPr>
          <w:cnfStyle w:val="100000000000" w:firstRow="1" w:lastRow="0" w:firstColumn="0" w:lastColumn="0" w:oddVBand="0" w:evenVBand="0" w:oddHBand="0" w:evenHBand="0" w:firstRowFirstColumn="0" w:firstRowLastColumn="0" w:lastRowFirstColumn="0" w:lastRowLastColumn="0"/>
          <w:trHeight w:val="3530"/>
        </w:trPr>
        <w:tc>
          <w:tcPr>
            <w:tcW w:w="1840" w:type="pct"/>
            <w:shd w:val="clear" w:color="auto" w:fill="DCD3E2"/>
          </w:tcPr>
          <w:p w14:paraId="726D78C8" w14:textId="34CBA4B5" w:rsidR="00FD1D99" w:rsidRPr="008D346E" w:rsidRDefault="00FD1D99" w:rsidP="006E63B9">
            <w:pPr>
              <w:pStyle w:val="NumberListNoIndent"/>
            </w:pPr>
            <w:r>
              <w:rPr>
                <w:noProof/>
                <w:color w:val="FFFFFF" w:themeColor="background2"/>
                <w:lang w:val="en-AU" w:eastAsia="en-AU"/>
              </w:rPr>
              <mc:AlternateContent>
                <mc:Choice Requires="wps">
                  <w:drawing>
                    <wp:anchor distT="0" distB="0" distL="114300" distR="114300" simplePos="0" relativeHeight="251820032" behindDoc="0" locked="0" layoutInCell="1" allowOverlap="1" wp14:anchorId="6E00F993" wp14:editId="6C91BFE8">
                      <wp:simplePos x="0" y="0"/>
                      <wp:positionH relativeFrom="column">
                        <wp:posOffset>1723390</wp:posOffset>
                      </wp:positionH>
                      <wp:positionV relativeFrom="paragraph">
                        <wp:posOffset>66201</wp:posOffset>
                      </wp:positionV>
                      <wp:extent cx="289560" cy="0"/>
                      <wp:effectExtent l="0" t="95250" r="0" b="95250"/>
                      <wp:wrapNone/>
                      <wp:docPr id="152" name="Straight Arrow Connector 1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655F14" id="Straight Arrow Connector 152" o:spid="_x0000_s1026" type="#_x0000_t32" alt="&quot;&quot;" style="position:absolute;margin-left:135.7pt;margin-top:5.2pt;width:22.8pt;height:0;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" strokecolor="#5e2f7e [3208]" strokeweight="2.25pt">
                      <v:stroke endarrow="open" joinstyle="miter"/>
                    </v:shape>
                  </w:pict>
                </mc:Fallback>
              </mc:AlternateContent>
            </w:r>
            <w:r w:rsidR="006E63B9" w:rsidRPr="006E63B9">
              <w:t>Publish evidence-based activity</w:t>
            </w:r>
            <w:r w:rsidR="00482D63">
              <w:t> </w:t>
            </w:r>
            <w:r w:rsidR="006E63B9" w:rsidRPr="006E63B9">
              <w:t>based funding related research and analysis</w:t>
            </w:r>
            <w:r w:rsidR="00587F4D">
              <w:t>.</w:t>
            </w:r>
          </w:p>
        </w:tc>
        <w:tc>
          <w:tcPr>
            <w:tcW w:w="277" w:type="pct"/>
            <w:shd w:val="clear" w:color="auto" w:fill="FFFFFF" w:themeFill="background2"/>
          </w:tcPr>
          <w:p w14:paraId="6CBF8FE2" w14:textId="77777777" w:rsidR="00FD1D99" w:rsidRPr="007D6047" w:rsidRDefault="00FD1D99" w:rsidP="006544B5">
            <w:pPr>
              <w:pStyle w:val="Body"/>
              <w:rPr>
                <w:color w:val="auto"/>
              </w:rPr>
            </w:pPr>
          </w:p>
        </w:tc>
        <w:tc>
          <w:tcPr>
            <w:tcW w:w="2883" w:type="pct"/>
            <w:shd w:val="clear" w:color="auto" w:fill="DCD3E2"/>
          </w:tcPr>
          <w:p w14:paraId="5951D578" w14:textId="6E8BC223" w:rsidR="00274B4F" w:rsidRDefault="00274B4F" w:rsidP="00274B4F">
            <w:pPr>
              <w:pStyle w:val="Body"/>
              <w:spacing w:after="240"/>
            </w:pPr>
            <w:r>
              <w:t>IHPA continued to develop evidence-based activity based funding related research and analysis in 2020–21</w:t>
            </w:r>
            <w:r w:rsidR="00F54D46">
              <w:t>;</w:t>
            </w:r>
            <w:r>
              <w:t xml:space="preserve"> this</w:t>
            </w:r>
            <w:r w:rsidR="009E348E">
              <w:t> </w:t>
            </w:r>
            <w:r>
              <w:t>included the delivery of presentations delivered as part</w:t>
            </w:r>
            <w:r w:rsidR="009E348E">
              <w:t> </w:t>
            </w:r>
            <w:r>
              <w:t>of the Activity Based Funding Conference 2021 scientific</w:t>
            </w:r>
            <w:r w:rsidR="009E348E">
              <w:t> </w:t>
            </w:r>
            <w:r>
              <w:t xml:space="preserve">program. </w:t>
            </w:r>
          </w:p>
          <w:p w14:paraId="0BFFBB6E" w14:textId="65D29853" w:rsidR="00FD1D99" w:rsidRPr="007D6047" w:rsidRDefault="00274B4F" w:rsidP="00274B4F">
            <w:pPr>
              <w:pStyle w:val="Body"/>
              <w:spacing w:after="240"/>
            </w:pPr>
            <w:r>
              <w:t xml:space="preserve">IHPA </w:t>
            </w:r>
            <w:proofErr w:type="spellStart"/>
            <w:r>
              <w:t>recognises</w:t>
            </w:r>
            <w:proofErr w:type="spellEnd"/>
            <w:r>
              <w:t xml:space="preserve"> that access to high</w:t>
            </w:r>
            <w:r w:rsidR="00245DB9">
              <w:t>-</w:t>
            </w:r>
            <w:r>
              <w:t xml:space="preserve">quality, nationally consistent health data is essential for </w:t>
            </w:r>
            <w:r w:rsidR="009B0F87">
              <w:t>conducting</w:t>
            </w:r>
            <w:r>
              <w:t xml:space="preserve"> research and analysis</w:t>
            </w:r>
            <w:r w:rsidR="00F54D46">
              <w:t>,</w:t>
            </w:r>
            <w:r>
              <w:t xml:space="preserve"> and to inform the development of policies for improving health outcomes for all Australians. IHPA’s Data Access and Release Policy governs the process regarding release of IHPA data to researchers. In 2020–21, IHPA received 11 requests for data</w:t>
            </w:r>
            <w:r w:rsidR="00F54D46">
              <w:t>,</w:t>
            </w:r>
            <w:r>
              <w:t xml:space="preserve"> </w:t>
            </w:r>
            <w:r w:rsidR="00F54D46">
              <w:t>which</w:t>
            </w:r>
            <w:r>
              <w:t xml:space="preserve"> were processed according to the Data Access and Release Policy.</w:t>
            </w:r>
          </w:p>
        </w:tc>
      </w:tr>
    </w:tbl>
    <w:p w14:paraId="3D5160C4" w14:textId="77777777" w:rsidR="00222987" w:rsidRDefault="00222987" w:rsidP="00FD1D99">
      <w:pPr>
        <w:pStyle w:val="H4"/>
        <w:spacing w:before="120"/>
        <w:sectPr w:rsidR="00222987" w:rsidSect="00A43FEE">
          <w:footerReference w:type="default" r:id="rId156"/>
          <w:type w:val="continuous"/>
          <w:pgSz w:w="9979" w:h="14175"/>
          <w:pgMar w:top="1134" w:right="1134" w:bottom="1134" w:left="1134" w:header="709" w:footer="709" w:gutter="0"/>
          <w:cols w:space="708"/>
          <w:docGrid w:linePitch="360"/>
        </w:sectPr>
      </w:pPr>
    </w:p>
    <w:tbl>
      <w:tblPr>
        <w:tblStyle w:val="TableGrid"/>
        <w:tblW w:w="4994" w:type="pct"/>
        <w:tblCellMar>
          <w:right w:w="142" w:type="dxa"/>
        </w:tblCellMar>
        <w:tblLook w:val="04A0" w:firstRow="1" w:lastRow="0" w:firstColumn="1" w:lastColumn="0" w:noHBand="0" w:noVBand="1"/>
      </w:tblPr>
      <w:tblGrid>
        <w:gridCol w:w="2834"/>
        <w:gridCol w:w="427"/>
        <w:gridCol w:w="4441"/>
      </w:tblGrid>
      <w:tr w:rsidR="00FD1D99" w14:paraId="17601F4F" w14:textId="77777777" w:rsidTr="00FD1D99">
        <w:trPr>
          <w:cnfStyle w:val="100000000000" w:firstRow="1" w:lastRow="0" w:firstColumn="0" w:lastColumn="0" w:oddVBand="0" w:evenVBand="0" w:oddHBand="0" w:evenHBand="0" w:firstRowFirstColumn="0" w:firstRowLastColumn="0" w:lastRowFirstColumn="0" w:lastRowLastColumn="0"/>
          <w:trHeight w:val="578"/>
        </w:trPr>
        <w:tc>
          <w:tcPr>
            <w:tcW w:w="1840" w:type="pct"/>
          </w:tcPr>
          <w:p w14:paraId="23DA9858" w14:textId="21F40074" w:rsidR="00FD1D99" w:rsidRPr="00FD1D99" w:rsidRDefault="00FD1D99" w:rsidP="00FD1D99">
            <w:pPr>
              <w:pStyle w:val="H4"/>
              <w:spacing w:before="120"/>
              <w:rPr>
                <w:noProof/>
                <w:color w:val="FFFFFF" w:themeColor="background2"/>
              </w:rPr>
            </w:pPr>
            <w:r w:rsidRPr="00FD1D99">
              <w:rPr>
                <w:color w:val="FFFFFF" w:themeColor="background2"/>
              </w:rPr>
              <w:lastRenderedPageBreak/>
              <w:t xml:space="preserve">Performance </w:t>
            </w:r>
            <w:r w:rsidR="00E91C33">
              <w:rPr>
                <w:color w:val="FFFFFF" w:themeColor="background2"/>
              </w:rPr>
              <w:t>c</w:t>
            </w:r>
            <w:r w:rsidRPr="00FD1D99">
              <w:rPr>
                <w:color w:val="FFFFFF" w:themeColor="background2"/>
              </w:rPr>
              <w:t>riteria</w:t>
            </w:r>
          </w:p>
        </w:tc>
        <w:tc>
          <w:tcPr>
            <w:tcW w:w="277" w:type="pct"/>
            <w:shd w:val="clear" w:color="auto" w:fill="FFFFFF" w:themeFill="background2"/>
          </w:tcPr>
          <w:p w14:paraId="14131CDF" w14:textId="77777777" w:rsidR="00FD1D99" w:rsidRPr="00FD1D99" w:rsidRDefault="00FD1D99" w:rsidP="00FD1D99">
            <w:pPr>
              <w:pStyle w:val="H4"/>
              <w:spacing w:before="120"/>
              <w:rPr>
                <w:color w:val="FFFFFF" w:themeColor="background2"/>
              </w:rPr>
            </w:pPr>
          </w:p>
        </w:tc>
        <w:tc>
          <w:tcPr>
            <w:tcW w:w="2883" w:type="pct"/>
          </w:tcPr>
          <w:p w14:paraId="3C4753A1" w14:textId="60205E80" w:rsidR="00FD1D99" w:rsidRPr="00FD1D99" w:rsidRDefault="00FD1D99" w:rsidP="00FD1D99">
            <w:pPr>
              <w:pStyle w:val="H4"/>
              <w:spacing w:before="120"/>
              <w:rPr>
                <w:color w:val="FFFFFF" w:themeColor="background2"/>
              </w:rPr>
            </w:pPr>
            <w:r w:rsidRPr="00FD1D99">
              <w:rPr>
                <w:color w:val="FFFFFF" w:themeColor="background2"/>
              </w:rPr>
              <w:t>Results against performance criteria</w:t>
            </w:r>
          </w:p>
        </w:tc>
      </w:tr>
      <w:tr w:rsidR="006E63B9" w14:paraId="0B420A51" w14:textId="77777777" w:rsidTr="006E63B9">
        <w:trPr>
          <w:cnfStyle w:val="100000000000" w:firstRow="1" w:lastRow="0" w:firstColumn="0" w:lastColumn="0" w:oddVBand="0" w:evenVBand="0" w:oddHBand="0" w:evenHBand="0" w:firstRowFirstColumn="0" w:firstRowLastColumn="0" w:lastRowFirstColumn="0" w:lastRowLastColumn="0"/>
          <w:trHeight w:val="2403"/>
        </w:trPr>
        <w:tc>
          <w:tcPr>
            <w:tcW w:w="1840" w:type="pct"/>
            <w:shd w:val="clear" w:color="auto" w:fill="DCD3E2"/>
          </w:tcPr>
          <w:p w14:paraId="7E4FE886" w14:textId="31989A7E" w:rsidR="006E63B9" w:rsidRPr="00FD1D99" w:rsidRDefault="006E63B9" w:rsidP="006E63B9">
            <w:pPr>
              <w:pStyle w:val="NumberListNoIndent"/>
              <w:spacing w:before="240"/>
              <w:rPr>
                <w:noProof/>
                <w:color w:val="auto"/>
              </w:rPr>
            </w:pPr>
            <w:r w:rsidRPr="006E63B9">
              <w:rPr>
                <w:noProof/>
                <w:color w:val="auto"/>
              </w:rPr>
              <w:t>Progress investigation of bundled payments for stroke, and hip and knee replacements</w:t>
            </w:r>
            <w:r w:rsidR="00587F4D">
              <w:rPr>
                <w:noProof/>
                <w:color w:val="auto"/>
              </w:rPr>
              <w:t>.</w:t>
            </w:r>
          </w:p>
        </w:tc>
        <w:tc>
          <w:tcPr>
            <w:tcW w:w="277" w:type="pct"/>
            <w:shd w:val="clear" w:color="auto" w:fill="FFFFFF" w:themeFill="background2"/>
          </w:tcPr>
          <w:p w14:paraId="5A9858AF" w14:textId="5EE0F2A0" w:rsidR="006E63B9" w:rsidRPr="00FD1D99" w:rsidRDefault="00F31526" w:rsidP="006E63B9">
            <w:pPr>
              <w:pStyle w:val="Body"/>
              <w:spacing w:before="240"/>
              <w:rPr>
                <w:color w:val="auto"/>
              </w:rPr>
            </w:pPr>
            <w:r>
              <w:rPr>
                <w:noProof/>
                <w:color w:val="FFFFFF" w:themeColor="background2"/>
                <w:lang w:val="en-AU" w:eastAsia="en-AU"/>
              </w:rPr>
              <mc:AlternateContent>
                <mc:Choice Requires="wps">
                  <w:drawing>
                    <wp:anchor distT="0" distB="0" distL="114300" distR="114300" simplePos="0" relativeHeight="251896832" behindDoc="0" locked="0" layoutInCell="1" allowOverlap="1" wp14:anchorId="43FDA54F" wp14:editId="2E7C2AA2">
                      <wp:simplePos x="0" y="0"/>
                      <wp:positionH relativeFrom="column">
                        <wp:posOffset>-70485</wp:posOffset>
                      </wp:positionH>
                      <wp:positionV relativeFrom="paragraph">
                        <wp:posOffset>232727</wp:posOffset>
                      </wp:positionV>
                      <wp:extent cx="289560" cy="0"/>
                      <wp:effectExtent l="0" t="95250" r="0" b="95250"/>
                      <wp:wrapNone/>
                      <wp:docPr id="153" name="Straight Arrow Connector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438C3" id="Straight Arrow Connector 153" o:spid="_x0000_s1026" type="#_x0000_t32" alt="&quot;&quot;" style="position:absolute;margin-left:-5.55pt;margin-top:18.3pt;width:22.8pt;height:0;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" strokecolor="#5e2f7e [3208]" strokeweight="2.25pt">
                      <v:stroke endarrow="open" joinstyle="miter"/>
                    </v:shape>
                  </w:pict>
                </mc:Fallback>
              </mc:AlternateContent>
            </w:r>
          </w:p>
        </w:tc>
        <w:tc>
          <w:tcPr>
            <w:tcW w:w="2883" w:type="pct"/>
            <w:shd w:val="clear" w:color="auto" w:fill="DCD3E2"/>
          </w:tcPr>
          <w:p w14:paraId="218F2318" w14:textId="5BBEB619" w:rsidR="006E63B9" w:rsidRPr="00FD1D99" w:rsidRDefault="009E6579" w:rsidP="006E63B9">
            <w:pPr>
              <w:pStyle w:val="Body"/>
              <w:spacing w:before="240"/>
              <w:rPr>
                <w:color w:val="auto"/>
              </w:rPr>
            </w:pPr>
            <w:r w:rsidRPr="009E6579">
              <w:rPr>
                <w:color w:val="auto"/>
              </w:rPr>
              <w:t>In 2020</w:t>
            </w:r>
            <w:r w:rsidR="002264AD">
              <w:rPr>
                <w:color w:val="auto"/>
              </w:rPr>
              <w:t>–</w:t>
            </w:r>
            <w:r w:rsidRPr="009E6579">
              <w:rPr>
                <w:color w:val="auto"/>
              </w:rPr>
              <w:t>21, IHPA commenced investigations into alternative funding models to activity based funding, which</w:t>
            </w:r>
            <w:r w:rsidR="00AF497E">
              <w:rPr>
                <w:color w:val="auto"/>
              </w:rPr>
              <w:t> </w:t>
            </w:r>
            <w:r w:rsidRPr="009E6579">
              <w:rPr>
                <w:color w:val="auto"/>
              </w:rPr>
              <w:t xml:space="preserve">included bundled payments. The Pricing Framework for Australian Public Hospital 2021–22 identifies the main </w:t>
            </w:r>
            <w:r w:rsidR="00C12B37" w:rsidRPr="009E6579">
              <w:rPr>
                <w:color w:val="auto"/>
              </w:rPr>
              <w:t>criteria</w:t>
            </w:r>
            <w:r w:rsidRPr="009E6579">
              <w:rPr>
                <w:color w:val="auto"/>
              </w:rPr>
              <w:t xml:space="preserve"> where bundled payments may be appropriate, that</w:t>
            </w:r>
            <w:r w:rsidR="00F24701">
              <w:rPr>
                <w:color w:val="auto"/>
              </w:rPr>
              <w:t> </w:t>
            </w:r>
            <w:r w:rsidRPr="009E6579">
              <w:rPr>
                <w:color w:val="auto"/>
              </w:rPr>
              <w:t>is, where there are well-defined care pathways that span multiple care settings</w:t>
            </w:r>
            <w:r w:rsidR="00F54D46">
              <w:rPr>
                <w:color w:val="auto"/>
              </w:rPr>
              <w:t>,</w:t>
            </w:r>
            <w:r w:rsidRPr="009E6579">
              <w:rPr>
                <w:color w:val="auto"/>
              </w:rPr>
              <w:t xml:space="preserve"> such as maternity care, stroke</w:t>
            </w:r>
            <w:r w:rsidR="00AF497E">
              <w:rPr>
                <w:color w:val="auto"/>
              </w:rPr>
              <w:t> </w:t>
            </w:r>
            <w:r w:rsidRPr="009E6579">
              <w:rPr>
                <w:color w:val="auto"/>
              </w:rPr>
              <w:t>or</w:t>
            </w:r>
            <w:r w:rsidR="00AF497E">
              <w:rPr>
                <w:color w:val="auto"/>
              </w:rPr>
              <w:t> </w:t>
            </w:r>
            <w:r w:rsidRPr="009E6579">
              <w:rPr>
                <w:color w:val="auto"/>
              </w:rPr>
              <w:t>hip replacements.</w:t>
            </w:r>
          </w:p>
        </w:tc>
      </w:tr>
      <w:tr w:rsidR="006E63B9" w14:paraId="5CA0BDA6" w14:textId="77777777" w:rsidTr="006E63B9">
        <w:trPr>
          <w:cnfStyle w:val="100000000000" w:firstRow="1" w:lastRow="0" w:firstColumn="0" w:lastColumn="0" w:oddVBand="0" w:evenVBand="0" w:oddHBand="0" w:evenHBand="0" w:firstRowFirstColumn="0" w:firstRowLastColumn="0" w:lastRowFirstColumn="0" w:lastRowLastColumn="0"/>
          <w:trHeight w:val="1699"/>
        </w:trPr>
        <w:tc>
          <w:tcPr>
            <w:tcW w:w="1840" w:type="pct"/>
            <w:shd w:val="clear" w:color="auto" w:fill="DCD3E2"/>
          </w:tcPr>
          <w:p w14:paraId="4F14255E" w14:textId="466B9569" w:rsidR="006E63B9" w:rsidRPr="006E63B9" w:rsidRDefault="006E63B9" w:rsidP="006E63B9">
            <w:pPr>
              <w:pStyle w:val="NumberListNoIndent"/>
              <w:rPr>
                <w:noProof/>
                <w:color w:val="auto"/>
              </w:rPr>
            </w:pPr>
            <w:r w:rsidRPr="006E63B9">
              <w:rPr>
                <w:noProof/>
                <w:color w:val="auto"/>
              </w:rPr>
              <w:t>Develop a capitation model for hospital avoidance programs</w:t>
            </w:r>
            <w:r w:rsidR="00587F4D">
              <w:rPr>
                <w:noProof/>
                <w:color w:val="auto"/>
              </w:rPr>
              <w:t>.</w:t>
            </w:r>
          </w:p>
        </w:tc>
        <w:tc>
          <w:tcPr>
            <w:tcW w:w="277" w:type="pct"/>
            <w:shd w:val="clear" w:color="auto" w:fill="FFFFFF" w:themeFill="background2"/>
          </w:tcPr>
          <w:p w14:paraId="52EA6B2D" w14:textId="342E70CF" w:rsidR="006E63B9" w:rsidRPr="006E63B9" w:rsidRDefault="00F31526" w:rsidP="006E63B9">
            <w:pPr>
              <w:pStyle w:val="Body"/>
              <w:spacing w:before="240"/>
              <w:rPr>
                <w:color w:val="auto"/>
              </w:rPr>
            </w:pPr>
            <w:r>
              <w:rPr>
                <w:noProof/>
                <w:color w:val="FFFFFF" w:themeColor="background2"/>
                <w:lang w:val="en-AU" w:eastAsia="en-AU"/>
              </w:rPr>
              <mc:AlternateContent>
                <mc:Choice Requires="wps">
                  <w:drawing>
                    <wp:anchor distT="0" distB="0" distL="114300" distR="114300" simplePos="0" relativeHeight="251912192" behindDoc="0" locked="0" layoutInCell="1" allowOverlap="1" wp14:anchorId="74AA78C8" wp14:editId="6C7C4C5C">
                      <wp:simplePos x="0" y="0"/>
                      <wp:positionH relativeFrom="column">
                        <wp:posOffset>-70485</wp:posOffset>
                      </wp:positionH>
                      <wp:positionV relativeFrom="paragraph">
                        <wp:posOffset>80327</wp:posOffset>
                      </wp:positionV>
                      <wp:extent cx="289560" cy="0"/>
                      <wp:effectExtent l="0" t="95250" r="0" b="95250"/>
                      <wp:wrapNone/>
                      <wp:docPr id="65" name="Straight Arrow Connector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88AFE2" id="Straight Arrow Connector 65" o:spid="_x0000_s1026" type="#_x0000_t32" alt="&quot;&quot;" style="position:absolute;margin-left:-5.55pt;margin-top:6.3pt;width:22.8pt;height:0;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" strokecolor="#5e2f7e [3208]" strokeweight="2.25pt">
                      <v:stroke endarrow="open" joinstyle="miter"/>
                    </v:shape>
                  </w:pict>
                </mc:Fallback>
              </mc:AlternateContent>
            </w:r>
          </w:p>
        </w:tc>
        <w:tc>
          <w:tcPr>
            <w:tcW w:w="2883" w:type="pct"/>
            <w:shd w:val="clear" w:color="auto" w:fill="DCD3E2"/>
          </w:tcPr>
          <w:p w14:paraId="061E89FF" w14:textId="7F92DC16" w:rsidR="006E63B9" w:rsidRPr="006E63B9" w:rsidRDefault="009E6579" w:rsidP="006E63B9">
            <w:pPr>
              <w:pStyle w:val="Body"/>
              <w:rPr>
                <w:color w:val="auto"/>
              </w:rPr>
            </w:pPr>
            <w:r w:rsidRPr="009E6579">
              <w:rPr>
                <w:color w:val="auto"/>
              </w:rPr>
              <w:t>IHPA conducted analysis of linked activity and cost data to</w:t>
            </w:r>
            <w:r w:rsidR="00433CD9">
              <w:rPr>
                <w:color w:val="auto"/>
              </w:rPr>
              <w:t> </w:t>
            </w:r>
            <w:r w:rsidRPr="009E6579">
              <w:rPr>
                <w:color w:val="auto"/>
              </w:rPr>
              <w:t xml:space="preserve">identify a patient cohort that may be suitable to funding through a capitation model. Chronic conditions were found to be key drivers of hospital </w:t>
            </w:r>
            <w:proofErr w:type="spellStart"/>
            <w:r w:rsidRPr="009E6579">
              <w:rPr>
                <w:color w:val="auto"/>
              </w:rPr>
              <w:t>utilisation</w:t>
            </w:r>
            <w:proofErr w:type="spellEnd"/>
            <w:r w:rsidRPr="009E6579">
              <w:rPr>
                <w:color w:val="auto"/>
              </w:rPr>
              <w:t xml:space="preserve">. IHPA will continue to work with jurisdictions </w:t>
            </w:r>
            <w:r w:rsidR="004C2AE4">
              <w:rPr>
                <w:color w:val="auto"/>
              </w:rPr>
              <w:t>to develop</w:t>
            </w:r>
            <w:r w:rsidRPr="009E6579">
              <w:rPr>
                <w:color w:val="auto"/>
              </w:rPr>
              <w:t xml:space="preserve"> a funding methodology that supports innovative funding models.</w:t>
            </w:r>
          </w:p>
        </w:tc>
      </w:tr>
      <w:tr w:rsidR="006E63B9" w14:paraId="25222946" w14:textId="77777777" w:rsidTr="006E63B9">
        <w:trPr>
          <w:cnfStyle w:val="100000000000" w:firstRow="1" w:lastRow="0" w:firstColumn="0" w:lastColumn="0" w:oddVBand="0" w:evenVBand="0" w:oddHBand="0" w:evenHBand="0" w:firstRowFirstColumn="0" w:firstRowLastColumn="0" w:lastRowFirstColumn="0" w:lastRowLastColumn="0"/>
          <w:trHeight w:val="1554"/>
        </w:trPr>
        <w:tc>
          <w:tcPr>
            <w:tcW w:w="1840" w:type="pct"/>
            <w:shd w:val="clear" w:color="auto" w:fill="DCD3E2"/>
          </w:tcPr>
          <w:p w14:paraId="15FB261D" w14:textId="284FBB7B" w:rsidR="006E63B9" w:rsidRPr="006E63B9" w:rsidRDefault="006E63B9" w:rsidP="006E63B9">
            <w:pPr>
              <w:pStyle w:val="NumberListNoIndent"/>
              <w:rPr>
                <w:noProof/>
                <w:color w:val="auto"/>
              </w:rPr>
            </w:pPr>
            <w:r w:rsidRPr="006E63B9">
              <w:rPr>
                <w:noProof/>
                <w:color w:val="auto"/>
              </w:rPr>
              <w:t>Appropriate committees and working groups maintained to support IHPA’s functions</w:t>
            </w:r>
            <w:r w:rsidR="00587F4D">
              <w:rPr>
                <w:noProof/>
                <w:color w:val="auto"/>
              </w:rPr>
              <w:t>.</w:t>
            </w:r>
          </w:p>
        </w:tc>
        <w:tc>
          <w:tcPr>
            <w:tcW w:w="277" w:type="pct"/>
            <w:shd w:val="clear" w:color="auto" w:fill="FFFFFF" w:themeFill="background2"/>
          </w:tcPr>
          <w:p w14:paraId="5EF1D271" w14:textId="15C5B400" w:rsidR="006E63B9" w:rsidRPr="006E63B9" w:rsidRDefault="00F31526" w:rsidP="006E63B9">
            <w:pPr>
              <w:pStyle w:val="Body"/>
              <w:rPr>
                <w:color w:val="auto"/>
              </w:rPr>
            </w:pPr>
            <w:r>
              <w:rPr>
                <w:noProof/>
                <w:color w:val="FFFFFF" w:themeColor="background2"/>
                <w:lang w:val="en-AU" w:eastAsia="en-AU"/>
              </w:rPr>
              <mc:AlternateContent>
                <mc:Choice Requires="wps">
                  <w:drawing>
                    <wp:anchor distT="0" distB="0" distL="114300" distR="114300" simplePos="0" relativeHeight="251914240" behindDoc="0" locked="0" layoutInCell="1" allowOverlap="1" wp14:anchorId="5C971261" wp14:editId="778A5882">
                      <wp:simplePos x="0" y="0"/>
                      <wp:positionH relativeFrom="column">
                        <wp:posOffset>-70485</wp:posOffset>
                      </wp:positionH>
                      <wp:positionV relativeFrom="paragraph">
                        <wp:posOffset>82232</wp:posOffset>
                      </wp:positionV>
                      <wp:extent cx="289560" cy="0"/>
                      <wp:effectExtent l="0" t="95250" r="0" b="95250"/>
                      <wp:wrapNone/>
                      <wp:docPr id="66" name="Straight Arrow Connector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2EF677" id="Straight Arrow Connector 66" o:spid="_x0000_s1026" type="#_x0000_t32" alt="&quot;&quot;" style="position:absolute;margin-left:-5.55pt;margin-top:6.45pt;width:22.8pt;height:0;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" strokecolor="#5e2f7e [3208]" strokeweight="2.25pt">
                      <v:stroke endarrow="open" joinstyle="miter"/>
                    </v:shape>
                  </w:pict>
                </mc:Fallback>
              </mc:AlternateContent>
            </w:r>
          </w:p>
        </w:tc>
        <w:tc>
          <w:tcPr>
            <w:tcW w:w="2883" w:type="pct"/>
            <w:shd w:val="clear" w:color="auto" w:fill="DCD3E2"/>
          </w:tcPr>
          <w:p w14:paraId="7E2323D2" w14:textId="3EB7A758" w:rsidR="006E63B9" w:rsidRPr="006E63B9" w:rsidRDefault="009E6579" w:rsidP="006E63B9">
            <w:pPr>
              <w:pStyle w:val="Body"/>
              <w:rPr>
                <w:color w:val="auto"/>
              </w:rPr>
            </w:pPr>
            <w:r w:rsidRPr="009E6579">
              <w:rPr>
                <w:color w:val="auto"/>
              </w:rPr>
              <w:t xml:space="preserve">In 2020–21 IHPA maintained up to 18 committees and working groups, to provide expert advice and to ensure the transparency and integrity of the </w:t>
            </w:r>
            <w:proofErr w:type="spellStart"/>
            <w:r w:rsidRPr="009E6579">
              <w:rPr>
                <w:color w:val="auto"/>
              </w:rPr>
              <w:t>organisation</w:t>
            </w:r>
            <w:proofErr w:type="spellEnd"/>
            <w:r w:rsidRPr="009E6579">
              <w:rPr>
                <w:color w:val="auto"/>
              </w:rPr>
              <w:t>. During the reporting period, IHPA held 67 meetings with the various committees and working groups.</w:t>
            </w:r>
          </w:p>
        </w:tc>
      </w:tr>
      <w:tr w:rsidR="006E63B9" w14:paraId="0950E421" w14:textId="77777777" w:rsidTr="006E63B9">
        <w:trPr>
          <w:cnfStyle w:val="100000000000" w:firstRow="1" w:lastRow="0" w:firstColumn="0" w:lastColumn="0" w:oddVBand="0" w:evenVBand="0" w:oddHBand="0" w:evenHBand="0" w:firstRowFirstColumn="0" w:firstRowLastColumn="0" w:lastRowFirstColumn="0" w:lastRowLastColumn="0"/>
          <w:trHeight w:val="4396"/>
        </w:trPr>
        <w:tc>
          <w:tcPr>
            <w:tcW w:w="1840" w:type="pct"/>
            <w:shd w:val="clear" w:color="auto" w:fill="DCD3E2"/>
          </w:tcPr>
          <w:p w14:paraId="0AF2F2F1" w14:textId="15D82B76" w:rsidR="006E63B9" w:rsidRPr="006E63B9" w:rsidRDefault="006E63B9" w:rsidP="006E63B9">
            <w:pPr>
              <w:pStyle w:val="NumberListNoIndent"/>
              <w:rPr>
                <w:noProof/>
                <w:color w:val="auto"/>
              </w:rPr>
            </w:pPr>
            <w:r w:rsidRPr="006E63B9">
              <w:rPr>
                <w:noProof/>
                <w:color w:val="auto"/>
              </w:rPr>
              <w:t xml:space="preserve">Public consultation processes conducted in accordance with the </w:t>
            </w:r>
            <w:r w:rsidRPr="006E63B9">
              <w:rPr>
                <w:i/>
                <w:iCs/>
                <w:noProof/>
                <w:color w:val="auto"/>
              </w:rPr>
              <w:t>National Health Reform Act 2011</w:t>
            </w:r>
            <w:r w:rsidR="00587F4D" w:rsidRPr="00DD66E6">
              <w:rPr>
                <w:noProof/>
                <w:color w:val="auto"/>
              </w:rPr>
              <w:t>.</w:t>
            </w:r>
          </w:p>
        </w:tc>
        <w:tc>
          <w:tcPr>
            <w:tcW w:w="277" w:type="pct"/>
            <w:shd w:val="clear" w:color="auto" w:fill="FFFFFF" w:themeFill="background2"/>
          </w:tcPr>
          <w:p w14:paraId="255EC36C" w14:textId="53A81993" w:rsidR="006E63B9" w:rsidRPr="006E63B9" w:rsidRDefault="00F31526" w:rsidP="006E63B9">
            <w:pPr>
              <w:pStyle w:val="Body"/>
              <w:rPr>
                <w:color w:val="auto"/>
              </w:rPr>
            </w:pPr>
            <w:r>
              <w:rPr>
                <w:noProof/>
                <w:color w:val="FFFFFF" w:themeColor="background2"/>
                <w:lang w:val="en-AU" w:eastAsia="en-AU"/>
              </w:rPr>
              <mc:AlternateContent>
                <mc:Choice Requires="wps">
                  <w:drawing>
                    <wp:anchor distT="0" distB="0" distL="114300" distR="114300" simplePos="0" relativeHeight="251916288" behindDoc="0" locked="0" layoutInCell="1" allowOverlap="1" wp14:anchorId="72EA0E84" wp14:editId="1172736F">
                      <wp:simplePos x="0" y="0"/>
                      <wp:positionH relativeFrom="column">
                        <wp:posOffset>-69215</wp:posOffset>
                      </wp:positionH>
                      <wp:positionV relativeFrom="paragraph">
                        <wp:posOffset>76517</wp:posOffset>
                      </wp:positionV>
                      <wp:extent cx="289560" cy="0"/>
                      <wp:effectExtent l="0" t="95250" r="0" b="95250"/>
                      <wp:wrapNone/>
                      <wp:docPr id="67" name="Straight Arrow Connector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F93FF8" id="Straight Arrow Connector 67" o:spid="_x0000_s1026" type="#_x0000_t32" alt="&quot;&quot;" style="position:absolute;margin-left:-5.45pt;margin-top:6pt;width:22.8pt;height:0;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" strokecolor="#5e2f7e [3208]" strokeweight="2.25pt">
                      <v:stroke endarrow="open" joinstyle="miter"/>
                    </v:shape>
                  </w:pict>
                </mc:Fallback>
              </mc:AlternateContent>
            </w:r>
          </w:p>
        </w:tc>
        <w:tc>
          <w:tcPr>
            <w:tcW w:w="2883" w:type="pct"/>
            <w:shd w:val="clear" w:color="auto" w:fill="DCD3E2"/>
          </w:tcPr>
          <w:p w14:paraId="482188EE" w14:textId="0FDDFDE6" w:rsidR="006E63B9" w:rsidRPr="005E28D1" w:rsidRDefault="006E63B9" w:rsidP="00F31526">
            <w:pPr>
              <w:pStyle w:val="Body"/>
            </w:pPr>
            <w:r w:rsidRPr="005E28D1">
              <w:t xml:space="preserve">IHPA conducted five public consultation processes in 2020–21, each in accordance with the </w:t>
            </w:r>
            <w:r w:rsidRPr="00A02341">
              <w:rPr>
                <w:i/>
                <w:iCs/>
              </w:rPr>
              <w:t>National Health Reform Act 2011</w:t>
            </w:r>
            <w:r w:rsidRPr="005E28D1">
              <w:t>. Th</w:t>
            </w:r>
            <w:r w:rsidR="004C2AE4">
              <w:t>is</w:t>
            </w:r>
            <w:r w:rsidRPr="005E28D1">
              <w:t xml:space="preserve"> included:</w:t>
            </w:r>
          </w:p>
          <w:p w14:paraId="498EF73D" w14:textId="77777777" w:rsidR="006E63B9" w:rsidRDefault="006E63B9" w:rsidP="006E63B9">
            <w:pPr>
              <w:pStyle w:val="AlphabetListL2"/>
              <w:spacing w:before="120"/>
            </w:pPr>
            <w:r>
              <w:t>Pricing Framework for Australian Public Hospital Services 2021–22 (September 2020)</w:t>
            </w:r>
          </w:p>
          <w:p w14:paraId="0CAFC4C4" w14:textId="77777777" w:rsidR="006E63B9" w:rsidRPr="005E28D1" w:rsidRDefault="006E63B9" w:rsidP="006E63B9">
            <w:pPr>
              <w:pStyle w:val="AlphabetListL2"/>
              <w:spacing w:before="120"/>
            </w:pPr>
            <w:r w:rsidRPr="005E28D1">
              <w:t xml:space="preserve">Assessment of </w:t>
            </w:r>
            <w:r>
              <w:t>N</w:t>
            </w:r>
            <w:r w:rsidRPr="005E28D1">
              <w:t xml:space="preserve">ew </w:t>
            </w:r>
            <w:r>
              <w:t>H</w:t>
            </w:r>
            <w:r w:rsidRPr="005E28D1">
              <w:t xml:space="preserve">ealth </w:t>
            </w:r>
            <w:r>
              <w:t>T</w:t>
            </w:r>
            <w:r w:rsidRPr="005E28D1">
              <w:t>echnologies for 2020–21 (October 2020)</w:t>
            </w:r>
          </w:p>
          <w:p w14:paraId="4E1C525E" w14:textId="77777777" w:rsidR="006E63B9" w:rsidRPr="005E28D1" w:rsidRDefault="006E63B9" w:rsidP="006E63B9">
            <w:pPr>
              <w:pStyle w:val="AlphabetListL2"/>
              <w:spacing w:before="120"/>
            </w:pPr>
            <w:r w:rsidRPr="005E28D1">
              <w:t>IHPA Work Program and Corporate Plan</w:t>
            </w:r>
            <w:r>
              <w:br/>
            </w:r>
            <w:r w:rsidRPr="005E28D1">
              <w:t>2021–22 (April 2021)</w:t>
            </w:r>
          </w:p>
          <w:p w14:paraId="2F90BEB6" w14:textId="77777777" w:rsidR="006E63B9" w:rsidRPr="005E28D1" w:rsidRDefault="006E63B9" w:rsidP="006E63B9">
            <w:pPr>
              <w:pStyle w:val="AlphabetListL2"/>
              <w:spacing w:before="120"/>
            </w:pPr>
            <w:r w:rsidRPr="005E28D1">
              <w:t>Draft Australian National Subacute and</w:t>
            </w:r>
            <w:r>
              <w:t> </w:t>
            </w:r>
            <w:r w:rsidRPr="005E28D1">
              <w:t>Non</w:t>
            </w:r>
            <w:r>
              <w:noBreakHyphen/>
            </w:r>
            <w:r w:rsidRPr="005E28D1">
              <w:t>Acute Patient Classification Version</w:t>
            </w:r>
            <w:r>
              <w:t> </w:t>
            </w:r>
            <w:r w:rsidRPr="005E28D1">
              <w:t>5.0</w:t>
            </w:r>
            <w:r>
              <w:t> </w:t>
            </w:r>
            <w:r w:rsidRPr="005E28D1">
              <w:t>(May 2021)</w:t>
            </w:r>
          </w:p>
          <w:p w14:paraId="3F7BBEBB" w14:textId="5EF1086F" w:rsidR="006E63B9" w:rsidRPr="006E63B9" w:rsidRDefault="006E63B9" w:rsidP="006E63B9">
            <w:pPr>
              <w:pStyle w:val="AlphabetListL2"/>
              <w:rPr>
                <w:color w:val="auto"/>
              </w:rPr>
            </w:pPr>
            <w:r w:rsidRPr="005E28D1">
              <w:t>Development of the ICD-10-AM/ACHI/ACS Twelfth Edition and AR-DRG Version 11.0 (May</w:t>
            </w:r>
            <w:r>
              <w:t> </w:t>
            </w:r>
            <w:r w:rsidRPr="005E28D1">
              <w:t>2021)</w:t>
            </w:r>
            <w:r>
              <w:t>.</w:t>
            </w:r>
          </w:p>
        </w:tc>
      </w:tr>
    </w:tbl>
    <w:p w14:paraId="1AF4590F" w14:textId="77777777" w:rsidR="00CC417C" w:rsidRDefault="00CC417C" w:rsidP="001D57D2">
      <w:pPr>
        <w:pStyle w:val="Body"/>
      </w:pPr>
    </w:p>
    <w:p w14:paraId="6EC04FD6" w14:textId="77777777" w:rsidR="00222987" w:rsidRDefault="00222987" w:rsidP="001D57D2">
      <w:pPr>
        <w:pStyle w:val="Body"/>
        <w:sectPr w:rsidR="00222987" w:rsidSect="00222987">
          <w:footerReference w:type="default" r:id="rId157"/>
          <w:pgSz w:w="9979" w:h="14175"/>
          <w:pgMar w:top="1134" w:right="1134" w:bottom="1134" w:left="1134" w:header="709" w:footer="709" w:gutter="0"/>
          <w:cols w:space="708"/>
          <w:docGrid w:linePitch="360"/>
        </w:sectPr>
      </w:pPr>
    </w:p>
    <w:tbl>
      <w:tblPr>
        <w:tblStyle w:val="TableGrid"/>
        <w:tblW w:w="4994" w:type="pct"/>
        <w:tblCellMar>
          <w:right w:w="142" w:type="dxa"/>
        </w:tblCellMar>
        <w:tblLook w:val="04A0" w:firstRow="1" w:lastRow="0" w:firstColumn="1" w:lastColumn="0" w:noHBand="0" w:noVBand="1"/>
      </w:tblPr>
      <w:tblGrid>
        <w:gridCol w:w="2834"/>
        <w:gridCol w:w="427"/>
        <w:gridCol w:w="4441"/>
      </w:tblGrid>
      <w:tr w:rsidR="00CC417C" w:rsidRPr="00DF5D28" w14:paraId="10FBCB51" w14:textId="77777777" w:rsidTr="006544B5">
        <w:trPr>
          <w:cnfStyle w:val="100000000000" w:firstRow="1" w:lastRow="0" w:firstColumn="0" w:lastColumn="0" w:oddVBand="0" w:evenVBand="0" w:oddHBand="0" w:evenHBand="0" w:firstRowFirstColumn="0" w:firstRowLastColumn="0" w:lastRowFirstColumn="0" w:lastRowLastColumn="0"/>
          <w:trHeight w:val="576"/>
        </w:trPr>
        <w:tc>
          <w:tcPr>
            <w:tcW w:w="1840" w:type="pct"/>
          </w:tcPr>
          <w:p w14:paraId="7494B5FE" w14:textId="77777777" w:rsidR="00CC417C" w:rsidRPr="00DF5D28" w:rsidRDefault="00CC417C" w:rsidP="006544B5">
            <w:pPr>
              <w:pStyle w:val="H4"/>
              <w:spacing w:before="120"/>
              <w:rPr>
                <w:color w:val="FFFFFF" w:themeColor="background2"/>
              </w:rPr>
            </w:pPr>
            <w:r>
              <w:rPr>
                <w:color w:val="FFFFFF" w:themeColor="background2"/>
              </w:rPr>
              <w:lastRenderedPageBreak/>
              <w:t>Performance criteria</w:t>
            </w:r>
          </w:p>
        </w:tc>
        <w:tc>
          <w:tcPr>
            <w:tcW w:w="277" w:type="pct"/>
            <w:shd w:val="clear" w:color="auto" w:fill="FFFFFF" w:themeFill="background2"/>
          </w:tcPr>
          <w:p w14:paraId="0816D1A1" w14:textId="77777777" w:rsidR="00CC417C" w:rsidRDefault="00CC417C" w:rsidP="006544B5">
            <w:pPr>
              <w:pStyle w:val="Body"/>
              <w:spacing w:before="120"/>
            </w:pPr>
          </w:p>
        </w:tc>
        <w:tc>
          <w:tcPr>
            <w:tcW w:w="2883" w:type="pct"/>
          </w:tcPr>
          <w:p w14:paraId="6E74C6CE" w14:textId="77777777" w:rsidR="00CC417C" w:rsidRPr="00DF5D28" w:rsidRDefault="00CC417C" w:rsidP="006544B5">
            <w:pPr>
              <w:pStyle w:val="H4"/>
              <w:spacing w:before="120"/>
              <w:rPr>
                <w:color w:val="FFFFFF" w:themeColor="background2"/>
              </w:rPr>
            </w:pPr>
            <w:r w:rsidRPr="00DF5D28">
              <w:rPr>
                <w:color w:val="FFFFFF" w:themeColor="background2"/>
              </w:rPr>
              <w:t>Results</w:t>
            </w:r>
            <w:r>
              <w:rPr>
                <w:color w:val="FFFFFF" w:themeColor="background2"/>
              </w:rPr>
              <w:t xml:space="preserve"> against performance criteria</w:t>
            </w:r>
          </w:p>
        </w:tc>
      </w:tr>
      <w:tr w:rsidR="00CC417C" w:rsidRPr="007D6047" w14:paraId="4B326060" w14:textId="77777777" w:rsidTr="00CC417C">
        <w:trPr>
          <w:cnfStyle w:val="100000000000" w:firstRow="1" w:lastRow="0" w:firstColumn="0" w:lastColumn="0" w:oddVBand="0" w:evenVBand="0" w:oddHBand="0" w:evenHBand="0" w:firstRowFirstColumn="0" w:firstRowLastColumn="0" w:lastRowFirstColumn="0" w:lastRowLastColumn="0"/>
          <w:trHeight w:val="1275"/>
        </w:trPr>
        <w:tc>
          <w:tcPr>
            <w:tcW w:w="1840" w:type="pct"/>
            <w:shd w:val="clear" w:color="auto" w:fill="DCD3E2"/>
          </w:tcPr>
          <w:p w14:paraId="26B3AD48" w14:textId="2108162D" w:rsidR="00CC417C" w:rsidRPr="00CC417C" w:rsidRDefault="00CC417C" w:rsidP="006544B5">
            <w:pPr>
              <w:pStyle w:val="NumberListNoIndent"/>
              <w:numPr>
                <w:ilvl w:val="0"/>
                <w:numId w:val="27"/>
              </w:numPr>
              <w:spacing w:before="240"/>
              <w:rPr>
                <w:color w:val="auto"/>
              </w:rPr>
            </w:pPr>
            <w:r w:rsidRPr="00CC417C">
              <w:rPr>
                <w:noProof/>
                <w:color w:val="auto"/>
              </w:rPr>
              <w:t>All stakeholder input is appropriately considered</w:t>
            </w:r>
            <w:r w:rsidR="00587F4D">
              <w:rPr>
                <w:noProof/>
                <w:color w:val="auto"/>
              </w:rPr>
              <w:t>.</w:t>
            </w:r>
          </w:p>
        </w:tc>
        <w:tc>
          <w:tcPr>
            <w:tcW w:w="277" w:type="pct"/>
            <w:shd w:val="clear" w:color="auto" w:fill="FFFFFF" w:themeFill="background2"/>
          </w:tcPr>
          <w:p w14:paraId="560B683D" w14:textId="20108ABE" w:rsidR="00CC417C" w:rsidRPr="00CC417C" w:rsidRDefault="00F31526"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918336" behindDoc="0" locked="0" layoutInCell="1" allowOverlap="1" wp14:anchorId="35A76F65" wp14:editId="6EC314B5">
                      <wp:simplePos x="0" y="0"/>
                      <wp:positionH relativeFrom="column">
                        <wp:posOffset>-75565</wp:posOffset>
                      </wp:positionH>
                      <wp:positionV relativeFrom="paragraph">
                        <wp:posOffset>227012</wp:posOffset>
                      </wp:positionV>
                      <wp:extent cx="289560" cy="0"/>
                      <wp:effectExtent l="0" t="95250" r="0" b="95250"/>
                      <wp:wrapNone/>
                      <wp:docPr id="69" name="Straight Arrow Connector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30B420" id="Straight Arrow Connector 69" o:spid="_x0000_s1026" type="#_x0000_t32" alt="&quot;&quot;" style="position:absolute;margin-left:-5.95pt;margin-top:17.85pt;width:22.8pt;height:0;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" strokecolor="#5e2f7e [3208]" strokeweight="2.25pt">
                      <v:stroke endarrow="open" joinstyle="miter"/>
                    </v:shape>
                  </w:pict>
                </mc:Fallback>
              </mc:AlternateContent>
            </w:r>
          </w:p>
        </w:tc>
        <w:tc>
          <w:tcPr>
            <w:tcW w:w="2883" w:type="pct"/>
            <w:shd w:val="clear" w:color="auto" w:fill="DCD3E2"/>
          </w:tcPr>
          <w:p w14:paraId="0EAAD823" w14:textId="52007437" w:rsidR="00CC417C" w:rsidRPr="00CC417C" w:rsidRDefault="009E6579" w:rsidP="00CC417C">
            <w:pPr>
              <w:pStyle w:val="Body"/>
              <w:spacing w:before="240"/>
              <w:rPr>
                <w:color w:val="auto"/>
              </w:rPr>
            </w:pPr>
            <w:r w:rsidRPr="009E6579">
              <w:rPr>
                <w:color w:val="auto"/>
              </w:rPr>
              <w:t>All submissions received by IHPA, as part of consultation processes, are presented to the Pricing Authority for consideration and published on the IHPA website.</w:t>
            </w:r>
          </w:p>
        </w:tc>
      </w:tr>
      <w:tr w:rsidR="00CC417C" w:rsidRPr="007D6047" w14:paraId="12FE03A1" w14:textId="77777777" w:rsidTr="00CC417C">
        <w:trPr>
          <w:cnfStyle w:val="100000000000" w:firstRow="1" w:lastRow="0" w:firstColumn="0" w:lastColumn="0" w:oddVBand="0" w:evenVBand="0" w:oddHBand="0" w:evenHBand="0" w:firstRowFirstColumn="0" w:firstRowLastColumn="0" w:lastRowFirstColumn="0" w:lastRowLastColumn="0"/>
          <w:trHeight w:val="994"/>
        </w:trPr>
        <w:tc>
          <w:tcPr>
            <w:tcW w:w="1840" w:type="pct"/>
            <w:shd w:val="clear" w:color="auto" w:fill="DCD3E2"/>
          </w:tcPr>
          <w:p w14:paraId="66A81C6A" w14:textId="4E477AB0" w:rsidR="00CC417C" w:rsidRPr="00CC417C" w:rsidRDefault="00CC417C" w:rsidP="00CC417C">
            <w:pPr>
              <w:pStyle w:val="NumberListNoIndent"/>
              <w:rPr>
                <w:noProof/>
              </w:rPr>
            </w:pPr>
            <w:r>
              <w:rPr>
                <w:noProof/>
                <w:color w:val="FFFFFF" w:themeColor="background2"/>
                <w:lang w:val="en-AU" w:eastAsia="en-AU"/>
              </w:rPr>
              <mc:AlternateContent>
                <mc:Choice Requires="wps">
                  <w:drawing>
                    <wp:anchor distT="0" distB="0" distL="114300" distR="114300" simplePos="0" relativeHeight="251901952" behindDoc="0" locked="0" layoutInCell="1" allowOverlap="1" wp14:anchorId="00F37B27" wp14:editId="4CFE441C">
                      <wp:simplePos x="0" y="0"/>
                      <wp:positionH relativeFrom="column">
                        <wp:posOffset>1724025</wp:posOffset>
                      </wp:positionH>
                      <wp:positionV relativeFrom="paragraph">
                        <wp:posOffset>68580</wp:posOffset>
                      </wp:positionV>
                      <wp:extent cx="289560" cy="0"/>
                      <wp:effectExtent l="0" t="133350" r="0" b="133350"/>
                      <wp:wrapNone/>
                      <wp:docPr id="221" name="Straight Arrow Connector 2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B309FA" id="Straight Arrow Connector 221" o:spid="_x0000_s1026" type="#_x0000_t32" alt="&quot;&quot;" style="position:absolute;margin-left:135.75pt;margin-top:5.4pt;width:22.8pt;height:0;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" strokecolor="#5e2f7e [3208]" strokeweight="2.25pt">
                      <v:stroke endarrow="open" joinstyle="miter"/>
                    </v:shape>
                  </w:pict>
                </mc:Fallback>
              </mc:AlternateContent>
            </w:r>
            <w:r w:rsidRPr="00FD1D99">
              <w:rPr>
                <w:noProof/>
              </w:rPr>
              <w:t>Inbox enquiries responded to within a two‑week timeframe</w:t>
            </w:r>
            <w:r w:rsidR="00587F4D">
              <w:rPr>
                <w:noProof/>
              </w:rPr>
              <w:t>.</w:t>
            </w:r>
          </w:p>
        </w:tc>
        <w:tc>
          <w:tcPr>
            <w:tcW w:w="277" w:type="pct"/>
            <w:shd w:val="clear" w:color="auto" w:fill="FFFFFF" w:themeFill="background2"/>
          </w:tcPr>
          <w:p w14:paraId="5A56EAAB" w14:textId="77777777" w:rsidR="00CC417C" w:rsidRPr="00CC417C" w:rsidRDefault="00CC417C" w:rsidP="006544B5">
            <w:pPr>
              <w:pStyle w:val="Body"/>
              <w:rPr>
                <w:color w:val="auto"/>
              </w:rPr>
            </w:pPr>
          </w:p>
        </w:tc>
        <w:tc>
          <w:tcPr>
            <w:tcW w:w="2883" w:type="pct"/>
            <w:shd w:val="clear" w:color="auto" w:fill="DCD3E2"/>
          </w:tcPr>
          <w:p w14:paraId="5F88825D" w14:textId="257C7B27" w:rsidR="00CC417C" w:rsidRPr="00CC417C" w:rsidRDefault="00CC417C" w:rsidP="00CC417C">
            <w:pPr>
              <w:pStyle w:val="Body"/>
              <w:rPr>
                <w:color w:val="auto"/>
              </w:rPr>
            </w:pPr>
            <w:r w:rsidRPr="00FD1D99">
              <w:rPr>
                <w:color w:val="auto"/>
              </w:rPr>
              <w:t>IHPA received 25</w:t>
            </w:r>
            <w:r>
              <w:rPr>
                <w:color w:val="auto"/>
              </w:rPr>
              <w:t>3</w:t>
            </w:r>
            <w:r w:rsidRPr="00FD1D99">
              <w:rPr>
                <w:color w:val="auto"/>
              </w:rPr>
              <w:t xml:space="preserve"> inbox enquiries during the reporting period. IHPA responded to 92 per cent within two weeks</w:t>
            </w:r>
            <w:r w:rsidR="00F54D46">
              <w:rPr>
                <w:color w:val="auto"/>
              </w:rPr>
              <w:t>,</w:t>
            </w:r>
            <w:r w:rsidRPr="00FD1D99">
              <w:rPr>
                <w:color w:val="auto"/>
              </w:rPr>
              <w:t xml:space="preserve"> and to 37 per cent of those on the day of receipt.</w:t>
            </w:r>
          </w:p>
        </w:tc>
      </w:tr>
      <w:tr w:rsidR="00CC417C" w:rsidRPr="007D6047" w14:paraId="7D7C3979" w14:textId="77777777" w:rsidTr="00C15840">
        <w:trPr>
          <w:cnfStyle w:val="100000000000" w:firstRow="1" w:lastRow="0" w:firstColumn="0" w:lastColumn="0" w:oddVBand="0" w:evenVBand="0" w:oddHBand="0" w:evenHBand="0" w:firstRowFirstColumn="0" w:firstRowLastColumn="0" w:lastRowFirstColumn="0" w:lastRowLastColumn="0"/>
          <w:trHeight w:val="2494"/>
        </w:trPr>
        <w:tc>
          <w:tcPr>
            <w:tcW w:w="1840" w:type="pct"/>
            <w:shd w:val="clear" w:color="auto" w:fill="DCD3E2"/>
          </w:tcPr>
          <w:p w14:paraId="557A0C0C" w14:textId="1CFEA0A8" w:rsidR="00CC417C" w:rsidRPr="00CC417C" w:rsidRDefault="00CC417C">
            <w:pPr>
              <w:pStyle w:val="NumberListNoIndent"/>
              <w:rPr>
                <w:noProof/>
                <w:color w:val="auto"/>
              </w:rPr>
            </w:pPr>
            <w:r>
              <w:rPr>
                <w:noProof/>
                <w:color w:val="auto"/>
              </w:rPr>
              <w:t>Deliver the biennial</w:t>
            </w:r>
            <w:r w:rsidRPr="00FD1D99">
              <w:rPr>
                <w:noProof/>
                <w:color w:val="auto"/>
              </w:rPr>
              <w:t xml:space="preserve"> </w:t>
            </w:r>
            <w:r w:rsidR="0014305E">
              <w:rPr>
                <w:noProof/>
                <w:color w:val="auto"/>
              </w:rPr>
              <w:t>Activity Based Funding Conference</w:t>
            </w:r>
            <w:r w:rsidRPr="00FD1D99">
              <w:rPr>
                <w:noProof/>
                <w:color w:val="auto"/>
              </w:rPr>
              <w:t xml:space="preserve"> hosted for a broad audience in</w:t>
            </w:r>
            <w:r w:rsidR="006E7361">
              <w:rPr>
                <w:noProof/>
                <w:color w:val="auto"/>
              </w:rPr>
              <w:t> </w:t>
            </w:r>
            <w:r w:rsidRPr="00FD1D99">
              <w:rPr>
                <w:noProof/>
                <w:color w:val="auto"/>
              </w:rPr>
              <w:t>the health industry</w:t>
            </w:r>
            <w:r w:rsidR="00587F4D">
              <w:rPr>
                <w:noProof/>
                <w:color w:val="auto"/>
              </w:rPr>
              <w:t>.</w:t>
            </w:r>
          </w:p>
        </w:tc>
        <w:tc>
          <w:tcPr>
            <w:tcW w:w="277" w:type="pct"/>
            <w:shd w:val="clear" w:color="auto" w:fill="FFFFFF" w:themeFill="background2"/>
          </w:tcPr>
          <w:p w14:paraId="462D19CD" w14:textId="3EBFCD7F" w:rsidR="00CC417C" w:rsidRPr="00CC417C" w:rsidRDefault="00F31526" w:rsidP="006544B5">
            <w:pPr>
              <w:pStyle w:val="Body"/>
              <w:rPr>
                <w:color w:val="auto"/>
              </w:rPr>
            </w:pPr>
            <w:r>
              <w:rPr>
                <w:noProof/>
                <w:color w:val="FFFFFF" w:themeColor="background2"/>
                <w:lang w:val="en-AU" w:eastAsia="en-AU"/>
              </w:rPr>
              <mc:AlternateContent>
                <mc:Choice Requires="wps">
                  <w:drawing>
                    <wp:anchor distT="0" distB="0" distL="114300" distR="114300" simplePos="0" relativeHeight="251920384" behindDoc="0" locked="0" layoutInCell="1" allowOverlap="1" wp14:anchorId="5F3B53DB" wp14:editId="5187D6CA">
                      <wp:simplePos x="0" y="0"/>
                      <wp:positionH relativeFrom="column">
                        <wp:posOffset>-75565</wp:posOffset>
                      </wp:positionH>
                      <wp:positionV relativeFrom="paragraph">
                        <wp:posOffset>81598</wp:posOffset>
                      </wp:positionV>
                      <wp:extent cx="289560" cy="0"/>
                      <wp:effectExtent l="0" t="95250" r="0" b="95250"/>
                      <wp:wrapNone/>
                      <wp:docPr id="70" name="Straight Arrow Connector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289560" cy="0"/>
                              </a:xfrm>
                              <a:prstGeom prst="straightConnector1">
                                <a:avLst/>
                              </a:prstGeom>
                              <a:ln w="28575">
                                <a:headEnd type="none" w="med" len="med"/>
                                <a:tailEnd type="arrow" w="med" len="med"/>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3185E3" id="Straight Arrow Connector 70" o:spid="_x0000_s1026" type="#_x0000_t32" alt="&quot;&quot;" style="position:absolute;margin-left:-5.95pt;margin-top:6.45pt;width:22.8pt;height: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" strokecolor="#5e2f7e [3208]" strokeweight="2.25pt">
                      <v:stroke endarrow="open" joinstyle="miter"/>
                    </v:shape>
                  </w:pict>
                </mc:Fallback>
              </mc:AlternateContent>
            </w:r>
          </w:p>
        </w:tc>
        <w:tc>
          <w:tcPr>
            <w:tcW w:w="2883" w:type="pct"/>
            <w:shd w:val="clear" w:color="auto" w:fill="DCD3E2"/>
          </w:tcPr>
          <w:p w14:paraId="4B43A776" w14:textId="64CF808E" w:rsidR="00CC417C" w:rsidRPr="00CC417C" w:rsidRDefault="00CC417C">
            <w:pPr>
              <w:pStyle w:val="Body"/>
              <w:rPr>
                <w:color w:val="auto"/>
              </w:rPr>
            </w:pPr>
            <w:r w:rsidRPr="00FD1D99">
              <w:rPr>
                <w:color w:val="auto"/>
              </w:rPr>
              <w:t>IHPA hosted its Activity Based Funding Conference 2021 from 5 to 7 May 2021. The conference was held as a virt</w:t>
            </w:r>
            <w:r>
              <w:rPr>
                <w:color w:val="auto"/>
              </w:rPr>
              <w:t>ual event</w:t>
            </w:r>
            <w:r w:rsidRPr="00FD1D99">
              <w:rPr>
                <w:color w:val="auto"/>
              </w:rPr>
              <w:t xml:space="preserve"> and </w:t>
            </w:r>
            <w:r>
              <w:rPr>
                <w:color w:val="auto"/>
              </w:rPr>
              <w:t>provided education to</w:t>
            </w:r>
            <w:r w:rsidRPr="00FD1D99">
              <w:rPr>
                <w:color w:val="auto"/>
              </w:rPr>
              <w:t xml:space="preserve"> 2,171 delegates from across Australia and aroun</w:t>
            </w:r>
            <w:r>
              <w:rPr>
                <w:color w:val="auto"/>
              </w:rPr>
              <w:t>d the world. The three-</w:t>
            </w:r>
            <w:r w:rsidRPr="00FD1D99">
              <w:rPr>
                <w:color w:val="auto"/>
              </w:rPr>
              <w:t xml:space="preserve">day scientific program </w:t>
            </w:r>
            <w:r>
              <w:rPr>
                <w:color w:val="auto"/>
              </w:rPr>
              <w:t xml:space="preserve">featured 47 speakers who </w:t>
            </w:r>
            <w:r w:rsidRPr="00FD1D99">
              <w:rPr>
                <w:color w:val="auto"/>
              </w:rPr>
              <w:t>shared their technical expertise, insights and personal experiences</w:t>
            </w:r>
            <w:r>
              <w:rPr>
                <w:color w:val="auto"/>
              </w:rPr>
              <w:t xml:space="preserve"> in</w:t>
            </w:r>
            <w:r w:rsidR="00AF497E">
              <w:rPr>
                <w:color w:val="auto"/>
              </w:rPr>
              <w:t> </w:t>
            </w:r>
            <w:r>
              <w:rPr>
                <w:color w:val="auto"/>
              </w:rPr>
              <w:t>the</w:t>
            </w:r>
            <w:r w:rsidR="00AF497E">
              <w:rPr>
                <w:color w:val="auto"/>
              </w:rPr>
              <w:t> </w:t>
            </w:r>
            <w:r>
              <w:rPr>
                <w:color w:val="auto"/>
              </w:rPr>
              <w:t xml:space="preserve">healthcare sector </w:t>
            </w:r>
            <w:r w:rsidRPr="00FD1D99">
              <w:rPr>
                <w:color w:val="auto"/>
              </w:rPr>
              <w:t>under the conference theme: ‘Activity</w:t>
            </w:r>
            <w:r w:rsidR="00AF497E">
              <w:rPr>
                <w:color w:val="auto"/>
              </w:rPr>
              <w:t> </w:t>
            </w:r>
            <w:r w:rsidRPr="00FD1D99">
              <w:rPr>
                <w:color w:val="auto"/>
              </w:rPr>
              <w:t>based funding into the future: Responsive. Relevant.</w:t>
            </w:r>
            <w:r w:rsidR="00AF497E">
              <w:rPr>
                <w:color w:val="auto"/>
              </w:rPr>
              <w:t> </w:t>
            </w:r>
            <w:r w:rsidRPr="00FD1D99">
              <w:rPr>
                <w:color w:val="auto"/>
              </w:rPr>
              <w:t>Reliable.’</w:t>
            </w:r>
          </w:p>
        </w:tc>
      </w:tr>
    </w:tbl>
    <w:p w14:paraId="43D5F85F" w14:textId="17946FAA" w:rsidR="00CC417C" w:rsidRDefault="00A40909" w:rsidP="001D57D2">
      <w:pPr>
        <w:pStyle w:val="Body"/>
      </w:pPr>
      <w:r>
        <w:rPr>
          <w:noProof/>
          <w:lang w:val="en-AU" w:eastAsia="en-AU"/>
        </w:rPr>
        <w:drawing>
          <wp:anchor distT="0" distB="0" distL="114300" distR="114300" simplePos="0" relativeHeight="251961344" behindDoc="1" locked="0" layoutInCell="1" allowOverlap="1" wp14:anchorId="348C7F43" wp14:editId="6347DD72">
            <wp:simplePos x="0" y="0"/>
            <wp:positionH relativeFrom="margin">
              <wp:posOffset>-409575</wp:posOffset>
            </wp:positionH>
            <wp:positionV relativeFrom="paragraph">
              <wp:posOffset>539126</wp:posOffset>
            </wp:positionV>
            <wp:extent cx="5706527" cy="18510885"/>
            <wp:effectExtent l="0" t="0" r="8890" b="5715"/>
            <wp:wrapNone/>
            <wp:docPr id="223" name="Picture 2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83F461" w14:textId="77777777" w:rsidR="001D57D2" w:rsidRDefault="001D57D2" w:rsidP="001D57D2">
      <w:pPr>
        <w:pStyle w:val="Body"/>
        <w:sectPr w:rsidR="001D57D2" w:rsidSect="00222987">
          <w:footerReference w:type="default" r:id="rId158"/>
          <w:pgSz w:w="9979" w:h="14175"/>
          <w:pgMar w:top="1134" w:right="1134" w:bottom="1134" w:left="1134" w:header="709" w:footer="709" w:gutter="0"/>
          <w:cols w:space="708"/>
          <w:docGrid w:linePitch="360"/>
        </w:sectPr>
      </w:pPr>
    </w:p>
    <w:p w14:paraId="59303B6A" w14:textId="77777777" w:rsidR="00BC5F42" w:rsidRPr="009955A5" w:rsidRDefault="00BC5F42" w:rsidP="00BC5F42">
      <w:pPr>
        <w:pStyle w:val="H3"/>
        <w:rPr>
          <w:color w:val="5E2F7E" w:themeColor="accent5"/>
          <w:sz w:val="28"/>
          <w:szCs w:val="28"/>
        </w:rPr>
      </w:pPr>
      <w:r>
        <w:rPr>
          <w:noProof/>
          <w:color w:val="5E2F7E" w:themeColor="accent5"/>
          <w:sz w:val="28"/>
          <w:szCs w:val="28"/>
          <w:lang w:val="en-AU" w:eastAsia="en-AU"/>
        </w:rPr>
        <w:lastRenderedPageBreak/>
        <mc:AlternateContent>
          <mc:Choice Requires="wps">
            <w:drawing>
              <wp:anchor distT="0" distB="0" distL="114300" distR="114300" simplePos="0" relativeHeight="251869184" behindDoc="1" locked="0" layoutInCell="1" allowOverlap="1" wp14:anchorId="7E9EEB8A" wp14:editId="570744FD">
                <wp:simplePos x="0" y="0"/>
                <wp:positionH relativeFrom="margin">
                  <wp:align>center</wp:align>
                </wp:positionH>
                <wp:positionV relativeFrom="paragraph">
                  <wp:posOffset>-635</wp:posOffset>
                </wp:positionV>
                <wp:extent cx="5069205" cy="5767387"/>
                <wp:effectExtent l="0" t="0" r="17145" b="24130"/>
                <wp:wrapNone/>
                <wp:docPr id="43" name="Rectangle 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69205" cy="5767387"/>
                        </a:xfrm>
                        <a:prstGeom prst="rect">
                          <a:avLst/>
                        </a:prstGeom>
                        <a:noFill/>
                        <a:ln w="635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678262" id="Rectangle 43" o:spid="_x0000_s1026" alt="&quot;&quot;" style="position:absolute;margin-left:0;margin-top:-.05pt;width:399.15pt;height:454.1pt;z-index:-2514472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" filled="f" strokecolor="#7030a0" strokeweight=".5pt">
                <w10:wrap anchorx="margin"/>
              </v:rect>
            </w:pict>
          </mc:Fallback>
        </mc:AlternateContent>
      </w:r>
      <w:r w:rsidRPr="009955A5">
        <w:rPr>
          <w:color w:val="5E2F7E" w:themeColor="accent5"/>
          <w:sz w:val="28"/>
          <w:szCs w:val="28"/>
        </w:rPr>
        <w:t xml:space="preserve">Analysis </w:t>
      </w:r>
    </w:p>
    <w:p w14:paraId="2CD3B3CC" w14:textId="2D2427A7" w:rsidR="00A40909" w:rsidRDefault="00A40909" w:rsidP="00A40909">
      <w:pPr>
        <w:pStyle w:val="Body"/>
      </w:pPr>
      <w:r>
        <w:t xml:space="preserve">Throughout 2020–21, IHPA continued to provide a transparent account of its decision-making through its committees and working groups, public consultations and the release of the detailed policies outlining the processes IHPA employs to undertake its key functions. </w:t>
      </w:r>
    </w:p>
    <w:p w14:paraId="50A55786" w14:textId="1A29EA85" w:rsidR="00A40909" w:rsidRDefault="00A40909" w:rsidP="00A40909">
      <w:pPr>
        <w:pStyle w:val="Body"/>
      </w:pPr>
      <w:r>
        <w:t>During the reporting period, this included five public consultations, which is an increase of three consultations</w:t>
      </w:r>
      <w:r w:rsidR="009B3003">
        <w:t> </w:t>
      </w:r>
      <w:r w:rsidR="00F54D46">
        <w:t>from</w:t>
      </w:r>
      <w:r>
        <w:t xml:space="preserve"> the previous year. This included a ‘Consultation Report’ alongside the Pricing Framework for</w:t>
      </w:r>
      <w:r w:rsidR="009B3003">
        <w:t> </w:t>
      </w:r>
      <w:r w:rsidR="00CD7EAA">
        <w:t xml:space="preserve">Australian </w:t>
      </w:r>
      <w:r>
        <w:t>Public</w:t>
      </w:r>
      <w:r w:rsidR="009B3003">
        <w:t> </w:t>
      </w:r>
      <w:r>
        <w:t>Hospital Services, which details the feedback received during the public consultation and</w:t>
      </w:r>
      <w:r w:rsidR="00CD7EAA">
        <w:t> </w:t>
      </w:r>
      <w:r>
        <w:t xml:space="preserve">IHPA’s rationale behind its policy decisions. </w:t>
      </w:r>
    </w:p>
    <w:p w14:paraId="721B9548" w14:textId="0B8DB7EF" w:rsidR="00A40909" w:rsidRDefault="00A40909" w:rsidP="00A40909">
      <w:pPr>
        <w:pStyle w:val="Body"/>
      </w:pPr>
      <w:r>
        <w:t>From July 2020, IHPA commenced implementing the new clauses of the 2020–25 Addendum to the National</w:t>
      </w:r>
      <w:r w:rsidR="00E36053">
        <w:t> </w:t>
      </w:r>
      <w:r>
        <w:t xml:space="preserve">Health Reform Agreement. One of the requirements under this </w:t>
      </w:r>
      <w:r w:rsidR="00740BB4">
        <w:t>A</w:t>
      </w:r>
      <w:r>
        <w:t xml:space="preserve">greement included the development of a funding methodology that supports states and territories </w:t>
      </w:r>
      <w:r w:rsidR="00740BB4">
        <w:t>in</w:t>
      </w:r>
      <w:r>
        <w:t xml:space="preserve"> undertaking trials of innovative models of care. Investigations into alternative funding models to activity based funding continued in relation to bundled payments and capitation models to support the delivery of integrated care with a focus on hospital avoidance.</w:t>
      </w:r>
    </w:p>
    <w:p w14:paraId="273AD0B0" w14:textId="23A52D05" w:rsidR="00A40909" w:rsidRDefault="00A40909" w:rsidP="00A40909">
      <w:pPr>
        <w:pStyle w:val="Body"/>
      </w:pPr>
      <w:r>
        <w:t>As part of this work, IHPA developed a roadmap in consultation with its key advisory committees</w:t>
      </w:r>
      <w:r w:rsidR="002F66A4">
        <w:t>.</w:t>
      </w:r>
      <w:r>
        <w:t xml:space="preserve"> </w:t>
      </w:r>
      <w:r w:rsidR="002F66A4">
        <w:t>This</w:t>
      </w:r>
      <w:r>
        <w:t xml:space="preserve"> is outlined </w:t>
      </w:r>
      <w:r w:rsidR="00694D19">
        <w:t xml:space="preserve">in </w:t>
      </w:r>
      <w:r w:rsidR="002F66A4">
        <w:t>the</w:t>
      </w:r>
      <w:r>
        <w:t xml:space="preserve"> Pricing Framework for Australian Public Hospital Services 2020–21, </w:t>
      </w:r>
      <w:r w:rsidR="00F54D46">
        <w:t>which</w:t>
      </w:r>
      <w:r>
        <w:t xml:space="preserve"> sets out different funding models and their applicability to different conditions and care pathways. IHPA also continues to advocate for the inclusion of the I</w:t>
      </w:r>
      <w:r w:rsidR="00C752AA">
        <w:t>ndividual Healthcare Identifier</w:t>
      </w:r>
      <w:r>
        <w:t xml:space="preserve"> in data sets, which would be a key facilitator for the incorporation of funding models with different pathways for medical treatment.</w:t>
      </w:r>
    </w:p>
    <w:p w14:paraId="1664A836" w14:textId="1653653B" w:rsidR="00A40909" w:rsidRDefault="00A40909" w:rsidP="00A40909">
      <w:pPr>
        <w:pStyle w:val="Body"/>
      </w:pPr>
      <w:r>
        <w:t>IHPA provided valuable education with greater accessibility for its stakeholders throughout 2020–21. This included the delivery of the agency’s eighth Activity Based Funding Conference. Due to the uncertainty of COVID-19, for 2021 the conference was offered to local and international delegates for free for the first time, which saw a 395.6 per</w:t>
      </w:r>
      <w:r w:rsidR="0014305E">
        <w:t xml:space="preserve"> </w:t>
      </w:r>
      <w:r>
        <w:t>cent increase in attendance to the conference of the year prior, with 66 per</w:t>
      </w:r>
      <w:r w:rsidR="0014305E">
        <w:t xml:space="preserve"> </w:t>
      </w:r>
      <w:r>
        <w:t xml:space="preserve">cent of </w:t>
      </w:r>
      <w:r w:rsidR="003205CB">
        <w:t>delegates</w:t>
      </w:r>
      <w:r>
        <w:t xml:space="preserve"> attending for the first time. </w:t>
      </w:r>
    </w:p>
    <w:p w14:paraId="52B690D9" w14:textId="3866CC4A" w:rsidR="001D57D2" w:rsidRDefault="00A40909" w:rsidP="00A40909">
      <w:pPr>
        <w:pStyle w:val="Body"/>
      </w:pPr>
      <w:r>
        <w:t>Following the success of the 2021 event, preparations have begun</w:t>
      </w:r>
      <w:r w:rsidR="00FB0277">
        <w:t xml:space="preserve"> for</w:t>
      </w:r>
      <w:r>
        <w:t xml:space="preserve"> the next Activity Based Funding Conference, which will be held as a hybrid event (with a virtual and live component) in Brisbane, Australia in May 2022. In addition, IHPA has also introduced an inaugural digital webinar series to complement the agency’s educational offering and to provide continuing opportunities for health professionals between </w:t>
      </w:r>
      <w:r w:rsidR="00536DF1">
        <w:t>holding</w:t>
      </w:r>
      <w:r w:rsidR="0014305E">
        <w:t xml:space="preserve"> its</w:t>
      </w:r>
      <w:r w:rsidR="00536DF1">
        <w:t xml:space="preserve"> flagship </w:t>
      </w:r>
      <w:r>
        <w:t>conferenc</w:t>
      </w:r>
      <w:r w:rsidR="00536DF1">
        <w:t>e</w:t>
      </w:r>
      <w:r>
        <w:t>. Through this webinar series, attendees may engage directly with IHPA’s senior leaders, technical advisors and industry experts on the practical application of the core themes relating to activity based funding processes to support their understanding of how their role</w:t>
      </w:r>
      <w:r w:rsidR="00BD4E5F">
        <w:t>s</w:t>
      </w:r>
      <w:r>
        <w:t xml:space="preserve"> and the underlying processes and systems support pricing and funding of public hospital services</w:t>
      </w:r>
      <w:r w:rsidR="00BC5F42">
        <w:t>.</w:t>
      </w:r>
    </w:p>
    <w:p w14:paraId="4094E85A" w14:textId="77777777" w:rsidR="00BD6CDD" w:rsidRDefault="00BD6CDD" w:rsidP="00A40909">
      <w:pPr>
        <w:pStyle w:val="Body"/>
      </w:pPr>
    </w:p>
    <w:p w14:paraId="15D1802A" w14:textId="77777777" w:rsidR="00BD6CDD" w:rsidRDefault="00BD6CDD" w:rsidP="00A40909">
      <w:pPr>
        <w:pStyle w:val="Body"/>
        <w:sectPr w:rsidR="00BD6CDD" w:rsidSect="00441579">
          <w:footerReference w:type="default" r:id="rId159"/>
          <w:pgSz w:w="9979" w:h="14175"/>
          <w:pgMar w:top="1134" w:right="1134" w:bottom="1134" w:left="1134" w:header="709" w:footer="709" w:gutter="0"/>
          <w:cols w:space="708"/>
          <w:docGrid w:linePitch="360"/>
        </w:sectPr>
      </w:pPr>
    </w:p>
    <w:p w14:paraId="16BC75DF" w14:textId="298553D7" w:rsidR="00BD6CDD" w:rsidRDefault="006E6CC9" w:rsidP="00A40909">
      <w:pPr>
        <w:pStyle w:val="Body"/>
        <w:sectPr w:rsidR="00BD6CDD" w:rsidSect="00441579">
          <w:footerReference w:type="default" r:id="rId160"/>
          <w:pgSz w:w="9979" w:h="14175"/>
          <w:pgMar w:top="1134" w:right="1134" w:bottom="1134" w:left="1134" w:header="709" w:footer="709" w:gutter="0"/>
          <w:cols w:space="708"/>
          <w:docGrid w:linePitch="360"/>
        </w:sectPr>
      </w:pPr>
      <w:r>
        <w:rPr>
          <w:noProof/>
          <w:lang w:val="en-AU" w:eastAsia="en-AU"/>
        </w:rPr>
        <w:lastRenderedPageBreak/>
        <w:drawing>
          <wp:anchor distT="0" distB="0" distL="114300" distR="114300" simplePos="0" relativeHeight="251971584" behindDoc="1" locked="0" layoutInCell="1" allowOverlap="1" wp14:anchorId="7AEE2097" wp14:editId="4CEE914D">
            <wp:simplePos x="0" y="0"/>
            <wp:positionH relativeFrom="column">
              <wp:posOffset>-363220</wp:posOffset>
            </wp:positionH>
            <wp:positionV relativeFrom="paragraph">
              <wp:posOffset>-162560</wp:posOffset>
            </wp:positionV>
            <wp:extent cx="5615940" cy="9448277"/>
            <wp:effectExtent l="0" t="0" r="3810" b="635"/>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15940" cy="9448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80900B" w14:textId="37250F60" w:rsidR="00677D2A" w:rsidRDefault="001659E1" w:rsidP="009A2D17">
      <w:pPr>
        <w:pStyle w:val="H1"/>
        <w:spacing w:before="1680"/>
      </w:pPr>
      <w:bookmarkStart w:id="124" w:name="_Toc84488752"/>
      <w:r>
        <w:rPr>
          <w:noProof/>
          <w:lang w:val="en-AU" w:eastAsia="en-AU"/>
        </w:rPr>
        <w:lastRenderedPageBreak/>
        <w:drawing>
          <wp:anchor distT="0" distB="0" distL="114300" distR="114300" simplePos="0" relativeHeight="251994112" behindDoc="1" locked="0" layoutInCell="1" allowOverlap="1" wp14:anchorId="23CB986A" wp14:editId="39366CD4">
            <wp:simplePos x="0" y="0"/>
            <wp:positionH relativeFrom="column">
              <wp:posOffset>-723900</wp:posOffset>
            </wp:positionH>
            <wp:positionV relativeFrom="paragraph">
              <wp:posOffset>-901065</wp:posOffset>
            </wp:positionV>
            <wp:extent cx="6338170" cy="9007522"/>
            <wp:effectExtent l="0" t="0" r="5715" b="3175"/>
            <wp:wrapNone/>
            <wp:docPr id="6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a:extLst>
                        <a:ext uri="{C183D7F6-B498-43B3-948B-1728B52AA6E4}">
                          <adec:decorative xmlns:adec="http://schemas.microsoft.com/office/drawing/2017/decorative" val="1"/>
                        </a:ext>
                      </a:extLs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50744" cy="90253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D2A">
        <w:t xml:space="preserve">Management and </w:t>
      </w:r>
      <w:r w:rsidR="00604592">
        <w:t>a</w:t>
      </w:r>
      <w:r w:rsidR="00677D2A">
        <w:t>ccountability</w:t>
      </w:r>
      <w:bookmarkEnd w:id="124"/>
    </w:p>
    <w:p w14:paraId="1D22E03F" w14:textId="3223B14D" w:rsidR="00677D2A" w:rsidRDefault="00AB3AE1" w:rsidP="00677D2A">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1E55A174" wp14:editId="556794F0">
            <wp:extent cx="1838325" cy="1649934"/>
            <wp:effectExtent l="0" t="0" r="0" b="7620"/>
            <wp:docPr id="28" name="Picture 28" descr="Chapter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pter 6"/>
                    <pic:cNvPicPr>
                      <a:picLocks noChangeAspect="1" noChangeArrowheads="1"/>
                    </pic:cNvPicPr>
                  </pic:nvPicPr>
                  <pic:blipFill>
                    <a:blip r:embed="rId162" cstate="print">
                      <a:extLst>
                        <a:ext uri="{28A0092B-C50C-407E-A947-70E740481C1C}">
                          <a14:useLocalDpi xmlns:a14="http://schemas.microsoft.com/office/drawing/2010/main"/>
                        </a:ext>
                      </a:extLst>
                    </a:blip>
                    <a:stretch>
                      <a:fillRect/>
                    </a:stretch>
                  </pic:blipFill>
                  <pic:spPr bwMode="auto">
                    <a:xfrm>
                      <a:off x="0" y="0"/>
                      <a:ext cx="1838325" cy="1649934"/>
                    </a:xfrm>
                    <a:prstGeom prst="rect">
                      <a:avLst/>
                    </a:prstGeom>
                    <a:noFill/>
                    <a:ln>
                      <a:noFill/>
                    </a:ln>
                  </pic:spPr>
                </pic:pic>
              </a:graphicData>
            </a:graphic>
          </wp:inline>
        </w:drawing>
      </w:r>
    </w:p>
    <w:p w14:paraId="5E019A17" w14:textId="023A6DA3" w:rsidR="00677D2A" w:rsidRPr="00677D2A" w:rsidRDefault="00677D2A" w:rsidP="00677D2A">
      <w:pPr>
        <w:pStyle w:val="Body"/>
        <w:spacing w:before="1200" w:after="0"/>
        <w:jc w:val="center"/>
        <w:rPr>
          <w:color w:val="C40B46" w:themeColor="accent6"/>
        </w:rPr>
      </w:pPr>
    </w:p>
    <w:p w14:paraId="4F18EA14" w14:textId="77777777" w:rsidR="00150D17" w:rsidRDefault="00150D17" w:rsidP="00DA135D">
      <w:pPr>
        <w:pStyle w:val="Body"/>
        <w:sectPr w:rsidR="00150D17" w:rsidSect="00150D17">
          <w:headerReference w:type="default" r:id="rId163"/>
          <w:footerReference w:type="default" r:id="rId164"/>
          <w:pgSz w:w="9979" w:h="14175"/>
          <w:pgMar w:top="1418" w:right="1134" w:bottom="1134" w:left="1134" w:header="709" w:footer="709" w:gutter="0"/>
          <w:cols w:space="708"/>
          <w:docGrid w:linePitch="360"/>
        </w:sectPr>
      </w:pPr>
    </w:p>
    <w:p w14:paraId="11732B7B" w14:textId="77777777" w:rsidR="00705609" w:rsidRPr="00153DC1" w:rsidRDefault="00705609" w:rsidP="00950287">
      <w:pPr>
        <w:pStyle w:val="Heading1"/>
        <w:rPr>
          <w:color w:val="C40B46" w:themeColor="accent6"/>
        </w:rPr>
      </w:pPr>
      <w:bookmarkStart w:id="125" w:name="_Key_corporate_governance"/>
      <w:bookmarkStart w:id="126" w:name="_Toc44350187"/>
      <w:bookmarkStart w:id="127" w:name="_Toc50378083"/>
      <w:bookmarkStart w:id="128" w:name="_Toc84488753"/>
      <w:bookmarkEnd w:id="125"/>
      <w:r w:rsidRPr="00153DC1">
        <w:rPr>
          <w:color w:val="C40B46" w:themeColor="accent6"/>
        </w:rPr>
        <w:lastRenderedPageBreak/>
        <w:t>Key corporate governance practices</w:t>
      </w:r>
      <w:bookmarkEnd w:id="126"/>
      <w:bookmarkEnd w:id="127"/>
      <w:bookmarkEnd w:id="128"/>
    </w:p>
    <w:p w14:paraId="76AA1C1C" w14:textId="77777777" w:rsidR="00705609" w:rsidRDefault="00705609" w:rsidP="00DA135D">
      <w:pPr>
        <w:pStyle w:val="Body"/>
        <w:sectPr w:rsidR="00705609" w:rsidSect="00441579">
          <w:headerReference w:type="default" r:id="rId165"/>
          <w:footerReference w:type="default" r:id="rId166"/>
          <w:pgSz w:w="9979" w:h="14175"/>
          <w:pgMar w:top="1134" w:right="1134" w:bottom="1134" w:left="1134" w:header="709" w:footer="709" w:gutter="0"/>
          <w:cols w:space="708"/>
          <w:docGrid w:linePitch="360"/>
        </w:sectPr>
      </w:pPr>
    </w:p>
    <w:p w14:paraId="4FD20E1F" w14:textId="77777777" w:rsidR="008D1EDE" w:rsidRPr="00153DC1" w:rsidRDefault="008D1EDE" w:rsidP="008D1EDE">
      <w:pPr>
        <w:pStyle w:val="Body"/>
        <w:rPr>
          <w:b/>
          <w:bCs/>
        </w:rPr>
      </w:pPr>
      <w:r w:rsidRPr="00153DC1">
        <w:rPr>
          <w:b/>
          <w:bCs/>
        </w:rPr>
        <w:t>Since the agency’s formation in 2011, the</w:t>
      </w:r>
      <w:r>
        <w:rPr>
          <w:b/>
          <w:bCs/>
        </w:rPr>
        <w:t> </w:t>
      </w:r>
      <w:r w:rsidRPr="00153DC1">
        <w:rPr>
          <w:b/>
          <w:bCs/>
        </w:rPr>
        <w:t>Independent Hospital Pricing Authority’s (IHPA) accountable authority has established a robust system of risk management and controls to assist in the governance of the agency.</w:t>
      </w:r>
    </w:p>
    <w:p w14:paraId="4874A73C" w14:textId="4675A16B" w:rsidR="008D1EDE" w:rsidRPr="00705609" w:rsidRDefault="008D1EDE" w:rsidP="008D1EDE">
      <w:pPr>
        <w:pStyle w:val="Body"/>
      </w:pPr>
      <w:r w:rsidRPr="00705609">
        <w:t>The Pricing Authority delivers the functions defined</w:t>
      </w:r>
      <w:r>
        <w:t> </w:t>
      </w:r>
      <w:r w:rsidRPr="00705609">
        <w:t xml:space="preserve">in the </w:t>
      </w:r>
      <w:r w:rsidRPr="00705609">
        <w:rPr>
          <w:i/>
          <w:iCs/>
        </w:rPr>
        <w:t>National Health Reform Act 2011</w:t>
      </w:r>
      <w:r w:rsidRPr="00705609">
        <w:t>. The</w:t>
      </w:r>
      <w:r>
        <w:t> </w:t>
      </w:r>
      <w:r w:rsidRPr="00705609">
        <w:t>Pricing Authority approves IHPA’s core</w:t>
      </w:r>
      <w:r w:rsidR="00D6469C">
        <w:t> </w:t>
      </w:r>
      <w:r w:rsidRPr="00705609">
        <w:t>business activities—</w:t>
      </w:r>
      <w:r>
        <w:t>most notably, the</w:t>
      </w:r>
      <w:r w:rsidR="00D6469C">
        <w:t> </w:t>
      </w:r>
      <w:r w:rsidRPr="00705609">
        <w:t>determination of the national efficient price and the national efficient cost for public hospital services annually, and building national classification systems for all hospital services. The</w:t>
      </w:r>
      <w:r w:rsidR="00D6469C">
        <w:t> </w:t>
      </w:r>
      <w:r w:rsidRPr="00705609">
        <w:t>Chief Executive Officer</w:t>
      </w:r>
      <w:r>
        <w:t xml:space="preserve">, as the accountable authority, </w:t>
      </w:r>
      <w:r w:rsidRPr="00705609">
        <w:t>is responsible for IHPA’s day</w:t>
      </w:r>
      <w:r w:rsidRPr="00705609">
        <w:noBreakHyphen/>
        <w:t>to</w:t>
      </w:r>
      <w:r w:rsidRPr="00705609">
        <w:noBreakHyphen/>
        <w:t>day administration.</w:t>
      </w:r>
    </w:p>
    <w:p w14:paraId="3E4078D2" w14:textId="77777777" w:rsidR="008D1EDE" w:rsidRPr="00153DC1" w:rsidRDefault="008D1EDE" w:rsidP="008D1EDE">
      <w:pPr>
        <w:pStyle w:val="H3"/>
        <w:rPr>
          <w:color w:val="C40B46" w:themeColor="accent6"/>
        </w:rPr>
      </w:pPr>
      <w:r w:rsidRPr="00153DC1">
        <w:rPr>
          <w:color w:val="C40B46" w:themeColor="accent6"/>
        </w:rPr>
        <w:t>Risk management</w:t>
      </w:r>
    </w:p>
    <w:p w14:paraId="4A67E9D4" w14:textId="6656EFFB" w:rsidR="008D1EDE" w:rsidRPr="00705609" w:rsidRDefault="008D1EDE" w:rsidP="008D1EDE">
      <w:pPr>
        <w:pStyle w:val="Body"/>
      </w:pPr>
      <w:r w:rsidRPr="00705609">
        <w:t>IHPA’s enterprise</w:t>
      </w:r>
      <w:r w:rsidR="00BD4E5F">
        <w:t>-</w:t>
      </w:r>
      <w:r>
        <w:t>wide</w:t>
      </w:r>
      <w:r w:rsidRPr="00705609">
        <w:t xml:space="preserve"> approach to risk management remains</w:t>
      </w:r>
      <w:r>
        <w:t xml:space="preserve"> at the forefront of all</w:t>
      </w:r>
      <w:r w:rsidR="003663C0">
        <w:t xml:space="preserve"> of</w:t>
      </w:r>
      <w:r>
        <w:t xml:space="preserve"> its activities. It administers its risks</w:t>
      </w:r>
      <w:r w:rsidRPr="00705609">
        <w:t xml:space="preserve"> using tools that address the strategic and tactical risks of all significant decisions. IHPA updated its risk management framework </w:t>
      </w:r>
      <w:r>
        <w:t>in 2019 and reviews it</w:t>
      </w:r>
      <w:r w:rsidR="00D6469C">
        <w:t> </w:t>
      </w:r>
      <w:r>
        <w:t xml:space="preserve">annually. It has </w:t>
      </w:r>
      <w:r w:rsidR="00AC534F">
        <w:t xml:space="preserve">also </w:t>
      </w:r>
      <w:r w:rsidRPr="00705609">
        <w:t xml:space="preserve">developed a detailed risk appetite statement, </w:t>
      </w:r>
      <w:r>
        <w:t xml:space="preserve">linked to its risk register, </w:t>
      </w:r>
      <w:r w:rsidRPr="00705609">
        <w:t>which i</w:t>
      </w:r>
      <w:r>
        <w:t>t</w:t>
      </w:r>
      <w:r w:rsidRPr="00705609">
        <w:t xml:space="preserve"> review</w:t>
      </w:r>
      <w:r>
        <w:t>s </w:t>
      </w:r>
      <w:r w:rsidRPr="00705609">
        <w:t>annually.</w:t>
      </w:r>
    </w:p>
    <w:p w14:paraId="0F82462E" w14:textId="77777777" w:rsidR="008D1EDE" w:rsidRPr="00705609" w:rsidRDefault="008D1EDE" w:rsidP="008D1EDE">
      <w:pPr>
        <w:pStyle w:val="Body"/>
      </w:pPr>
      <w:r w:rsidRPr="00705609">
        <w:t>Strategic risks are identified with reference to</w:t>
      </w:r>
      <w:r>
        <w:t> </w:t>
      </w:r>
      <w:r w:rsidRPr="00705609">
        <w:t>current business and environmental issues facing</w:t>
      </w:r>
      <w:r>
        <w:t> </w:t>
      </w:r>
      <w:r w:rsidRPr="00705609">
        <w:t>IHPA. These risks fall into three major risk</w:t>
      </w:r>
      <w:r>
        <w:t> </w:t>
      </w:r>
      <w:r w:rsidRPr="00705609">
        <w:t>categories:</w:t>
      </w:r>
    </w:p>
    <w:p w14:paraId="13CB1639" w14:textId="77777777" w:rsidR="008D1EDE" w:rsidRPr="00705609" w:rsidRDefault="008D1EDE" w:rsidP="008D1EDE">
      <w:pPr>
        <w:pStyle w:val="Bullets"/>
      </w:pPr>
      <w:r w:rsidRPr="00705609">
        <w:t>reputational risks</w:t>
      </w:r>
    </w:p>
    <w:p w14:paraId="7120556E" w14:textId="77777777" w:rsidR="008D1EDE" w:rsidRPr="00705609" w:rsidRDefault="008D1EDE" w:rsidP="008D1EDE">
      <w:pPr>
        <w:pStyle w:val="Bullets"/>
      </w:pPr>
      <w:r w:rsidRPr="00705609">
        <w:t>data and information governance risks</w:t>
      </w:r>
    </w:p>
    <w:p w14:paraId="007A5D2B" w14:textId="77777777" w:rsidR="008D1EDE" w:rsidRPr="00705609" w:rsidRDefault="008D1EDE" w:rsidP="008D1EDE">
      <w:pPr>
        <w:numPr>
          <w:ilvl w:val="0"/>
          <w:numId w:val="1"/>
        </w:numPr>
        <w:spacing w:after="360"/>
        <w:rPr>
          <w:color w:val="1C1C1C"/>
          <w:sz w:val="18"/>
          <w:szCs w:val="18"/>
        </w:rPr>
      </w:pPr>
      <w:r w:rsidRPr="00705609">
        <w:rPr>
          <w:color w:val="1C1C1C"/>
          <w:sz w:val="18"/>
          <w:szCs w:val="18"/>
        </w:rPr>
        <w:t>corporate risks.</w:t>
      </w:r>
    </w:p>
    <w:p w14:paraId="71A1900B" w14:textId="5B0E06B5" w:rsidR="008D1EDE" w:rsidRPr="00705609" w:rsidRDefault="00705609" w:rsidP="008D1EDE">
      <w:pPr>
        <w:pStyle w:val="Body"/>
      </w:pPr>
      <w:r w:rsidRPr="00705609">
        <w:br w:type="column"/>
      </w:r>
      <w:r w:rsidR="008D1EDE" w:rsidRPr="00705609">
        <w:t>IHPA’s strategic risks are actively managed through audits, assurance and internal control</w:t>
      </w:r>
      <w:r w:rsidR="00E36053">
        <w:t> </w:t>
      </w:r>
      <w:r w:rsidR="008D1EDE" w:rsidRPr="00705609">
        <w:t>processes. Where new risks emerge, resources</w:t>
      </w:r>
      <w:r w:rsidR="00E36053">
        <w:t> </w:t>
      </w:r>
      <w:r w:rsidR="008D1EDE" w:rsidRPr="00705609">
        <w:t>are assigned to understand and manage those</w:t>
      </w:r>
      <w:r w:rsidR="008D1EDE">
        <w:t> </w:t>
      </w:r>
      <w:r w:rsidR="008D1EDE" w:rsidRPr="00705609">
        <w:t>risks. They are reviewed biannually</w:t>
      </w:r>
      <w:r w:rsidR="00E36053">
        <w:t> </w:t>
      </w:r>
      <w:r w:rsidR="008D1EDE" w:rsidRPr="00705609">
        <w:t>or</w:t>
      </w:r>
      <w:r w:rsidR="008D1EDE">
        <w:t> </w:t>
      </w:r>
      <w:r w:rsidR="008D1EDE" w:rsidRPr="00705609">
        <w:t>as</w:t>
      </w:r>
      <w:r w:rsidR="008D1EDE">
        <w:t> </w:t>
      </w:r>
      <w:r w:rsidR="008D1EDE" w:rsidRPr="00705609">
        <w:t>required.</w:t>
      </w:r>
    </w:p>
    <w:p w14:paraId="5E1FE8EF" w14:textId="2B1EECB6" w:rsidR="008D1EDE" w:rsidRDefault="008D1EDE" w:rsidP="008D1EDE">
      <w:pPr>
        <w:pStyle w:val="Body"/>
      </w:pPr>
      <w:r w:rsidRPr="00705609">
        <w:t>Tactical risks are managed through a decision</w:t>
      </w:r>
      <w:r w:rsidRPr="00705609">
        <w:noBreakHyphen/>
        <w:t>based risk management tool, which requires recording of the risk and a formal</w:t>
      </w:r>
      <w:r>
        <w:t> </w:t>
      </w:r>
      <w:r w:rsidRPr="00705609">
        <w:t xml:space="preserve">decision on the managed likelihood and consequence of the risk. The assessment tool forms part of any major decision, ensuring that the final decision maker is fully informed and </w:t>
      </w:r>
      <w:proofErr w:type="spellStart"/>
      <w:r w:rsidRPr="00705609">
        <w:t>cognisant</w:t>
      </w:r>
      <w:proofErr w:type="spellEnd"/>
      <w:r w:rsidRPr="00705609">
        <w:t xml:space="preserve"> of</w:t>
      </w:r>
      <w:r>
        <w:t> </w:t>
      </w:r>
      <w:r w:rsidRPr="00705609">
        <w:t>managed risk outcomes during the</w:t>
      </w:r>
      <w:r w:rsidR="003663C0">
        <w:t xml:space="preserve"> </w:t>
      </w:r>
      <w:r w:rsidRPr="00705609">
        <w:t>decision‑making process.</w:t>
      </w:r>
    </w:p>
    <w:p w14:paraId="09380B3E" w14:textId="377DF75F" w:rsidR="008D1EDE" w:rsidRPr="00705609" w:rsidRDefault="008D1EDE" w:rsidP="008D1EDE">
      <w:pPr>
        <w:pStyle w:val="Body"/>
      </w:pPr>
      <w:r>
        <w:t>This year that tool was enhanced to include a Privacy Threshold Assessment</w:t>
      </w:r>
      <w:r w:rsidR="00BD4E5F">
        <w:t>,</w:t>
      </w:r>
      <w:r>
        <w:t xml:space="preserve"> allowing IHPA to</w:t>
      </w:r>
      <w:r w:rsidR="00F63653">
        <w:t> </w:t>
      </w:r>
      <w:r>
        <w:t>determine whether there is a risk to personal information</w:t>
      </w:r>
      <w:r w:rsidR="00BD4E5F">
        <w:t>,</w:t>
      </w:r>
      <w:r>
        <w:t xml:space="preserve"> and therefore a need to undertake a</w:t>
      </w:r>
      <w:r w:rsidR="00F63653">
        <w:t> </w:t>
      </w:r>
      <w:r>
        <w:t>Privacy Impact Assessment.</w:t>
      </w:r>
    </w:p>
    <w:p w14:paraId="46140B03" w14:textId="2A48017E" w:rsidR="008D1EDE" w:rsidRPr="00705609" w:rsidRDefault="008D1EDE" w:rsidP="008D1EDE">
      <w:pPr>
        <w:pStyle w:val="Body"/>
      </w:pPr>
      <w:r w:rsidRPr="00705609">
        <w:t>IHPA has a mature enterprise risk management framework in place and risk management is considered a business‑as‑usual activity for all IHPA staff.</w:t>
      </w:r>
    </w:p>
    <w:p w14:paraId="09F7427E" w14:textId="36648246" w:rsidR="008D1EDE" w:rsidRDefault="008D1EDE" w:rsidP="008D1EDE">
      <w:pPr>
        <w:pStyle w:val="Body"/>
      </w:pPr>
      <w:r w:rsidRPr="00705609">
        <w:t>During the period of this annual report, IHPA</w:t>
      </w:r>
      <w:r>
        <w:t> </w:t>
      </w:r>
      <w:r w:rsidRPr="00705609">
        <w:t>closely monitored and managed the operational and technical risks associated with the</w:t>
      </w:r>
      <w:r>
        <w:t> </w:t>
      </w:r>
      <w:r w:rsidRPr="00705609">
        <w:t>Coronavirus Disease 2019</w:t>
      </w:r>
      <w:r>
        <w:br/>
      </w:r>
      <w:r w:rsidR="00AB2D2F">
        <w:t>(</w:t>
      </w:r>
      <w:r w:rsidRPr="00705609">
        <w:t>COVID-19</w:t>
      </w:r>
      <w:r w:rsidR="00AB2D2F">
        <w:t>)</w:t>
      </w:r>
      <w:r w:rsidRPr="00705609">
        <w:t xml:space="preserve"> pandemic.</w:t>
      </w:r>
    </w:p>
    <w:p w14:paraId="17612AD4" w14:textId="77777777" w:rsidR="0071594B" w:rsidRDefault="0071594B" w:rsidP="008D1EDE">
      <w:pPr>
        <w:pStyle w:val="Body"/>
        <w:sectPr w:rsidR="0071594B" w:rsidSect="00441579">
          <w:footerReference w:type="default" r:id="rId167"/>
          <w:type w:val="continuous"/>
          <w:pgSz w:w="9979" w:h="14175"/>
          <w:pgMar w:top="1134" w:right="1134" w:bottom="1134" w:left="1134" w:header="709" w:footer="709" w:gutter="0"/>
          <w:cols w:num="2" w:space="708"/>
          <w:docGrid w:linePitch="360"/>
        </w:sectPr>
      </w:pPr>
    </w:p>
    <w:p w14:paraId="3859D393" w14:textId="5A4154DB" w:rsidR="008D1EDE" w:rsidRDefault="008D1EDE" w:rsidP="008D1EDE">
      <w:pPr>
        <w:pStyle w:val="Body"/>
      </w:pPr>
      <w:r>
        <w:lastRenderedPageBreak/>
        <w:t>Additionally, IHPA continues to maintain a shared Strategic Risk Register with the National Health Funding Body, which has identified joint risks that the agencies manage together. Currently those risks are:</w:t>
      </w:r>
    </w:p>
    <w:p w14:paraId="691674D5" w14:textId="77777777" w:rsidR="008D1EDE" w:rsidRDefault="008D1EDE" w:rsidP="008D1EDE">
      <w:pPr>
        <w:pStyle w:val="Bullets"/>
      </w:pPr>
      <w:r>
        <w:t>incorrect calculation of Commonwealth funding entitlements</w:t>
      </w:r>
    </w:p>
    <w:p w14:paraId="1D8D05B1" w14:textId="77777777" w:rsidR="008D1EDE" w:rsidRDefault="008D1EDE" w:rsidP="008D1EDE">
      <w:pPr>
        <w:pStyle w:val="Bullets"/>
      </w:pPr>
      <w:r>
        <w:t xml:space="preserve">changes to models that have not been effectively modelled </w:t>
      </w:r>
      <w:r>
        <w:rPr>
          <w:rFonts w:ascii="Arial" w:hAnsi="Arial" w:cs="Arial"/>
        </w:rPr>
        <w:t>‍</w:t>
      </w:r>
      <w:r>
        <w:t>or implemented.</w:t>
      </w:r>
    </w:p>
    <w:p w14:paraId="462029DF" w14:textId="48E69A2F" w:rsidR="008D1EDE" w:rsidRDefault="008D1EDE" w:rsidP="008D1EDE">
      <w:pPr>
        <w:pStyle w:val="Body"/>
      </w:pPr>
      <w:r>
        <w:t xml:space="preserve">IHPA’s </w:t>
      </w:r>
      <w:r w:rsidR="00BD4E5F">
        <w:t>b</w:t>
      </w:r>
      <w:r>
        <w:t>usiness continuity plan ensured an effective and seamless transition to working from home during the entire lockdown period required by the COVID</w:t>
      </w:r>
      <w:r w:rsidR="00245DB9">
        <w:t>-</w:t>
      </w:r>
      <w:r>
        <w:t xml:space="preserve">19 pandemic. </w:t>
      </w:r>
    </w:p>
    <w:p w14:paraId="5AF3304B" w14:textId="77777777" w:rsidR="008D1EDE" w:rsidRPr="00633CB6" w:rsidRDefault="008D1EDE" w:rsidP="008D1EDE">
      <w:pPr>
        <w:pStyle w:val="H3"/>
        <w:rPr>
          <w:color w:val="C40B46" w:themeColor="accent6"/>
        </w:rPr>
      </w:pPr>
      <w:r w:rsidRPr="00633CB6">
        <w:rPr>
          <w:color w:val="C40B46" w:themeColor="accent6"/>
        </w:rPr>
        <w:t>Compliance</w:t>
      </w:r>
    </w:p>
    <w:p w14:paraId="3E9096BF" w14:textId="10B97A2B" w:rsidR="008D1EDE" w:rsidRPr="00290F4A" w:rsidRDefault="008D1EDE" w:rsidP="008D1EDE">
      <w:pPr>
        <w:pStyle w:val="Body"/>
      </w:pPr>
      <w:r w:rsidRPr="00290F4A">
        <w:t>IHPA has a broad range of compliance obligations including key statutory obligations set</w:t>
      </w:r>
      <w:r w:rsidR="007F26F7">
        <w:t> </w:t>
      </w:r>
      <w:r w:rsidRPr="00290F4A">
        <w:t xml:space="preserve">out in the </w:t>
      </w:r>
      <w:r w:rsidRPr="00290F4A">
        <w:rPr>
          <w:i/>
          <w:iCs/>
        </w:rPr>
        <w:t>National Health Reform Act 2011</w:t>
      </w:r>
      <w:r w:rsidR="006631D3">
        <w:t>,</w:t>
      </w:r>
      <w:r w:rsidRPr="00290F4A">
        <w:t xml:space="preserve"> the</w:t>
      </w:r>
      <w:r w:rsidR="006631D3">
        <w:t> </w:t>
      </w:r>
      <w:r w:rsidRPr="00290F4A">
        <w:t>National Health Reform Agreement, the</w:t>
      </w:r>
      <w:r w:rsidR="000927A3">
        <w:t> </w:t>
      </w:r>
      <w:r w:rsidRPr="00290F4A">
        <w:rPr>
          <w:i/>
          <w:iCs/>
        </w:rPr>
        <w:t>Public</w:t>
      </w:r>
      <w:r w:rsidR="000927A3">
        <w:rPr>
          <w:i/>
          <w:iCs/>
        </w:rPr>
        <w:t> </w:t>
      </w:r>
      <w:r w:rsidRPr="00290F4A">
        <w:rPr>
          <w:i/>
          <w:iCs/>
        </w:rPr>
        <w:t>Governance Performance and Accountability Act 2013</w:t>
      </w:r>
      <w:r w:rsidRPr="00290F4A">
        <w:t xml:space="preserve"> and the Public Governance Performance and Accountability Rule</w:t>
      </w:r>
      <w:r w:rsidR="000927A3">
        <w:t> </w:t>
      </w:r>
      <w:r w:rsidRPr="00290F4A">
        <w:t>2014.</w:t>
      </w:r>
    </w:p>
    <w:p w14:paraId="4BF3EDA2" w14:textId="4A52C60A" w:rsidR="008D1EDE" w:rsidRPr="00290F4A" w:rsidRDefault="008D1EDE" w:rsidP="008D1EDE">
      <w:pPr>
        <w:pStyle w:val="Body"/>
      </w:pPr>
      <w:r w:rsidRPr="00290F4A">
        <w:t>Other legal and compliance obligations include</w:t>
      </w:r>
      <w:r w:rsidR="00BD4E5F">
        <w:t>:</w:t>
      </w:r>
      <w:r w:rsidRPr="00290F4A">
        <w:t xml:space="preserve"> work health and safety, privacy, freedom of information, intellectual property, the Protective Security Policy Framework, website accessibility and records management.</w:t>
      </w:r>
    </w:p>
    <w:p w14:paraId="67F04E4B" w14:textId="12D150C3" w:rsidR="008D1EDE" w:rsidRPr="00290F4A" w:rsidRDefault="008D1EDE" w:rsidP="008D1EDE">
      <w:pPr>
        <w:pStyle w:val="Body"/>
      </w:pPr>
      <w:r w:rsidRPr="00290F4A">
        <w:t>The Chief Executive Officer</w:t>
      </w:r>
      <w:r>
        <w:t>,</w:t>
      </w:r>
      <w:r w:rsidRPr="00290F4A">
        <w:t xml:space="preserve"> as the accountable authority</w:t>
      </w:r>
      <w:r>
        <w:t>,</w:t>
      </w:r>
      <w:r w:rsidRPr="00290F4A">
        <w:t xml:space="preserve"> receives management assurances on IHPA’s compliance obligations through an </w:t>
      </w:r>
      <w:proofErr w:type="spellStart"/>
      <w:r w:rsidRPr="00290F4A">
        <w:t>organised</w:t>
      </w:r>
      <w:proofErr w:type="spellEnd"/>
      <w:r w:rsidRPr="00290F4A">
        <w:t xml:space="preserve"> system of controls and special exercises, including substantive testing, monthly</w:t>
      </w:r>
      <w:r w:rsidR="00D6469C">
        <w:t> </w:t>
      </w:r>
      <w:r w:rsidRPr="00290F4A">
        <w:t>r</w:t>
      </w:r>
      <w:r>
        <w:t>eports, exception notifications</w:t>
      </w:r>
      <w:r w:rsidRPr="00290F4A">
        <w:t xml:space="preserve"> and</w:t>
      </w:r>
      <w:r w:rsidR="0006618A">
        <w:t> </w:t>
      </w:r>
      <w:r w:rsidRPr="00290F4A">
        <w:t>compliance audits undertaken by an</w:t>
      </w:r>
      <w:r w:rsidR="00412397">
        <w:t> </w:t>
      </w:r>
      <w:r w:rsidRPr="00290F4A">
        <w:t>independent</w:t>
      </w:r>
      <w:r w:rsidR="00D6469C">
        <w:t> </w:t>
      </w:r>
      <w:r w:rsidRPr="00290F4A">
        <w:t>internal</w:t>
      </w:r>
      <w:r>
        <w:t> </w:t>
      </w:r>
      <w:r w:rsidRPr="00290F4A">
        <w:t>auditor.</w:t>
      </w:r>
    </w:p>
    <w:p w14:paraId="0093BA59" w14:textId="77777777" w:rsidR="008D1EDE" w:rsidRPr="00290F4A" w:rsidRDefault="00633CB6" w:rsidP="008D1EDE">
      <w:pPr>
        <w:pStyle w:val="H4"/>
      </w:pPr>
      <w:r>
        <w:br w:type="column"/>
      </w:r>
      <w:r w:rsidR="008D1EDE" w:rsidRPr="00290F4A">
        <w:t>Compliance achievements</w:t>
      </w:r>
    </w:p>
    <w:p w14:paraId="3E60863B" w14:textId="77777777" w:rsidR="008D1EDE" w:rsidRDefault="008D1EDE" w:rsidP="008D1EDE">
      <w:pPr>
        <w:pStyle w:val="Bullets"/>
        <w:numPr>
          <w:ilvl w:val="0"/>
          <w:numId w:val="0"/>
        </w:numPr>
      </w:pPr>
      <w:r w:rsidRPr="00290F4A">
        <w:t xml:space="preserve">IHPA’s internal compliance audits </w:t>
      </w:r>
      <w:r>
        <w:t xml:space="preserve">during the year </w:t>
      </w:r>
      <w:r w:rsidRPr="00290F4A">
        <w:t>show that</w:t>
      </w:r>
      <w:r>
        <w:t>:</w:t>
      </w:r>
    </w:p>
    <w:p w14:paraId="180A4B1F" w14:textId="23CC1AC7" w:rsidR="008D1EDE" w:rsidRPr="00290F4A" w:rsidRDefault="008D1EDE" w:rsidP="008D1EDE">
      <w:pPr>
        <w:pStyle w:val="Bullets"/>
      </w:pPr>
      <w:r w:rsidRPr="00290F4A">
        <w:t xml:space="preserve">information and communication technology systems </w:t>
      </w:r>
      <w:r>
        <w:t xml:space="preserve">continued to </w:t>
      </w:r>
      <w:r w:rsidRPr="00290F4A">
        <w:t>appropriately address the top risks defined by the Australian Signals</w:t>
      </w:r>
      <w:r>
        <w:t> </w:t>
      </w:r>
      <w:r w:rsidRPr="00290F4A">
        <w:t>Directorate</w:t>
      </w:r>
    </w:p>
    <w:p w14:paraId="5DF0A05A" w14:textId="40E7C7F1" w:rsidR="008D1EDE" w:rsidRPr="00290F4A" w:rsidRDefault="008D1EDE" w:rsidP="008D1EDE">
      <w:pPr>
        <w:pStyle w:val="Bullets"/>
      </w:pPr>
      <w:r w:rsidRPr="00290F4A">
        <w:t xml:space="preserve">no compliance issues </w:t>
      </w:r>
      <w:r w:rsidR="00BD4E5F">
        <w:t>ar</w:t>
      </w:r>
      <w:r w:rsidR="0014305E">
        <w:t>ising</w:t>
      </w:r>
      <w:r w:rsidRPr="00290F4A">
        <w:t xml:space="preserve"> from IHPA’s administration of relevant sections of the </w:t>
      </w:r>
      <w:r w:rsidRPr="00290F4A">
        <w:rPr>
          <w:i/>
          <w:iCs/>
        </w:rPr>
        <w:t>National Health Reform Act 2011</w:t>
      </w:r>
    </w:p>
    <w:p w14:paraId="73449075" w14:textId="16EE37C1" w:rsidR="008D1EDE" w:rsidRPr="00290F4A" w:rsidRDefault="008D1EDE" w:rsidP="008D1EDE">
      <w:pPr>
        <w:numPr>
          <w:ilvl w:val="0"/>
          <w:numId w:val="1"/>
        </w:numPr>
        <w:spacing w:after="360"/>
        <w:ind w:right="-99"/>
        <w:rPr>
          <w:color w:val="1C1C1C"/>
          <w:sz w:val="18"/>
          <w:szCs w:val="18"/>
        </w:rPr>
      </w:pPr>
      <w:r w:rsidRPr="00290F4A">
        <w:rPr>
          <w:color w:val="1C1C1C"/>
          <w:sz w:val="18"/>
          <w:szCs w:val="18"/>
        </w:rPr>
        <w:t xml:space="preserve">no material compliance issues </w:t>
      </w:r>
      <w:r w:rsidR="00BD4E5F">
        <w:rPr>
          <w:color w:val="1C1C1C"/>
          <w:sz w:val="18"/>
          <w:szCs w:val="18"/>
        </w:rPr>
        <w:t>emanat</w:t>
      </w:r>
      <w:r w:rsidR="0014305E">
        <w:rPr>
          <w:color w:val="1C1C1C"/>
          <w:sz w:val="18"/>
          <w:szCs w:val="18"/>
        </w:rPr>
        <w:t>ing</w:t>
      </w:r>
      <w:r w:rsidRPr="00290F4A">
        <w:rPr>
          <w:color w:val="1C1C1C"/>
          <w:sz w:val="18"/>
          <w:szCs w:val="18"/>
        </w:rPr>
        <w:t xml:space="preserve"> from the </w:t>
      </w:r>
      <w:r w:rsidRPr="00290F4A">
        <w:rPr>
          <w:i/>
          <w:iCs/>
          <w:color w:val="1C1C1C"/>
          <w:sz w:val="18"/>
          <w:szCs w:val="18"/>
        </w:rPr>
        <w:t>Public Governance Performance and Accountability Act 2013</w:t>
      </w:r>
      <w:r w:rsidRPr="00290F4A">
        <w:rPr>
          <w:color w:val="1C1C1C"/>
          <w:sz w:val="18"/>
          <w:szCs w:val="18"/>
        </w:rPr>
        <w:t>.</w:t>
      </w:r>
    </w:p>
    <w:p w14:paraId="47FDBC39" w14:textId="77777777" w:rsidR="0071594B" w:rsidRDefault="0071594B" w:rsidP="008D1EDE">
      <w:pPr>
        <w:pStyle w:val="H3"/>
        <w:rPr>
          <w:color w:val="C40B46" w:themeColor="accent6"/>
        </w:rPr>
        <w:sectPr w:rsidR="0071594B" w:rsidSect="0071594B">
          <w:footerReference w:type="default" r:id="rId168"/>
          <w:pgSz w:w="9979" w:h="14175"/>
          <w:pgMar w:top="1134" w:right="1134" w:bottom="1134" w:left="1134" w:header="709" w:footer="709" w:gutter="0"/>
          <w:cols w:num="2" w:space="708"/>
          <w:docGrid w:linePitch="360"/>
        </w:sectPr>
      </w:pPr>
    </w:p>
    <w:p w14:paraId="17D1E50A" w14:textId="0573D6A2" w:rsidR="008D1EDE" w:rsidRPr="00566DF3" w:rsidRDefault="008D1EDE" w:rsidP="008D1EDE">
      <w:pPr>
        <w:pStyle w:val="H3"/>
        <w:rPr>
          <w:color w:val="C40B46" w:themeColor="accent6"/>
        </w:rPr>
      </w:pPr>
      <w:r w:rsidRPr="00153DC1">
        <w:rPr>
          <w:color w:val="C40B46" w:themeColor="accent6"/>
        </w:rPr>
        <w:lastRenderedPageBreak/>
        <w:t xml:space="preserve">Financial </w:t>
      </w:r>
      <w:proofErr w:type="spellStart"/>
      <w:r w:rsidRPr="00153DC1">
        <w:rPr>
          <w:color w:val="C40B46" w:themeColor="accent6"/>
        </w:rPr>
        <w:t>authorisation</w:t>
      </w:r>
      <w:proofErr w:type="spellEnd"/>
    </w:p>
    <w:p w14:paraId="6A4C7EA2" w14:textId="2BE03C5A" w:rsidR="008D1EDE" w:rsidRPr="00290F4A" w:rsidRDefault="008D1EDE" w:rsidP="008D1EDE">
      <w:pPr>
        <w:pStyle w:val="Body"/>
      </w:pPr>
      <w:r w:rsidRPr="00290F4A">
        <w:t>As a corporate Commonwealth Agency, IHPA is not required to adhere to the Commonwealth Procurement Rules, but chooses to do so as a matter of best practice. All</w:t>
      </w:r>
      <w:r w:rsidR="006631D3">
        <w:t xml:space="preserve"> of</w:t>
      </w:r>
      <w:r w:rsidRPr="00290F4A">
        <w:t xml:space="preserve"> IHPA’s procurement decisions are made in accordance with the Commonwealth Procurement Rules. Line</w:t>
      </w:r>
      <w:r w:rsidR="00D6469C">
        <w:t> </w:t>
      </w:r>
      <w:r w:rsidRPr="00290F4A">
        <w:t>managers have value and purchase class</w:t>
      </w:r>
      <w:r w:rsidR="00BD4E5F">
        <w:t> </w:t>
      </w:r>
      <w:r w:rsidRPr="00290F4A">
        <w:t>limits</w:t>
      </w:r>
      <w:r w:rsidR="00BD4E5F">
        <w:t>,</w:t>
      </w:r>
      <w:r w:rsidRPr="00290F4A">
        <w:t xml:space="preserve"> in</w:t>
      </w:r>
      <w:r>
        <w:t> </w:t>
      </w:r>
      <w:r w:rsidRPr="00290F4A">
        <w:t>accordance with the delegation of</w:t>
      </w:r>
      <w:r w:rsidR="00BD4E5F">
        <w:t> </w:t>
      </w:r>
      <w:r w:rsidRPr="00290F4A">
        <w:t xml:space="preserve">financial authorities that </w:t>
      </w:r>
      <w:r>
        <w:t>are</w:t>
      </w:r>
      <w:r w:rsidRPr="00290F4A">
        <w:t> approved and reviewed regularly by the Chief Executive Officer, as the accountable authority.</w:t>
      </w:r>
    </w:p>
    <w:p w14:paraId="0B50ABB3" w14:textId="7B2FC9CF" w:rsidR="008D1EDE" w:rsidRPr="00153DC1" w:rsidRDefault="00BE4CFB" w:rsidP="008D1EDE">
      <w:pPr>
        <w:pStyle w:val="H3"/>
        <w:rPr>
          <w:color w:val="C40B46" w:themeColor="accent6"/>
        </w:rPr>
      </w:pPr>
      <w:r>
        <w:rPr>
          <w:noProof/>
          <w:lang w:val="en-AU" w:eastAsia="en-AU"/>
        </w:rPr>
        <w:drawing>
          <wp:anchor distT="0" distB="0" distL="114300" distR="114300" simplePos="0" relativeHeight="251856896" behindDoc="1" locked="0" layoutInCell="1" allowOverlap="1" wp14:anchorId="7F53DA4E" wp14:editId="01C9AC8F">
            <wp:simplePos x="0" y="0"/>
            <wp:positionH relativeFrom="margin">
              <wp:posOffset>-409575</wp:posOffset>
            </wp:positionH>
            <wp:positionV relativeFrom="paragraph">
              <wp:posOffset>2523853</wp:posOffset>
            </wp:positionV>
            <wp:extent cx="5706527" cy="18510885"/>
            <wp:effectExtent l="0" t="0" r="8890" b="5715"/>
            <wp:wrapNone/>
            <wp:docPr id="171" name="Pictur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DF3">
        <w:rPr>
          <w:color w:val="C40B46" w:themeColor="accent6"/>
        </w:rPr>
        <w:br w:type="column"/>
      </w:r>
      <w:r w:rsidR="008D1EDE" w:rsidRPr="00153DC1">
        <w:rPr>
          <w:color w:val="C40B46" w:themeColor="accent6"/>
        </w:rPr>
        <w:t>Audit, Risk and Compliance Committee</w:t>
      </w:r>
      <w:r w:rsidR="00D5016A">
        <w:rPr>
          <w:rFonts w:ascii="ZWAdobeF" w:hAnsi="ZWAdobeF" w:cs="ZWAdobeF"/>
          <w:color w:val="auto"/>
          <w:sz w:val="2"/>
          <w:szCs w:val="2"/>
        </w:rPr>
        <w:t>5F</w:t>
      </w:r>
      <w:r w:rsidR="008D1EDE" w:rsidRPr="00153DC1">
        <w:rPr>
          <w:rStyle w:val="FootnoteReference"/>
          <w:bCs w:val="0"/>
          <w:color w:val="C40B46" w:themeColor="accent6"/>
        </w:rPr>
        <w:footnoteReference w:id="6"/>
      </w:r>
    </w:p>
    <w:p w14:paraId="30D7B83D" w14:textId="77777777" w:rsidR="008D1EDE" w:rsidRDefault="008D1EDE" w:rsidP="008D1EDE">
      <w:pPr>
        <w:pStyle w:val="Body"/>
      </w:pPr>
      <w:r w:rsidRPr="00290F4A">
        <w:t>The IHPA Audit, Risk and Compliance Committee provides independent advice to the Chief Executive Officer on managing IHPA’s financial and business risk.</w:t>
      </w:r>
    </w:p>
    <w:p w14:paraId="5EC3B734" w14:textId="77777777" w:rsidR="008D1EDE" w:rsidRPr="005D1A5D" w:rsidRDefault="008D1EDE" w:rsidP="008D1EDE">
      <w:pPr>
        <w:pStyle w:val="Body"/>
        <w:rPr>
          <w:i/>
        </w:rPr>
      </w:pPr>
      <w:r w:rsidRPr="003E613F">
        <w:t>The A</w:t>
      </w:r>
      <w:r w:rsidRPr="00117F9F">
        <w:t>udi</w:t>
      </w:r>
      <w:r>
        <w:t xml:space="preserve">t, </w:t>
      </w:r>
      <w:r w:rsidRPr="003E613F">
        <w:t xml:space="preserve">Risk </w:t>
      </w:r>
      <w:r>
        <w:t xml:space="preserve">and Compliance </w:t>
      </w:r>
      <w:r w:rsidRPr="003E613F">
        <w:t>C</w:t>
      </w:r>
      <w:r>
        <w:t>ommittee Charter is available at:</w:t>
      </w:r>
      <w:r>
        <w:rPr>
          <w:i/>
        </w:rPr>
        <w:t xml:space="preserve"> </w:t>
      </w:r>
      <w:hyperlink r:id="rId169" w:history="1">
        <w:r w:rsidRPr="00AC3A56">
          <w:rPr>
            <w:rStyle w:val="Hyperlink"/>
          </w:rPr>
          <w:t>www.ihpa.gov.au/audit-risk-and-compliance-committee</w:t>
        </w:r>
      </w:hyperlink>
      <w:r>
        <w:rPr>
          <w:i/>
        </w:rPr>
        <w:t xml:space="preserve">. </w:t>
      </w:r>
    </w:p>
    <w:p w14:paraId="155824D4" w14:textId="77777777" w:rsidR="008D1EDE" w:rsidRPr="00290F4A" w:rsidRDefault="008D1EDE" w:rsidP="008D1EDE">
      <w:pPr>
        <w:pStyle w:val="Body"/>
      </w:pPr>
      <w:r w:rsidRPr="00290F4A">
        <w:t>During the reporting period, members of the Audit, Risk and Compliance Committee comprised:</w:t>
      </w:r>
    </w:p>
    <w:p w14:paraId="718991CF" w14:textId="0933D948" w:rsidR="008D1EDE" w:rsidRPr="00290F4A" w:rsidRDefault="008D1EDE" w:rsidP="008D1EDE">
      <w:pPr>
        <w:pStyle w:val="Bullets"/>
      </w:pPr>
      <w:proofErr w:type="spellStart"/>
      <w:r w:rsidRPr="00290F4A">
        <w:t>Mr</w:t>
      </w:r>
      <w:proofErr w:type="spellEnd"/>
      <w:r w:rsidRPr="00290F4A">
        <w:t xml:space="preserve"> Glenn Appleyard, </w:t>
      </w:r>
      <w:r w:rsidR="0071289B">
        <w:t>member,</w:t>
      </w:r>
      <w:r w:rsidRPr="00290F4A">
        <w:t xml:space="preserve"> Pricing</w:t>
      </w:r>
      <w:r w:rsidR="0071289B">
        <w:t> </w:t>
      </w:r>
      <w:r w:rsidRPr="00290F4A">
        <w:t>Authority</w:t>
      </w:r>
      <w:r w:rsidRPr="00290F4A" w:rsidDel="007B3F52">
        <w:t xml:space="preserve"> </w:t>
      </w:r>
    </w:p>
    <w:p w14:paraId="45ABA643" w14:textId="56260E08" w:rsidR="008D1EDE" w:rsidRDefault="008D1EDE" w:rsidP="008D1EDE">
      <w:pPr>
        <w:pStyle w:val="Bullets"/>
      </w:pPr>
      <w:proofErr w:type="spellStart"/>
      <w:r w:rsidRPr="00290F4A">
        <w:t>Mr</w:t>
      </w:r>
      <w:proofErr w:type="spellEnd"/>
      <w:r w:rsidRPr="00290F4A">
        <w:t xml:space="preserve"> Alan </w:t>
      </w:r>
      <w:proofErr w:type="spellStart"/>
      <w:r w:rsidRPr="00290F4A">
        <w:t>Bansemer</w:t>
      </w:r>
      <w:proofErr w:type="spellEnd"/>
      <w:r w:rsidRPr="00290F4A">
        <w:t xml:space="preserve">, </w:t>
      </w:r>
      <w:r w:rsidR="0071289B">
        <w:t>i</w:t>
      </w:r>
      <w:r w:rsidRPr="00290F4A">
        <w:t>ndependent member</w:t>
      </w:r>
    </w:p>
    <w:p w14:paraId="6516401D" w14:textId="1D1D099D" w:rsidR="008D1EDE" w:rsidRDefault="008D1EDE" w:rsidP="008D1EDE">
      <w:pPr>
        <w:pStyle w:val="Bullets"/>
      </w:pPr>
      <w:proofErr w:type="spellStart"/>
      <w:r w:rsidRPr="00290F4A">
        <w:t>Ms</w:t>
      </w:r>
      <w:proofErr w:type="spellEnd"/>
      <w:r w:rsidRPr="00290F4A">
        <w:t xml:space="preserve"> Angela Diamond, </w:t>
      </w:r>
      <w:r w:rsidR="006631D3">
        <w:t>C</w:t>
      </w:r>
      <w:r w:rsidRPr="00290F4A">
        <w:t xml:space="preserve">hair and </w:t>
      </w:r>
      <w:r w:rsidR="0071289B">
        <w:t>i</w:t>
      </w:r>
      <w:r w:rsidRPr="00290F4A">
        <w:t>ndependent member</w:t>
      </w:r>
    </w:p>
    <w:p w14:paraId="21A68855" w14:textId="504D2A4F" w:rsidR="008D1EDE" w:rsidRPr="00290F4A" w:rsidRDefault="008D1EDE" w:rsidP="008D1EDE">
      <w:pPr>
        <w:pStyle w:val="Bullets"/>
      </w:pPr>
      <w:proofErr w:type="spellStart"/>
      <w:r w:rsidRPr="00290F4A">
        <w:t>Mr</w:t>
      </w:r>
      <w:proofErr w:type="spellEnd"/>
      <w:r w:rsidRPr="00290F4A">
        <w:t xml:space="preserve"> John </w:t>
      </w:r>
      <w:proofErr w:type="spellStart"/>
      <w:r w:rsidRPr="00290F4A">
        <w:t>Lenarduzzi</w:t>
      </w:r>
      <w:proofErr w:type="spellEnd"/>
      <w:r w:rsidRPr="00290F4A">
        <w:t xml:space="preserve">, </w:t>
      </w:r>
      <w:r w:rsidR="0071289B">
        <w:t>i</w:t>
      </w:r>
      <w:r w:rsidRPr="00290F4A">
        <w:t>ndependent member</w:t>
      </w:r>
    </w:p>
    <w:p w14:paraId="0CC8D8A8" w14:textId="76E2D489" w:rsidR="008D1EDE" w:rsidRPr="00290F4A" w:rsidRDefault="008D1EDE" w:rsidP="008D1EDE">
      <w:pPr>
        <w:pStyle w:val="Bullets"/>
      </w:pPr>
      <w:proofErr w:type="spellStart"/>
      <w:r w:rsidRPr="00290F4A">
        <w:t>Ms</w:t>
      </w:r>
      <w:proofErr w:type="spellEnd"/>
      <w:r w:rsidRPr="00290F4A">
        <w:t xml:space="preserve"> Joanna Stone, </w:t>
      </w:r>
      <w:r w:rsidR="0071289B">
        <w:t>i</w:t>
      </w:r>
      <w:r w:rsidRPr="00290F4A">
        <w:t xml:space="preserve">ndependent </w:t>
      </w:r>
      <w:r>
        <w:t>member.</w:t>
      </w:r>
    </w:p>
    <w:p w14:paraId="34116887" w14:textId="102C6C37" w:rsidR="00732D95" w:rsidRPr="00290F4A" w:rsidRDefault="00732D95" w:rsidP="008D1EDE">
      <w:pPr>
        <w:pStyle w:val="Body"/>
      </w:pPr>
    </w:p>
    <w:p w14:paraId="3FD3F40A" w14:textId="29916032" w:rsidR="00732D95" w:rsidRDefault="00732D95" w:rsidP="00705609">
      <w:pPr>
        <w:pStyle w:val="Body"/>
        <w:sectPr w:rsidR="00732D95" w:rsidSect="0071594B">
          <w:footerReference w:type="default" r:id="rId170"/>
          <w:pgSz w:w="9979" w:h="14175"/>
          <w:pgMar w:top="1134" w:right="1134" w:bottom="1134" w:left="1134" w:header="709" w:footer="709" w:gutter="0"/>
          <w:cols w:num="2" w:space="708"/>
          <w:docGrid w:linePitch="360"/>
        </w:sectPr>
      </w:pPr>
    </w:p>
    <w:p w14:paraId="0C2CD921" w14:textId="77C4677D" w:rsidR="00BD0D93" w:rsidRPr="00BD0D93" w:rsidRDefault="00BD0D93" w:rsidP="00153DC1">
      <w:pPr>
        <w:pStyle w:val="FigureHeading"/>
      </w:pPr>
      <w:bookmarkStart w:id="129" w:name="_Toc82510950"/>
      <w:r w:rsidRPr="00BD0D93">
        <w:lastRenderedPageBreak/>
        <w:t xml:space="preserve">Table </w:t>
      </w:r>
      <w:r w:rsidR="00D362E1">
        <w:t>9</w:t>
      </w:r>
      <w:r w:rsidRPr="00BD0D93">
        <w:t>: Details of Audit, Risk and Compliance Committee during the reporting period (2020–21)</w:t>
      </w:r>
      <w:bookmarkEnd w:id="129"/>
    </w:p>
    <w:p w14:paraId="2F928D46" w14:textId="172B79F0" w:rsidR="00BD0D93" w:rsidRPr="00BD0D93" w:rsidRDefault="00BD0D93" w:rsidP="000D799B">
      <w:pPr>
        <w:pStyle w:val="Body"/>
        <w:ind w:right="-227"/>
      </w:pPr>
      <w:r w:rsidRPr="00BD0D93">
        <w:t xml:space="preserve">The IHPA Audit, Risk and Compliance Committee met on four occasions between 1 July 2020 and 30 June 2021. The Chief Executive Officer, </w:t>
      </w:r>
      <w:proofErr w:type="spellStart"/>
      <w:r w:rsidR="00C022DE">
        <w:t>Mr</w:t>
      </w:r>
      <w:proofErr w:type="spellEnd"/>
      <w:r w:rsidR="00C022DE">
        <w:t xml:space="preserve"> </w:t>
      </w:r>
      <w:r w:rsidRPr="00BD0D93">
        <w:t xml:space="preserve">James </w:t>
      </w:r>
      <w:proofErr w:type="spellStart"/>
      <w:r w:rsidRPr="00BD0D93">
        <w:t>Downie</w:t>
      </w:r>
      <w:proofErr w:type="spellEnd"/>
      <w:r w:rsidRPr="00BD0D93">
        <w:t>, as the accountable authority, attended three meetings.</w:t>
      </w:r>
    </w:p>
    <w:tbl>
      <w:tblPr>
        <w:tblStyle w:val="IHPATable"/>
        <w:tblW w:w="7797" w:type="dxa"/>
        <w:tblLayout w:type="fixed"/>
        <w:tblLook w:val="0020" w:firstRow="1" w:lastRow="0" w:firstColumn="0" w:lastColumn="0" w:noHBand="0" w:noVBand="0"/>
        <w:tblCaption w:val="Table 9"/>
        <w:tblDescription w:val="Details of Audit, Risk and Compliance Committee during the reporting period (2020-21)"/>
      </w:tblPr>
      <w:tblGrid>
        <w:gridCol w:w="993"/>
        <w:gridCol w:w="4536"/>
        <w:gridCol w:w="1134"/>
        <w:gridCol w:w="1134"/>
      </w:tblGrid>
      <w:tr w:rsidR="00BD0D93" w:rsidRPr="00BD0D93" w14:paraId="6A0C52D6" w14:textId="77777777" w:rsidTr="00316E60">
        <w:trPr>
          <w:cnfStyle w:val="100000000000" w:firstRow="1" w:lastRow="0" w:firstColumn="0" w:lastColumn="0" w:oddVBand="0" w:evenVBand="0" w:oddHBand="0" w:evenHBand="0" w:firstRowFirstColumn="0" w:firstRowLastColumn="0" w:lastRowFirstColumn="0" w:lastRowLastColumn="0"/>
          <w:trHeight w:val="20"/>
        </w:trPr>
        <w:tc>
          <w:tcPr>
            <w:tcW w:w="993" w:type="dxa"/>
            <w:tcBorders>
              <w:right w:val="single" w:sz="4" w:space="0" w:color="D9D9D9" w:themeColor="background2" w:themeShade="D9"/>
            </w:tcBorders>
            <w:shd w:val="clear" w:color="auto" w:fill="C40B46" w:themeFill="accent6"/>
          </w:tcPr>
          <w:p w14:paraId="24427872" w14:textId="4BDD9A5D" w:rsidR="00BD0D93" w:rsidRPr="00BD0D93" w:rsidRDefault="00BD0D93"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 xml:space="preserve">Member </w:t>
            </w:r>
            <w:r w:rsidR="004D1057">
              <w:rPr>
                <w:rFonts w:ascii="Futura PT Book" w:hAnsi="Futura PT Book" w:cs="Futura PT Book"/>
                <w:b/>
                <w:bCs/>
                <w:sz w:val="16"/>
                <w:szCs w:val="16"/>
                <w:lang w:val="en-US"/>
              </w:rPr>
              <w:t>n</w:t>
            </w:r>
            <w:r w:rsidRPr="00BD0D93">
              <w:rPr>
                <w:rFonts w:ascii="Futura PT Book" w:hAnsi="Futura PT Book" w:cs="Futura PT Book"/>
                <w:b/>
                <w:bCs/>
                <w:sz w:val="16"/>
                <w:szCs w:val="16"/>
                <w:lang w:val="en-US"/>
              </w:rPr>
              <w:t>ame</w:t>
            </w:r>
          </w:p>
        </w:tc>
        <w:tc>
          <w:tcPr>
            <w:tcW w:w="4536"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C40B46" w:themeFill="accent6"/>
          </w:tcPr>
          <w:p w14:paraId="251361DE" w14:textId="77777777" w:rsidR="00BD0D93" w:rsidRPr="00BD0D93" w:rsidRDefault="00BD0D93"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Qualifications, knowledge, skills and experience</w:t>
            </w:r>
          </w:p>
        </w:tc>
        <w:tc>
          <w:tcPr>
            <w:tcW w:w="113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C40B46" w:themeFill="accent6"/>
          </w:tcPr>
          <w:p w14:paraId="739E3AD1" w14:textId="77777777" w:rsidR="00BD0D93" w:rsidRPr="00BD0D93" w:rsidRDefault="00BD0D93"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Number of meetings attended/</w:t>
            </w:r>
            <w:r w:rsidRPr="00BD0D93">
              <w:rPr>
                <w:rFonts w:ascii="Futura PT Book" w:hAnsi="Futura PT Book" w:cs="Futura PT Book"/>
                <w:b/>
                <w:bCs/>
                <w:sz w:val="16"/>
                <w:szCs w:val="16"/>
                <w:lang w:val="en-US"/>
              </w:rPr>
              <w:br/>
              <w:t>total number of meetings eligible</w:t>
            </w:r>
          </w:p>
        </w:tc>
        <w:tc>
          <w:tcPr>
            <w:tcW w:w="1134" w:type="dxa"/>
            <w:tcBorders>
              <w:left w:val="single" w:sz="4" w:space="0" w:color="D9D9D9" w:themeColor="background2" w:themeShade="D9"/>
            </w:tcBorders>
            <w:shd w:val="clear" w:color="auto" w:fill="C40B46" w:themeFill="accent6"/>
          </w:tcPr>
          <w:p w14:paraId="18435479" w14:textId="77777777" w:rsidR="00BD0D93" w:rsidRPr="00BD0D93" w:rsidRDefault="00BD0D93"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Total annual remuneration</w:t>
            </w:r>
          </w:p>
        </w:tc>
      </w:tr>
      <w:tr w:rsidR="002C779C" w:rsidRPr="00BD0D93" w14:paraId="2E8736B3" w14:textId="77777777" w:rsidTr="00316E60">
        <w:trPr>
          <w:cnfStyle w:val="000000100000" w:firstRow="0" w:lastRow="0" w:firstColumn="0" w:lastColumn="0" w:oddVBand="0" w:evenVBand="0" w:oddHBand="1" w:evenHBand="0" w:firstRowFirstColumn="0" w:firstRowLastColumn="0" w:lastRowFirstColumn="0" w:lastRowLastColumn="0"/>
          <w:trHeight w:val="2724"/>
        </w:trPr>
        <w:tc>
          <w:tcPr>
            <w:tcW w:w="993" w:type="dxa"/>
            <w:tcBorders>
              <w:right w:val="single" w:sz="4" w:space="0" w:color="D9D9D9" w:themeColor="background2" w:themeShade="D9"/>
            </w:tcBorders>
          </w:tcPr>
          <w:p w14:paraId="75D2D460" w14:textId="6DF060C5" w:rsidR="002C779C" w:rsidRPr="00BD0D93" w:rsidRDefault="003361D1" w:rsidP="00316E60">
            <w:pPr>
              <w:spacing w:before="60" w:after="60"/>
              <w:rPr>
                <w:b/>
                <w:bCs/>
                <w:color w:val="1C1C1C"/>
                <w:sz w:val="15"/>
                <w:szCs w:val="15"/>
              </w:rPr>
            </w:pPr>
            <w:proofErr w:type="spellStart"/>
            <w:r>
              <w:rPr>
                <w:b/>
                <w:bCs/>
                <w:color w:val="1C1C1C"/>
                <w:sz w:val="15"/>
                <w:szCs w:val="15"/>
              </w:rPr>
              <w:t>Mr</w:t>
            </w:r>
            <w:proofErr w:type="spellEnd"/>
            <w:r>
              <w:rPr>
                <w:b/>
                <w:bCs/>
                <w:color w:val="1C1C1C"/>
                <w:sz w:val="15"/>
                <w:szCs w:val="15"/>
              </w:rPr>
              <w:t xml:space="preserve"> </w:t>
            </w:r>
            <w:r w:rsidR="002C779C" w:rsidRPr="00BD0D93">
              <w:rPr>
                <w:b/>
                <w:bCs/>
                <w:color w:val="1C1C1C"/>
                <w:sz w:val="15"/>
                <w:szCs w:val="15"/>
              </w:rPr>
              <w:t>Glenn Appleyard</w:t>
            </w:r>
          </w:p>
        </w:tc>
        <w:tc>
          <w:tcPr>
            <w:tcW w:w="4536" w:type="dxa"/>
            <w:tcBorders>
              <w:left w:val="single" w:sz="4" w:space="0" w:color="D9D9D9" w:themeColor="background2" w:themeShade="D9"/>
              <w:right w:val="single" w:sz="4" w:space="0" w:color="D9D9D9" w:themeColor="background2" w:themeShade="D9"/>
            </w:tcBorders>
          </w:tcPr>
          <w:p w14:paraId="6D08C565" w14:textId="3C7B02D0" w:rsidR="002C779C" w:rsidRPr="00BD0D93" w:rsidRDefault="00C022DE" w:rsidP="00316E60">
            <w:pPr>
              <w:spacing w:before="60" w:after="60"/>
              <w:rPr>
                <w:color w:val="1C1C1C"/>
                <w:sz w:val="15"/>
                <w:szCs w:val="15"/>
              </w:rPr>
            </w:pPr>
            <w:proofErr w:type="spellStart"/>
            <w:r>
              <w:rPr>
                <w:color w:val="1C1C1C"/>
                <w:sz w:val="15"/>
                <w:szCs w:val="15"/>
              </w:rPr>
              <w:t>Mr</w:t>
            </w:r>
            <w:proofErr w:type="spellEnd"/>
            <w:r>
              <w:rPr>
                <w:color w:val="1C1C1C"/>
                <w:sz w:val="15"/>
                <w:szCs w:val="15"/>
              </w:rPr>
              <w:t xml:space="preserve"> </w:t>
            </w:r>
            <w:r w:rsidR="002C779C" w:rsidRPr="00BD0D93">
              <w:rPr>
                <w:color w:val="1C1C1C"/>
                <w:sz w:val="15"/>
                <w:szCs w:val="15"/>
              </w:rPr>
              <w:t>Glenn Appleyard was a member of the Australian Accounting Standards Board from 1 January 2003 to 31 December 2011.</w:t>
            </w:r>
          </w:p>
          <w:p w14:paraId="0489A9B5" w14:textId="384C17E0" w:rsidR="002C779C" w:rsidRPr="00BD0D93" w:rsidRDefault="002C779C" w:rsidP="00316E60">
            <w:pPr>
              <w:spacing w:before="60" w:after="60"/>
              <w:rPr>
                <w:color w:val="1C1C1C"/>
                <w:sz w:val="15"/>
                <w:szCs w:val="15"/>
              </w:rPr>
            </w:pPr>
            <w:r w:rsidRPr="00BD0D93">
              <w:rPr>
                <w:color w:val="1C1C1C"/>
                <w:sz w:val="15"/>
                <w:szCs w:val="15"/>
              </w:rPr>
              <w:t>Glenn has held several senior positions within the public service including Deputy Secretary in the Tasmanian and Victorian Departments of Treasury and Finance</w:t>
            </w:r>
            <w:r w:rsidR="00240D19">
              <w:rPr>
                <w:color w:val="1C1C1C"/>
                <w:sz w:val="15"/>
                <w:szCs w:val="15"/>
              </w:rPr>
              <w:t xml:space="preserve"> and</w:t>
            </w:r>
            <w:r w:rsidRPr="00BD0D93">
              <w:rPr>
                <w:color w:val="1C1C1C"/>
                <w:sz w:val="15"/>
                <w:szCs w:val="15"/>
              </w:rPr>
              <w:t xml:space="preserve"> Regional Director for the Australian Bureau of Statistics in Tasmania.</w:t>
            </w:r>
          </w:p>
          <w:p w14:paraId="30403B87" w14:textId="77777777" w:rsidR="002C779C" w:rsidRPr="00BD0D93" w:rsidRDefault="002C779C" w:rsidP="00316E60">
            <w:pPr>
              <w:spacing w:before="60" w:after="60"/>
              <w:rPr>
                <w:color w:val="1C1C1C"/>
                <w:sz w:val="15"/>
                <w:szCs w:val="15"/>
              </w:rPr>
            </w:pPr>
            <w:r w:rsidRPr="00BD0D93">
              <w:rPr>
                <w:color w:val="1C1C1C"/>
                <w:sz w:val="15"/>
                <w:szCs w:val="15"/>
              </w:rPr>
              <w:t xml:space="preserve">He was a member of the Commonwealth Grants Commission for 11 years and was the Chair of the Tasmanian Economic Regulator. </w:t>
            </w:r>
          </w:p>
          <w:p w14:paraId="2B387B6B" w14:textId="77777777" w:rsidR="002C779C" w:rsidRPr="00BD0D93" w:rsidRDefault="002C779C" w:rsidP="00316E60">
            <w:pPr>
              <w:spacing w:before="60" w:after="60"/>
              <w:rPr>
                <w:color w:val="1C1C1C"/>
                <w:sz w:val="15"/>
                <w:szCs w:val="15"/>
              </w:rPr>
            </w:pPr>
            <w:r w:rsidRPr="00BD0D93">
              <w:rPr>
                <w:color w:val="1C1C1C"/>
                <w:sz w:val="15"/>
                <w:szCs w:val="15"/>
              </w:rPr>
              <w:t>Glenn has been a member of the Independent Hospital Pricing Authority since 2012.</w:t>
            </w:r>
          </w:p>
          <w:p w14:paraId="568B2100" w14:textId="308A2AFD" w:rsidR="002C779C" w:rsidRPr="00BD0D93" w:rsidRDefault="002C779C" w:rsidP="00316E60">
            <w:pPr>
              <w:spacing w:before="60" w:after="60"/>
              <w:rPr>
                <w:color w:val="1C1C1C"/>
                <w:sz w:val="15"/>
                <w:szCs w:val="15"/>
              </w:rPr>
            </w:pPr>
            <w:r w:rsidRPr="00BD0D93">
              <w:rPr>
                <w:color w:val="1C1C1C"/>
                <w:sz w:val="15"/>
                <w:szCs w:val="15"/>
              </w:rPr>
              <w:t>Glenn has a Bachelor of Economics from the University of Tasmania.</w:t>
            </w:r>
          </w:p>
        </w:tc>
        <w:tc>
          <w:tcPr>
            <w:tcW w:w="1134" w:type="dxa"/>
            <w:tcBorders>
              <w:left w:val="single" w:sz="4" w:space="0" w:color="D9D9D9" w:themeColor="background2" w:themeShade="D9"/>
              <w:right w:val="single" w:sz="4" w:space="0" w:color="D9D9D9" w:themeColor="background2" w:themeShade="D9"/>
            </w:tcBorders>
          </w:tcPr>
          <w:p w14:paraId="327DD2B8" w14:textId="2BE6F81A" w:rsidR="002C779C" w:rsidRPr="00BD0D93" w:rsidRDefault="002C779C" w:rsidP="00316E60">
            <w:pPr>
              <w:spacing w:before="60" w:after="60"/>
              <w:rPr>
                <w:color w:val="1C1C1C"/>
                <w:sz w:val="15"/>
                <w:szCs w:val="15"/>
              </w:rPr>
            </w:pPr>
            <w:r w:rsidRPr="00BD0D93">
              <w:rPr>
                <w:color w:val="1C1C1C"/>
                <w:sz w:val="15"/>
                <w:szCs w:val="15"/>
              </w:rPr>
              <w:t>4/4</w:t>
            </w:r>
          </w:p>
        </w:tc>
        <w:tc>
          <w:tcPr>
            <w:tcW w:w="1134" w:type="dxa"/>
            <w:tcBorders>
              <w:left w:val="single" w:sz="4" w:space="0" w:color="D9D9D9" w:themeColor="background2" w:themeShade="D9"/>
            </w:tcBorders>
          </w:tcPr>
          <w:p w14:paraId="2009AEE4" w14:textId="72007CCD" w:rsidR="002C779C" w:rsidRPr="00BD0D93" w:rsidRDefault="002C779C" w:rsidP="00316E60">
            <w:pPr>
              <w:spacing w:before="60" w:after="60"/>
              <w:rPr>
                <w:color w:val="1C1C1C"/>
                <w:sz w:val="15"/>
                <w:szCs w:val="15"/>
              </w:rPr>
            </w:pPr>
            <w:r w:rsidRPr="00BD0D93">
              <w:rPr>
                <w:color w:val="1C1C1C"/>
                <w:sz w:val="15"/>
                <w:szCs w:val="15"/>
              </w:rPr>
              <w:t>$9,232</w:t>
            </w:r>
          </w:p>
        </w:tc>
      </w:tr>
      <w:tr w:rsidR="002C779C" w:rsidRPr="00BD0D93" w14:paraId="25796FE2" w14:textId="77777777" w:rsidTr="00316E60">
        <w:trPr>
          <w:cnfStyle w:val="000000010000" w:firstRow="0" w:lastRow="0" w:firstColumn="0" w:lastColumn="0" w:oddVBand="0" w:evenVBand="0" w:oddHBand="0" w:evenHBand="1" w:firstRowFirstColumn="0" w:firstRowLastColumn="0" w:lastRowFirstColumn="0" w:lastRowLastColumn="0"/>
          <w:trHeight w:val="2894"/>
        </w:trPr>
        <w:tc>
          <w:tcPr>
            <w:tcW w:w="993" w:type="dxa"/>
            <w:tcBorders>
              <w:right w:val="single" w:sz="4" w:space="0" w:color="D9D9D9" w:themeColor="background2" w:themeShade="D9"/>
            </w:tcBorders>
          </w:tcPr>
          <w:p w14:paraId="144A2AA6" w14:textId="54547951" w:rsidR="002C779C" w:rsidRPr="00BD0D93" w:rsidRDefault="003361D1" w:rsidP="00316E60">
            <w:pPr>
              <w:spacing w:before="60" w:after="60"/>
              <w:rPr>
                <w:b/>
                <w:bCs/>
                <w:color w:val="1C1C1C"/>
                <w:sz w:val="15"/>
                <w:szCs w:val="15"/>
              </w:rPr>
            </w:pPr>
            <w:proofErr w:type="spellStart"/>
            <w:r>
              <w:rPr>
                <w:b/>
                <w:bCs/>
                <w:color w:val="1C1C1C"/>
                <w:sz w:val="15"/>
                <w:szCs w:val="15"/>
              </w:rPr>
              <w:t>Mr</w:t>
            </w:r>
            <w:proofErr w:type="spellEnd"/>
            <w:r>
              <w:rPr>
                <w:b/>
                <w:bCs/>
                <w:color w:val="1C1C1C"/>
                <w:sz w:val="15"/>
                <w:szCs w:val="15"/>
              </w:rPr>
              <w:t xml:space="preserve"> </w:t>
            </w:r>
            <w:r w:rsidR="002C779C" w:rsidRPr="00BD0D93">
              <w:rPr>
                <w:b/>
                <w:bCs/>
                <w:color w:val="1C1C1C"/>
                <w:sz w:val="15"/>
                <w:szCs w:val="15"/>
              </w:rPr>
              <w:t xml:space="preserve">Alan </w:t>
            </w:r>
            <w:proofErr w:type="spellStart"/>
            <w:r w:rsidR="002C779C" w:rsidRPr="00BD0D93">
              <w:rPr>
                <w:b/>
                <w:bCs/>
                <w:color w:val="1C1C1C"/>
                <w:sz w:val="15"/>
                <w:szCs w:val="15"/>
              </w:rPr>
              <w:t>Bansemer</w:t>
            </w:r>
            <w:proofErr w:type="spellEnd"/>
          </w:p>
        </w:tc>
        <w:tc>
          <w:tcPr>
            <w:tcW w:w="4536"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6935A84E" w14:textId="74038272" w:rsidR="002C779C" w:rsidRPr="00BD0D93" w:rsidRDefault="00C022DE" w:rsidP="00316E60">
            <w:pPr>
              <w:spacing w:before="60" w:after="60"/>
              <w:rPr>
                <w:color w:val="1C1C1C"/>
                <w:sz w:val="15"/>
                <w:szCs w:val="15"/>
              </w:rPr>
            </w:pPr>
            <w:proofErr w:type="spellStart"/>
            <w:r>
              <w:rPr>
                <w:color w:val="1C1C1C"/>
                <w:sz w:val="15"/>
                <w:szCs w:val="15"/>
              </w:rPr>
              <w:t>Mr</w:t>
            </w:r>
            <w:proofErr w:type="spellEnd"/>
            <w:r>
              <w:rPr>
                <w:color w:val="1C1C1C"/>
                <w:sz w:val="15"/>
                <w:szCs w:val="15"/>
              </w:rPr>
              <w:t xml:space="preserve"> </w:t>
            </w:r>
            <w:r w:rsidR="002C779C" w:rsidRPr="00BD0D93">
              <w:rPr>
                <w:color w:val="1C1C1C"/>
                <w:sz w:val="15"/>
                <w:szCs w:val="15"/>
              </w:rPr>
              <w:t xml:space="preserve">Alan </w:t>
            </w:r>
            <w:proofErr w:type="spellStart"/>
            <w:r w:rsidR="002C779C" w:rsidRPr="00BD0D93">
              <w:rPr>
                <w:color w:val="1C1C1C"/>
                <w:sz w:val="15"/>
                <w:szCs w:val="15"/>
              </w:rPr>
              <w:t>Bansemer</w:t>
            </w:r>
            <w:proofErr w:type="spellEnd"/>
            <w:r w:rsidR="002C779C" w:rsidRPr="00BD0D93">
              <w:rPr>
                <w:color w:val="1C1C1C"/>
                <w:sz w:val="15"/>
                <w:szCs w:val="15"/>
              </w:rPr>
              <w:t xml:space="preserve"> has over 35 years’ experience in the health sector, including six years as the West Australian Health Commissioner and eight years as the Deputy Secretary to the Commonwealth Department of Human</w:t>
            </w:r>
            <w:r w:rsidR="008F0110">
              <w:rPr>
                <w:color w:val="1C1C1C"/>
                <w:sz w:val="15"/>
                <w:szCs w:val="15"/>
              </w:rPr>
              <w:t> </w:t>
            </w:r>
            <w:r w:rsidR="002C779C" w:rsidRPr="00BD0D93">
              <w:rPr>
                <w:color w:val="1C1C1C"/>
                <w:sz w:val="15"/>
                <w:szCs w:val="15"/>
              </w:rPr>
              <w:t>Services and Health (as it then was).</w:t>
            </w:r>
          </w:p>
          <w:p w14:paraId="4A869ED6" w14:textId="29B4901D" w:rsidR="002C779C" w:rsidRPr="00BD0D93" w:rsidRDefault="002C779C" w:rsidP="00316E60">
            <w:pPr>
              <w:spacing w:before="60" w:after="60"/>
              <w:rPr>
                <w:color w:val="1C1C1C"/>
                <w:sz w:val="15"/>
                <w:szCs w:val="15"/>
              </w:rPr>
            </w:pPr>
            <w:r w:rsidRPr="00BD0D93">
              <w:rPr>
                <w:color w:val="1C1C1C"/>
                <w:sz w:val="15"/>
                <w:szCs w:val="15"/>
              </w:rPr>
              <w:t>Alan has chaired a number of committees including the Medicare Schedule Review Board and General Practice Consultative Committee. In addition, he</w:t>
            </w:r>
            <w:r w:rsidR="00FD58A7">
              <w:rPr>
                <w:color w:val="1C1C1C"/>
                <w:sz w:val="15"/>
                <w:szCs w:val="15"/>
              </w:rPr>
              <w:t> </w:t>
            </w:r>
            <w:r w:rsidRPr="00BD0D93">
              <w:rPr>
                <w:color w:val="1C1C1C"/>
                <w:sz w:val="15"/>
                <w:szCs w:val="15"/>
              </w:rPr>
              <w:t>has served as a member of numerous health advisory committees including the Australian Health Ministers’ Advisory Council, Health</w:t>
            </w:r>
            <w:r w:rsidR="008F0110">
              <w:rPr>
                <w:color w:val="1C1C1C"/>
                <w:sz w:val="15"/>
                <w:szCs w:val="15"/>
              </w:rPr>
              <w:t> </w:t>
            </w:r>
            <w:r w:rsidRPr="00BD0D93">
              <w:rPr>
                <w:color w:val="1C1C1C"/>
                <w:sz w:val="15"/>
                <w:szCs w:val="15"/>
              </w:rPr>
              <w:t>Insurance Commission (now Medicare Australia) and the Australian</w:t>
            </w:r>
            <w:r w:rsidR="008F0110">
              <w:rPr>
                <w:color w:val="1C1C1C"/>
                <w:sz w:val="15"/>
                <w:szCs w:val="15"/>
              </w:rPr>
              <w:t> </w:t>
            </w:r>
            <w:r w:rsidRPr="00BD0D93">
              <w:rPr>
                <w:color w:val="1C1C1C"/>
                <w:sz w:val="15"/>
                <w:szCs w:val="15"/>
              </w:rPr>
              <w:t>Institute</w:t>
            </w:r>
            <w:r w:rsidR="003361D1">
              <w:rPr>
                <w:color w:val="1C1C1C"/>
                <w:sz w:val="15"/>
                <w:szCs w:val="15"/>
              </w:rPr>
              <w:t xml:space="preserve"> </w:t>
            </w:r>
            <w:r w:rsidRPr="00BD0D93">
              <w:rPr>
                <w:color w:val="1C1C1C"/>
                <w:sz w:val="15"/>
                <w:szCs w:val="15"/>
              </w:rPr>
              <w:t>of Health and Welfare.</w:t>
            </w:r>
          </w:p>
          <w:p w14:paraId="488454A6" w14:textId="2988642A" w:rsidR="002C779C" w:rsidRPr="00BD0D93" w:rsidRDefault="002C779C" w:rsidP="00316E60">
            <w:pPr>
              <w:spacing w:before="60" w:after="60"/>
              <w:rPr>
                <w:color w:val="1C1C1C"/>
                <w:sz w:val="15"/>
                <w:szCs w:val="15"/>
              </w:rPr>
            </w:pPr>
            <w:r w:rsidRPr="00BD0D93">
              <w:rPr>
                <w:color w:val="1C1C1C"/>
                <w:sz w:val="15"/>
                <w:szCs w:val="15"/>
              </w:rPr>
              <w:t>Alan has a bachelor’s degree in economics from the University of Adelaide and postgraduate diploma in business administration from the South Australian Institute of Technology</w:t>
            </w:r>
            <w:r>
              <w:rPr>
                <w:color w:val="1C1C1C"/>
                <w:sz w:val="15"/>
                <w:szCs w:val="15"/>
              </w:rPr>
              <w:t>.</w:t>
            </w:r>
          </w:p>
        </w:tc>
        <w:tc>
          <w:tcPr>
            <w:tcW w:w="1134"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17B045B7" w14:textId="317930BF" w:rsidR="002C779C" w:rsidRPr="00BD0D93" w:rsidRDefault="002C779C" w:rsidP="00316E60">
            <w:pPr>
              <w:spacing w:before="60" w:after="60"/>
              <w:rPr>
                <w:color w:val="1C1C1C"/>
                <w:sz w:val="15"/>
                <w:szCs w:val="15"/>
              </w:rPr>
            </w:pPr>
            <w:r w:rsidRPr="00BD0D93">
              <w:rPr>
                <w:color w:val="1C1C1C"/>
                <w:sz w:val="15"/>
                <w:szCs w:val="15"/>
              </w:rPr>
              <w:t>1/4</w:t>
            </w:r>
          </w:p>
        </w:tc>
        <w:tc>
          <w:tcPr>
            <w:tcW w:w="1134" w:type="dxa"/>
            <w:tcBorders>
              <w:left w:val="single" w:sz="4" w:space="0" w:color="D9D9D9" w:themeColor="background2" w:themeShade="D9"/>
            </w:tcBorders>
          </w:tcPr>
          <w:p w14:paraId="606F360D" w14:textId="42655FB9" w:rsidR="002C779C" w:rsidRPr="00BD0D93" w:rsidRDefault="002C779C" w:rsidP="00316E60">
            <w:pPr>
              <w:spacing w:before="60" w:after="60"/>
              <w:rPr>
                <w:color w:val="1C1C1C"/>
                <w:sz w:val="15"/>
                <w:szCs w:val="15"/>
              </w:rPr>
            </w:pPr>
            <w:r w:rsidRPr="00BD0D93">
              <w:rPr>
                <w:color w:val="1C1C1C"/>
                <w:sz w:val="15"/>
                <w:szCs w:val="15"/>
              </w:rPr>
              <w:t>$2,000</w:t>
            </w:r>
          </w:p>
        </w:tc>
      </w:tr>
      <w:tr w:rsidR="002C779C" w:rsidRPr="00BD0D93" w14:paraId="6AAE3B8A" w14:textId="77777777" w:rsidTr="00316E60">
        <w:trPr>
          <w:cnfStyle w:val="000000100000" w:firstRow="0" w:lastRow="0" w:firstColumn="0" w:lastColumn="0" w:oddVBand="0" w:evenVBand="0" w:oddHBand="1" w:evenHBand="0" w:firstRowFirstColumn="0" w:firstRowLastColumn="0" w:lastRowFirstColumn="0" w:lastRowLastColumn="0"/>
          <w:trHeight w:val="1417"/>
        </w:trPr>
        <w:tc>
          <w:tcPr>
            <w:tcW w:w="993" w:type="dxa"/>
            <w:tcBorders>
              <w:right w:val="single" w:sz="4" w:space="0" w:color="D9D9D9" w:themeColor="background2" w:themeShade="D9"/>
            </w:tcBorders>
          </w:tcPr>
          <w:p w14:paraId="3EC5FECD" w14:textId="2131207B" w:rsidR="002C779C" w:rsidRPr="00BD0D93" w:rsidRDefault="003361D1" w:rsidP="00316E60">
            <w:pPr>
              <w:spacing w:before="60" w:after="60"/>
              <w:rPr>
                <w:b/>
                <w:bCs/>
                <w:color w:val="1C1C1C"/>
                <w:sz w:val="15"/>
                <w:szCs w:val="15"/>
              </w:rPr>
            </w:pPr>
            <w:proofErr w:type="spellStart"/>
            <w:r>
              <w:rPr>
                <w:b/>
                <w:bCs/>
                <w:color w:val="1C1C1C"/>
                <w:sz w:val="15"/>
                <w:szCs w:val="15"/>
              </w:rPr>
              <w:t>M</w:t>
            </w:r>
            <w:r w:rsidR="00BF1754">
              <w:rPr>
                <w:b/>
                <w:bCs/>
                <w:color w:val="1C1C1C"/>
                <w:sz w:val="15"/>
                <w:szCs w:val="15"/>
              </w:rPr>
              <w:t>s</w:t>
            </w:r>
            <w:proofErr w:type="spellEnd"/>
            <w:r>
              <w:rPr>
                <w:b/>
                <w:bCs/>
                <w:color w:val="1C1C1C"/>
                <w:sz w:val="15"/>
                <w:szCs w:val="15"/>
              </w:rPr>
              <w:t xml:space="preserve"> </w:t>
            </w:r>
            <w:r w:rsidR="002C779C" w:rsidRPr="00BD0D93">
              <w:rPr>
                <w:b/>
                <w:bCs/>
                <w:color w:val="1C1C1C"/>
                <w:sz w:val="15"/>
                <w:szCs w:val="15"/>
              </w:rPr>
              <w:t>Angela Diamond</w:t>
            </w:r>
          </w:p>
        </w:tc>
        <w:tc>
          <w:tcPr>
            <w:tcW w:w="4536" w:type="dxa"/>
            <w:tcBorders>
              <w:left w:val="single" w:sz="4" w:space="0" w:color="D9D9D9" w:themeColor="background2" w:themeShade="D9"/>
              <w:right w:val="single" w:sz="4" w:space="0" w:color="D9D9D9" w:themeColor="background2" w:themeShade="D9"/>
            </w:tcBorders>
          </w:tcPr>
          <w:p w14:paraId="5BCDABE6" w14:textId="6C7C9C9F" w:rsidR="002C779C" w:rsidRPr="00BD0D93" w:rsidRDefault="00C022DE" w:rsidP="00316E60">
            <w:pPr>
              <w:spacing w:before="60" w:after="60"/>
              <w:rPr>
                <w:color w:val="1C1C1C"/>
                <w:sz w:val="15"/>
                <w:szCs w:val="15"/>
              </w:rPr>
            </w:pPr>
            <w:proofErr w:type="spellStart"/>
            <w:r>
              <w:rPr>
                <w:color w:val="1C1C1C"/>
                <w:sz w:val="15"/>
                <w:szCs w:val="15"/>
              </w:rPr>
              <w:t>Ms</w:t>
            </w:r>
            <w:proofErr w:type="spellEnd"/>
            <w:r>
              <w:rPr>
                <w:color w:val="1C1C1C"/>
                <w:sz w:val="15"/>
                <w:szCs w:val="15"/>
              </w:rPr>
              <w:t xml:space="preserve"> </w:t>
            </w:r>
            <w:r w:rsidR="002C779C" w:rsidRPr="00BD0D93">
              <w:rPr>
                <w:color w:val="1C1C1C"/>
                <w:sz w:val="15"/>
                <w:szCs w:val="15"/>
              </w:rPr>
              <w:t>Angela Diamond has held several senior finance positions within the public</w:t>
            </w:r>
            <w:r w:rsidR="002C779C">
              <w:rPr>
                <w:color w:val="1C1C1C"/>
                <w:sz w:val="15"/>
                <w:szCs w:val="15"/>
              </w:rPr>
              <w:t> </w:t>
            </w:r>
            <w:r w:rsidR="002C779C" w:rsidRPr="00BD0D93">
              <w:rPr>
                <w:color w:val="1C1C1C"/>
                <w:sz w:val="15"/>
                <w:szCs w:val="15"/>
              </w:rPr>
              <w:t>service including First Assistant Secretary Financial Performance and</w:t>
            </w:r>
            <w:r w:rsidR="002C779C">
              <w:rPr>
                <w:color w:val="1C1C1C"/>
                <w:sz w:val="15"/>
                <w:szCs w:val="15"/>
              </w:rPr>
              <w:t> </w:t>
            </w:r>
            <w:r w:rsidR="002C779C" w:rsidRPr="00BD0D93">
              <w:rPr>
                <w:color w:val="1C1C1C"/>
                <w:sz w:val="15"/>
                <w:szCs w:val="15"/>
              </w:rPr>
              <w:t xml:space="preserve">Management at the Department of </w:t>
            </w:r>
            <w:proofErr w:type="spellStart"/>
            <w:r w:rsidR="002C779C" w:rsidRPr="00BD0D93">
              <w:rPr>
                <w:color w:val="1C1C1C"/>
                <w:sz w:val="15"/>
                <w:szCs w:val="15"/>
              </w:rPr>
              <w:t>Defence</w:t>
            </w:r>
            <w:proofErr w:type="spellEnd"/>
            <w:r w:rsidR="002C779C" w:rsidRPr="00BD0D93">
              <w:rPr>
                <w:color w:val="1C1C1C"/>
                <w:sz w:val="15"/>
                <w:szCs w:val="15"/>
              </w:rPr>
              <w:t xml:space="preserve"> and is currently the Chief</w:t>
            </w:r>
            <w:r w:rsidR="002C779C">
              <w:rPr>
                <w:color w:val="1C1C1C"/>
                <w:sz w:val="15"/>
                <w:szCs w:val="15"/>
              </w:rPr>
              <w:t> </w:t>
            </w:r>
            <w:r w:rsidR="002C779C" w:rsidRPr="00BD0D93">
              <w:rPr>
                <w:color w:val="1C1C1C"/>
                <w:sz w:val="15"/>
                <w:szCs w:val="15"/>
              </w:rPr>
              <w:t>Financial Officer for Services Australia.</w:t>
            </w:r>
          </w:p>
          <w:p w14:paraId="7C48787C" w14:textId="77777777" w:rsidR="002C779C" w:rsidRDefault="002C779C" w:rsidP="00316E60">
            <w:pPr>
              <w:spacing w:before="60" w:after="60"/>
              <w:rPr>
                <w:color w:val="1C1C1C"/>
                <w:sz w:val="15"/>
                <w:szCs w:val="15"/>
              </w:rPr>
            </w:pPr>
            <w:r w:rsidRPr="00BD0D93">
              <w:rPr>
                <w:color w:val="1C1C1C"/>
                <w:sz w:val="15"/>
                <w:szCs w:val="15"/>
              </w:rPr>
              <w:t xml:space="preserve">Angela has a Bachelor of Commerce from the Australian National University and is a Certified </w:t>
            </w:r>
            <w:proofErr w:type="spellStart"/>
            <w:r w:rsidRPr="00BD0D93">
              <w:rPr>
                <w:color w:val="1C1C1C"/>
                <w:sz w:val="15"/>
                <w:szCs w:val="15"/>
              </w:rPr>
              <w:t>Practising</w:t>
            </w:r>
            <w:proofErr w:type="spellEnd"/>
            <w:r w:rsidRPr="00BD0D93">
              <w:rPr>
                <w:color w:val="1C1C1C"/>
                <w:sz w:val="15"/>
                <w:szCs w:val="15"/>
              </w:rPr>
              <w:t xml:space="preserve"> Accountant.</w:t>
            </w:r>
          </w:p>
          <w:p w14:paraId="02EFF977" w14:textId="389C35EE" w:rsidR="002C779C" w:rsidRPr="00BD0D93" w:rsidRDefault="002C779C" w:rsidP="00316E60">
            <w:pPr>
              <w:spacing w:before="60" w:after="60"/>
              <w:rPr>
                <w:color w:val="1C1C1C"/>
                <w:sz w:val="15"/>
                <w:szCs w:val="15"/>
              </w:rPr>
            </w:pPr>
          </w:p>
        </w:tc>
        <w:tc>
          <w:tcPr>
            <w:tcW w:w="1134" w:type="dxa"/>
            <w:tcBorders>
              <w:left w:val="single" w:sz="4" w:space="0" w:color="D9D9D9" w:themeColor="background2" w:themeShade="D9"/>
              <w:right w:val="single" w:sz="4" w:space="0" w:color="D9D9D9" w:themeColor="background2" w:themeShade="D9"/>
            </w:tcBorders>
          </w:tcPr>
          <w:p w14:paraId="4B41EAD3" w14:textId="3FBF0984" w:rsidR="002C779C" w:rsidRPr="00BD0D93" w:rsidRDefault="002C779C" w:rsidP="00316E60">
            <w:pPr>
              <w:spacing w:before="60" w:after="60"/>
              <w:rPr>
                <w:color w:val="1C1C1C"/>
                <w:sz w:val="15"/>
                <w:szCs w:val="15"/>
              </w:rPr>
            </w:pPr>
            <w:r w:rsidRPr="00BD0D93">
              <w:rPr>
                <w:color w:val="1C1C1C"/>
                <w:sz w:val="15"/>
                <w:szCs w:val="15"/>
              </w:rPr>
              <w:t>4/4</w:t>
            </w:r>
          </w:p>
        </w:tc>
        <w:tc>
          <w:tcPr>
            <w:tcW w:w="1134" w:type="dxa"/>
            <w:tcBorders>
              <w:left w:val="single" w:sz="4" w:space="0" w:color="D9D9D9" w:themeColor="background2" w:themeShade="D9"/>
            </w:tcBorders>
          </w:tcPr>
          <w:p w14:paraId="3ADA7B05" w14:textId="55913CD8" w:rsidR="002C779C" w:rsidRPr="00BD0D93" w:rsidRDefault="002C779C" w:rsidP="00316E60">
            <w:pPr>
              <w:spacing w:before="60" w:after="60"/>
              <w:rPr>
                <w:color w:val="1C1C1C"/>
                <w:sz w:val="15"/>
                <w:szCs w:val="15"/>
              </w:rPr>
            </w:pPr>
            <w:r w:rsidRPr="00BD0D93">
              <w:rPr>
                <w:color w:val="1C1C1C"/>
                <w:sz w:val="15"/>
                <w:szCs w:val="15"/>
              </w:rPr>
              <w:t>Nil</w:t>
            </w:r>
            <w:r w:rsidR="00AC534F">
              <w:rPr>
                <w:color w:val="1C1C1C"/>
                <w:sz w:val="15"/>
                <w:szCs w:val="15"/>
              </w:rPr>
              <w:t xml:space="preserve"> – </w:t>
            </w:r>
            <w:r w:rsidR="00803303">
              <w:rPr>
                <w:color w:val="1C1C1C"/>
                <w:sz w:val="15"/>
                <w:szCs w:val="15"/>
              </w:rPr>
              <w:t>e</w:t>
            </w:r>
            <w:r w:rsidR="00AC534F">
              <w:rPr>
                <w:color w:val="1C1C1C"/>
                <w:sz w:val="15"/>
                <w:szCs w:val="15"/>
              </w:rPr>
              <w:t>mployed</w:t>
            </w:r>
            <w:r w:rsidR="00AC534F">
              <w:t xml:space="preserve"> </w:t>
            </w:r>
            <w:r w:rsidR="00AC534F">
              <w:rPr>
                <w:color w:val="1C1C1C"/>
                <w:sz w:val="15"/>
                <w:szCs w:val="15"/>
              </w:rPr>
              <w:t xml:space="preserve">by a </w:t>
            </w:r>
            <w:proofErr w:type="spellStart"/>
            <w:r w:rsidR="00AC534F">
              <w:rPr>
                <w:color w:val="1C1C1C"/>
                <w:sz w:val="15"/>
                <w:szCs w:val="15"/>
              </w:rPr>
              <w:t>Cw</w:t>
            </w:r>
            <w:r w:rsidR="00AC534F" w:rsidRPr="004B534B">
              <w:rPr>
                <w:color w:val="1C1C1C"/>
                <w:sz w:val="15"/>
                <w:szCs w:val="15"/>
              </w:rPr>
              <w:t>th</w:t>
            </w:r>
            <w:proofErr w:type="spellEnd"/>
            <w:r w:rsidR="00AC534F" w:rsidRPr="004B534B">
              <w:rPr>
                <w:color w:val="1C1C1C"/>
                <w:sz w:val="15"/>
                <w:szCs w:val="15"/>
              </w:rPr>
              <w:t xml:space="preserve"> </w:t>
            </w:r>
            <w:r w:rsidR="00803303">
              <w:rPr>
                <w:color w:val="1C1C1C"/>
                <w:sz w:val="15"/>
                <w:szCs w:val="15"/>
              </w:rPr>
              <w:t>e</w:t>
            </w:r>
            <w:r w:rsidR="00AC534F" w:rsidRPr="004B534B">
              <w:rPr>
                <w:color w:val="1C1C1C"/>
                <w:sz w:val="15"/>
                <w:szCs w:val="15"/>
              </w:rPr>
              <w:t>ntity</w:t>
            </w:r>
          </w:p>
        </w:tc>
      </w:tr>
    </w:tbl>
    <w:p w14:paraId="41A4ECF1" w14:textId="77777777" w:rsidR="00334DD5" w:rsidRDefault="00334DD5" w:rsidP="002C779C">
      <w:pPr>
        <w:spacing w:after="120" w:line="240" w:lineRule="auto"/>
        <w:rPr>
          <w:b/>
          <w:bCs/>
          <w:color w:val="1C1C1C"/>
          <w:sz w:val="15"/>
          <w:szCs w:val="15"/>
        </w:rPr>
        <w:sectPr w:rsidR="00334DD5" w:rsidSect="00441579">
          <w:footerReference w:type="default" r:id="rId171"/>
          <w:pgSz w:w="9979" w:h="14175"/>
          <w:pgMar w:top="1134" w:right="1134" w:bottom="1134" w:left="1134" w:header="709" w:footer="709" w:gutter="0"/>
          <w:cols w:space="708"/>
          <w:docGrid w:linePitch="360"/>
        </w:sectPr>
      </w:pPr>
    </w:p>
    <w:tbl>
      <w:tblPr>
        <w:tblStyle w:val="IHPATable"/>
        <w:tblW w:w="7797" w:type="dxa"/>
        <w:tblLayout w:type="fixed"/>
        <w:tblLook w:val="0020" w:firstRow="1" w:lastRow="0" w:firstColumn="0" w:lastColumn="0" w:noHBand="0" w:noVBand="0"/>
      </w:tblPr>
      <w:tblGrid>
        <w:gridCol w:w="993"/>
        <w:gridCol w:w="4536"/>
        <w:gridCol w:w="1134"/>
        <w:gridCol w:w="1134"/>
      </w:tblGrid>
      <w:tr w:rsidR="00334DD5" w:rsidRPr="00BD0D93" w14:paraId="0DC74213" w14:textId="77777777" w:rsidTr="00F4601A">
        <w:trPr>
          <w:cnfStyle w:val="100000000000" w:firstRow="1" w:lastRow="0" w:firstColumn="0" w:lastColumn="0" w:oddVBand="0" w:evenVBand="0" w:oddHBand="0" w:evenHBand="0" w:firstRowFirstColumn="0" w:firstRowLastColumn="0" w:lastRowFirstColumn="0" w:lastRowLastColumn="0"/>
          <w:trHeight w:val="20"/>
        </w:trPr>
        <w:tc>
          <w:tcPr>
            <w:tcW w:w="993" w:type="dxa"/>
            <w:tcBorders>
              <w:right w:val="single" w:sz="4" w:space="0" w:color="D9D9D9" w:themeColor="background2" w:themeShade="D9"/>
            </w:tcBorders>
            <w:shd w:val="clear" w:color="auto" w:fill="C40B46" w:themeFill="accent6"/>
          </w:tcPr>
          <w:p w14:paraId="04F53FCE" w14:textId="677A398A" w:rsidR="00334DD5" w:rsidRPr="00BD0D93" w:rsidRDefault="00334DD5"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lastRenderedPageBreak/>
              <w:t xml:space="preserve">Member </w:t>
            </w:r>
            <w:r w:rsidR="004D1057">
              <w:rPr>
                <w:rFonts w:ascii="Futura PT Book" w:hAnsi="Futura PT Book" w:cs="Futura PT Book"/>
                <w:b/>
                <w:bCs/>
                <w:sz w:val="16"/>
                <w:szCs w:val="16"/>
                <w:lang w:val="en-US"/>
              </w:rPr>
              <w:t>n</w:t>
            </w:r>
            <w:r w:rsidRPr="00BD0D93">
              <w:rPr>
                <w:rFonts w:ascii="Futura PT Book" w:hAnsi="Futura PT Book" w:cs="Futura PT Book"/>
                <w:b/>
                <w:bCs/>
                <w:sz w:val="16"/>
                <w:szCs w:val="16"/>
                <w:lang w:val="en-US"/>
              </w:rPr>
              <w:t>ame</w:t>
            </w:r>
          </w:p>
        </w:tc>
        <w:tc>
          <w:tcPr>
            <w:tcW w:w="4536"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C40B46" w:themeFill="accent6"/>
          </w:tcPr>
          <w:p w14:paraId="4F9D67F9" w14:textId="77777777" w:rsidR="00334DD5" w:rsidRPr="00BD0D93" w:rsidRDefault="00334DD5"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Qualifications, knowledge, skills and experience</w:t>
            </w:r>
          </w:p>
        </w:tc>
        <w:tc>
          <w:tcPr>
            <w:tcW w:w="1134" w:type="dxa"/>
            <w:tcBorders>
              <w:left w:val="single" w:sz="4" w:space="0" w:color="D9D9D9" w:themeColor="background2" w:themeShade="D9"/>
              <w:bottom w:val="single" w:sz="4" w:space="0" w:color="D9D9D9" w:themeColor="background2" w:themeShade="D9"/>
              <w:right w:val="single" w:sz="4" w:space="0" w:color="D9D9D9" w:themeColor="background2" w:themeShade="D9"/>
            </w:tcBorders>
            <w:shd w:val="clear" w:color="auto" w:fill="C40B46" w:themeFill="accent6"/>
          </w:tcPr>
          <w:p w14:paraId="64AAA6C1" w14:textId="77777777" w:rsidR="00334DD5" w:rsidRPr="00BD0D93" w:rsidRDefault="00334DD5"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Number of meetings attended/</w:t>
            </w:r>
            <w:r w:rsidRPr="00BD0D93">
              <w:rPr>
                <w:rFonts w:ascii="Futura PT Book" w:hAnsi="Futura PT Book" w:cs="Futura PT Book"/>
                <w:b/>
                <w:bCs/>
                <w:sz w:val="16"/>
                <w:szCs w:val="16"/>
                <w:lang w:val="en-US"/>
              </w:rPr>
              <w:br/>
              <w:t>total number of meetings eligible</w:t>
            </w:r>
          </w:p>
        </w:tc>
        <w:tc>
          <w:tcPr>
            <w:tcW w:w="1134" w:type="dxa"/>
            <w:tcBorders>
              <w:left w:val="single" w:sz="4" w:space="0" w:color="D9D9D9" w:themeColor="background2" w:themeShade="D9"/>
            </w:tcBorders>
            <w:shd w:val="clear" w:color="auto" w:fill="C40B46" w:themeFill="accent6"/>
          </w:tcPr>
          <w:p w14:paraId="01CC1827" w14:textId="77777777" w:rsidR="00334DD5" w:rsidRPr="00BD0D93" w:rsidRDefault="00334DD5" w:rsidP="00316E60">
            <w:pPr>
              <w:spacing w:before="60" w:after="60"/>
              <w:rPr>
                <w:rFonts w:ascii="Futura PT Book" w:hAnsi="Futura PT Book" w:cs="Futura PT Book"/>
                <w:b/>
                <w:bCs/>
                <w:sz w:val="16"/>
                <w:szCs w:val="16"/>
                <w:lang w:val="en-US"/>
              </w:rPr>
            </w:pPr>
            <w:r w:rsidRPr="00BD0D93">
              <w:rPr>
                <w:rFonts w:ascii="Futura PT Book" w:hAnsi="Futura PT Book" w:cs="Futura PT Book"/>
                <w:b/>
                <w:bCs/>
                <w:sz w:val="16"/>
                <w:szCs w:val="16"/>
                <w:lang w:val="en-US"/>
              </w:rPr>
              <w:t>Total annual remuneration</w:t>
            </w:r>
          </w:p>
        </w:tc>
      </w:tr>
      <w:tr w:rsidR="002C779C" w:rsidRPr="00BD0D93" w14:paraId="2A58DBE9" w14:textId="77777777" w:rsidTr="00F4601A">
        <w:trPr>
          <w:cnfStyle w:val="000000100000" w:firstRow="0" w:lastRow="0" w:firstColumn="0" w:lastColumn="0" w:oddVBand="0" w:evenVBand="0" w:oddHBand="1" w:evenHBand="0" w:firstRowFirstColumn="0" w:firstRowLastColumn="0" w:lastRowFirstColumn="0" w:lastRowLastColumn="0"/>
          <w:trHeight w:val="1111"/>
        </w:trPr>
        <w:tc>
          <w:tcPr>
            <w:tcW w:w="993" w:type="dxa"/>
            <w:tcBorders>
              <w:right w:val="single" w:sz="4" w:space="0" w:color="D9D9D9" w:themeColor="background2" w:themeShade="D9"/>
            </w:tcBorders>
          </w:tcPr>
          <w:p w14:paraId="392F1D56" w14:textId="49BBB894" w:rsidR="002C779C" w:rsidRPr="00BD0D93" w:rsidRDefault="002C779C" w:rsidP="00316E60">
            <w:pPr>
              <w:spacing w:before="60" w:after="60"/>
              <w:rPr>
                <w:b/>
                <w:bCs/>
                <w:color w:val="1C1C1C"/>
                <w:sz w:val="15"/>
                <w:szCs w:val="15"/>
                <w:highlight w:val="yellow"/>
              </w:rPr>
            </w:pPr>
            <w:proofErr w:type="spellStart"/>
            <w:r w:rsidRPr="00BD0D93">
              <w:rPr>
                <w:b/>
                <w:bCs/>
                <w:color w:val="1C1C1C"/>
                <w:sz w:val="15"/>
                <w:szCs w:val="15"/>
              </w:rPr>
              <w:t>Mr</w:t>
            </w:r>
            <w:proofErr w:type="spellEnd"/>
            <w:r w:rsidRPr="00BD0D93">
              <w:rPr>
                <w:b/>
                <w:bCs/>
                <w:color w:val="1C1C1C"/>
                <w:sz w:val="15"/>
                <w:szCs w:val="15"/>
              </w:rPr>
              <w:t xml:space="preserve"> John </w:t>
            </w:r>
            <w:proofErr w:type="spellStart"/>
            <w:r w:rsidRPr="00BD0D93">
              <w:rPr>
                <w:b/>
                <w:bCs/>
                <w:color w:val="1C1C1C"/>
                <w:sz w:val="15"/>
                <w:szCs w:val="15"/>
              </w:rPr>
              <w:t>Lenarduzzi</w:t>
            </w:r>
            <w:proofErr w:type="spellEnd"/>
          </w:p>
        </w:tc>
        <w:tc>
          <w:tcPr>
            <w:tcW w:w="4536" w:type="dxa"/>
            <w:tcBorders>
              <w:left w:val="single" w:sz="4" w:space="0" w:color="D9D9D9" w:themeColor="background2" w:themeShade="D9"/>
              <w:right w:val="single" w:sz="4" w:space="0" w:color="D9D9D9" w:themeColor="background2" w:themeShade="D9"/>
            </w:tcBorders>
          </w:tcPr>
          <w:p w14:paraId="17CD9C87" w14:textId="4CEDC63D" w:rsidR="002C779C" w:rsidRPr="00BD0D93" w:rsidRDefault="00334B62" w:rsidP="00316E60">
            <w:pPr>
              <w:spacing w:before="60" w:after="60"/>
              <w:rPr>
                <w:color w:val="1C1C1C"/>
                <w:sz w:val="15"/>
                <w:szCs w:val="15"/>
              </w:rPr>
            </w:pPr>
            <w:proofErr w:type="spellStart"/>
            <w:r>
              <w:rPr>
                <w:color w:val="1C1C1C"/>
                <w:sz w:val="15"/>
                <w:szCs w:val="15"/>
              </w:rPr>
              <w:t>Mr</w:t>
            </w:r>
            <w:proofErr w:type="spellEnd"/>
            <w:r>
              <w:rPr>
                <w:color w:val="1C1C1C"/>
                <w:sz w:val="15"/>
                <w:szCs w:val="15"/>
              </w:rPr>
              <w:t xml:space="preserve"> </w:t>
            </w:r>
            <w:r w:rsidR="002C779C" w:rsidRPr="00BD0D93">
              <w:rPr>
                <w:color w:val="1C1C1C"/>
                <w:sz w:val="15"/>
                <w:szCs w:val="15"/>
              </w:rPr>
              <w:t>John</w:t>
            </w:r>
            <w:r>
              <w:rPr>
                <w:color w:val="1C1C1C"/>
                <w:sz w:val="15"/>
                <w:szCs w:val="15"/>
              </w:rPr>
              <w:t xml:space="preserve"> </w:t>
            </w:r>
            <w:proofErr w:type="spellStart"/>
            <w:r>
              <w:rPr>
                <w:color w:val="1C1C1C"/>
                <w:sz w:val="15"/>
                <w:szCs w:val="15"/>
              </w:rPr>
              <w:t>Lenarduzzi</w:t>
            </w:r>
            <w:proofErr w:type="spellEnd"/>
            <w:r w:rsidR="002C779C" w:rsidRPr="00BD0D93">
              <w:rPr>
                <w:color w:val="1C1C1C"/>
                <w:sz w:val="15"/>
                <w:szCs w:val="15"/>
              </w:rPr>
              <w:t xml:space="preserve"> has over 20 years’ experience working in technology and security environments and spent seven years as a </w:t>
            </w:r>
            <w:r w:rsidR="00BF1754">
              <w:rPr>
                <w:color w:val="1C1C1C"/>
                <w:sz w:val="15"/>
                <w:szCs w:val="15"/>
              </w:rPr>
              <w:t>s</w:t>
            </w:r>
            <w:r w:rsidR="002C779C" w:rsidRPr="00BD0D93">
              <w:rPr>
                <w:color w:val="1C1C1C"/>
                <w:sz w:val="15"/>
                <w:szCs w:val="15"/>
              </w:rPr>
              <w:t xml:space="preserve">enior </w:t>
            </w:r>
            <w:r w:rsidR="00BF1754">
              <w:rPr>
                <w:color w:val="1C1C1C"/>
                <w:sz w:val="15"/>
                <w:szCs w:val="15"/>
              </w:rPr>
              <w:t>e</w:t>
            </w:r>
            <w:r w:rsidR="002C779C" w:rsidRPr="00BD0D93">
              <w:rPr>
                <w:color w:val="1C1C1C"/>
                <w:sz w:val="15"/>
                <w:szCs w:val="15"/>
              </w:rPr>
              <w:t>xecutive in Australia’s National Intelligence Community.</w:t>
            </w:r>
            <w:r w:rsidR="00027408">
              <w:rPr>
                <w:color w:val="1C1C1C"/>
                <w:sz w:val="15"/>
                <w:szCs w:val="15"/>
              </w:rPr>
              <w:t xml:space="preserve"> </w:t>
            </w:r>
            <w:r w:rsidR="002C779C" w:rsidRPr="00BD0D93">
              <w:rPr>
                <w:color w:val="1C1C1C"/>
                <w:sz w:val="15"/>
                <w:szCs w:val="15"/>
              </w:rPr>
              <w:t>Having started his career as</w:t>
            </w:r>
            <w:r>
              <w:rPr>
                <w:color w:val="1C1C1C"/>
                <w:sz w:val="15"/>
                <w:szCs w:val="15"/>
              </w:rPr>
              <w:t> </w:t>
            </w:r>
            <w:r w:rsidR="002C779C" w:rsidRPr="00BD0D93">
              <w:rPr>
                <w:color w:val="1C1C1C"/>
                <w:sz w:val="15"/>
                <w:szCs w:val="15"/>
              </w:rPr>
              <w:t>an electronic engineer in Adelaide, he moved to Canberra in 2001 where</w:t>
            </w:r>
            <w:r>
              <w:rPr>
                <w:color w:val="1C1C1C"/>
                <w:sz w:val="15"/>
                <w:szCs w:val="15"/>
              </w:rPr>
              <w:t> </w:t>
            </w:r>
            <w:r w:rsidR="002C779C" w:rsidRPr="00BD0D93">
              <w:rPr>
                <w:color w:val="1C1C1C"/>
                <w:sz w:val="15"/>
                <w:szCs w:val="15"/>
              </w:rPr>
              <w:t xml:space="preserve">he worked in a range of roles to deliver transformational change nationally and internationally through strategic planning, </w:t>
            </w:r>
            <w:proofErr w:type="spellStart"/>
            <w:r w:rsidR="002C779C" w:rsidRPr="00BD0D93">
              <w:rPr>
                <w:color w:val="1C1C1C"/>
                <w:sz w:val="15"/>
                <w:szCs w:val="15"/>
              </w:rPr>
              <w:t>organisational</w:t>
            </w:r>
            <w:proofErr w:type="spellEnd"/>
            <w:r w:rsidR="002C779C" w:rsidRPr="00BD0D93">
              <w:rPr>
                <w:color w:val="1C1C1C"/>
                <w:sz w:val="15"/>
                <w:szCs w:val="15"/>
              </w:rPr>
              <w:t xml:space="preserve"> change, capability development and operations. John took a role in the private sector in 2020 and is currently the Director of Managed Security Operations (Global and Commercial) at </w:t>
            </w:r>
            <w:proofErr w:type="spellStart"/>
            <w:r w:rsidR="002C779C" w:rsidRPr="00BD0D93">
              <w:rPr>
                <w:color w:val="1C1C1C"/>
                <w:sz w:val="15"/>
                <w:szCs w:val="15"/>
              </w:rPr>
              <w:t>CyberCX</w:t>
            </w:r>
            <w:proofErr w:type="spellEnd"/>
            <w:r w:rsidR="002C779C" w:rsidRPr="00BD0D93">
              <w:rPr>
                <w:color w:val="1C1C1C"/>
                <w:sz w:val="15"/>
                <w:szCs w:val="15"/>
              </w:rPr>
              <w:t xml:space="preserve"> with leadership responsibilities across Australia, New Zealand, the U</w:t>
            </w:r>
            <w:r w:rsidR="004B0AEC">
              <w:rPr>
                <w:color w:val="1C1C1C"/>
                <w:sz w:val="15"/>
                <w:szCs w:val="15"/>
              </w:rPr>
              <w:t xml:space="preserve">nited </w:t>
            </w:r>
            <w:r w:rsidR="002C779C" w:rsidRPr="00BD0D93">
              <w:rPr>
                <w:color w:val="1C1C1C"/>
                <w:sz w:val="15"/>
                <w:szCs w:val="15"/>
              </w:rPr>
              <w:t>K</w:t>
            </w:r>
            <w:r w:rsidR="004B0AEC">
              <w:rPr>
                <w:color w:val="1C1C1C"/>
                <w:sz w:val="15"/>
                <w:szCs w:val="15"/>
              </w:rPr>
              <w:t>ingdom</w:t>
            </w:r>
            <w:r w:rsidR="002C779C" w:rsidRPr="00BD0D93">
              <w:rPr>
                <w:color w:val="1C1C1C"/>
                <w:sz w:val="15"/>
                <w:szCs w:val="15"/>
              </w:rPr>
              <w:t xml:space="preserve"> and</w:t>
            </w:r>
            <w:r>
              <w:rPr>
                <w:color w:val="1C1C1C"/>
                <w:sz w:val="15"/>
                <w:szCs w:val="15"/>
              </w:rPr>
              <w:t> </w:t>
            </w:r>
            <w:r w:rsidR="002C779C" w:rsidRPr="00BD0D93">
              <w:rPr>
                <w:color w:val="1C1C1C"/>
                <w:sz w:val="15"/>
                <w:szCs w:val="15"/>
              </w:rPr>
              <w:t>the U</w:t>
            </w:r>
            <w:r w:rsidR="004B0AEC">
              <w:rPr>
                <w:color w:val="1C1C1C"/>
                <w:sz w:val="15"/>
                <w:szCs w:val="15"/>
              </w:rPr>
              <w:t xml:space="preserve">nited </w:t>
            </w:r>
            <w:r w:rsidR="002C779C" w:rsidRPr="00BD0D93">
              <w:rPr>
                <w:color w:val="1C1C1C"/>
                <w:sz w:val="15"/>
                <w:szCs w:val="15"/>
              </w:rPr>
              <w:t>S</w:t>
            </w:r>
            <w:r w:rsidR="004B0AEC">
              <w:rPr>
                <w:color w:val="1C1C1C"/>
                <w:sz w:val="15"/>
                <w:szCs w:val="15"/>
              </w:rPr>
              <w:t>tates</w:t>
            </w:r>
            <w:r w:rsidR="002C779C" w:rsidRPr="00BD0D93">
              <w:rPr>
                <w:color w:val="1C1C1C"/>
                <w:sz w:val="15"/>
                <w:szCs w:val="15"/>
              </w:rPr>
              <w:t xml:space="preserve">. </w:t>
            </w:r>
          </w:p>
          <w:p w14:paraId="5F853DEA" w14:textId="55DCA305" w:rsidR="002C779C" w:rsidRPr="00BD0D93" w:rsidRDefault="002C779C" w:rsidP="00316E60">
            <w:pPr>
              <w:spacing w:before="60" w:after="60"/>
              <w:rPr>
                <w:color w:val="1C1C1C"/>
                <w:sz w:val="15"/>
                <w:szCs w:val="15"/>
              </w:rPr>
            </w:pPr>
            <w:r w:rsidRPr="00BD0D93">
              <w:rPr>
                <w:color w:val="1C1C1C"/>
                <w:sz w:val="15"/>
                <w:szCs w:val="15"/>
              </w:rPr>
              <w:t>John has a Bachelor of Electrical and Electronic Engineering (Flinders</w:t>
            </w:r>
            <w:r w:rsidR="00D6469C">
              <w:rPr>
                <w:color w:val="1C1C1C"/>
                <w:sz w:val="15"/>
                <w:szCs w:val="15"/>
              </w:rPr>
              <w:t> </w:t>
            </w:r>
            <w:r w:rsidRPr="00BD0D93">
              <w:rPr>
                <w:color w:val="1C1C1C"/>
                <w:sz w:val="15"/>
                <w:szCs w:val="15"/>
              </w:rPr>
              <w:t xml:space="preserve">University) and a Masters </w:t>
            </w:r>
            <w:r>
              <w:rPr>
                <w:color w:val="1C1C1C"/>
                <w:sz w:val="15"/>
                <w:szCs w:val="15"/>
              </w:rPr>
              <w:t>of</w:t>
            </w:r>
            <w:r w:rsidRPr="00BD0D93">
              <w:rPr>
                <w:color w:val="1C1C1C"/>
                <w:sz w:val="15"/>
                <w:szCs w:val="15"/>
              </w:rPr>
              <w:t xml:space="preserve"> Business Administration (Deakin). He</w:t>
            </w:r>
            <w:r w:rsidR="00D6469C">
              <w:rPr>
                <w:color w:val="1C1C1C"/>
                <w:sz w:val="15"/>
                <w:szCs w:val="15"/>
              </w:rPr>
              <w:t> </w:t>
            </w:r>
            <w:r w:rsidRPr="00BD0D93">
              <w:rPr>
                <w:color w:val="1C1C1C"/>
                <w:sz w:val="15"/>
                <w:szCs w:val="15"/>
              </w:rPr>
              <w:t>completed the Senior Executives in National Security Program at Harvard Kennedy School in 2017 and sits as an independent member on</w:t>
            </w:r>
            <w:r w:rsidR="00D6469C">
              <w:rPr>
                <w:color w:val="1C1C1C"/>
                <w:sz w:val="15"/>
                <w:szCs w:val="15"/>
              </w:rPr>
              <w:t> </w:t>
            </w:r>
            <w:r w:rsidRPr="00BD0D93">
              <w:rPr>
                <w:color w:val="1C1C1C"/>
                <w:sz w:val="15"/>
                <w:szCs w:val="15"/>
              </w:rPr>
              <w:t>two audit and risk committee boards</w:t>
            </w:r>
            <w:r w:rsidR="00027408">
              <w:rPr>
                <w:color w:val="1C1C1C"/>
                <w:sz w:val="15"/>
                <w:szCs w:val="15"/>
              </w:rPr>
              <w:t>.</w:t>
            </w:r>
          </w:p>
        </w:tc>
        <w:tc>
          <w:tcPr>
            <w:tcW w:w="1134" w:type="dxa"/>
            <w:tcBorders>
              <w:left w:val="single" w:sz="4" w:space="0" w:color="D9D9D9" w:themeColor="background2" w:themeShade="D9"/>
              <w:right w:val="single" w:sz="4" w:space="0" w:color="D9D9D9" w:themeColor="background2" w:themeShade="D9"/>
            </w:tcBorders>
          </w:tcPr>
          <w:p w14:paraId="15A51366" w14:textId="029A199E" w:rsidR="002C779C" w:rsidRPr="00BD0D93" w:rsidRDefault="002C779C" w:rsidP="00316E60">
            <w:pPr>
              <w:spacing w:before="60" w:after="60"/>
              <w:rPr>
                <w:color w:val="1C1C1C"/>
                <w:sz w:val="15"/>
                <w:szCs w:val="15"/>
              </w:rPr>
            </w:pPr>
            <w:r w:rsidRPr="00BD0D93">
              <w:rPr>
                <w:color w:val="1C1C1C"/>
                <w:sz w:val="15"/>
                <w:szCs w:val="15"/>
              </w:rPr>
              <w:t>3/3</w:t>
            </w:r>
          </w:p>
        </w:tc>
        <w:tc>
          <w:tcPr>
            <w:tcW w:w="1134" w:type="dxa"/>
            <w:tcBorders>
              <w:left w:val="single" w:sz="4" w:space="0" w:color="D9D9D9" w:themeColor="background2" w:themeShade="D9"/>
            </w:tcBorders>
          </w:tcPr>
          <w:p w14:paraId="78E5FE47" w14:textId="51ADDFDA" w:rsidR="002C779C" w:rsidRPr="00BD0D93" w:rsidRDefault="002C779C" w:rsidP="00316E60">
            <w:pPr>
              <w:spacing w:before="60" w:after="60"/>
              <w:rPr>
                <w:color w:val="1C1C1C"/>
                <w:sz w:val="15"/>
                <w:szCs w:val="15"/>
                <w:highlight w:val="yellow"/>
              </w:rPr>
            </w:pPr>
            <w:r w:rsidRPr="00BD0D93">
              <w:rPr>
                <w:color w:val="1C1C1C"/>
                <w:sz w:val="15"/>
                <w:szCs w:val="15"/>
              </w:rPr>
              <w:t>$6,570</w:t>
            </w:r>
          </w:p>
        </w:tc>
      </w:tr>
      <w:tr w:rsidR="002C779C" w:rsidRPr="00BD0D93" w14:paraId="37453804" w14:textId="77777777" w:rsidTr="00F4601A">
        <w:trPr>
          <w:cnfStyle w:val="000000010000" w:firstRow="0" w:lastRow="0" w:firstColumn="0" w:lastColumn="0" w:oddVBand="0" w:evenVBand="0" w:oddHBand="0" w:evenHBand="1" w:firstRowFirstColumn="0" w:firstRowLastColumn="0" w:lastRowFirstColumn="0" w:lastRowLastColumn="0"/>
          <w:trHeight w:val="821"/>
        </w:trPr>
        <w:tc>
          <w:tcPr>
            <w:tcW w:w="993" w:type="dxa"/>
            <w:tcBorders>
              <w:bottom w:val="single" w:sz="4" w:space="0" w:color="D9D9D9" w:themeColor="background2" w:themeShade="D9"/>
              <w:right w:val="single" w:sz="4" w:space="0" w:color="D9D9D9" w:themeColor="background2" w:themeShade="D9"/>
            </w:tcBorders>
          </w:tcPr>
          <w:p w14:paraId="2DF945B3" w14:textId="206AA5AE" w:rsidR="002C779C" w:rsidRPr="00BD0D93" w:rsidRDefault="002C779C" w:rsidP="00316E60">
            <w:pPr>
              <w:spacing w:before="60" w:after="60"/>
              <w:rPr>
                <w:b/>
                <w:bCs/>
                <w:color w:val="1C1C1C"/>
                <w:sz w:val="15"/>
                <w:szCs w:val="15"/>
              </w:rPr>
            </w:pPr>
            <w:proofErr w:type="spellStart"/>
            <w:r w:rsidRPr="00BD0D93">
              <w:rPr>
                <w:b/>
                <w:bCs/>
                <w:color w:val="1C1C1C"/>
                <w:sz w:val="15"/>
                <w:szCs w:val="15"/>
              </w:rPr>
              <w:t>Ms</w:t>
            </w:r>
            <w:proofErr w:type="spellEnd"/>
            <w:r w:rsidRPr="00BD0D93">
              <w:rPr>
                <w:b/>
                <w:bCs/>
                <w:color w:val="1C1C1C"/>
                <w:sz w:val="15"/>
                <w:szCs w:val="15"/>
              </w:rPr>
              <w:t xml:space="preserve"> Joanna Stone</w:t>
            </w:r>
          </w:p>
        </w:tc>
        <w:tc>
          <w:tcPr>
            <w:tcW w:w="4536"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74218959" w14:textId="047B8D85" w:rsidR="002C779C" w:rsidRPr="00BD0D93" w:rsidRDefault="00C022DE" w:rsidP="00316E60">
            <w:pPr>
              <w:spacing w:before="60" w:after="60"/>
              <w:rPr>
                <w:color w:val="1C1C1C"/>
                <w:sz w:val="15"/>
                <w:szCs w:val="15"/>
              </w:rPr>
            </w:pPr>
            <w:proofErr w:type="spellStart"/>
            <w:r>
              <w:rPr>
                <w:color w:val="1C1C1C"/>
                <w:sz w:val="15"/>
                <w:szCs w:val="15"/>
              </w:rPr>
              <w:t>Ms</w:t>
            </w:r>
            <w:proofErr w:type="spellEnd"/>
            <w:r>
              <w:rPr>
                <w:color w:val="1C1C1C"/>
                <w:sz w:val="15"/>
                <w:szCs w:val="15"/>
              </w:rPr>
              <w:t xml:space="preserve"> </w:t>
            </w:r>
            <w:r w:rsidR="002C779C" w:rsidRPr="00BD0D93">
              <w:rPr>
                <w:color w:val="1C1C1C"/>
                <w:sz w:val="15"/>
                <w:szCs w:val="15"/>
              </w:rPr>
              <w:t xml:space="preserve">Joanna Stone has substantial public and private sector management experience and extensive experience across several audit committees as Chair and as a </w:t>
            </w:r>
            <w:r w:rsidR="00904E79">
              <w:rPr>
                <w:color w:val="1C1C1C"/>
                <w:sz w:val="15"/>
                <w:szCs w:val="15"/>
              </w:rPr>
              <w:t>m</w:t>
            </w:r>
            <w:r w:rsidR="002C779C" w:rsidRPr="00BD0D93">
              <w:rPr>
                <w:color w:val="1C1C1C"/>
                <w:sz w:val="15"/>
                <w:szCs w:val="15"/>
              </w:rPr>
              <w:t>ember. Joann</w:t>
            </w:r>
            <w:r w:rsidR="00135599">
              <w:rPr>
                <w:color w:val="1C1C1C"/>
                <w:sz w:val="15"/>
                <w:szCs w:val="15"/>
              </w:rPr>
              <w:t>a</w:t>
            </w:r>
            <w:r w:rsidR="002C779C" w:rsidRPr="00BD0D93">
              <w:rPr>
                <w:color w:val="1C1C1C"/>
                <w:sz w:val="15"/>
                <w:szCs w:val="15"/>
              </w:rPr>
              <w:t xml:space="preserve"> holds formal qualifications in finance. </w:t>
            </w:r>
          </w:p>
        </w:tc>
        <w:tc>
          <w:tcPr>
            <w:tcW w:w="1134" w:type="dxa"/>
            <w:tcBorders>
              <w:left w:val="single" w:sz="4" w:space="0" w:color="D9D9D9" w:themeColor="background2" w:themeShade="D9"/>
              <w:bottom w:val="single" w:sz="4" w:space="0" w:color="D9D9D9" w:themeColor="background2" w:themeShade="D9"/>
              <w:right w:val="single" w:sz="4" w:space="0" w:color="D9D9D9" w:themeColor="background2" w:themeShade="D9"/>
            </w:tcBorders>
          </w:tcPr>
          <w:p w14:paraId="459F17B7" w14:textId="3F4AFA97" w:rsidR="002C779C" w:rsidRPr="00BD0D93" w:rsidRDefault="002C779C" w:rsidP="00316E60">
            <w:pPr>
              <w:spacing w:before="60" w:after="60"/>
              <w:rPr>
                <w:color w:val="1C1C1C"/>
                <w:sz w:val="15"/>
                <w:szCs w:val="15"/>
              </w:rPr>
            </w:pPr>
            <w:r w:rsidRPr="00BD0D93">
              <w:rPr>
                <w:color w:val="1C1C1C"/>
                <w:sz w:val="15"/>
                <w:szCs w:val="15"/>
              </w:rPr>
              <w:t>1/1</w:t>
            </w:r>
          </w:p>
        </w:tc>
        <w:tc>
          <w:tcPr>
            <w:tcW w:w="1134" w:type="dxa"/>
            <w:tcBorders>
              <w:left w:val="single" w:sz="4" w:space="0" w:color="D9D9D9" w:themeColor="background2" w:themeShade="D9"/>
              <w:bottom w:val="single" w:sz="4" w:space="0" w:color="D9D9D9" w:themeColor="background2" w:themeShade="D9"/>
            </w:tcBorders>
          </w:tcPr>
          <w:p w14:paraId="035D8F0B" w14:textId="138C30F8" w:rsidR="002C779C" w:rsidRPr="00BD0D93" w:rsidRDefault="002C779C" w:rsidP="00316E60">
            <w:pPr>
              <w:spacing w:before="60" w:after="60"/>
              <w:rPr>
                <w:color w:val="1C1C1C"/>
                <w:sz w:val="15"/>
                <w:szCs w:val="15"/>
              </w:rPr>
            </w:pPr>
            <w:r w:rsidRPr="00BD0D93">
              <w:rPr>
                <w:color w:val="1C1C1C"/>
                <w:sz w:val="15"/>
                <w:szCs w:val="15"/>
              </w:rPr>
              <w:t>Nil</w:t>
            </w:r>
            <w:r w:rsidR="00135599">
              <w:rPr>
                <w:color w:val="1C1C1C"/>
                <w:sz w:val="15"/>
                <w:szCs w:val="15"/>
              </w:rPr>
              <w:t xml:space="preserve"> </w:t>
            </w:r>
            <w:r w:rsidR="00AC534F">
              <w:rPr>
                <w:color w:val="1C1C1C"/>
                <w:sz w:val="15"/>
                <w:szCs w:val="15"/>
              </w:rPr>
              <w:t>–</w:t>
            </w:r>
            <w:r w:rsidR="00803303">
              <w:rPr>
                <w:color w:val="1C1C1C"/>
                <w:sz w:val="15"/>
                <w:szCs w:val="15"/>
              </w:rPr>
              <w:t>e</w:t>
            </w:r>
            <w:r w:rsidR="00AC534F">
              <w:rPr>
                <w:color w:val="1C1C1C"/>
                <w:sz w:val="15"/>
                <w:szCs w:val="15"/>
              </w:rPr>
              <w:t>mployed</w:t>
            </w:r>
            <w:r w:rsidR="00AC534F">
              <w:t xml:space="preserve"> </w:t>
            </w:r>
            <w:r w:rsidR="00AC534F">
              <w:rPr>
                <w:color w:val="1C1C1C"/>
                <w:sz w:val="15"/>
                <w:szCs w:val="15"/>
              </w:rPr>
              <w:t xml:space="preserve">by a </w:t>
            </w:r>
            <w:proofErr w:type="spellStart"/>
            <w:r w:rsidR="00AC534F">
              <w:rPr>
                <w:color w:val="1C1C1C"/>
                <w:sz w:val="15"/>
                <w:szCs w:val="15"/>
              </w:rPr>
              <w:t>Cw</w:t>
            </w:r>
            <w:r w:rsidR="00AC534F" w:rsidRPr="004B534B">
              <w:rPr>
                <w:color w:val="1C1C1C"/>
                <w:sz w:val="15"/>
                <w:szCs w:val="15"/>
              </w:rPr>
              <w:t>th</w:t>
            </w:r>
            <w:proofErr w:type="spellEnd"/>
            <w:r w:rsidR="00AC534F" w:rsidRPr="004B534B">
              <w:rPr>
                <w:color w:val="1C1C1C"/>
                <w:sz w:val="15"/>
                <w:szCs w:val="15"/>
              </w:rPr>
              <w:t xml:space="preserve"> </w:t>
            </w:r>
            <w:r w:rsidR="00803303">
              <w:rPr>
                <w:color w:val="1C1C1C"/>
                <w:sz w:val="15"/>
                <w:szCs w:val="15"/>
              </w:rPr>
              <w:t>e</w:t>
            </w:r>
            <w:r w:rsidR="00AC534F" w:rsidRPr="004B534B">
              <w:rPr>
                <w:color w:val="1C1C1C"/>
                <w:sz w:val="15"/>
                <w:szCs w:val="15"/>
              </w:rPr>
              <w:t>ntity</w:t>
            </w:r>
          </w:p>
        </w:tc>
      </w:tr>
    </w:tbl>
    <w:p w14:paraId="07386F19" w14:textId="77777777" w:rsidR="00F84AEA" w:rsidRDefault="00F84AEA" w:rsidP="00705609">
      <w:pPr>
        <w:pStyle w:val="Body"/>
      </w:pPr>
    </w:p>
    <w:p w14:paraId="1A0CB068" w14:textId="77777777" w:rsidR="00F84AEA" w:rsidRDefault="00F84AEA" w:rsidP="00705609">
      <w:pPr>
        <w:pStyle w:val="Body"/>
        <w:sectPr w:rsidR="00F84AEA" w:rsidSect="00441579">
          <w:footerReference w:type="default" r:id="rId172"/>
          <w:pgSz w:w="9979" w:h="14175"/>
          <w:pgMar w:top="1134" w:right="1134" w:bottom="1134" w:left="1134" w:header="709" w:footer="709" w:gutter="0"/>
          <w:cols w:space="708"/>
          <w:docGrid w:linePitch="360"/>
        </w:sectPr>
      </w:pPr>
    </w:p>
    <w:p w14:paraId="31A9D50A" w14:textId="77777777" w:rsidR="00F84AEA" w:rsidRPr="00153DC1" w:rsidRDefault="00F84AEA" w:rsidP="00153DC1">
      <w:pPr>
        <w:pStyle w:val="H3"/>
        <w:rPr>
          <w:color w:val="C40B46" w:themeColor="accent6"/>
        </w:rPr>
      </w:pPr>
      <w:r w:rsidRPr="00153DC1">
        <w:rPr>
          <w:color w:val="C40B46" w:themeColor="accent6"/>
        </w:rPr>
        <w:t>Fraud control plan</w:t>
      </w:r>
    </w:p>
    <w:p w14:paraId="72F7A776" w14:textId="6DD41DE8" w:rsidR="002C779C" w:rsidRPr="00BD0D93" w:rsidRDefault="002C779C" w:rsidP="002C779C">
      <w:pPr>
        <w:pStyle w:val="Body"/>
      </w:pPr>
      <w:r w:rsidRPr="00BD0D93">
        <w:t xml:space="preserve">IHPA’s fraud control plan is </w:t>
      </w:r>
      <w:proofErr w:type="spellStart"/>
      <w:r w:rsidRPr="00BD0D93">
        <w:t>recognised</w:t>
      </w:r>
      <w:proofErr w:type="spellEnd"/>
      <w:r w:rsidRPr="00BD0D93">
        <w:t xml:space="preserve"> as a critical internal tool used to mitigate the act and consequences of </w:t>
      </w:r>
      <w:proofErr w:type="spellStart"/>
      <w:r w:rsidRPr="00BD0D93">
        <w:t>authorised</w:t>
      </w:r>
      <w:proofErr w:type="spellEnd"/>
      <w:r w:rsidRPr="00BD0D93">
        <w:t xml:space="preserve"> use of IHPA data and</w:t>
      </w:r>
      <w:r>
        <w:t> </w:t>
      </w:r>
      <w:r w:rsidRPr="00BD0D93">
        <w:t>financial resources</w:t>
      </w:r>
      <w:r>
        <w:t>.</w:t>
      </w:r>
      <w:r w:rsidRPr="00BD0D93">
        <w:t xml:space="preserve"> The plan encourages ethical </w:t>
      </w:r>
      <w:proofErr w:type="spellStart"/>
      <w:r w:rsidRPr="00BD0D93">
        <w:t>behaviour</w:t>
      </w:r>
      <w:proofErr w:type="spellEnd"/>
      <w:r w:rsidRPr="00BD0D93">
        <w:t xml:space="preserve"> through </w:t>
      </w:r>
      <w:r w:rsidR="00BF1754">
        <w:t xml:space="preserve">the </w:t>
      </w:r>
      <w:r w:rsidRPr="00BD0D93">
        <w:t>use of business processes designed to prevent deceptive activities, supported by monitoring controls to detect fraud and deter offending </w:t>
      </w:r>
      <w:proofErr w:type="spellStart"/>
      <w:r w:rsidRPr="00BD0D93">
        <w:t>behaviour</w:t>
      </w:r>
      <w:proofErr w:type="spellEnd"/>
      <w:r w:rsidRPr="00BD0D93">
        <w:t xml:space="preserve"> and is reviewed annually or</w:t>
      </w:r>
      <w:r>
        <w:t> </w:t>
      </w:r>
      <w:r w:rsidRPr="00BD0D93">
        <w:t>as required.</w:t>
      </w:r>
    </w:p>
    <w:p w14:paraId="31E63D78" w14:textId="77777777" w:rsidR="002C779C" w:rsidRPr="00153DC1" w:rsidRDefault="00F84AEA" w:rsidP="002C779C">
      <w:pPr>
        <w:pStyle w:val="H3"/>
        <w:rPr>
          <w:color w:val="C40B46" w:themeColor="accent6"/>
        </w:rPr>
      </w:pPr>
      <w:r w:rsidRPr="00BD0D93">
        <w:br w:type="column"/>
      </w:r>
      <w:r w:rsidR="002C779C" w:rsidRPr="00153DC1">
        <w:rPr>
          <w:color w:val="C40B46" w:themeColor="accent6"/>
        </w:rPr>
        <w:t>Inter-agency financial activity</w:t>
      </w:r>
    </w:p>
    <w:p w14:paraId="68D0E6C1" w14:textId="77777777" w:rsidR="002C779C" w:rsidRPr="00BD0D93" w:rsidRDefault="002C779C" w:rsidP="002C779C">
      <w:pPr>
        <w:pStyle w:val="Body"/>
      </w:pPr>
      <w:r w:rsidRPr="00BD0D93">
        <w:t>During the 2020–21 financial year, IHPA received shared services resourcing from the</w:t>
      </w:r>
      <w:r>
        <w:t> </w:t>
      </w:r>
      <w:r w:rsidRPr="00BD0D93">
        <w:t>Department of Health.</w:t>
      </w:r>
    </w:p>
    <w:p w14:paraId="313162DD" w14:textId="3338DE41" w:rsidR="002C779C" w:rsidRPr="00BD0D93" w:rsidRDefault="002C779C" w:rsidP="002C779C">
      <w:pPr>
        <w:pStyle w:val="Body"/>
      </w:pPr>
      <w:r w:rsidRPr="00BD0D93">
        <w:t>The Department of Health charged IHPA $351,000 to provide these services covering treasury, processing of financial transactions, information and</w:t>
      </w:r>
      <w:r>
        <w:t> communication desktop services</w:t>
      </w:r>
      <w:r w:rsidRPr="00BD0D93">
        <w:t xml:space="preserve"> and parliamentary support.</w:t>
      </w:r>
    </w:p>
    <w:p w14:paraId="4EAA8F93" w14:textId="77777777" w:rsidR="002C779C" w:rsidRPr="00153DC1" w:rsidRDefault="002C779C" w:rsidP="002C779C">
      <w:pPr>
        <w:pStyle w:val="H3"/>
        <w:rPr>
          <w:color w:val="C40B46" w:themeColor="accent6"/>
        </w:rPr>
      </w:pPr>
      <w:r w:rsidRPr="00153DC1">
        <w:rPr>
          <w:color w:val="C40B46" w:themeColor="accent6"/>
        </w:rPr>
        <w:t>Ecologically sustainable development and environmental performance</w:t>
      </w:r>
    </w:p>
    <w:p w14:paraId="2062E24A" w14:textId="27B34399" w:rsidR="00F84AEA" w:rsidRPr="00BD0D93" w:rsidRDefault="002C779C" w:rsidP="002C779C">
      <w:pPr>
        <w:pStyle w:val="Body"/>
      </w:pPr>
      <w:r w:rsidRPr="00BD0D93">
        <w:t>IHPA does not undertake any substantive work that is covered by s</w:t>
      </w:r>
      <w:r w:rsidR="0088339B">
        <w:t>ection</w:t>
      </w:r>
      <w:r w:rsidRPr="00BD0D93">
        <w:t xml:space="preserve"> 516A of the </w:t>
      </w:r>
      <w:r w:rsidRPr="00BD0D93">
        <w:rPr>
          <w:i/>
          <w:iCs/>
        </w:rPr>
        <w:t>Environment Protection Act 1999</w:t>
      </w:r>
      <w:r w:rsidRPr="00BD0D93">
        <w:t>.</w:t>
      </w:r>
    </w:p>
    <w:p w14:paraId="4575E5E5" w14:textId="77777777" w:rsidR="00BD0D93" w:rsidRDefault="00BD0D93" w:rsidP="00705609">
      <w:pPr>
        <w:pStyle w:val="Body"/>
        <w:sectPr w:rsidR="00BD0D93" w:rsidSect="00F84AEA">
          <w:type w:val="continuous"/>
          <w:pgSz w:w="9979" w:h="14175"/>
          <w:pgMar w:top="1418" w:right="1134" w:bottom="1134" w:left="1134" w:header="709" w:footer="709" w:gutter="0"/>
          <w:cols w:num="2" w:space="708"/>
          <w:docGrid w:linePitch="360"/>
        </w:sectPr>
      </w:pPr>
    </w:p>
    <w:p w14:paraId="07389167" w14:textId="77777777" w:rsidR="00F84AEA" w:rsidRPr="00153DC1" w:rsidRDefault="00F84AEA" w:rsidP="00F60018">
      <w:pPr>
        <w:pStyle w:val="Heading1"/>
        <w:rPr>
          <w:color w:val="C40B46" w:themeColor="accent6"/>
        </w:rPr>
      </w:pPr>
      <w:bookmarkStart w:id="130" w:name="_Management_of_human"/>
      <w:bookmarkStart w:id="131" w:name="_Toc44350188"/>
      <w:bookmarkStart w:id="132" w:name="_Toc50378084"/>
      <w:bookmarkStart w:id="133" w:name="_Toc84488754"/>
      <w:bookmarkEnd w:id="130"/>
      <w:r w:rsidRPr="00153DC1">
        <w:rPr>
          <w:color w:val="C40B46" w:themeColor="accent6"/>
        </w:rPr>
        <w:lastRenderedPageBreak/>
        <w:t>Management of human resources</w:t>
      </w:r>
      <w:bookmarkEnd w:id="131"/>
      <w:bookmarkEnd w:id="132"/>
      <w:bookmarkEnd w:id="133"/>
    </w:p>
    <w:p w14:paraId="33364CF4" w14:textId="77777777" w:rsidR="00F84AEA" w:rsidRDefault="00F84AEA" w:rsidP="00705609">
      <w:pPr>
        <w:pStyle w:val="Body"/>
        <w:sectPr w:rsidR="00F84AEA" w:rsidSect="00441579">
          <w:footerReference w:type="default" r:id="rId173"/>
          <w:pgSz w:w="9979" w:h="14175"/>
          <w:pgMar w:top="1134" w:right="1134" w:bottom="1134" w:left="1134" w:header="709" w:footer="709" w:gutter="0"/>
          <w:cols w:space="708"/>
          <w:docGrid w:linePitch="360"/>
        </w:sectPr>
      </w:pPr>
    </w:p>
    <w:p w14:paraId="510283CD" w14:textId="23351236" w:rsidR="002C779C" w:rsidRPr="00153DC1" w:rsidRDefault="002C779C" w:rsidP="002C779C">
      <w:pPr>
        <w:pStyle w:val="Body"/>
        <w:rPr>
          <w:b/>
          <w:bCs/>
        </w:rPr>
      </w:pPr>
      <w:r w:rsidRPr="00153DC1">
        <w:rPr>
          <w:b/>
          <w:bCs/>
        </w:rPr>
        <w:t>The Chief Executive Officer is the Independent Hospital Pricing Authority’s (IHPA) only employee and is based in Sydney</w:t>
      </w:r>
      <w:r>
        <w:rPr>
          <w:b/>
          <w:bCs/>
        </w:rPr>
        <w:t xml:space="preserve">, </w:t>
      </w:r>
      <w:r w:rsidRPr="00153DC1">
        <w:rPr>
          <w:b/>
          <w:bCs/>
        </w:rPr>
        <w:t>N</w:t>
      </w:r>
      <w:r w:rsidR="00AC534F">
        <w:rPr>
          <w:b/>
          <w:bCs/>
        </w:rPr>
        <w:t xml:space="preserve">ew </w:t>
      </w:r>
      <w:r w:rsidRPr="00153DC1">
        <w:rPr>
          <w:b/>
          <w:bCs/>
        </w:rPr>
        <w:t>S</w:t>
      </w:r>
      <w:r w:rsidR="00AC534F">
        <w:rPr>
          <w:b/>
          <w:bCs/>
        </w:rPr>
        <w:t xml:space="preserve">outh </w:t>
      </w:r>
      <w:r w:rsidRPr="00153DC1">
        <w:rPr>
          <w:b/>
          <w:bCs/>
        </w:rPr>
        <w:t>W</w:t>
      </w:r>
      <w:r w:rsidR="00AC534F">
        <w:rPr>
          <w:b/>
          <w:bCs/>
        </w:rPr>
        <w:t>ales</w:t>
      </w:r>
      <w:r w:rsidRPr="00153DC1">
        <w:rPr>
          <w:b/>
          <w:bCs/>
        </w:rPr>
        <w:t>. All other staff are seconded from the Department of Health to IHPA and report</w:t>
      </w:r>
      <w:r w:rsidRPr="00FE2387">
        <w:t xml:space="preserve"> </w:t>
      </w:r>
      <w:r w:rsidRPr="00153DC1">
        <w:rPr>
          <w:b/>
          <w:bCs/>
        </w:rPr>
        <w:t>to the</w:t>
      </w:r>
      <w:r>
        <w:rPr>
          <w:b/>
          <w:bCs/>
        </w:rPr>
        <w:t> </w:t>
      </w:r>
      <w:r w:rsidRPr="00153DC1">
        <w:rPr>
          <w:b/>
          <w:bCs/>
        </w:rPr>
        <w:t>Chief Executive Officer.</w:t>
      </w:r>
    </w:p>
    <w:p w14:paraId="688731B4" w14:textId="49BDBF7E" w:rsidR="002C779C" w:rsidRPr="00C219EA" w:rsidRDefault="002C779C" w:rsidP="002C779C">
      <w:pPr>
        <w:pStyle w:val="Body"/>
      </w:pPr>
      <w:r w:rsidRPr="00C219EA">
        <w:t>IHPA continues to place great value in creating a</w:t>
      </w:r>
      <w:r>
        <w:t> </w:t>
      </w:r>
      <w:r w:rsidRPr="00C219EA">
        <w:t>more productive and inclusive workplace— primarily by attracting and retaining high</w:t>
      </w:r>
      <w:r w:rsidRPr="00C219EA">
        <w:noBreakHyphen/>
      </w:r>
      <w:proofErr w:type="spellStart"/>
      <w:r w:rsidRPr="00C219EA">
        <w:t>calibre</w:t>
      </w:r>
      <w:proofErr w:type="spellEnd"/>
      <w:r w:rsidRPr="00C219EA">
        <w:t xml:space="preserve">, talented and engaged staff. The agency supports a flexible work environment and will continue to support all staff to </w:t>
      </w:r>
      <w:proofErr w:type="spellStart"/>
      <w:r w:rsidR="00AC534F">
        <w:t>optimise</w:t>
      </w:r>
      <w:proofErr w:type="spellEnd"/>
      <w:r w:rsidR="00AC534F">
        <w:t xml:space="preserve"> their work-life balance</w:t>
      </w:r>
      <w:r w:rsidRPr="00C219EA">
        <w:t>, as well as providing technological support critical to achieving their required work performance.</w:t>
      </w:r>
    </w:p>
    <w:p w14:paraId="5C454484" w14:textId="1FA13A20" w:rsidR="00C219EA" w:rsidRPr="00C219EA" w:rsidRDefault="002C779C" w:rsidP="002C779C">
      <w:pPr>
        <w:pStyle w:val="Body"/>
      </w:pPr>
      <w:r w:rsidRPr="00C219EA">
        <w:t>IHPA is committed to the recruitment and retention of a diverse (for example, in gender, age, cultural</w:t>
      </w:r>
      <w:r w:rsidR="00D6469C">
        <w:t> </w:t>
      </w:r>
      <w:r w:rsidRPr="00C219EA">
        <w:t>and linguistic background, disability, Indigenous, and LGBTI+) workforce and actively promotes an</w:t>
      </w:r>
      <w:r>
        <w:t> </w:t>
      </w:r>
      <w:r w:rsidRPr="00C219EA">
        <w:t>inclusive workplace culture.</w:t>
      </w:r>
      <w:r w:rsidR="00BE4CFB" w:rsidRPr="00BE4CFB">
        <w:rPr>
          <w:noProof/>
        </w:rPr>
        <w:t xml:space="preserve"> </w:t>
      </w:r>
    </w:p>
    <w:p w14:paraId="698D6D9D" w14:textId="77777777" w:rsidR="002C779C" w:rsidRPr="00C219EA" w:rsidRDefault="00BE4CFB" w:rsidP="002C779C">
      <w:pPr>
        <w:pStyle w:val="H3"/>
      </w:pPr>
      <w:r>
        <w:rPr>
          <w:noProof/>
          <w:lang w:val="en-AU" w:eastAsia="en-AU"/>
        </w:rPr>
        <w:drawing>
          <wp:anchor distT="0" distB="0" distL="114300" distR="114300" simplePos="0" relativeHeight="251858944" behindDoc="1" locked="0" layoutInCell="1" allowOverlap="1" wp14:anchorId="75FA8E53" wp14:editId="14E372E9">
            <wp:simplePos x="0" y="0"/>
            <wp:positionH relativeFrom="margin">
              <wp:posOffset>-409575</wp:posOffset>
            </wp:positionH>
            <wp:positionV relativeFrom="paragraph">
              <wp:posOffset>559047</wp:posOffset>
            </wp:positionV>
            <wp:extent cx="5706527" cy="18510885"/>
            <wp:effectExtent l="0" t="0" r="8890" b="5715"/>
            <wp:wrapNone/>
            <wp:docPr id="172" name="Picture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9EA" w:rsidRPr="00C219EA">
        <w:rPr>
          <w:color w:val="F47920" w:themeColor="accent4"/>
        </w:rPr>
        <w:br w:type="column"/>
      </w:r>
      <w:bookmarkStart w:id="134" w:name="OngoingAndNonongoingEmployees"/>
      <w:r w:rsidR="002C779C" w:rsidRPr="00153DC1">
        <w:rPr>
          <w:color w:val="C40B46" w:themeColor="accent6"/>
        </w:rPr>
        <w:t>Ongoing and non</w:t>
      </w:r>
      <w:r w:rsidR="002C779C" w:rsidRPr="00153DC1">
        <w:rPr>
          <w:color w:val="C40B46" w:themeColor="accent6"/>
        </w:rPr>
        <w:noBreakHyphen/>
        <w:t>ongoing employees</w:t>
      </w:r>
      <w:bookmarkEnd w:id="134"/>
    </w:p>
    <w:p w14:paraId="71B306AF" w14:textId="40B5023D" w:rsidR="002C779C" w:rsidRPr="00C219EA" w:rsidRDefault="002C779C" w:rsidP="002C779C">
      <w:pPr>
        <w:pStyle w:val="Body"/>
      </w:pPr>
      <w:r w:rsidRPr="00C219EA">
        <w:t>The Chief Executive Officer is IHPA’s only</w:t>
      </w:r>
      <w:r w:rsidR="00DF1BDC">
        <w:t> </w:t>
      </w:r>
      <w:r w:rsidRPr="00C219EA">
        <w:t>employee and is based in Sydney</w:t>
      </w:r>
      <w:r w:rsidR="00CB5D7E">
        <w:t>,</w:t>
      </w:r>
      <w:r w:rsidRPr="00C219EA">
        <w:t xml:space="preserve"> N</w:t>
      </w:r>
      <w:r w:rsidR="00CB5D7E">
        <w:t>ew</w:t>
      </w:r>
      <w:r w:rsidR="00DF1BDC">
        <w:t> </w:t>
      </w:r>
      <w:r w:rsidRPr="00C219EA">
        <w:t>S</w:t>
      </w:r>
      <w:r w:rsidR="00CB5D7E">
        <w:t>outh</w:t>
      </w:r>
      <w:r w:rsidR="00DF1BDC">
        <w:t> </w:t>
      </w:r>
      <w:r w:rsidRPr="00C219EA">
        <w:t>W</w:t>
      </w:r>
      <w:r w:rsidR="00CB5D7E">
        <w:t>ales</w:t>
      </w:r>
      <w:r w:rsidRPr="00C219EA">
        <w:t xml:space="preserve"> (no change from prior year).</w:t>
      </w:r>
    </w:p>
    <w:p w14:paraId="7C1461EE" w14:textId="442D10BB" w:rsidR="002C779C" w:rsidRPr="00C219EA" w:rsidRDefault="002C779C" w:rsidP="002C779C">
      <w:pPr>
        <w:pStyle w:val="Body"/>
      </w:pPr>
      <w:r w:rsidRPr="00C219EA">
        <w:t>All other staff are seconded from the</w:t>
      </w:r>
      <w:r w:rsidR="00855A40">
        <w:t> </w:t>
      </w:r>
      <w:r w:rsidRPr="00C219EA">
        <w:t>Department</w:t>
      </w:r>
      <w:r w:rsidR="00855A40">
        <w:t> </w:t>
      </w:r>
      <w:r w:rsidRPr="00C219EA">
        <w:t>of Health and report to the Chief</w:t>
      </w:r>
      <w:r w:rsidR="00855A40">
        <w:t> </w:t>
      </w:r>
      <w:r w:rsidRPr="00C219EA">
        <w:t>Executive</w:t>
      </w:r>
      <w:r w:rsidR="00855A40">
        <w:t> </w:t>
      </w:r>
      <w:r w:rsidRPr="00C219EA">
        <w:t>Officer. Although the Department of Health reports on seconded IHPA</w:t>
      </w:r>
      <w:r w:rsidR="00855A40">
        <w:t> </w:t>
      </w:r>
      <w:r w:rsidRPr="00C219EA">
        <w:t>staff as part of its mandatory reporting</w:t>
      </w:r>
      <w:r w:rsidR="00855A40">
        <w:t xml:space="preserve"> </w:t>
      </w:r>
      <w:r w:rsidRPr="00C219EA">
        <w:t>requirements, to ensure transparency</w:t>
      </w:r>
      <w:r w:rsidR="00CB5D7E">
        <w:t>,</w:t>
      </w:r>
      <w:r w:rsidRPr="00C219EA">
        <w:t xml:space="preserve"> IHPA has provided the following staffing tables.</w:t>
      </w:r>
    </w:p>
    <w:p w14:paraId="690DF2B5" w14:textId="34FDD921" w:rsidR="00C219EA" w:rsidRDefault="00C219EA" w:rsidP="002C779C">
      <w:pPr>
        <w:pStyle w:val="H3"/>
        <w:sectPr w:rsidR="00C219EA" w:rsidSect="00F84AEA">
          <w:type w:val="continuous"/>
          <w:pgSz w:w="9979" w:h="14175"/>
          <w:pgMar w:top="1418" w:right="1134" w:bottom="1134" w:left="1134" w:header="709" w:footer="709" w:gutter="0"/>
          <w:cols w:num="2" w:space="708"/>
          <w:docGrid w:linePitch="360"/>
        </w:sectPr>
      </w:pPr>
    </w:p>
    <w:p w14:paraId="09BE60AE" w14:textId="5277777E" w:rsidR="00C219EA" w:rsidRPr="00C219EA" w:rsidRDefault="00C219EA" w:rsidP="00153DC1">
      <w:pPr>
        <w:pStyle w:val="FigureHeading"/>
      </w:pPr>
      <w:bookmarkStart w:id="135" w:name="_Toc82510951"/>
      <w:r w:rsidRPr="00C219EA">
        <w:lastRenderedPageBreak/>
        <w:t xml:space="preserve">Table </w:t>
      </w:r>
      <w:r w:rsidR="00D362E1">
        <w:t>10</w:t>
      </w:r>
      <w:r w:rsidRPr="00C219EA">
        <w:t>: Ongoing seconded employees 202</w:t>
      </w:r>
      <w:r w:rsidR="00566DF3">
        <w:t>1</w:t>
      </w:r>
      <w:bookmarkEnd w:id="135"/>
    </w:p>
    <w:tbl>
      <w:tblPr>
        <w:tblStyle w:val="IHPATable"/>
        <w:tblW w:w="7234" w:type="dxa"/>
        <w:tblLayout w:type="fixed"/>
        <w:tblLook w:val="0020" w:firstRow="1" w:lastRow="0" w:firstColumn="0" w:lastColumn="0" w:noHBand="0" w:noVBand="0"/>
        <w:tblCaption w:val="Table 10"/>
        <w:tblDescription w:val="Ongoing seconded employees 2021"/>
      </w:tblPr>
      <w:tblGrid>
        <w:gridCol w:w="1426"/>
        <w:gridCol w:w="842"/>
        <w:gridCol w:w="851"/>
        <w:gridCol w:w="715"/>
        <w:gridCol w:w="850"/>
        <w:gridCol w:w="850"/>
        <w:gridCol w:w="850"/>
        <w:gridCol w:w="850"/>
      </w:tblGrid>
      <w:tr w:rsidR="00C219EA" w:rsidRPr="00C219EA" w14:paraId="1FBE86A3" w14:textId="77777777" w:rsidTr="00317F01">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C40B46" w:themeFill="accent6"/>
          </w:tcPr>
          <w:p w14:paraId="678FB96B" w14:textId="77777777" w:rsidR="00C219EA" w:rsidRPr="00C219EA" w:rsidRDefault="00C219EA" w:rsidP="00317F01">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C40B46" w:themeFill="accent6"/>
          </w:tcPr>
          <w:p w14:paraId="0FC91F48" w14:textId="77777777" w:rsidR="00C219EA" w:rsidRPr="00C219EA" w:rsidRDefault="00C219EA" w:rsidP="00317F01">
            <w:pPr>
              <w:spacing w:before="120" w:after="120"/>
              <w:jc w:val="center"/>
              <w:rPr>
                <w:rFonts w:ascii="Futura PT Book" w:hAnsi="Futura PT Book" w:cs="Futura PT Book"/>
                <w:b/>
                <w:bCs/>
                <w:szCs w:val="18"/>
                <w:lang w:val="en-US"/>
              </w:rPr>
            </w:pPr>
            <w:r w:rsidRPr="00C219EA">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C40B46" w:themeFill="accent6"/>
          </w:tcPr>
          <w:p w14:paraId="31C1C5BA" w14:textId="77777777" w:rsidR="00C219EA" w:rsidRPr="00C219EA" w:rsidRDefault="00C219EA" w:rsidP="00317F01">
            <w:pPr>
              <w:spacing w:before="120" w:after="120"/>
              <w:jc w:val="center"/>
              <w:rPr>
                <w:b/>
                <w:bCs/>
                <w:szCs w:val="18"/>
                <w:lang w:val="en-US"/>
              </w:rPr>
            </w:pPr>
            <w:r w:rsidRPr="00C219EA">
              <w:rPr>
                <w:b/>
                <w:bCs/>
                <w:szCs w:val="18"/>
                <w:lang w:val="en-US"/>
              </w:rPr>
              <w:t>Female</w:t>
            </w:r>
          </w:p>
        </w:tc>
        <w:tc>
          <w:tcPr>
            <w:tcW w:w="850" w:type="dxa"/>
            <w:tcBorders>
              <w:left w:val="single" w:sz="4" w:space="0" w:color="FFFFFF" w:themeColor="background2"/>
            </w:tcBorders>
            <w:shd w:val="clear" w:color="auto" w:fill="C40B46" w:themeFill="accent6"/>
          </w:tcPr>
          <w:p w14:paraId="71CB4FBA" w14:textId="77777777" w:rsidR="00C219EA" w:rsidRPr="00C219EA" w:rsidRDefault="00C219EA" w:rsidP="00317F01">
            <w:pPr>
              <w:spacing w:before="120" w:after="120"/>
              <w:rPr>
                <w:b/>
                <w:bCs/>
                <w:szCs w:val="18"/>
                <w:lang w:val="en-US"/>
              </w:rPr>
            </w:pPr>
          </w:p>
        </w:tc>
      </w:tr>
      <w:tr w:rsidR="00C219EA" w:rsidRPr="00C219EA" w14:paraId="1F6792A9" w14:textId="77777777" w:rsidTr="00317F01">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6B3FDCA0" w14:textId="77777777" w:rsidR="00C219EA" w:rsidRPr="00C219EA" w:rsidRDefault="00C219EA" w:rsidP="00317F01">
            <w:pPr>
              <w:spacing w:before="120" w:after="120"/>
              <w:rPr>
                <w:rFonts w:ascii="Futura PT Book" w:hAnsi="Futura PT Book" w:cs="Futura PT Book"/>
                <w:b/>
                <w:bCs/>
                <w:color w:val="000000"/>
                <w:sz w:val="16"/>
                <w:szCs w:val="16"/>
                <w:lang w:val="en-US"/>
              </w:rPr>
            </w:pPr>
            <w:r w:rsidRPr="00C219EA">
              <w:rPr>
                <w:b/>
                <w:bCs/>
                <w:color w:val="1C1C1C"/>
                <w:sz w:val="16"/>
                <w:szCs w:val="16"/>
              </w:rPr>
              <w:t>Classification</w:t>
            </w:r>
          </w:p>
        </w:tc>
        <w:tc>
          <w:tcPr>
            <w:tcW w:w="842" w:type="dxa"/>
            <w:shd w:val="clear" w:color="auto" w:fill="FBC5D6" w:themeFill="accent6" w:themeFillTint="33"/>
          </w:tcPr>
          <w:p w14:paraId="0BFFD5EC" w14:textId="77777777" w:rsidR="00C219EA" w:rsidRPr="00C219EA" w:rsidRDefault="00C219EA" w:rsidP="00317F01">
            <w:pPr>
              <w:spacing w:before="120" w:after="120"/>
              <w:jc w:val="right"/>
              <w:rPr>
                <w:b/>
                <w:bCs/>
                <w:color w:val="1C1C1C"/>
                <w:sz w:val="16"/>
                <w:szCs w:val="16"/>
              </w:rPr>
            </w:pPr>
            <w:r w:rsidRPr="00C219EA">
              <w:rPr>
                <w:b/>
                <w:bCs/>
                <w:color w:val="1C1C1C"/>
                <w:sz w:val="16"/>
                <w:szCs w:val="16"/>
              </w:rPr>
              <w:t>Full-time</w:t>
            </w:r>
          </w:p>
        </w:tc>
        <w:tc>
          <w:tcPr>
            <w:tcW w:w="851" w:type="dxa"/>
            <w:shd w:val="clear" w:color="auto" w:fill="FBC5D6" w:themeFill="accent6" w:themeFillTint="33"/>
          </w:tcPr>
          <w:p w14:paraId="70BE7282" w14:textId="77777777" w:rsidR="00C219EA" w:rsidRPr="00C219EA" w:rsidRDefault="00C219EA" w:rsidP="00317F01">
            <w:pPr>
              <w:spacing w:before="120" w:after="120"/>
              <w:jc w:val="right"/>
              <w:rPr>
                <w:b/>
                <w:bCs/>
                <w:color w:val="1C1C1C"/>
                <w:sz w:val="16"/>
                <w:szCs w:val="16"/>
              </w:rPr>
            </w:pPr>
            <w:r w:rsidRPr="00C219EA">
              <w:rPr>
                <w:b/>
                <w:bCs/>
                <w:color w:val="1C1C1C"/>
                <w:sz w:val="16"/>
                <w:szCs w:val="16"/>
              </w:rPr>
              <w:t>Part-time</w:t>
            </w:r>
          </w:p>
        </w:tc>
        <w:tc>
          <w:tcPr>
            <w:tcW w:w="715" w:type="dxa"/>
            <w:tcBorders>
              <w:right w:val="single" w:sz="4" w:space="0" w:color="FFFFFF" w:themeColor="background2"/>
            </w:tcBorders>
            <w:shd w:val="clear" w:color="auto" w:fill="FBC5D6" w:themeFill="accent6" w:themeFillTint="33"/>
          </w:tcPr>
          <w:p w14:paraId="553BD2C5" w14:textId="77777777" w:rsidR="00C219EA" w:rsidRPr="00C219EA" w:rsidRDefault="00C219EA" w:rsidP="00317F01">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7311BEFB" w14:textId="77777777" w:rsidR="00C219EA" w:rsidRPr="00C219EA" w:rsidRDefault="00C219EA" w:rsidP="00317F01">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Full-time</w:t>
            </w:r>
          </w:p>
        </w:tc>
        <w:tc>
          <w:tcPr>
            <w:tcW w:w="850" w:type="dxa"/>
            <w:shd w:val="clear" w:color="auto" w:fill="FBC5D6" w:themeFill="accent6" w:themeFillTint="33"/>
          </w:tcPr>
          <w:p w14:paraId="0AD8A736" w14:textId="77777777" w:rsidR="00C219EA" w:rsidRPr="00C219EA" w:rsidRDefault="00C219EA" w:rsidP="00317F01">
            <w:pPr>
              <w:spacing w:before="120" w:after="120"/>
              <w:jc w:val="right"/>
              <w:rPr>
                <w:b/>
                <w:bCs/>
                <w:color w:val="1C1C1C"/>
                <w:sz w:val="16"/>
                <w:szCs w:val="16"/>
              </w:rPr>
            </w:pPr>
            <w:r w:rsidRPr="00C219EA">
              <w:rPr>
                <w:b/>
                <w:bCs/>
                <w:color w:val="1C1C1C"/>
                <w:sz w:val="16"/>
                <w:szCs w:val="16"/>
              </w:rPr>
              <w:t>Part-time</w:t>
            </w:r>
          </w:p>
        </w:tc>
        <w:tc>
          <w:tcPr>
            <w:tcW w:w="850" w:type="dxa"/>
            <w:tcBorders>
              <w:right w:val="single" w:sz="4" w:space="0" w:color="FFFFFF" w:themeColor="background2"/>
            </w:tcBorders>
            <w:shd w:val="clear" w:color="auto" w:fill="FBC5D6" w:themeFill="accent6" w:themeFillTint="33"/>
          </w:tcPr>
          <w:p w14:paraId="34937831" w14:textId="77777777" w:rsidR="00C219EA" w:rsidRPr="00C219EA" w:rsidRDefault="00C219EA" w:rsidP="00317F01">
            <w:pPr>
              <w:spacing w:before="120" w:after="120"/>
              <w:jc w:val="right"/>
              <w:rPr>
                <w:b/>
                <w:bCs/>
                <w:color w:val="1C1C1C"/>
                <w:sz w:val="16"/>
                <w:szCs w:val="16"/>
              </w:rPr>
            </w:pPr>
            <w:r w:rsidRPr="00C219EA">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1876C4C6" w14:textId="77777777" w:rsidR="00C219EA" w:rsidRPr="00C219EA" w:rsidRDefault="00C219EA" w:rsidP="00317F01">
            <w:pPr>
              <w:spacing w:before="120" w:after="120"/>
              <w:jc w:val="right"/>
              <w:rPr>
                <w:b/>
                <w:bCs/>
                <w:color w:val="1C1C1C"/>
                <w:sz w:val="16"/>
                <w:szCs w:val="16"/>
              </w:rPr>
            </w:pPr>
            <w:r w:rsidRPr="00C219EA">
              <w:rPr>
                <w:b/>
                <w:bCs/>
                <w:color w:val="1C1C1C"/>
                <w:sz w:val="16"/>
                <w:szCs w:val="16"/>
              </w:rPr>
              <w:t>Total</w:t>
            </w:r>
          </w:p>
        </w:tc>
      </w:tr>
      <w:tr w:rsidR="00566DF3" w:rsidRPr="00C219EA" w14:paraId="281911B4" w14:textId="77777777" w:rsidTr="00317F01">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63720FBF" w14:textId="22578AFD" w:rsidR="00566DF3" w:rsidRPr="00C219EA" w:rsidRDefault="00566DF3" w:rsidP="00317F01">
            <w:pPr>
              <w:spacing w:before="120" w:after="120"/>
              <w:rPr>
                <w:rFonts w:ascii="Futura PT Book" w:hAnsi="Futura PT Book" w:cs="Futura PT Book"/>
                <w:color w:val="000000"/>
                <w:sz w:val="16"/>
                <w:szCs w:val="16"/>
                <w:lang w:val="en-US"/>
              </w:rPr>
            </w:pPr>
            <w:r w:rsidRPr="00C219EA">
              <w:rPr>
                <w:color w:val="1C1C1C"/>
                <w:sz w:val="16"/>
                <w:szCs w:val="16"/>
              </w:rPr>
              <w:t>S</w:t>
            </w:r>
            <w:r w:rsidR="00514CE4">
              <w:rPr>
                <w:color w:val="1C1C1C"/>
                <w:sz w:val="16"/>
                <w:szCs w:val="16"/>
              </w:rPr>
              <w:t xml:space="preserve">enior </w:t>
            </w:r>
            <w:r w:rsidRPr="00C219EA">
              <w:rPr>
                <w:color w:val="1C1C1C"/>
                <w:sz w:val="16"/>
                <w:szCs w:val="16"/>
              </w:rPr>
              <w:t>E</w:t>
            </w:r>
            <w:r w:rsidR="00514CE4">
              <w:rPr>
                <w:color w:val="1C1C1C"/>
                <w:sz w:val="16"/>
                <w:szCs w:val="16"/>
              </w:rPr>
              <w:t xml:space="preserve">xecutive </w:t>
            </w:r>
            <w:r w:rsidRPr="00C219EA">
              <w:rPr>
                <w:color w:val="1C1C1C"/>
                <w:sz w:val="16"/>
                <w:szCs w:val="16"/>
              </w:rPr>
              <w:t>S</w:t>
            </w:r>
            <w:r w:rsidR="00514CE4">
              <w:rPr>
                <w:color w:val="1C1C1C"/>
                <w:sz w:val="16"/>
                <w:szCs w:val="16"/>
              </w:rPr>
              <w:t>ervice</w:t>
            </w:r>
          </w:p>
        </w:tc>
        <w:tc>
          <w:tcPr>
            <w:tcW w:w="842" w:type="dxa"/>
            <w:shd w:val="clear" w:color="auto" w:fill="F2F2F2" w:themeFill="background2" w:themeFillShade="F2"/>
          </w:tcPr>
          <w:p w14:paraId="29D2EEA0" w14:textId="6A482DA0"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1C193A9B" w14:textId="3F7DBDBF"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0EEA14EB" w14:textId="507072FC" w:rsidR="00566DF3" w:rsidRPr="00C219EA" w:rsidRDefault="00566DF3" w:rsidP="00317F01">
            <w:pPr>
              <w:spacing w:before="120" w:after="120"/>
              <w:jc w:val="right"/>
              <w:rPr>
                <w:rFonts w:ascii="Futura PT Book" w:hAnsi="Futura PT Book" w:cs="Futura PT Book"/>
                <w:color w:val="000000"/>
                <w:sz w:val="16"/>
                <w:szCs w:val="16"/>
                <w:lang w:val="en-US"/>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45312F39" w14:textId="3CEC53DC" w:rsidR="00566DF3" w:rsidRPr="00C219EA" w:rsidRDefault="00566DF3" w:rsidP="00317F01">
            <w:pPr>
              <w:spacing w:before="120" w:after="120"/>
              <w:jc w:val="right"/>
              <w:rPr>
                <w:rFonts w:ascii="Futura PT Book" w:hAnsi="Futura PT Book" w:cs="Futura PT Book"/>
                <w:color w:val="000000"/>
                <w:sz w:val="16"/>
                <w:szCs w:val="16"/>
                <w:lang w:val="en-US"/>
              </w:rPr>
            </w:pPr>
            <w:r w:rsidRPr="00C219EA">
              <w:rPr>
                <w:color w:val="1C1C1C"/>
                <w:sz w:val="16"/>
                <w:szCs w:val="16"/>
              </w:rPr>
              <w:t>2</w:t>
            </w:r>
          </w:p>
        </w:tc>
        <w:tc>
          <w:tcPr>
            <w:tcW w:w="850" w:type="dxa"/>
            <w:shd w:val="clear" w:color="auto" w:fill="F2F2F2" w:themeFill="background2" w:themeFillShade="F2"/>
          </w:tcPr>
          <w:p w14:paraId="0AED6BDC" w14:textId="005648CC"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514F9BB5" w14:textId="13C3B365" w:rsidR="00566DF3" w:rsidRPr="00C219EA" w:rsidRDefault="00566DF3" w:rsidP="00317F01">
            <w:pPr>
              <w:spacing w:before="120" w:after="120"/>
              <w:jc w:val="right"/>
              <w:rPr>
                <w:color w:val="1C1C1C"/>
                <w:sz w:val="16"/>
                <w:szCs w:val="16"/>
              </w:rPr>
            </w:pPr>
            <w:r w:rsidRPr="00C219EA">
              <w:rPr>
                <w:color w:val="1C1C1C"/>
                <w:sz w:val="16"/>
                <w:szCs w:val="16"/>
              </w:rPr>
              <w:t>2</w:t>
            </w:r>
          </w:p>
        </w:tc>
        <w:tc>
          <w:tcPr>
            <w:tcW w:w="850" w:type="dxa"/>
            <w:tcBorders>
              <w:left w:val="single" w:sz="4" w:space="0" w:color="FFFFFF" w:themeColor="background2"/>
            </w:tcBorders>
          </w:tcPr>
          <w:p w14:paraId="76153ED9" w14:textId="23CAA46C" w:rsidR="00566DF3" w:rsidRPr="00C219EA" w:rsidRDefault="00566DF3" w:rsidP="00317F01">
            <w:pPr>
              <w:spacing w:before="120" w:after="120"/>
              <w:jc w:val="right"/>
              <w:rPr>
                <w:color w:val="1C1C1C"/>
                <w:sz w:val="16"/>
                <w:szCs w:val="16"/>
              </w:rPr>
            </w:pPr>
            <w:r w:rsidRPr="00C219EA">
              <w:rPr>
                <w:color w:val="1C1C1C"/>
                <w:sz w:val="16"/>
                <w:szCs w:val="16"/>
              </w:rPr>
              <w:t>2</w:t>
            </w:r>
          </w:p>
        </w:tc>
      </w:tr>
      <w:tr w:rsidR="00566DF3" w:rsidRPr="00C219EA" w14:paraId="5CBF76A8" w14:textId="77777777" w:rsidTr="00317F01">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64C8FE6E" w14:textId="769ABE23" w:rsidR="00566DF3" w:rsidRPr="00C219EA" w:rsidRDefault="00566DF3" w:rsidP="00317F01">
            <w:pPr>
              <w:spacing w:before="120" w:after="120"/>
              <w:rPr>
                <w:rFonts w:ascii="Futura PT Book" w:hAnsi="Futura PT Book" w:cs="Futura PT Book"/>
                <w:color w:val="000000"/>
                <w:sz w:val="16"/>
                <w:szCs w:val="16"/>
                <w:lang w:val="en-US"/>
              </w:rPr>
            </w:pPr>
            <w:r w:rsidRPr="00C219EA">
              <w:rPr>
                <w:color w:val="1C1C1C"/>
                <w:sz w:val="16"/>
                <w:szCs w:val="16"/>
              </w:rPr>
              <w:t>E</w:t>
            </w:r>
            <w:r w:rsidR="00514CE4">
              <w:rPr>
                <w:color w:val="1C1C1C"/>
                <w:sz w:val="16"/>
                <w:szCs w:val="16"/>
              </w:rPr>
              <w:t xml:space="preserve">xecutive </w:t>
            </w:r>
            <w:r w:rsidRPr="00C219EA">
              <w:rPr>
                <w:color w:val="1C1C1C"/>
                <w:sz w:val="16"/>
                <w:szCs w:val="16"/>
              </w:rPr>
              <w:t>L</w:t>
            </w:r>
            <w:r w:rsidR="00514CE4">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0DD5AC36" w14:textId="5312AB3D" w:rsidR="00566DF3" w:rsidRPr="00C219EA" w:rsidRDefault="00566DF3" w:rsidP="00317F01">
            <w:pPr>
              <w:spacing w:before="120" w:after="120"/>
              <w:jc w:val="right"/>
              <w:rPr>
                <w:color w:val="1C1C1C"/>
                <w:sz w:val="16"/>
                <w:szCs w:val="16"/>
              </w:rPr>
            </w:pPr>
            <w:r>
              <w:rPr>
                <w:color w:val="1C1C1C"/>
                <w:sz w:val="16"/>
                <w:szCs w:val="16"/>
              </w:rPr>
              <w:t>5</w:t>
            </w:r>
          </w:p>
        </w:tc>
        <w:tc>
          <w:tcPr>
            <w:tcW w:w="851" w:type="dxa"/>
            <w:shd w:val="clear" w:color="auto" w:fill="F2F2F2" w:themeFill="background2" w:themeFillShade="F2"/>
          </w:tcPr>
          <w:p w14:paraId="593C5CD2" w14:textId="505CCFDD"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7BC1CFE2" w14:textId="5EC17FB7" w:rsidR="00566DF3" w:rsidRPr="00C219EA" w:rsidRDefault="00566DF3" w:rsidP="00317F01">
            <w:pPr>
              <w:spacing w:before="120" w:after="120"/>
              <w:jc w:val="right"/>
              <w:rPr>
                <w:rFonts w:ascii="Futura PT Book" w:hAnsi="Futura PT Book" w:cs="Futura PT Book"/>
                <w:color w:val="000000"/>
                <w:sz w:val="16"/>
                <w:szCs w:val="16"/>
                <w:lang w:val="en-US"/>
              </w:rPr>
            </w:pPr>
            <w:r>
              <w:rPr>
                <w:color w:val="1C1C1C"/>
                <w:sz w:val="16"/>
                <w:szCs w:val="16"/>
              </w:rPr>
              <w:t>5</w:t>
            </w:r>
          </w:p>
        </w:tc>
        <w:tc>
          <w:tcPr>
            <w:tcW w:w="850" w:type="dxa"/>
            <w:tcBorders>
              <w:left w:val="single" w:sz="4" w:space="0" w:color="FFFFFF" w:themeColor="background2"/>
            </w:tcBorders>
            <w:shd w:val="clear" w:color="auto" w:fill="F2F2F2" w:themeFill="background2" w:themeFillShade="F2"/>
          </w:tcPr>
          <w:p w14:paraId="55510B02" w14:textId="763B5009" w:rsidR="00566DF3" w:rsidRPr="00C219EA" w:rsidRDefault="00566DF3" w:rsidP="00317F01">
            <w:pPr>
              <w:spacing w:before="120" w:after="120"/>
              <w:jc w:val="right"/>
              <w:rPr>
                <w:rFonts w:ascii="Futura PT Book" w:hAnsi="Futura PT Book" w:cs="Futura PT Book"/>
                <w:color w:val="000000"/>
                <w:sz w:val="16"/>
                <w:szCs w:val="16"/>
                <w:lang w:val="en-US"/>
              </w:rPr>
            </w:pPr>
            <w:r>
              <w:rPr>
                <w:color w:val="1C1C1C"/>
                <w:sz w:val="16"/>
                <w:szCs w:val="16"/>
              </w:rPr>
              <w:t>7</w:t>
            </w:r>
          </w:p>
        </w:tc>
        <w:tc>
          <w:tcPr>
            <w:tcW w:w="850" w:type="dxa"/>
            <w:shd w:val="clear" w:color="auto" w:fill="F2F2F2" w:themeFill="background2" w:themeFillShade="F2"/>
          </w:tcPr>
          <w:p w14:paraId="212039F3" w14:textId="5B6A23F4" w:rsidR="00566DF3" w:rsidRPr="00C219EA" w:rsidRDefault="00566DF3" w:rsidP="00317F01">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6C5BDA2B" w14:textId="10D5DF0A" w:rsidR="00566DF3" w:rsidRPr="00C219EA" w:rsidRDefault="00566DF3" w:rsidP="00317F01">
            <w:pPr>
              <w:spacing w:before="120" w:after="120"/>
              <w:jc w:val="right"/>
              <w:rPr>
                <w:color w:val="1C1C1C"/>
                <w:sz w:val="16"/>
                <w:szCs w:val="16"/>
              </w:rPr>
            </w:pPr>
            <w:r w:rsidRPr="00C219EA">
              <w:rPr>
                <w:color w:val="1C1C1C"/>
                <w:sz w:val="16"/>
                <w:szCs w:val="16"/>
              </w:rPr>
              <w:t>7</w:t>
            </w:r>
          </w:p>
        </w:tc>
        <w:tc>
          <w:tcPr>
            <w:tcW w:w="850" w:type="dxa"/>
            <w:tcBorders>
              <w:left w:val="single" w:sz="4" w:space="0" w:color="FFFFFF" w:themeColor="background2"/>
            </w:tcBorders>
          </w:tcPr>
          <w:p w14:paraId="1ACD9AFC" w14:textId="0B90E85F" w:rsidR="00566DF3" w:rsidRPr="00C219EA" w:rsidRDefault="00566DF3" w:rsidP="00317F01">
            <w:pPr>
              <w:spacing w:before="120" w:after="120"/>
              <w:jc w:val="right"/>
              <w:rPr>
                <w:color w:val="1C1C1C"/>
                <w:sz w:val="16"/>
                <w:szCs w:val="16"/>
              </w:rPr>
            </w:pPr>
            <w:r w:rsidRPr="00C219EA">
              <w:rPr>
                <w:color w:val="1C1C1C"/>
                <w:sz w:val="16"/>
                <w:szCs w:val="16"/>
              </w:rPr>
              <w:t>1</w:t>
            </w:r>
            <w:r>
              <w:rPr>
                <w:color w:val="1C1C1C"/>
                <w:sz w:val="16"/>
                <w:szCs w:val="16"/>
              </w:rPr>
              <w:t>2</w:t>
            </w:r>
          </w:p>
        </w:tc>
      </w:tr>
      <w:tr w:rsidR="00566DF3" w:rsidRPr="00C219EA" w14:paraId="39F58B22" w14:textId="77777777" w:rsidTr="00317F01">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38380551" w14:textId="736F4128" w:rsidR="00566DF3" w:rsidRPr="00C219EA" w:rsidRDefault="00566DF3" w:rsidP="00317F01">
            <w:pPr>
              <w:spacing w:before="120" w:after="120"/>
              <w:rPr>
                <w:rFonts w:ascii="Futura PT Book" w:hAnsi="Futura PT Book" w:cs="Futura PT Book"/>
                <w:color w:val="000000"/>
                <w:sz w:val="16"/>
                <w:szCs w:val="16"/>
                <w:lang w:val="en-US"/>
              </w:rPr>
            </w:pPr>
            <w:r w:rsidRPr="00C219EA">
              <w:rPr>
                <w:color w:val="1C1C1C"/>
                <w:sz w:val="16"/>
                <w:szCs w:val="16"/>
              </w:rPr>
              <w:t>E</w:t>
            </w:r>
            <w:r w:rsidR="00514CE4">
              <w:rPr>
                <w:color w:val="1C1C1C"/>
                <w:sz w:val="16"/>
                <w:szCs w:val="16"/>
              </w:rPr>
              <w:t xml:space="preserve">xecutive </w:t>
            </w:r>
            <w:r w:rsidRPr="00C219EA">
              <w:rPr>
                <w:color w:val="1C1C1C"/>
                <w:sz w:val="16"/>
                <w:szCs w:val="16"/>
              </w:rPr>
              <w:t>L</w:t>
            </w:r>
            <w:r w:rsidR="00514CE4">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5830B8AF" w14:textId="1A86C1F7" w:rsidR="00566DF3" w:rsidRPr="00C219EA" w:rsidRDefault="00566DF3" w:rsidP="00317F01">
            <w:pPr>
              <w:spacing w:before="120" w:after="120"/>
              <w:jc w:val="right"/>
              <w:rPr>
                <w:color w:val="1C1C1C"/>
                <w:sz w:val="16"/>
                <w:szCs w:val="16"/>
              </w:rPr>
            </w:pPr>
            <w:r>
              <w:rPr>
                <w:color w:val="1C1C1C"/>
                <w:sz w:val="16"/>
                <w:szCs w:val="16"/>
              </w:rPr>
              <w:t>10</w:t>
            </w:r>
          </w:p>
        </w:tc>
        <w:tc>
          <w:tcPr>
            <w:tcW w:w="851" w:type="dxa"/>
            <w:shd w:val="clear" w:color="auto" w:fill="F2F2F2" w:themeFill="background2" w:themeFillShade="F2"/>
          </w:tcPr>
          <w:p w14:paraId="6029FD9F" w14:textId="2F2269B3"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45F393C1" w14:textId="1AFF9677" w:rsidR="00566DF3" w:rsidRPr="00C219EA" w:rsidRDefault="00566DF3" w:rsidP="00317F01">
            <w:pPr>
              <w:spacing w:before="120" w:after="120"/>
              <w:jc w:val="right"/>
              <w:rPr>
                <w:rFonts w:ascii="Futura PT Book" w:hAnsi="Futura PT Book" w:cs="Futura PT Book"/>
                <w:color w:val="000000"/>
                <w:sz w:val="16"/>
                <w:szCs w:val="16"/>
                <w:lang w:val="en-US"/>
              </w:rPr>
            </w:pPr>
            <w:r>
              <w:rPr>
                <w:color w:val="1C1C1C"/>
                <w:sz w:val="16"/>
                <w:szCs w:val="16"/>
              </w:rPr>
              <w:t>10</w:t>
            </w:r>
          </w:p>
        </w:tc>
        <w:tc>
          <w:tcPr>
            <w:tcW w:w="850" w:type="dxa"/>
            <w:tcBorders>
              <w:left w:val="single" w:sz="4" w:space="0" w:color="FFFFFF" w:themeColor="background2"/>
            </w:tcBorders>
            <w:shd w:val="clear" w:color="auto" w:fill="F2F2F2" w:themeFill="background2" w:themeFillShade="F2"/>
          </w:tcPr>
          <w:p w14:paraId="2C782888" w14:textId="4B3366ED" w:rsidR="00566DF3" w:rsidRPr="00C219EA" w:rsidRDefault="00566DF3" w:rsidP="00317F01">
            <w:pPr>
              <w:spacing w:before="120" w:after="120"/>
              <w:jc w:val="right"/>
              <w:rPr>
                <w:rFonts w:ascii="Futura PT Book" w:hAnsi="Futura PT Book" w:cs="Futura PT Book"/>
                <w:color w:val="000000"/>
                <w:sz w:val="16"/>
                <w:szCs w:val="16"/>
                <w:lang w:val="en-US"/>
              </w:rPr>
            </w:pPr>
            <w:r>
              <w:rPr>
                <w:color w:val="1C1C1C"/>
                <w:sz w:val="16"/>
                <w:szCs w:val="16"/>
              </w:rPr>
              <w:t>9</w:t>
            </w:r>
          </w:p>
        </w:tc>
        <w:tc>
          <w:tcPr>
            <w:tcW w:w="850" w:type="dxa"/>
            <w:shd w:val="clear" w:color="auto" w:fill="F2F2F2" w:themeFill="background2" w:themeFillShade="F2"/>
          </w:tcPr>
          <w:p w14:paraId="18B7C5F2" w14:textId="427B9960" w:rsidR="00566DF3" w:rsidRPr="00C219EA" w:rsidRDefault="00566DF3" w:rsidP="00317F01">
            <w:pPr>
              <w:spacing w:before="120" w:after="120"/>
              <w:jc w:val="right"/>
              <w:rPr>
                <w:color w:val="1C1C1C"/>
                <w:sz w:val="16"/>
                <w:szCs w:val="16"/>
              </w:rPr>
            </w:pPr>
            <w:r w:rsidRPr="00C219EA">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5D3194E7" w14:textId="18B5EE00" w:rsidR="00566DF3" w:rsidRPr="00C219EA" w:rsidRDefault="00566DF3" w:rsidP="00317F01">
            <w:pPr>
              <w:spacing w:before="120" w:after="120"/>
              <w:jc w:val="right"/>
              <w:rPr>
                <w:color w:val="1C1C1C"/>
                <w:sz w:val="16"/>
                <w:szCs w:val="16"/>
              </w:rPr>
            </w:pPr>
            <w:r>
              <w:rPr>
                <w:color w:val="1C1C1C"/>
                <w:sz w:val="16"/>
                <w:szCs w:val="16"/>
              </w:rPr>
              <w:t>11</w:t>
            </w:r>
          </w:p>
        </w:tc>
        <w:tc>
          <w:tcPr>
            <w:tcW w:w="850" w:type="dxa"/>
            <w:tcBorders>
              <w:left w:val="single" w:sz="4" w:space="0" w:color="FFFFFF" w:themeColor="background2"/>
            </w:tcBorders>
          </w:tcPr>
          <w:p w14:paraId="522A4067" w14:textId="1CE167B7" w:rsidR="00566DF3" w:rsidRPr="00C219EA" w:rsidRDefault="00566DF3" w:rsidP="00317F01">
            <w:pPr>
              <w:spacing w:before="120" w:after="120"/>
              <w:jc w:val="right"/>
              <w:rPr>
                <w:color w:val="1C1C1C"/>
                <w:sz w:val="16"/>
                <w:szCs w:val="16"/>
              </w:rPr>
            </w:pPr>
            <w:r>
              <w:rPr>
                <w:color w:val="1C1C1C"/>
                <w:sz w:val="16"/>
                <w:szCs w:val="16"/>
              </w:rPr>
              <w:t>21</w:t>
            </w:r>
          </w:p>
        </w:tc>
      </w:tr>
      <w:tr w:rsidR="00566DF3" w:rsidRPr="00C219EA" w14:paraId="2ADB5592" w14:textId="77777777" w:rsidTr="00317F01">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1BE7576B" w14:textId="77777777" w:rsidR="00566DF3" w:rsidRPr="00C219EA" w:rsidRDefault="00566DF3" w:rsidP="00317F01">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151162F7" w14:textId="6023BF7B" w:rsidR="00566DF3" w:rsidRPr="00C219EA" w:rsidRDefault="00566DF3" w:rsidP="00317F01">
            <w:pPr>
              <w:spacing w:before="120" w:after="120"/>
              <w:jc w:val="right"/>
              <w:rPr>
                <w:color w:val="1C1C1C"/>
                <w:sz w:val="16"/>
                <w:szCs w:val="16"/>
              </w:rPr>
            </w:pPr>
            <w:r>
              <w:rPr>
                <w:color w:val="1C1C1C"/>
                <w:sz w:val="16"/>
                <w:szCs w:val="16"/>
              </w:rPr>
              <w:t>2</w:t>
            </w:r>
          </w:p>
        </w:tc>
        <w:tc>
          <w:tcPr>
            <w:tcW w:w="851" w:type="dxa"/>
            <w:shd w:val="clear" w:color="auto" w:fill="F2F2F2" w:themeFill="background2" w:themeFillShade="F2"/>
          </w:tcPr>
          <w:p w14:paraId="570E4EF5" w14:textId="7BE2FE1B"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5AF7F3CE" w14:textId="549DD0A5" w:rsidR="00566DF3" w:rsidRPr="00C219EA" w:rsidRDefault="00566DF3" w:rsidP="00317F01">
            <w:pPr>
              <w:spacing w:before="120" w:after="120"/>
              <w:jc w:val="right"/>
              <w:rPr>
                <w:rFonts w:ascii="Futura PT Book" w:hAnsi="Futura PT Book" w:cs="Futura PT Book"/>
                <w:color w:val="000000"/>
                <w:sz w:val="16"/>
                <w:szCs w:val="16"/>
                <w:lang w:val="en-US"/>
              </w:rPr>
            </w:pPr>
            <w:r>
              <w:rPr>
                <w:color w:val="1C1C1C"/>
                <w:sz w:val="16"/>
                <w:szCs w:val="16"/>
              </w:rPr>
              <w:t>2</w:t>
            </w:r>
          </w:p>
        </w:tc>
        <w:tc>
          <w:tcPr>
            <w:tcW w:w="850" w:type="dxa"/>
            <w:tcBorders>
              <w:left w:val="single" w:sz="4" w:space="0" w:color="FFFFFF" w:themeColor="background2"/>
            </w:tcBorders>
            <w:shd w:val="clear" w:color="auto" w:fill="F2F2F2" w:themeFill="background2" w:themeFillShade="F2"/>
          </w:tcPr>
          <w:p w14:paraId="755107C4" w14:textId="31FB34B6" w:rsidR="00566DF3" w:rsidRPr="00C219EA" w:rsidRDefault="00566DF3" w:rsidP="00317F01">
            <w:pPr>
              <w:spacing w:before="120" w:after="120"/>
              <w:jc w:val="right"/>
              <w:rPr>
                <w:rFonts w:ascii="Futura PT Book" w:hAnsi="Futura PT Book" w:cs="Futura PT Book"/>
                <w:color w:val="000000"/>
                <w:sz w:val="16"/>
                <w:szCs w:val="16"/>
                <w:lang w:val="en-US"/>
              </w:rPr>
            </w:pPr>
            <w:r>
              <w:rPr>
                <w:color w:val="1C1C1C"/>
                <w:sz w:val="16"/>
                <w:szCs w:val="16"/>
              </w:rPr>
              <w:t>3</w:t>
            </w:r>
          </w:p>
        </w:tc>
        <w:tc>
          <w:tcPr>
            <w:tcW w:w="850" w:type="dxa"/>
            <w:shd w:val="clear" w:color="auto" w:fill="F2F2F2" w:themeFill="background2" w:themeFillShade="F2"/>
          </w:tcPr>
          <w:p w14:paraId="40A3D38D" w14:textId="6C944475" w:rsidR="00566DF3" w:rsidRPr="00C219EA" w:rsidRDefault="00566DF3" w:rsidP="00317F01">
            <w:pPr>
              <w:spacing w:before="120" w:after="120"/>
              <w:jc w:val="right"/>
              <w:rPr>
                <w:color w:val="1C1C1C"/>
                <w:sz w:val="16"/>
                <w:szCs w:val="16"/>
              </w:rPr>
            </w:pPr>
            <w:r w:rsidRPr="00C219EA">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67F7B10C" w14:textId="6FD61FE1" w:rsidR="00566DF3" w:rsidRPr="00C219EA" w:rsidRDefault="00566DF3" w:rsidP="00317F01">
            <w:pPr>
              <w:spacing w:before="120" w:after="120"/>
              <w:jc w:val="right"/>
              <w:rPr>
                <w:color w:val="1C1C1C"/>
                <w:sz w:val="16"/>
                <w:szCs w:val="16"/>
              </w:rPr>
            </w:pPr>
            <w:r>
              <w:rPr>
                <w:color w:val="1C1C1C"/>
                <w:sz w:val="16"/>
                <w:szCs w:val="16"/>
              </w:rPr>
              <w:t>5</w:t>
            </w:r>
          </w:p>
        </w:tc>
        <w:tc>
          <w:tcPr>
            <w:tcW w:w="850" w:type="dxa"/>
            <w:tcBorders>
              <w:left w:val="single" w:sz="4" w:space="0" w:color="FFFFFF" w:themeColor="background2"/>
            </w:tcBorders>
          </w:tcPr>
          <w:p w14:paraId="244FF79F" w14:textId="6F7FDF6E" w:rsidR="00566DF3" w:rsidRPr="00C219EA" w:rsidRDefault="00566DF3" w:rsidP="00317F01">
            <w:pPr>
              <w:spacing w:before="120" w:after="120"/>
              <w:jc w:val="right"/>
              <w:rPr>
                <w:color w:val="1C1C1C"/>
                <w:sz w:val="16"/>
                <w:szCs w:val="16"/>
              </w:rPr>
            </w:pPr>
            <w:r>
              <w:rPr>
                <w:color w:val="1C1C1C"/>
                <w:sz w:val="16"/>
                <w:szCs w:val="16"/>
              </w:rPr>
              <w:t>7</w:t>
            </w:r>
          </w:p>
        </w:tc>
      </w:tr>
      <w:tr w:rsidR="00566DF3" w:rsidRPr="00C219EA" w14:paraId="0964F71F" w14:textId="77777777" w:rsidTr="00317F01">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3B6E8E77" w14:textId="77777777" w:rsidR="00566DF3" w:rsidRPr="00C219EA" w:rsidRDefault="00566DF3" w:rsidP="00317F01">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1B5C4F90" w14:textId="27BBF148"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3F65031B" w14:textId="3564B03C"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134FAB4" w14:textId="413352F1"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08828158" w14:textId="00908B98" w:rsidR="00566DF3" w:rsidRPr="00C219EA" w:rsidRDefault="00566DF3" w:rsidP="00317F01">
            <w:pPr>
              <w:spacing w:before="120" w:after="120"/>
              <w:jc w:val="right"/>
              <w:rPr>
                <w:color w:val="1C1C1C"/>
                <w:sz w:val="16"/>
                <w:szCs w:val="16"/>
              </w:rPr>
            </w:pPr>
            <w:r w:rsidRPr="00C219EA">
              <w:rPr>
                <w:color w:val="1C1C1C"/>
                <w:sz w:val="16"/>
                <w:szCs w:val="16"/>
              </w:rPr>
              <w:t>1</w:t>
            </w:r>
          </w:p>
        </w:tc>
        <w:tc>
          <w:tcPr>
            <w:tcW w:w="850" w:type="dxa"/>
            <w:shd w:val="clear" w:color="auto" w:fill="F2F2F2" w:themeFill="background2" w:themeFillShade="F2"/>
          </w:tcPr>
          <w:p w14:paraId="11A8B80E" w14:textId="18992F76" w:rsidR="00566DF3" w:rsidRPr="00C219EA" w:rsidRDefault="00566DF3" w:rsidP="00317F01">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10A9B593" w14:textId="71075E5F" w:rsidR="00566DF3" w:rsidRPr="00C219EA" w:rsidRDefault="00566DF3" w:rsidP="00317F01">
            <w:pPr>
              <w:spacing w:before="120" w:after="120"/>
              <w:jc w:val="right"/>
              <w:rPr>
                <w:color w:val="1C1C1C"/>
                <w:sz w:val="16"/>
                <w:szCs w:val="16"/>
              </w:rPr>
            </w:pPr>
            <w:r w:rsidRPr="00C219EA">
              <w:rPr>
                <w:color w:val="1C1C1C"/>
                <w:sz w:val="16"/>
                <w:szCs w:val="16"/>
              </w:rPr>
              <w:t>1</w:t>
            </w:r>
          </w:p>
        </w:tc>
        <w:tc>
          <w:tcPr>
            <w:tcW w:w="850" w:type="dxa"/>
            <w:tcBorders>
              <w:left w:val="single" w:sz="4" w:space="0" w:color="FFFFFF" w:themeColor="background2"/>
            </w:tcBorders>
          </w:tcPr>
          <w:p w14:paraId="59A77CA0" w14:textId="4CF09D29" w:rsidR="00566DF3" w:rsidRPr="00C219EA" w:rsidRDefault="00566DF3" w:rsidP="00317F01">
            <w:pPr>
              <w:spacing w:before="120" w:after="120"/>
              <w:jc w:val="right"/>
              <w:rPr>
                <w:color w:val="1C1C1C"/>
                <w:sz w:val="16"/>
                <w:szCs w:val="16"/>
              </w:rPr>
            </w:pPr>
            <w:r w:rsidRPr="00C219EA">
              <w:rPr>
                <w:color w:val="1C1C1C"/>
                <w:sz w:val="16"/>
                <w:szCs w:val="16"/>
              </w:rPr>
              <w:t>1</w:t>
            </w:r>
          </w:p>
        </w:tc>
      </w:tr>
      <w:tr w:rsidR="007569E5" w:rsidRPr="00C219EA" w14:paraId="5543FB3D" w14:textId="77777777" w:rsidTr="007569E5">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01691072" w14:textId="77777777" w:rsidR="00566DF3" w:rsidRPr="00C219EA" w:rsidRDefault="00566DF3" w:rsidP="00317F01">
            <w:pPr>
              <w:spacing w:before="120" w:after="120"/>
              <w:rPr>
                <w:b/>
                <w:bCs/>
                <w:color w:val="1C1C1C"/>
                <w:sz w:val="16"/>
                <w:szCs w:val="16"/>
              </w:rPr>
            </w:pPr>
            <w:r w:rsidRPr="00C219EA">
              <w:rPr>
                <w:b/>
                <w:bCs/>
                <w:color w:val="1C1C1C"/>
                <w:sz w:val="16"/>
                <w:szCs w:val="16"/>
              </w:rPr>
              <w:t>Total</w:t>
            </w:r>
          </w:p>
        </w:tc>
        <w:tc>
          <w:tcPr>
            <w:tcW w:w="842" w:type="dxa"/>
            <w:shd w:val="clear" w:color="auto" w:fill="FBC5D6" w:themeFill="accent6" w:themeFillTint="33"/>
          </w:tcPr>
          <w:p w14:paraId="36A89106" w14:textId="7266AB2A" w:rsidR="00566DF3" w:rsidRPr="00C219EA" w:rsidRDefault="00566DF3" w:rsidP="00317F01">
            <w:pPr>
              <w:spacing w:before="120" w:after="120"/>
              <w:jc w:val="right"/>
              <w:rPr>
                <w:b/>
                <w:bCs/>
                <w:color w:val="1C1C1C"/>
                <w:sz w:val="16"/>
                <w:szCs w:val="16"/>
              </w:rPr>
            </w:pPr>
            <w:r>
              <w:rPr>
                <w:b/>
                <w:bCs/>
                <w:color w:val="1C1C1C"/>
                <w:sz w:val="16"/>
                <w:szCs w:val="16"/>
              </w:rPr>
              <w:t>17</w:t>
            </w:r>
          </w:p>
        </w:tc>
        <w:tc>
          <w:tcPr>
            <w:tcW w:w="851" w:type="dxa"/>
            <w:shd w:val="clear" w:color="auto" w:fill="FBC5D6" w:themeFill="accent6" w:themeFillTint="33"/>
          </w:tcPr>
          <w:p w14:paraId="7BD06214" w14:textId="010CEED4" w:rsidR="00566DF3" w:rsidRPr="00C219EA" w:rsidRDefault="00566DF3" w:rsidP="00317F01">
            <w:pPr>
              <w:spacing w:before="120" w:after="120"/>
              <w:jc w:val="right"/>
              <w:rPr>
                <w:b/>
                <w:bCs/>
                <w:color w:val="1C1C1C"/>
                <w:sz w:val="16"/>
                <w:szCs w:val="16"/>
              </w:rPr>
            </w:pPr>
            <w:r w:rsidRPr="00C219EA">
              <w:rPr>
                <w:b/>
                <w:bCs/>
                <w:color w:val="1C1C1C"/>
                <w:sz w:val="16"/>
                <w:szCs w:val="16"/>
              </w:rPr>
              <w:t>0</w:t>
            </w:r>
          </w:p>
        </w:tc>
        <w:tc>
          <w:tcPr>
            <w:tcW w:w="715" w:type="dxa"/>
            <w:tcBorders>
              <w:right w:val="single" w:sz="4" w:space="0" w:color="FFFFFF" w:themeColor="background2"/>
            </w:tcBorders>
            <w:shd w:val="clear" w:color="auto" w:fill="FBC5D6" w:themeFill="accent6" w:themeFillTint="33"/>
          </w:tcPr>
          <w:p w14:paraId="044F88D6" w14:textId="0610BCA6" w:rsidR="00566DF3" w:rsidRPr="00C219EA" w:rsidRDefault="00566DF3" w:rsidP="00317F01">
            <w:pPr>
              <w:spacing w:before="120" w:after="120"/>
              <w:jc w:val="right"/>
              <w:rPr>
                <w:b/>
                <w:bCs/>
                <w:color w:val="1C1C1C"/>
                <w:sz w:val="16"/>
                <w:szCs w:val="16"/>
              </w:rPr>
            </w:pPr>
            <w:r>
              <w:rPr>
                <w:b/>
                <w:bCs/>
                <w:color w:val="1C1C1C"/>
                <w:sz w:val="16"/>
                <w:szCs w:val="16"/>
              </w:rPr>
              <w:t>17</w:t>
            </w:r>
          </w:p>
        </w:tc>
        <w:tc>
          <w:tcPr>
            <w:tcW w:w="850" w:type="dxa"/>
            <w:tcBorders>
              <w:left w:val="single" w:sz="4" w:space="0" w:color="FFFFFF" w:themeColor="background2"/>
            </w:tcBorders>
            <w:shd w:val="clear" w:color="auto" w:fill="FBC5D6" w:themeFill="accent6" w:themeFillTint="33"/>
          </w:tcPr>
          <w:p w14:paraId="7A413F0C" w14:textId="6B932459" w:rsidR="00566DF3" w:rsidRPr="00C219EA" w:rsidRDefault="00566DF3" w:rsidP="00317F01">
            <w:pPr>
              <w:spacing w:before="120" w:after="120"/>
              <w:jc w:val="right"/>
              <w:rPr>
                <w:b/>
                <w:bCs/>
                <w:color w:val="1C1C1C"/>
                <w:sz w:val="16"/>
                <w:szCs w:val="16"/>
              </w:rPr>
            </w:pPr>
            <w:r w:rsidRPr="00C219EA">
              <w:rPr>
                <w:b/>
                <w:bCs/>
                <w:color w:val="1C1C1C"/>
                <w:sz w:val="16"/>
                <w:szCs w:val="16"/>
              </w:rPr>
              <w:t>2</w:t>
            </w:r>
            <w:r>
              <w:rPr>
                <w:b/>
                <w:bCs/>
                <w:color w:val="1C1C1C"/>
                <w:sz w:val="16"/>
                <w:szCs w:val="16"/>
              </w:rPr>
              <w:t>2</w:t>
            </w:r>
          </w:p>
        </w:tc>
        <w:tc>
          <w:tcPr>
            <w:tcW w:w="850" w:type="dxa"/>
            <w:shd w:val="clear" w:color="auto" w:fill="FBC5D6" w:themeFill="accent6" w:themeFillTint="33"/>
          </w:tcPr>
          <w:p w14:paraId="341CB03D" w14:textId="4B73167D" w:rsidR="00566DF3" w:rsidRPr="00C219EA" w:rsidRDefault="00566DF3" w:rsidP="00317F01">
            <w:pPr>
              <w:spacing w:before="120" w:after="120"/>
              <w:jc w:val="right"/>
              <w:rPr>
                <w:b/>
                <w:bCs/>
                <w:color w:val="1C1C1C"/>
                <w:sz w:val="16"/>
                <w:szCs w:val="16"/>
              </w:rPr>
            </w:pPr>
            <w:r>
              <w:rPr>
                <w:b/>
                <w:bCs/>
                <w:color w:val="1C1C1C"/>
                <w:sz w:val="16"/>
                <w:szCs w:val="16"/>
              </w:rPr>
              <w:t>4</w:t>
            </w:r>
          </w:p>
        </w:tc>
        <w:tc>
          <w:tcPr>
            <w:tcW w:w="850" w:type="dxa"/>
            <w:tcBorders>
              <w:right w:val="single" w:sz="4" w:space="0" w:color="FFFFFF" w:themeColor="background2"/>
            </w:tcBorders>
            <w:shd w:val="clear" w:color="auto" w:fill="FBC5D6" w:themeFill="accent6" w:themeFillTint="33"/>
          </w:tcPr>
          <w:p w14:paraId="4BA1D7D2" w14:textId="452AE5B5" w:rsidR="00566DF3" w:rsidRPr="00C219EA" w:rsidRDefault="00566DF3" w:rsidP="00317F01">
            <w:pPr>
              <w:spacing w:before="120" w:after="120"/>
              <w:jc w:val="right"/>
              <w:rPr>
                <w:b/>
                <w:bCs/>
                <w:color w:val="1C1C1C"/>
                <w:sz w:val="16"/>
                <w:szCs w:val="16"/>
              </w:rPr>
            </w:pPr>
            <w:r w:rsidRPr="00C219EA">
              <w:rPr>
                <w:b/>
                <w:bCs/>
                <w:color w:val="1C1C1C"/>
                <w:sz w:val="16"/>
                <w:szCs w:val="16"/>
              </w:rPr>
              <w:t>2</w:t>
            </w:r>
            <w:r>
              <w:rPr>
                <w:b/>
                <w:bCs/>
                <w:color w:val="1C1C1C"/>
                <w:sz w:val="16"/>
                <w:szCs w:val="16"/>
              </w:rPr>
              <w:t>6</w:t>
            </w:r>
          </w:p>
        </w:tc>
        <w:tc>
          <w:tcPr>
            <w:tcW w:w="850" w:type="dxa"/>
            <w:tcBorders>
              <w:left w:val="single" w:sz="4" w:space="0" w:color="FFFFFF" w:themeColor="background2"/>
            </w:tcBorders>
            <w:shd w:val="clear" w:color="auto" w:fill="FBC5D6" w:themeFill="accent6" w:themeFillTint="33"/>
          </w:tcPr>
          <w:p w14:paraId="1AE16DF4" w14:textId="3980DBDF" w:rsidR="00566DF3" w:rsidRPr="00C219EA" w:rsidRDefault="00566DF3" w:rsidP="00317F01">
            <w:pPr>
              <w:spacing w:before="120" w:after="120"/>
              <w:jc w:val="right"/>
              <w:rPr>
                <w:b/>
                <w:bCs/>
                <w:color w:val="1C1C1C"/>
                <w:sz w:val="16"/>
                <w:szCs w:val="16"/>
              </w:rPr>
            </w:pPr>
            <w:r w:rsidRPr="00C219EA">
              <w:rPr>
                <w:b/>
                <w:bCs/>
                <w:color w:val="1C1C1C"/>
                <w:sz w:val="16"/>
                <w:szCs w:val="16"/>
              </w:rPr>
              <w:t>4</w:t>
            </w:r>
            <w:r>
              <w:rPr>
                <w:b/>
                <w:bCs/>
                <w:color w:val="1C1C1C"/>
                <w:sz w:val="16"/>
                <w:szCs w:val="16"/>
              </w:rPr>
              <w:t>3</w:t>
            </w:r>
          </w:p>
        </w:tc>
      </w:tr>
    </w:tbl>
    <w:p w14:paraId="2C0A2595" w14:textId="77777777" w:rsidR="00C219EA" w:rsidRPr="00C219EA" w:rsidRDefault="00C219EA" w:rsidP="00C219EA">
      <w:pPr>
        <w:rPr>
          <w:color w:val="1C1C1C"/>
          <w:sz w:val="18"/>
          <w:szCs w:val="18"/>
        </w:rPr>
      </w:pPr>
    </w:p>
    <w:p w14:paraId="1C50977A" w14:textId="6967BBEF" w:rsidR="00C219EA" w:rsidRPr="00C219EA" w:rsidRDefault="00C219EA" w:rsidP="00153DC1">
      <w:pPr>
        <w:pStyle w:val="FigureHeading"/>
      </w:pPr>
      <w:bookmarkStart w:id="136" w:name="_Toc82510952"/>
      <w:r w:rsidRPr="00C219EA">
        <w:t xml:space="preserve">Table </w:t>
      </w:r>
      <w:r w:rsidR="00AC254C">
        <w:t>1</w:t>
      </w:r>
      <w:r w:rsidR="00D362E1">
        <w:t>1</w:t>
      </w:r>
      <w:r w:rsidRPr="00C219EA">
        <w:t>: Ongoing seconded employees 20</w:t>
      </w:r>
      <w:r w:rsidR="00566DF3">
        <w:t>20</w:t>
      </w:r>
      <w:bookmarkEnd w:id="136"/>
    </w:p>
    <w:tbl>
      <w:tblPr>
        <w:tblStyle w:val="IHPATable"/>
        <w:tblW w:w="7234" w:type="dxa"/>
        <w:tblLayout w:type="fixed"/>
        <w:tblLook w:val="0020" w:firstRow="1" w:lastRow="0" w:firstColumn="0" w:lastColumn="0" w:noHBand="0" w:noVBand="0"/>
        <w:tblCaption w:val="Table 11"/>
        <w:tblDescription w:val="Ongoing seconded employees 2020"/>
      </w:tblPr>
      <w:tblGrid>
        <w:gridCol w:w="1426"/>
        <w:gridCol w:w="842"/>
        <w:gridCol w:w="851"/>
        <w:gridCol w:w="715"/>
        <w:gridCol w:w="850"/>
        <w:gridCol w:w="850"/>
        <w:gridCol w:w="850"/>
        <w:gridCol w:w="850"/>
      </w:tblGrid>
      <w:tr w:rsidR="00C219EA" w:rsidRPr="00C219EA" w14:paraId="055B1DF5" w14:textId="77777777" w:rsidTr="007569E5">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C40B46" w:themeFill="accent6"/>
          </w:tcPr>
          <w:p w14:paraId="5ACFEEB2" w14:textId="77777777" w:rsidR="00C219EA" w:rsidRPr="00C219EA" w:rsidRDefault="00C219EA" w:rsidP="007569E5">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C40B46" w:themeFill="accent6"/>
          </w:tcPr>
          <w:p w14:paraId="76051886" w14:textId="77777777" w:rsidR="00C219EA" w:rsidRPr="00C219EA" w:rsidRDefault="00C219EA" w:rsidP="007569E5">
            <w:pPr>
              <w:spacing w:before="120" w:after="120"/>
              <w:jc w:val="center"/>
              <w:rPr>
                <w:rFonts w:ascii="Futura PT Book" w:hAnsi="Futura PT Book" w:cs="Futura PT Book"/>
                <w:b/>
                <w:bCs/>
                <w:szCs w:val="18"/>
                <w:lang w:val="en-US"/>
              </w:rPr>
            </w:pPr>
            <w:r w:rsidRPr="00C219EA">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C40B46" w:themeFill="accent6"/>
          </w:tcPr>
          <w:p w14:paraId="3C8AC22B" w14:textId="77777777" w:rsidR="00C219EA" w:rsidRPr="00C219EA" w:rsidRDefault="00C219EA" w:rsidP="007569E5">
            <w:pPr>
              <w:spacing w:before="120" w:after="120"/>
              <w:jc w:val="center"/>
              <w:rPr>
                <w:b/>
                <w:bCs/>
                <w:szCs w:val="18"/>
                <w:lang w:val="en-US"/>
              </w:rPr>
            </w:pPr>
            <w:r w:rsidRPr="00C219EA">
              <w:rPr>
                <w:b/>
                <w:bCs/>
                <w:szCs w:val="18"/>
                <w:lang w:val="en-US"/>
              </w:rPr>
              <w:t>Female</w:t>
            </w:r>
          </w:p>
        </w:tc>
        <w:tc>
          <w:tcPr>
            <w:tcW w:w="850" w:type="dxa"/>
            <w:tcBorders>
              <w:left w:val="single" w:sz="4" w:space="0" w:color="FFFFFF" w:themeColor="background2"/>
            </w:tcBorders>
            <w:shd w:val="clear" w:color="auto" w:fill="C40B46" w:themeFill="accent6"/>
          </w:tcPr>
          <w:p w14:paraId="3247BE45" w14:textId="77777777" w:rsidR="00C219EA" w:rsidRPr="00C219EA" w:rsidRDefault="00C219EA" w:rsidP="007569E5">
            <w:pPr>
              <w:spacing w:before="120" w:after="120"/>
              <w:rPr>
                <w:b/>
                <w:bCs/>
                <w:szCs w:val="18"/>
                <w:lang w:val="en-US"/>
              </w:rPr>
            </w:pPr>
          </w:p>
        </w:tc>
      </w:tr>
      <w:tr w:rsidR="00C219EA" w:rsidRPr="00C219EA" w14:paraId="49B72CA0" w14:textId="77777777" w:rsidTr="007569E5">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1398FF06" w14:textId="77777777" w:rsidR="00C219EA" w:rsidRPr="00C219EA" w:rsidRDefault="00C219EA" w:rsidP="007569E5">
            <w:pPr>
              <w:spacing w:before="120" w:after="120"/>
              <w:rPr>
                <w:rFonts w:ascii="Futura PT Book" w:hAnsi="Futura PT Book" w:cs="Futura PT Book"/>
                <w:b/>
                <w:bCs/>
                <w:color w:val="000000"/>
                <w:sz w:val="16"/>
                <w:szCs w:val="16"/>
                <w:lang w:val="en-US"/>
              </w:rPr>
            </w:pPr>
            <w:r w:rsidRPr="00C219EA">
              <w:rPr>
                <w:b/>
                <w:bCs/>
                <w:color w:val="1C1C1C"/>
                <w:sz w:val="16"/>
                <w:szCs w:val="16"/>
              </w:rPr>
              <w:t>Classification</w:t>
            </w:r>
          </w:p>
        </w:tc>
        <w:tc>
          <w:tcPr>
            <w:tcW w:w="842" w:type="dxa"/>
            <w:shd w:val="clear" w:color="auto" w:fill="FBC5D6" w:themeFill="accent6" w:themeFillTint="33"/>
          </w:tcPr>
          <w:p w14:paraId="6F7C3370" w14:textId="77777777" w:rsidR="00C219EA" w:rsidRPr="00C219EA" w:rsidRDefault="00C219EA" w:rsidP="007569E5">
            <w:pPr>
              <w:spacing w:before="120" w:after="120"/>
              <w:jc w:val="right"/>
              <w:rPr>
                <w:b/>
                <w:bCs/>
                <w:color w:val="1C1C1C"/>
                <w:sz w:val="16"/>
                <w:szCs w:val="16"/>
              </w:rPr>
            </w:pPr>
            <w:r w:rsidRPr="00C219EA">
              <w:rPr>
                <w:b/>
                <w:bCs/>
                <w:color w:val="1C1C1C"/>
                <w:sz w:val="16"/>
                <w:szCs w:val="16"/>
              </w:rPr>
              <w:t>Full-time</w:t>
            </w:r>
          </w:p>
        </w:tc>
        <w:tc>
          <w:tcPr>
            <w:tcW w:w="851" w:type="dxa"/>
            <w:shd w:val="clear" w:color="auto" w:fill="FBC5D6" w:themeFill="accent6" w:themeFillTint="33"/>
          </w:tcPr>
          <w:p w14:paraId="0ACE3A9D" w14:textId="77777777" w:rsidR="00C219EA" w:rsidRPr="00C219EA" w:rsidRDefault="00C219EA" w:rsidP="007569E5">
            <w:pPr>
              <w:spacing w:before="120" w:after="120"/>
              <w:jc w:val="right"/>
              <w:rPr>
                <w:b/>
                <w:bCs/>
                <w:color w:val="1C1C1C"/>
                <w:sz w:val="16"/>
                <w:szCs w:val="16"/>
              </w:rPr>
            </w:pPr>
            <w:r w:rsidRPr="00C219EA">
              <w:rPr>
                <w:b/>
                <w:bCs/>
                <w:color w:val="1C1C1C"/>
                <w:sz w:val="16"/>
                <w:szCs w:val="16"/>
              </w:rPr>
              <w:t>Part-time</w:t>
            </w:r>
          </w:p>
        </w:tc>
        <w:tc>
          <w:tcPr>
            <w:tcW w:w="715" w:type="dxa"/>
            <w:tcBorders>
              <w:right w:val="single" w:sz="4" w:space="0" w:color="FFFFFF" w:themeColor="background2"/>
            </w:tcBorders>
            <w:shd w:val="clear" w:color="auto" w:fill="FBC5D6" w:themeFill="accent6" w:themeFillTint="33"/>
          </w:tcPr>
          <w:p w14:paraId="24AB544E" w14:textId="77777777" w:rsidR="00C219EA" w:rsidRPr="00C219EA" w:rsidRDefault="00C219EA" w:rsidP="007569E5">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5BCE01CF" w14:textId="77777777" w:rsidR="00C219EA" w:rsidRPr="00C219EA" w:rsidRDefault="00C219EA" w:rsidP="007569E5">
            <w:pPr>
              <w:spacing w:before="120" w:after="120"/>
              <w:jc w:val="right"/>
              <w:rPr>
                <w:rFonts w:ascii="Futura PT Book" w:hAnsi="Futura PT Book" w:cs="Futura PT Book"/>
                <w:b/>
                <w:bCs/>
                <w:color w:val="000000"/>
                <w:sz w:val="16"/>
                <w:szCs w:val="16"/>
                <w:lang w:val="en-US"/>
              </w:rPr>
            </w:pPr>
            <w:r w:rsidRPr="00C219EA">
              <w:rPr>
                <w:b/>
                <w:bCs/>
                <w:color w:val="1C1C1C"/>
                <w:sz w:val="16"/>
                <w:szCs w:val="16"/>
              </w:rPr>
              <w:t>Full-time</w:t>
            </w:r>
          </w:p>
        </w:tc>
        <w:tc>
          <w:tcPr>
            <w:tcW w:w="850" w:type="dxa"/>
            <w:shd w:val="clear" w:color="auto" w:fill="FBC5D6" w:themeFill="accent6" w:themeFillTint="33"/>
          </w:tcPr>
          <w:p w14:paraId="09285B5D" w14:textId="77777777" w:rsidR="00C219EA" w:rsidRPr="00C219EA" w:rsidRDefault="00C219EA" w:rsidP="007569E5">
            <w:pPr>
              <w:spacing w:before="120" w:after="120"/>
              <w:jc w:val="right"/>
              <w:rPr>
                <w:b/>
                <w:bCs/>
                <w:color w:val="1C1C1C"/>
                <w:sz w:val="16"/>
                <w:szCs w:val="16"/>
              </w:rPr>
            </w:pPr>
            <w:r w:rsidRPr="00C219EA">
              <w:rPr>
                <w:b/>
                <w:bCs/>
                <w:color w:val="1C1C1C"/>
                <w:sz w:val="16"/>
                <w:szCs w:val="16"/>
              </w:rPr>
              <w:t>Part-time</w:t>
            </w:r>
          </w:p>
        </w:tc>
        <w:tc>
          <w:tcPr>
            <w:tcW w:w="850" w:type="dxa"/>
            <w:tcBorders>
              <w:right w:val="single" w:sz="4" w:space="0" w:color="FFFFFF" w:themeColor="background2"/>
            </w:tcBorders>
            <w:shd w:val="clear" w:color="auto" w:fill="FBC5D6" w:themeFill="accent6" w:themeFillTint="33"/>
          </w:tcPr>
          <w:p w14:paraId="6C45A73E" w14:textId="77777777" w:rsidR="00C219EA" w:rsidRPr="00C219EA" w:rsidRDefault="00C219EA" w:rsidP="007569E5">
            <w:pPr>
              <w:spacing w:before="120" w:after="120"/>
              <w:jc w:val="right"/>
              <w:rPr>
                <w:b/>
                <w:bCs/>
                <w:color w:val="1C1C1C"/>
                <w:sz w:val="16"/>
                <w:szCs w:val="16"/>
              </w:rPr>
            </w:pPr>
            <w:r w:rsidRPr="00C219EA">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472DF906" w14:textId="77777777" w:rsidR="00C219EA" w:rsidRPr="00C219EA" w:rsidRDefault="00C219EA" w:rsidP="007569E5">
            <w:pPr>
              <w:spacing w:before="120" w:after="120"/>
              <w:jc w:val="right"/>
              <w:rPr>
                <w:b/>
                <w:bCs/>
                <w:color w:val="1C1C1C"/>
                <w:sz w:val="16"/>
                <w:szCs w:val="16"/>
              </w:rPr>
            </w:pPr>
            <w:r w:rsidRPr="00C219EA">
              <w:rPr>
                <w:b/>
                <w:bCs/>
                <w:color w:val="1C1C1C"/>
                <w:sz w:val="16"/>
                <w:szCs w:val="16"/>
              </w:rPr>
              <w:t>Total</w:t>
            </w:r>
          </w:p>
        </w:tc>
      </w:tr>
      <w:tr w:rsidR="00F71418" w:rsidRPr="00C219EA" w14:paraId="6BDBBADE" w14:textId="77777777" w:rsidTr="007569E5">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1337E0FA" w14:textId="6E855C9A" w:rsidR="00F71418" w:rsidRPr="00C219EA" w:rsidRDefault="00F71418" w:rsidP="007569E5">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61BE8B0B" w14:textId="05B9429D"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65E915FC" w14:textId="5A117764"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39FD6174" w14:textId="7C1249F4" w:rsidR="00F71418" w:rsidRPr="00C219EA" w:rsidRDefault="00F71418" w:rsidP="007569E5">
            <w:pPr>
              <w:spacing w:before="120" w:after="120"/>
              <w:jc w:val="right"/>
              <w:rPr>
                <w:rFonts w:ascii="Futura PT Book" w:hAnsi="Futura PT Book" w:cs="Futura PT Book"/>
                <w:color w:val="000000"/>
                <w:sz w:val="16"/>
                <w:szCs w:val="16"/>
                <w:lang w:val="en-US"/>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4890711D" w14:textId="373C6352" w:rsidR="00F71418" w:rsidRPr="00C219EA" w:rsidRDefault="00F71418" w:rsidP="007569E5">
            <w:pPr>
              <w:spacing w:before="120" w:after="120"/>
              <w:jc w:val="right"/>
              <w:rPr>
                <w:rFonts w:ascii="Futura PT Book" w:hAnsi="Futura PT Book" w:cs="Futura PT Book"/>
                <w:color w:val="000000"/>
                <w:sz w:val="16"/>
                <w:szCs w:val="16"/>
                <w:lang w:val="en-US"/>
              </w:rPr>
            </w:pPr>
            <w:r w:rsidRPr="00C219EA">
              <w:rPr>
                <w:color w:val="1C1C1C"/>
                <w:sz w:val="16"/>
                <w:szCs w:val="16"/>
              </w:rPr>
              <w:t>2</w:t>
            </w:r>
          </w:p>
        </w:tc>
        <w:tc>
          <w:tcPr>
            <w:tcW w:w="850" w:type="dxa"/>
            <w:shd w:val="clear" w:color="auto" w:fill="F2F2F2" w:themeFill="background2" w:themeFillShade="F2"/>
          </w:tcPr>
          <w:p w14:paraId="6850346F" w14:textId="002CF654"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67F86A6D" w14:textId="103B0E72" w:rsidR="00F71418" w:rsidRPr="00C219EA" w:rsidRDefault="00F71418" w:rsidP="007569E5">
            <w:pPr>
              <w:spacing w:before="120" w:after="120"/>
              <w:jc w:val="right"/>
              <w:rPr>
                <w:color w:val="1C1C1C"/>
                <w:sz w:val="16"/>
                <w:szCs w:val="16"/>
              </w:rPr>
            </w:pPr>
            <w:r w:rsidRPr="00C219EA">
              <w:rPr>
                <w:color w:val="1C1C1C"/>
                <w:sz w:val="16"/>
                <w:szCs w:val="16"/>
              </w:rPr>
              <w:t>2</w:t>
            </w:r>
          </w:p>
        </w:tc>
        <w:tc>
          <w:tcPr>
            <w:tcW w:w="850" w:type="dxa"/>
            <w:tcBorders>
              <w:left w:val="single" w:sz="4" w:space="0" w:color="FFFFFF" w:themeColor="background2"/>
            </w:tcBorders>
          </w:tcPr>
          <w:p w14:paraId="4017CB36" w14:textId="2B75B637" w:rsidR="00F71418" w:rsidRPr="00C219EA" w:rsidRDefault="00F71418" w:rsidP="007569E5">
            <w:pPr>
              <w:spacing w:before="120" w:after="120"/>
              <w:jc w:val="right"/>
              <w:rPr>
                <w:color w:val="1C1C1C"/>
                <w:sz w:val="16"/>
                <w:szCs w:val="16"/>
              </w:rPr>
            </w:pPr>
            <w:r w:rsidRPr="00C219EA">
              <w:rPr>
                <w:color w:val="1C1C1C"/>
                <w:sz w:val="16"/>
                <w:szCs w:val="16"/>
              </w:rPr>
              <w:t>2</w:t>
            </w:r>
          </w:p>
        </w:tc>
      </w:tr>
      <w:tr w:rsidR="00F71418" w:rsidRPr="00C219EA" w14:paraId="0657A8E3" w14:textId="77777777" w:rsidTr="007569E5">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679CD833" w14:textId="31318A47" w:rsidR="00F71418" w:rsidRPr="00C219EA" w:rsidRDefault="00F71418" w:rsidP="007569E5">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071EF89E" w14:textId="62CA7950" w:rsidR="00F71418" w:rsidRPr="00C219EA" w:rsidRDefault="00F71418" w:rsidP="007569E5">
            <w:pPr>
              <w:spacing w:before="120" w:after="120"/>
              <w:jc w:val="right"/>
              <w:rPr>
                <w:color w:val="1C1C1C"/>
                <w:sz w:val="16"/>
                <w:szCs w:val="16"/>
              </w:rPr>
            </w:pPr>
            <w:r>
              <w:rPr>
                <w:color w:val="1C1C1C"/>
                <w:sz w:val="16"/>
                <w:szCs w:val="16"/>
              </w:rPr>
              <w:t>7</w:t>
            </w:r>
          </w:p>
        </w:tc>
        <w:tc>
          <w:tcPr>
            <w:tcW w:w="851" w:type="dxa"/>
            <w:shd w:val="clear" w:color="auto" w:fill="F2F2F2" w:themeFill="background2" w:themeFillShade="F2"/>
          </w:tcPr>
          <w:p w14:paraId="4A3481F1" w14:textId="7B859231"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5B69CB66" w14:textId="7C24FDCD" w:rsidR="00F71418" w:rsidRPr="00C219EA" w:rsidRDefault="00F71418" w:rsidP="007569E5">
            <w:pPr>
              <w:spacing w:before="120" w:after="120"/>
              <w:jc w:val="right"/>
              <w:rPr>
                <w:rFonts w:ascii="Futura PT Book" w:hAnsi="Futura PT Book" w:cs="Futura PT Book"/>
                <w:color w:val="000000"/>
                <w:sz w:val="16"/>
                <w:szCs w:val="16"/>
                <w:lang w:val="en-US"/>
              </w:rPr>
            </w:pPr>
            <w:r>
              <w:rPr>
                <w:color w:val="1C1C1C"/>
                <w:sz w:val="16"/>
                <w:szCs w:val="16"/>
              </w:rPr>
              <w:t>7</w:t>
            </w:r>
          </w:p>
        </w:tc>
        <w:tc>
          <w:tcPr>
            <w:tcW w:w="850" w:type="dxa"/>
            <w:tcBorders>
              <w:left w:val="single" w:sz="4" w:space="0" w:color="FFFFFF" w:themeColor="background2"/>
            </w:tcBorders>
            <w:shd w:val="clear" w:color="auto" w:fill="F2F2F2" w:themeFill="background2" w:themeFillShade="F2"/>
          </w:tcPr>
          <w:p w14:paraId="04ACE186" w14:textId="00D06B52" w:rsidR="00F71418" w:rsidRPr="00C219EA" w:rsidRDefault="00F71418" w:rsidP="007569E5">
            <w:pPr>
              <w:spacing w:before="120" w:after="120"/>
              <w:jc w:val="right"/>
              <w:rPr>
                <w:rFonts w:ascii="Futura PT Book" w:hAnsi="Futura PT Book" w:cs="Futura PT Book"/>
                <w:color w:val="000000"/>
                <w:sz w:val="16"/>
                <w:szCs w:val="16"/>
                <w:lang w:val="en-US"/>
              </w:rPr>
            </w:pPr>
            <w:r w:rsidRPr="00C219EA">
              <w:rPr>
                <w:color w:val="1C1C1C"/>
                <w:sz w:val="16"/>
                <w:szCs w:val="16"/>
              </w:rPr>
              <w:t>5</w:t>
            </w:r>
          </w:p>
        </w:tc>
        <w:tc>
          <w:tcPr>
            <w:tcW w:w="850" w:type="dxa"/>
            <w:shd w:val="clear" w:color="auto" w:fill="F2F2F2" w:themeFill="background2" w:themeFillShade="F2"/>
          </w:tcPr>
          <w:p w14:paraId="77548082" w14:textId="025E773B" w:rsidR="00F71418" w:rsidRPr="00C219EA" w:rsidRDefault="00F71418" w:rsidP="007569E5">
            <w:pPr>
              <w:spacing w:before="120" w:after="120"/>
              <w:jc w:val="right"/>
              <w:rPr>
                <w:color w:val="1C1C1C"/>
                <w:sz w:val="16"/>
                <w:szCs w:val="16"/>
              </w:rPr>
            </w:pPr>
            <w:r>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7FD2E938" w14:textId="07DB8971" w:rsidR="00F71418" w:rsidRPr="00C219EA" w:rsidRDefault="00F71418" w:rsidP="007569E5">
            <w:pPr>
              <w:spacing w:before="120" w:after="120"/>
              <w:jc w:val="right"/>
              <w:rPr>
                <w:color w:val="1C1C1C"/>
                <w:sz w:val="16"/>
                <w:szCs w:val="16"/>
              </w:rPr>
            </w:pPr>
            <w:r>
              <w:rPr>
                <w:color w:val="1C1C1C"/>
                <w:sz w:val="16"/>
                <w:szCs w:val="16"/>
              </w:rPr>
              <w:t>7</w:t>
            </w:r>
          </w:p>
        </w:tc>
        <w:tc>
          <w:tcPr>
            <w:tcW w:w="850" w:type="dxa"/>
            <w:tcBorders>
              <w:left w:val="single" w:sz="4" w:space="0" w:color="FFFFFF" w:themeColor="background2"/>
            </w:tcBorders>
          </w:tcPr>
          <w:p w14:paraId="5949FC0F" w14:textId="5390DF67" w:rsidR="00F71418" w:rsidRPr="00C219EA" w:rsidRDefault="00F71418" w:rsidP="007569E5">
            <w:pPr>
              <w:spacing w:before="120" w:after="120"/>
              <w:jc w:val="right"/>
              <w:rPr>
                <w:color w:val="1C1C1C"/>
                <w:sz w:val="16"/>
                <w:szCs w:val="16"/>
              </w:rPr>
            </w:pPr>
            <w:r w:rsidRPr="00C219EA">
              <w:rPr>
                <w:color w:val="1C1C1C"/>
                <w:sz w:val="16"/>
                <w:szCs w:val="16"/>
              </w:rPr>
              <w:t>1</w:t>
            </w:r>
            <w:r>
              <w:rPr>
                <w:color w:val="1C1C1C"/>
                <w:sz w:val="16"/>
                <w:szCs w:val="16"/>
              </w:rPr>
              <w:t>4</w:t>
            </w:r>
          </w:p>
        </w:tc>
      </w:tr>
      <w:tr w:rsidR="00F71418" w:rsidRPr="00C219EA" w14:paraId="596D53B0" w14:textId="77777777" w:rsidTr="007569E5">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6BF6D358" w14:textId="169B8BB1" w:rsidR="00F71418" w:rsidRPr="00C219EA" w:rsidRDefault="00F71418" w:rsidP="007569E5">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7716D0B9" w14:textId="18649F5C" w:rsidR="00F71418" w:rsidRPr="00C219EA" w:rsidRDefault="00F71418" w:rsidP="007569E5">
            <w:pPr>
              <w:spacing w:before="120" w:after="120"/>
              <w:jc w:val="right"/>
              <w:rPr>
                <w:color w:val="1C1C1C"/>
                <w:sz w:val="16"/>
                <w:szCs w:val="16"/>
              </w:rPr>
            </w:pPr>
            <w:r w:rsidRPr="00C219EA">
              <w:rPr>
                <w:color w:val="1C1C1C"/>
                <w:sz w:val="16"/>
                <w:szCs w:val="16"/>
              </w:rPr>
              <w:t>8</w:t>
            </w:r>
          </w:p>
        </w:tc>
        <w:tc>
          <w:tcPr>
            <w:tcW w:w="851" w:type="dxa"/>
            <w:shd w:val="clear" w:color="auto" w:fill="F2F2F2" w:themeFill="background2" w:themeFillShade="F2"/>
          </w:tcPr>
          <w:p w14:paraId="41524FDA" w14:textId="75C21365"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0DCE47C6" w14:textId="0832521A" w:rsidR="00F71418" w:rsidRPr="00C219EA" w:rsidRDefault="00F71418" w:rsidP="007569E5">
            <w:pPr>
              <w:spacing w:before="120" w:after="120"/>
              <w:jc w:val="right"/>
              <w:rPr>
                <w:rFonts w:ascii="Futura PT Book" w:hAnsi="Futura PT Book" w:cs="Futura PT Book"/>
                <w:color w:val="000000"/>
                <w:sz w:val="16"/>
                <w:szCs w:val="16"/>
                <w:lang w:val="en-US"/>
              </w:rPr>
            </w:pPr>
            <w:r w:rsidRPr="00C219EA">
              <w:rPr>
                <w:color w:val="1C1C1C"/>
                <w:sz w:val="16"/>
                <w:szCs w:val="16"/>
              </w:rPr>
              <w:t>8</w:t>
            </w:r>
          </w:p>
        </w:tc>
        <w:tc>
          <w:tcPr>
            <w:tcW w:w="850" w:type="dxa"/>
            <w:tcBorders>
              <w:left w:val="single" w:sz="4" w:space="0" w:color="FFFFFF" w:themeColor="background2"/>
            </w:tcBorders>
            <w:shd w:val="clear" w:color="auto" w:fill="F2F2F2" w:themeFill="background2" w:themeFillShade="F2"/>
          </w:tcPr>
          <w:p w14:paraId="3DA427C9" w14:textId="2BEA9CDD" w:rsidR="00F71418" w:rsidRPr="00C219EA" w:rsidRDefault="00F71418" w:rsidP="007569E5">
            <w:pPr>
              <w:spacing w:before="120" w:after="120"/>
              <w:jc w:val="right"/>
              <w:rPr>
                <w:rFonts w:ascii="Futura PT Book" w:hAnsi="Futura PT Book" w:cs="Futura PT Book"/>
                <w:color w:val="000000"/>
                <w:sz w:val="16"/>
                <w:szCs w:val="16"/>
                <w:lang w:val="en-US"/>
              </w:rPr>
            </w:pPr>
            <w:r w:rsidRPr="00C219EA">
              <w:rPr>
                <w:color w:val="1C1C1C"/>
                <w:sz w:val="16"/>
                <w:szCs w:val="16"/>
              </w:rPr>
              <w:t>8</w:t>
            </w:r>
          </w:p>
        </w:tc>
        <w:tc>
          <w:tcPr>
            <w:tcW w:w="850" w:type="dxa"/>
            <w:shd w:val="clear" w:color="auto" w:fill="F2F2F2" w:themeFill="background2" w:themeFillShade="F2"/>
          </w:tcPr>
          <w:p w14:paraId="5D970DFA" w14:textId="5F79EDE0" w:rsidR="00F71418" w:rsidRPr="00C219EA" w:rsidRDefault="00F71418" w:rsidP="007569E5">
            <w:pPr>
              <w:spacing w:before="120" w:after="120"/>
              <w:jc w:val="right"/>
              <w:rPr>
                <w:color w:val="1C1C1C"/>
                <w:sz w:val="16"/>
                <w:szCs w:val="16"/>
              </w:rPr>
            </w:pPr>
            <w:r>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0700265C" w14:textId="30B8336A" w:rsidR="00F71418" w:rsidRPr="00C219EA" w:rsidRDefault="00F71418" w:rsidP="007569E5">
            <w:pPr>
              <w:spacing w:before="120" w:after="120"/>
              <w:jc w:val="right"/>
              <w:rPr>
                <w:color w:val="1C1C1C"/>
                <w:sz w:val="16"/>
                <w:szCs w:val="16"/>
              </w:rPr>
            </w:pPr>
            <w:r w:rsidRPr="00C219EA">
              <w:rPr>
                <w:color w:val="1C1C1C"/>
                <w:sz w:val="16"/>
                <w:szCs w:val="16"/>
              </w:rPr>
              <w:t>1</w:t>
            </w:r>
            <w:r>
              <w:rPr>
                <w:color w:val="1C1C1C"/>
                <w:sz w:val="16"/>
                <w:szCs w:val="16"/>
              </w:rPr>
              <w:t>0</w:t>
            </w:r>
          </w:p>
        </w:tc>
        <w:tc>
          <w:tcPr>
            <w:tcW w:w="850" w:type="dxa"/>
            <w:tcBorders>
              <w:left w:val="single" w:sz="4" w:space="0" w:color="FFFFFF" w:themeColor="background2"/>
            </w:tcBorders>
          </w:tcPr>
          <w:p w14:paraId="2BCC5889" w14:textId="0343A44F" w:rsidR="00F71418" w:rsidRPr="00C219EA" w:rsidRDefault="00F71418" w:rsidP="007569E5">
            <w:pPr>
              <w:spacing w:before="120" w:after="120"/>
              <w:jc w:val="right"/>
              <w:rPr>
                <w:color w:val="1C1C1C"/>
                <w:sz w:val="16"/>
                <w:szCs w:val="16"/>
              </w:rPr>
            </w:pPr>
            <w:r>
              <w:rPr>
                <w:color w:val="1C1C1C"/>
                <w:sz w:val="16"/>
                <w:szCs w:val="16"/>
              </w:rPr>
              <w:t>18</w:t>
            </w:r>
          </w:p>
        </w:tc>
      </w:tr>
      <w:tr w:rsidR="00F71418" w:rsidRPr="00C219EA" w14:paraId="7F979C49" w14:textId="77777777" w:rsidTr="007569E5">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5230718F" w14:textId="1803C06C" w:rsidR="00F71418" w:rsidRPr="00C219EA" w:rsidRDefault="00F71418" w:rsidP="007569E5">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278166FF" w14:textId="75EB3C06" w:rsidR="00F71418" w:rsidRPr="00C219EA" w:rsidRDefault="00F71418" w:rsidP="007569E5">
            <w:pPr>
              <w:spacing w:before="120" w:after="120"/>
              <w:jc w:val="right"/>
              <w:rPr>
                <w:color w:val="1C1C1C"/>
                <w:sz w:val="16"/>
                <w:szCs w:val="16"/>
              </w:rPr>
            </w:pPr>
            <w:r w:rsidRPr="00C219EA">
              <w:rPr>
                <w:color w:val="1C1C1C"/>
                <w:sz w:val="16"/>
                <w:szCs w:val="16"/>
              </w:rPr>
              <w:t>5</w:t>
            </w:r>
          </w:p>
        </w:tc>
        <w:tc>
          <w:tcPr>
            <w:tcW w:w="851" w:type="dxa"/>
            <w:shd w:val="clear" w:color="auto" w:fill="F2F2F2" w:themeFill="background2" w:themeFillShade="F2"/>
          </w:tcPr>
          <w:p w14:paraId="2A591BA1" w14:textId="04446B9C"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3785C4E8" w14:textId="06131101" w:rsidR="00F71418" w:rsidRPr="00C219EA" w:rsidRDefault="00F71418" w:rsidP="007569E5">
            <w:pPr>
              <w:spacing w:before="120" w:after="120"/>
              <w:jc w:val="right"/>
              <w:rPr>
                <w:rFonts w:ascii="Futura PT Book" w:hAnsi="Futura PT Book" w:cs="Futura PT Book"/>
                <w:color w:val="000000"/>
                <w:sz w:val="16"/>
                <w:szCs w:val="16"/>
                <w:lang w:val="en-US"/>
              </w:rPr>
            </w:pPr>
            <w:r w:rsidRPr="00C219EA">
              <w:rPr>
                <w:color w:val="1C1C1C"/>
                <w:sz w:val="16"/>
                <w:szCs w:val="16"/>
              </w:rPr>
              <w:t>5</w:t>
            </w:r>
          </w:p>
        </w:tc>
        <w:tc>
          <w:tcPr>
            <w:tcW w:w="850" w:type="dxa"/>
            <w:tcBorders>
              <w:left w:val="single" w:sz="4" w:space="0" w:color="FFFFFF" w:themeColor="background2"/>
            </w:tcBorders>
            <w:shd w:val="clear" w:color="auto" w:fill="F2F2F2" w:themeFill="background2" w:themeFillShade="F2"/>
          </w:tcPr>
          <w:p w14:paraId="21DFD4D2" w14:textId="5D936349" w:rsidR="00F71418" w:rsidRPr="00C219EA" w:rsidRDefault="00F71418" w:rsidP="007569E5">
            <w:pPr>
              <w:spacing w:before="120" w:after="120"/>
              <w:jc w:val="right"/>
              <w:rPr>
                <w:rFonts w:ascii="Futura PT Book" w:hAnsi="Futura PT Book" w:cs="Futura PT Book"/>
                <w:color w:val="000000"/>
                <w:sz w:val="16"/>
                <w:szCs w:val="16"/>
                <w:lang w:val="en-US"/>
              </w:rPr>
            </w:pPr>
            <w:r>
              <w:rPr>
                <w:color w:val="1C1C1C"/>
                <w:sz w:val="16"/>
                <w:szCs w:val="16"/>
              </w:rPr>
              <w:t>7</w:t>
            </w:r>
          </w:p>
        </w:tc>
        <w:tc>
          <w:tcPr>
            <w:tcW w:w="850" w:type="dxa"/>
            <w:shd w:val="clear" w:color="auto" w:fill="F2F2F2" w:themeFill="background2" w:themeFillShade="F2"/>
          </w:tcPr>
          <w:p w14:paraId="22F43C48" w14:textId="23B273C1" w:rsidR="00F71418" w:rsidRPr="00C219EA" w:rsidRDefault="00F71418" w:rsidP="007569E5">
            <w:pPr>
              <w:spacing w:before="120" w:after="120"/>
              <w:jc w:val="right"/>
              <w:rPr>
                <w:color w:val="1C1C1C"/>
                <w:sz w:val="16"/>
                <w:szCs w:val="16"/>
              </w:rPr>
            </w:pPr>
            <w:r w:rsidRPr="00C219EA">
              <w:rPr>
                <w:color w:val="1C1C1C"/>
                <w:sz w:val="16"/>
                <w:szCs w:val="16"/>
              </w:rPr>
              <w:t>2</w:t>
            </w:r>
          </w:p>
        </w:tc>
        <w:tc>
          <w:tcPr>
            <w:tcW w:w="850" w:type="dxa"/>
            <w:tcBorders>
              <w:right w:val="single" w:sz="4" w:space="0" w:color="FFFFFF" w:themeColor="background2"/>
            </w:tcBorders>
            <w:shd w:val="clear" w:color="auto" w:fill="F2F2F2" w:themeFill="background2" w:themeFillShade="F2"/>
          </w:tcPr>
          <w:p w14:paraId="0EB94E48" w14:textId="3E7FCB3F" w:rsidR="00F71418" w:rsidRPr="00C219EA" w:rsidRDefault="00F71418" w:rsidP="007569E5">
            <w:pPr>
              <w:spacing w:before="120" w:after="120"/>
              <w:jc w:val="right"/>
              <w:rPr>
                <w:color w:val="1C1C1C"/>
                <w:sz w:val="16"/>
                <w:szCs w:val="16"/>
              </w:rPr>
            </w:pPr>
            <w:r>
              <w:rPr>
                <w:color w:val="1C1C1C"/>
                <w:sz w:val="16"/>
                <w:szCs w:val="16"/>
              </w:rPr>
              <w:t>9</w:t>
            </w:r>
          </w:p>
        </w:tc>
        <w:tc>
          <w:tcPr>
            <w:tcW w:w="850" w:type="dxa"/>
            <w:tcBorders>
              <w:left w:val="single" w:sz="4" w:space="0" w:color="FFFFFF" w:themeColor="background2"/>
            </w:tcBorders>
          </w:tcPr>
          <w:p w14:paraId="75FCD581" w14:textId="1FE64817" w:rsidR="00F71418" w:rsidRPr="00C219EA" w:rsidRDefault="00F71418" w:rsidP="007569E5">
            <w:pPr>
              <w:spacing w:before="120" w:after="120"/>
              <w:jc w:val="right"/>
              <w:rPr>
                <w:color w:val="1C1C1C"/>
                <w:sz w:val="16"/>
                <w:szCs w:val="16"/>
              </w:rPr>
            </w:pPr>
            <w:r w:rsidRPr="00C219EA">
              <w:rPr>
                <w:color w:val="1C1C1C"/>
                <w:sz w:val="16"/>
                <w:szCs w:val="16"/>
              </w:rPr>
              <w:t>1</w:t>
            </w:r>
            <w:r>
              <w:rPr>
                <w:color w:val="1C1C1C"/>
                <w:sz w:val="16"/>
                <w:szCs w:val="16"/>
              </w:rPr>
              <w:t>4</w:t>
            </w:r>
          </w:p>
        </w:tc>
      </w:tr>
      <w:tr w:rsidR="00F71418" w:rsidRPr="00C219EA" w14:paraId="59D5E855" w14:textId="77777777" w:rsidTr="007569E5">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7653A868" w14:textId="1E820AAE" w:rsidR="00F71418" w:rsidRPr="00C219EA" w:rsidRDefault="00F71418" w:rsidP="007569E5">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0270A2C8" w14:textId="212A8041"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851" w:type="dxa"/>
            <w:shd w:val="clear" w:color="auto" w:fill="F2F2F2" w:themeFill="background2" w:themeFillShade="F2"/>
          </w:tcPr>
          <w:p w14:paraId="36219605" w14:textId="33967D1D"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4184FC9C" w14:textId="59072846"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25DBBF65" w14:textId="737C4AE3" w:rsidR="00F71418" w:rsidRPr="00C219EA" w:rsidRDefault="00F71418" w:rsidP="007569E5">
            <w:pPr>
              <w:spacing w:before="120" w:after="120"/>
              <w:jc w:val="right"/>
              <w:rPr>
                <w:color w:val="1C1C1C"/>
                <w:sz w:val="16"/>
                <w:szCs w:val="16"/>
              </w:rPr>
            </w:pPr>
            <w:r w:rsidRPr="00C219EA">
              <w:rPr>
                <w:color w:val="1C1C1C"/>
                <w:sz w:val="16"/>
                <w:szCs w:val="16"/>
              </w:rPr>
              <w:t>1</w:t>
            </w:r>
          </w:p>
        </w:tc>
        <w:tc>
          <w:tcPr>
            <w:tcW w:w="850" w:type="dxa"/>
            <w:shd w:val="clear" w:color="auto" w:fill="F2F2F2" w:themeFill="background2" w:themeFillShade="F2"/>
          </w:tcPr>
          <w:p w14:paraId="7A4A4D8B" w14:textId="19562A75" w:rsidR="00F71418" w:rsidRPr="00C219EA" w:rsidRDefault="00F71418" w:rsidP="007569E5">
            <w:pPr>
              <w:spacing w:before="120" w:after="120"/>
              <w:jc w:val="right"/>
              <w:rPr>
                <w:color w:val="1C1C1C"/>
                <w:sz w:val="16"/>
                <w:szCs w:val="16"/>
              </w:rPr>
            </w:pPr>
            <w:r w:rsidRPr="00C219EA">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0F8DD51F" w14:textId="4A0EC98E" w:rsidR="00F71418" w:rsidRPr="00C219EA" w:rsidRDefault="00F71418" w:rsidP="007569E5">
            <w:pPr>
              <w:spacing w:before="120" w:after="120"/>
              <w:jc w:val="right"/>
              <w:rPr>
                <w:color w:val="1C1C1C"/>
                <w:sz w:val="16"/>
                <w:szCs w:val="16"/>
              </w:rPr>
            </w:pPr>
            <w:r w:rsidRPr="00C219EA">
              <w:rPr>
                <w:color w:val="1C1C1C"/>
                <w:sz w:val="16"/>
                <w:szCs w:val="16"/>
              </w:rPr>
              <w:t>1</w:t>
            </w:r>
          </w:p>
        </w:tc>
        <w:tc>
          <w:tcPr>
            <w:tcW w:w="850" w:type="dxa"/>
            <w:tcBorders>
              <w:left w:val="single" w:sz="4" w:space="0" w:color="FFFFFF" w:themeColor="background2"/>
            </w:tcBorders>
          </w:tcPr>
          <w:p w14:paraId="4F35B10C" w14:textId="10699E41" w:rsidR="00F71418" w:rsidRPr="00C219EA" w:rsidRDefault="00F71418" w:rsidP="007569E5">
            <w:pPr>
              <w:spacing w:before="120" w:after="120"/>
              <w:jc w:val="right"/>
              <w:rPr>
                <w:color w:val="1C1C1C"/>
                <w:sz w:val="16"/>
                <w:szCs w:val="16"/>
              </w:rPr>
            </w:pPr>
            <w:r w:rsidRPr="00C219EA">
              <w:rPr>
                <w:color w:val="1C1C1C"/>
                <w:sz w:val="16"/>
                <w:szCs w:val="16"/>
              </w:rPr>
              <w:t>1</w:t>
            </w:r>
          </w:p>
        </w:tc>
      </w:tr>
      <w:tr w:rsidR="00566DF3" w:rsidRPr="00C219EA" w14:paraId="78EE8BCA" w14:textId="77777777" w:rsidTr="007569E5">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7E3EEFF3" w14:textId="77777777" w:rsidR="00566DF3" w:rsidRPr="00C219EA" w:rsidRDefault="00566DF3" w:rsidP="007569E5">
            <w:pPr>
              <w:spacing w:before="120" w:after="120"/>
              <w:rPr>
                <w:b/>
                <w:bCs/>
                <w:color w:val="1C1C1C"/>
                <w:sz w:val="16"/>
                <w:szCs w:val="16"/>
              </w:rPr>
            </w:pPr>
            <w:r w:rsidRPr="00C219EA">
              <w:rPr>
                <w:b/>
                <w:bCs/>
                <w:color w:val="1C1C1C"/>
                <w:sz w:val="16"/>
                <w:szCs w:val="16"/>
              </w:rPr>
              <w:t>Total</w:t>
            </w:r>
          </w:p>
        </w:tc>
        <w:tc>
          <w:tcPr>
            <w:tcW w:w="842" w:type="dxa"/>
            <w:shd w:val="clear" w:color="auto" w:fill="FBC5D6" w:themeFill="accent6" w:themeFillTint="33"/>
          </w:tcPr>
          <w:p w14:paraId="4F882CC5" w14:textId="04CCE7D3" w:rsidR="00566DF3" w:rsidRPr="00C219EA" w:rsidRDefault="00566DF3" w:rsidP="007569E5">
            <w:pPr>
              <w:spacing w:before="120" w:after="120"/>
              <w:jc w:val="right"/>
              <w:rPr>
                <w:b/>
                <w:bCs/>
                <w:color w:val="1C1C1C"/>
                <w:sz w:val="16"/>
                <w:szCs w:val="16"/>
              </w:rPr>
            </w:pPr>
            <w:r>
              <w:rPr>
                <w:b/>
                <w:bCs/>
                <w:color w:val="1C1C1C"/>
                <w:sz w:val="16"/>
                <w:szCs w:val="16"/>
              </w:rPr>
              <w:t>20</w:t>
            </w:r>
          </w:p>
        </w:tc>
        <w:tc>
          <w:tcPr>
            <w:tcW w:w="851" w:type="dxa"/>
            <w:shd w:val="clear" w:color="auto" w:fill="FBC5D6" w:themeFill="accent6" w:themeFillTint="33"/>
          </w:tcPr>
          <w:p w14:paraId="362A6632" w14:textId="74731942" w:rsidR="00566DF3" w:rsidRPr="00C219EA" w:rsidRDefault="00566DF3" w:rsidP="007569E5">
            <w:pPr>
              <w:spacing w:before="120" w:after="120"/>
              <w:jc w:val="right"/>
              <w:rPr>
                <w:b/>
                <w:bCs/>
                <w:color w:val="1C1C1C"/>
                <w:sz w:val="16"/>
                <w:szCs w:val="16"/>
              </w:rPr>
            </w:pPr>
            <w:r w:rsidRPr="00C219EA">
              <w:rPr>
                <w:b/>
                <w:bCs/>
                <w:color w:val="1C1C1C"/>
                <w:sz w:val="16"/>
                <w:szCs w:val="16"/>
              </w:rPr>
              <w:t>0</w:t>
            </w:r>
          </w:p>
        </w:tc>
        <w:tc>
          <w:tcPr>
            <w:tcW w:w="715" w:type="dxa"/>
            <w:tcBorders>
              <w:right w:val="single" w:sz="4" w:space="0" w:color="FFFFFF" w:themeColor="background2"/>
            </w:tcBorders>
            <w:shd w:val="clear" w:color="auto" w:fill="FBC5D6" w:themeFill="accent6" w:themeFillTint="33"/>
          </w:tcPr>
          <w:p w14:paraId="139F63D5" w14:textId="665833BC" w:rsidR="00566DF3" w:rsidRPr="00C219EA" w:rsidRDefault="00566DF3" w:rsidP="007569E5">
            <w:pPr>
              <w:spacing w:before="120" w:after="120"/>
              <w:jc w:val="right"/>
              <w:rPr>
                <w:b/>
                <w:bCs/>
                <w:color w:val="1C1C1C"/>
                <w:sz w:val="16"/>
                <w:szCs w:val="16"/>
              </w:rPr>
            </w:pPr>
            <w:r>
              <w:rPr>
                <w:b/>
                <w:bCs/>
                <w:color w:val="1C1C1C"/>
                <w:sz w:val="16"/>
                <w:szCs w:val="16"/>
              </w:rPr>
              <w:t>20</w:t>
            </w:r>
          </w:p>
        </w:tc>
        <w:tc>
          <w:tcPr>
            <w:tcW w:w="850" w:type="dxa"/>
            <w:tcBorders>
              <w:left w:val="single" w:sz="4" w:space="0" w:color="FFFFFF" w:themeColor="background2"/>
            </w:tcBorders>
            <w:shd w:val="clear" w:color="auto" w:fill="FBC5D6" w:themeFill="accent6" w:themeFillTint="33"/>
          </w:tcPr>
          <w:p w14:paraId="64C5A9C9" w14:textId="16094649" w:rsidR="00566DF3" w:rsidRPr="00C219EA" w:rsidRDefault="00566DF3" w:rsidP="007569E5">
            <w:pPr>
              <w:spacing w:before="120" w:after="120"/>
              <w:jc w:val="right"/>
              <w:rPr>
                <w:b/>
                <w:bCs/>
                <w:color w:val="1C1C1C"/>
                <w:sz w:val="16"/>
                <w:szCs w:val="16"/>
              </w:rPr>
            </w:pPr>
            <w:r w:rsidRPr="00C219EA">
              <w:rPr>
                <w:b/>
                <w:bCs/>
                <w:color w:val="1C1C1C"/>
                <w:sz w:val="16"/>
                <w:szCs w:val="16"/>
              </w:rPr>
              <w:t>2</w:t>
            </w:r>
            <w:r>
              <w:rPr>
                <w:b/>
                <w:bCs/>
                <w:color w:val="1C1C1C"/>
                <w:sz w:val="16"/>
                <w:szCs w:val="16"/>
              </w:rPr>
              <w:t>3</w:t>
            </w:r>
          </w:p>
        </w:tc>
        <w:tc>
          <w:tcPr>
            <w:tcW w:w="850" w:type="dxa"/>
            <w:shd w:val="clear" w:color="auto" w:fill="FBC5D6" w:themeFill="accent6" w:themeFillTint="33"/>
          </w:tcPr>
          <w:p w14:paraId="0E0F61D5" w14:textId="574CDA26" w:rsidR="00566DF3" w:rsidRPr="00C219EA" w:rsidRDefault="00566DF3" w:rsidP="007569E5">
            <w:pPr>
              <w:spacing w:before="120" w:after="120"/>
              <w:jc w:val="right"/>
              <w:rPr>
                <w:b/>
                <w:bCs/>
                <w:color w:val="1C1C1C"/>
                <w:sz w:val="16"/>
                <w:szCs w:val="16"/>
              </w:rPr>
            </w:pPr>
            <w:r w:rsidRPr="00C219EA">
              <w:rPr>
                <w:b/>
                <w:bCs/>
                <w:color w:val="1C1C1C"/>
                <w:sz w:val="16"/>
                <w:szCs w:val="16"/>
              </w:rPr>
              <w:t>6</w:t>
            </w:r>
          </w:p>
        </w:tc>
        <w:tc>
          <w:tcPr>
            <w:tcW w:w="850" w:type="dxa"/>
            <w:tcBorders>
              <w:right w:val="single" w:sz="4" w:space="0" w:color="FFFFFF" w:themeColor="background2"/>
            </w:tcBorders>
            <w:shd w:val="clear" w:color="auto" w:fill="FBC5D6" w:themeFill="accent6" w:themeFillTint="33"/>
          </w:tcPr>
          <w:p w14:paraId="7F28EBBC" w14:textId="2245982A" w:rsidR="00566DF3" w:rsidRPr="00C219EA" w:rsidRDefault="00566DF3" w:rsidP="007569E5">
            <w:pPr>
              <w:spacing w:before="120" w:after="120"/>
              <w:jc w:val="right"/>
              <w:rPr>
                <w:b/>
                <w:bCs/>
                <w:color w:val="1C1C1C"/>
                <w:sz w:val="16"/>
                <w:szCs w:val="16"/>
              </w:rPr>
            </w:pPr>
            <w:r w:rsidRPr="00C219EA">
              <w:rPr>
                <w:b/>
                <w:bCs/>
                <w:color w:val="1C1C1C"/>
                <w:sz w:val="16"/>
                <w:szCs w:val="16"/>
              </w:rPr>
              <w:t>2</w:t>
            </w:r>
            <w:r>
              <w:rPr>
                <w:b/>
                <w:bCs/>
                <w:color w:val="1C1C1C"/>
                <w:sz w:val="16"/>
                <w:szCs w:val="16"/>
              </w:rPr>
              <w:t>9</w:t>
            </w:r>
          </w:p>
        </w:tc>
        <w:tc>
          <w:tcPr>
            <w:tcW w:w="850" w:type="dxa"/>
            <w:tcBorders>
              <w:left w:val="single" w:sz="4" w:space="0" w:color="FFFFFF" w:themeColor="background2"/>
            </w:tcBorders>
            <w:shd w:val="clear" w:color="auto" w:fill="FBC5D6" w:themeFill="accent6" w:themeFillTint="33"/>
          </w:tcPr>
          <w:p w14:paraId="5FE896D0" w14:textId="76AAC46E" w:rsidR="00566DF3" w:rsidRPr="00C219EA" w:rsidRDefault="00566DF3" w:rsidP="007569E5">
            <w:pPr>
              <w:spacing w:before="120" w:after="120"/>
              <w:jc w:val="right"/>
              <w:rPr>
                <w:b/>
                <w:bCs/>
                <w:color w:val="1C1C1C"/>
                <w:sz w:val="16"/>
                <w:szCs w:val="16"/>
              </w:rPr>
            </w:pPr>
            <w:r w:rsidRPr="00C219EA">
              <w:rPr>
                <w:b/>
                <w:bCs/>
                <w:color w:val="1C1C1C"/>
                <w:sz w:val="16"/>
                <w:szCs w:val="16"/>
              </w:rPr>
              <w:t>4</w:t>
            </w:r>
            <w:r>
              <w:rPr>
                <w:b/>
                <w:bCs/>
                <w:color w:val="1C1C1C"/>
                <w:sz w:val="16"/>
                <w:szCs w:val="16"/>
              </w:rPr>
              <w:t>9</w:t>
            </w:r>
          </w:p>
        </w:tc>
      </w:tr>
    </w:tbl>
    <w:p w14:paraId="0C90CEA7" w14:textId="77777777" w:rsidR="00A43FEE" w:rsidRDefault="00A43FEE" w:rsidP="00153DC1">
      <w:pPr>
        <w:pStyle w:val="FigureHeading"/>
        <w:sectPr w:rsidR="00A43FEE" w:rsidSect="00441579">
          <w:footerReference w:type="default" r:id="rId174"/>
          <w:pgSz w:w="9979" w:h="14175"/>
          <w:pgMar w:top="1134" w:right="1134" w:bottom="1134" w:left="1134" w:header="709" w:footer="709" w:gutter="0"/>
          <w:cols w:space="708"/>
          <w:docGrid w:linePitch="360"/>
        </w:sectPr>
      </w:pPr>
    </w:p>
    <w:p w14:paraId="743B49E3" w14:textId="6CA0AA1E" w:rsidR="00452772" w:rsidRPr="00153DC1" w:rsidRDefault="00452772" w:rsidP="00153DC1">
      <w:pPr>
        <w:pStyle w:val="FigureHeading"/>
      </w:pPr>
      <w:bookmarkStart w:id="137" w:name="_Toc82510953"/>
      <w:r w:rsidRPr="00153DC1">
        <w:lastRenderedPageBreak/>
        <w:t>Table 1</w:t>
      </w:r>
      <w:r w:rsidR="00D362E1">
        <w:t>2</w:t>
      </w:r>
      <w:r w:rsidRPr="00153DC1">
        <w:t>: Non-ongoing seconded employees 2021</w:t>
      </w:r>
      <w:bookmarkEnd w:id="137"/>
    </w:p>
    <w:tbl>
      <w:tblPr>
        <w:tblStyle w:val="IHPATable"/>
        <w:tblW w:w="7234" w:type="dxa"/>
        <w:tblLayout w:type="fixed"/>
        <w:tblLook w:val="0020" w:firstRow="1" w:lastRow="0" w:firstColumn="0" w:lastColumn="0" w:noHBand="0" w:noVBand="0"/>
        <w:tblCaption w:val="Table 12"/>
        <w:tblDescription w:val="Non-ongoing seconded employees 2021"/>
      </w:tblPr>
      <w:tblGrid>
        <w:gridCol w:w="1426"/>
        <w:gridCol w:w="842"/>
        <w:gridCol w:w="851"/>
        <w:gridCol w:w="715"/>
        <w:gridCol w:w="850"/>
        <w:gridCol w:w="850"/>
        <w:gridCol w:w="850"/>
        <w:gridCol w:w="850"/>
      </w:tblGrid>
      <w:tr w:rsidR="00452772" w:rsidRPr="00452772" w14:paraId="46482C80" w14:textId="77777777" w:rsidTr="00B9360F">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C40B46" w:themeFill="accent6"/>
          </w:tcPr>
          <w:p w14:paraId="218E6DA5" w14:textId="77777777" w:rsidR="00452772" w:rsidRPr="00452772" w:rsidRDefault="00452772" w:rsidP="00B9360F">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C40B46" w:themeFill="accent6"/>
          </w:tcPr>
          <w:p w14:paraId="7011273C" w14:textId="77777777" w:rsidR="00452772" w:rsidRPr="00452772" w:rsidRDefault="00452772" w:rsidP="00B9360F">
            <w:pPr>
              <w:spacing w:before="120" w:after="120"/>
              <w:jc w:val="center"/>
              <w:rPr>
                <w:rFonts w:ascii="Futura PT Book" w:hAnsi="Futura PT Book" w:cs="Futura PT Book"/>
                <w:b/>
                <w:bCs/>
                <w:szCs w:val="18"/>
                <w:lang w:val="en-US"/>
              </w:rPr>
            </w:pPr>
            <w:r w:rsidRPr="00452772">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C40B46" w:themeFill="accent6"/>
          </w:tcPr>
          <w:p w14:paraId="5D1B0FE6" w14:textId="77777777" w:rsidR="00452772" w:rsidRPr="00452772" w:rsidRDefault="00452772" w:rsidP="00B9360F">
            <w:pPr>
              <w:spacing w:before="120" w:after="120"/>
              <w:jc w:val="center"/>
              <w:rPr>
                <w:b/>
                <w:bCs/>
                <w:szCs w:val="18"/>
                <w:lang w:val="en-US"/>
              </w:rPr>
            </w:pPr>
            <w:r w:rsidRPr="00452772">
              <w:rPr>
                <w:b/>
                <w:bCs/>
                <w:szCs w:val="18"/>
                <w:lang w:val="en-US"/>
              </w:rPr>
              <w:t>Female</w:t>
            </w:r>
          </w:p>
        </w:tc>
        <w:tc>
          <w:tcPr>
            <w:tcW w:w="850" w:type="dxa"/>
            <w:tcBorders>
              <w:left w:val="single" w:sz="4" w:space="0" w:color="FFFFFF" w:themeColor="background2"/>
            </w:tcBorders>
            <w:shd w:val="clear" w:color="auto" w:fill="C40B46" w:themeFill="accent6"/>
          </w:tcPr>
          <w:p w14:paraId="723DC1FE" w14:textId="77777777" w:rsidR="00452772" w:rsidRPr="00452772" w:rsidRDefault="00452772" w:rsidP="00B9360F">
            <w:pPr>
              <w:spacing w:before="120" w:after="120"/>
              <w:rPr>
                <w:b/>
                <w:bCs/>
                <w:szCs w:val="18"/>
                <w:lang w:val="en-US"/>
              </w:rPr>
            </w:pPr>
          </w:p>
        </w:tc>
      </w:tr>
      <w:tr w:rsidR="00452772" w:rsidRPr="00452772" w14:paraId="72AB62A9" w14:textId="77777777" w:rsidTr="00B9360F">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59E014D2" w14:textId="77777777" w:rsidR="00452772" w:rsidRPr="00452772" w:rsidRDefault="00452772" w:rsidP="00B9360F">
            <w:pPr>
              <w:spacing w:before="120" w:after="120"/>
              <w:rPr>
                <w:rFonts w:ascii="Futura PT Book" w:hAnsi="Futura PT Book" w:cs="Futura PT Book"/>
                <w:b/>
                <w:bCs/>
                <w:color w:val="000000"/>
                <w:sz w:val="16"/>
                <w:szCs w:val="16"/>
                <w:lang w:val="en-US"/>
              </w:rPr>
            </w:pPr>
            <w:r w:rsidRPr="00452772">
              <w:rPr>
                <w:b/>
                <w:bCs/>
                <w:color w:val="1C1C1C"/>
                <w:sz w:val="16"/>
                <w:szCs w:val="16"/>
              </w:rPr>
              <w:t>Classification</w:t>
            </w:r>
          </w:p>
        </w:tc>
        <w:tc>
          <w:tcPr>
            <w:tcW w:w="842" w:type="dxa"/>
            <w:shd w:val="clear" w:color="auto" w:fill="FBC5D6" w:themeFill="accent6" w:themeFillTint="33"/>
          </w:tcPr>
          <w:p w14:paraId="048BB2D4" w14:textId="77777777" w:rsidR="00452772" w:rsidRPr="00452772" w:rsidRDefault="00452772" w:rsidP="00B9360F">
            <w:pPr>
              <w:spacing w:before="120" w:after="120"/>
              <w:jc w:val="right"/>
              <w:rPr>
                <w:b/>
                <w:bCs/>
                <w:color w:val="1C1C1C"/>
                <w:sz w:val="16"/>
                <w:szCs w:val="16"/>
              </w:rPr>
            </w:pPr>
            <w:r w:rsidRPr="00452772">
              <w:rPr>
                <w:b/>
                <w:bCs/>
                <w:color w:val="1C1C1C"/>
                <w:sz w:val="16"/>
                <w:szCs w:val="16"/>
              </w:rPr>
              <w:t>Full-time</w:t>
            </w:r>
          </w:p>
        </w:tc>
        <w:tc>
          <w:tcPr>
            <w:tcW w:w="851" w:type="dxa"/>
            <w:shd w:val="clear" w:color="auto" w:fill="FBC5D6" w:themeFill="accent6" w:themeFillTint="33"/>
          </w:tcPr>
          <w:p w14:paraId="7E583020" w14:textId="77777777" w:rsidR="00452772" w:rsidRPr="00452772" w:rsidRDefault="00452772" w:rsidP="00B9360F">
            <w:pPr>
              <w:spacing w:before="120" w:after="120"/>
              <w:jc w:val="right"/>
              <w:rPr>
                <w:b/>
                <w:bCs/>
                <w:color w:val="1C1C1C"/>
                <w:sz w:val="16"/>
                <w:szCs w:val="16"/>
              </w:rPr>
            </w:pPr>
            <w:r w:rsidRPr="00452772">
              <w:rPr>
                <w:b/>
                <w:bCs/>
                <w:color w:val="1C1C1C"/>
                <w:sz w:val="16"/>
                <w:szCs w:val="16"/>
              </w:rPr>
              <w:t>Part-time</w:t>
            </w:r>
          </w:p>
        </w:tc>
        <w:tc>
          <w:tcPr>
            <w:tcW w:w="715" w:type="dxa"/>
            <w:tcBorders>
              <w:right w:val="single" w:sz="4" w:space="0" w:color="FFFFFF" w:themeColor="background2"/>
            </w:tcBorders>
            <w:shd w:val="clear" w:color="auto" w:fill="FBC5D6" w:themeFill="accent6" w:themeFillTint="33"/>
          </w:tcPr>
          <w:p w14:paraId="183B35E9" w14:textId="77777777" w:rsidR="00452772" w:rsidRPr="00452772" w:rsidRDefault="00452772" w:rsidP="00B9360F">
            <w:pPr>
              <w:spacing w:before="120" w:after="120"/>
              <w:jc w:val="right"/>
              <w:rPr>
                <w:rFonts w:ascii="Futura PT Book" w:hAnsi="Futura PT Book" w:cs="Futura PT Book"/>
                <w:b/>
                <w:bCs/>
                <w:color w:val="000000"/>
                <w:sz w:val="16"/>
                <w:szCs w:val="16"/>
                <w:lang w:val="en-US"/>
              </w:rPr>
            </w:pPr>
            <w:r w:rsidRPr="00452772">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328FEFE8" w14:textId="77777777" w:rsidR="00452772" w:rsidRPr="00452772" w:rsidRDefault="00452772" w:rsidP="00B9360F">
            <w:pPr>
              <w:spacing w:before="120" w:after="120"/>
              <w:jc w:val="right"/>
              <w:rPr>
                <w:rFonts w:ascii="Futura PT Book" w:hAnsi="Futura PT Book" w:cs="Futura PT Book"/>
                <w:b/>
                <w:bCs/>
                <w:color w:val="000000"/>
                <w:sz w:val="16"/>
                <w:szCs w:val="16"/>
                <w:lang w:val="en-US"/>
              </w:rPr>
            </w:pPr>
            <w:r w:rsidRPr="00452772">
              <w:rPr>
                <w:b/>
                <w:bCs/>
                <w:color w:val="1C1C1C"/>
                <w:sz w:val="16"/>
                <w:szCs w:val="16"/>
              </w:rPr>
              <w:t>Full-time</w:t>
            </w:r>
          </w:p>
        </w:tc>
        <w:tc>
          <w:tcPr>
            <w:tcW w:w="850" w:type="dxa"/>
            <w:shd w:val="clear" w:color="auto" w:fill="FBC5D6" w:themeFill="accent6" w:themeFillTint="33"/>
          </w:tcPr>
          <w:p w14:paraId="56F35CF7" w14:textId="77777777" w:rsidR="00452772" w:rsidRPr="00452772" w:rsidRDefault="00452772" w:rsidP="00B9360F">
            <w:pPr>
              <w:spacing w:before="120" w:after="120"/>
              <w:jc w:val="right"/>
              <w:rPr>
                <w:b/>
                <w:bCs/>
                <w:color w:val="1C1C1C"/>
                <w:sz w:val="16"/>
                <w:szCs w:val="16"/>
              </w:rPr>
            </w:pPr>
            <w:r w:rsidRPr="00452772">
              <w:rPr>
                <w:b/>
                <w:bCs/>
                <w:color w:val="1C1C1C"/>
                <w:sz w:val="16"/>
                <w:szCs w:val="16"/>
              </w:rPr>
              <w:t>Part-time</w:t>
            </w:r>
          </w:p>
        </w:tc>
        <w:tc>
          <w:tcPr>
            <w:tcW w:w="850" w:type="dxa"/>
            <w:tcBorders>
              <w:right w:val="single" w:sz="4" w:space="0" w:color="FFFFFF" w:themeColor="background2"/>
            </w:tcBorders>
            <w:shd w:val="clear" w:color="auto" w:fill="FBC5D6" w:themeFill="accent6" w:themeFillTint="33"/>
          </w:tcPr>
          <w:p w14:paraId="514246B9" w14:textId="77777777" w:rsidR="00452772" w:rsidRPr="00452772" w:rsidRDefault="00452772" w:rsidP="00B9360F">
            <w:pPr>
              <w:spacing w:before="120" w:after="120"/>
              <w:jc w:val="right"/>
              <w:rPr>
                <w:b/>
                <w:bCs/>
                <w:color w:val="1C1C1C"/>
                <w:sz w:val="16"/>
                <w:szCs w:val="16"/>
              </w:rPr>
            </w:pPr>
            <w:r w:rsidRPr="00452772">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769FFC9F" w14:textId="77777777" w:rsidR="00452772" w:rsidRPr="00452772" w:rsidRDefault="00452772" w:rsidP="00B9360F">
            <w:pPr>
              <w:spacing w:before="120" w:after="120"/>
              <w:jc w:val="right"/>
              <w:rPr>
                <w:b/>
                <w:bCs/>
                <w:color w:val="1C1C1C"/>
                <w:sz w:val="16"/>
                <w:szCs w:val="16"/>
              </w:rPr>
            </w:pPr>
            <w:r w:rsidRPr="00452772">
              <w:rPr>
                <w:b/>
                <w:bCs/>
                <w:color w:val="1C1C1C"/>
                <w:sz w:val="16"/>
                <w:szCs w:val="16"/>
              </w:rPr>
              <w:t>Total</w:t>
            </w:r>
          </w:p>
        </w:tc>
      </w:tr>
      <w:tr w:rsidR="00F71418" w:rsidRPr="00452772" w14:paraId="72F92C1E" w14:textId="77777777" w:rsidTr="00B9360F">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33F4D3D3" w14:textId="39A9F412" w:rsidR="00F71418" w:rsidRPr="00452772" w:rsidRDefault="00F71418" w:rsidP="00B9360F">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526F04D1" w14:textId="2099008B"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0818A47D" w14:textId="00D8471C"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346B0BBA" w14:textId="43D78714" w:rsidR="00F71418" w:rsidRPr="00452772" w:rsidRDefault="00F71418" w:rsidP="00B9360F">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09ADC0E1" w14:textId="659A9732" w:rsidR="00F71418" w:rsidRPr="00452772" w:rsidRDefault="00F71418" w:rsidP="00B9360F">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shd w:val="clear" w:color="auto" w:fill="F2F2F2" w:themeFill="background2" w:themeFillShade="F2"/>
          </w:tcPr>
          <w:p w14:paraId="69CD3733" w14:textId="0AE3166E"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00CB99F7" w14:textId="68B76249"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left w:val="single" w:sz="4" w:space="0" w:color="FFFFFF" w:themeColor="background2"/>
            </w:tcBorders>
          </w:tcPr>
          <w:p w14:paraId="1DDE4491" w14:textId="38B6F98E" w:rsidR="00F71418" w:rsidRPr="00452772" w:rsidRDefault="00F71418" w:rsidP="00B9360F">
            <w:pPr>
              <w:spacing w:before="120" w:after="120"/>
              <w:jc w:val="right"/>
              <w:rPr>
                <w:color w:val="1C1C1C"/>
                <w:sz w:val="16"/>
                <w:szCs w:val="16"/>
              </w:rPr>
            </w:pPr>
            <w:r w:rsidRPr="00452772">
              <w:rPr>
                <w:color w:val="1C1C1C"/>
                <w:sz w:val="16"/>
                <w:szCs w:val="16"/>
              </w:rPr>
              <w:t>0</w:t>
            </w:r>
          </w:p>
        </w:tc>
      </w:tr>
      <w:tr w:rsidR="00F71418" w:rsidRPr="00452772" w14:paraId="6F74B24C" w14:textId="77777777" w:rsidTr="00B9360F">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5C1E5E24" w14:textId="07FE835B" w:rsidR="00F71418" w:rsidRPr="00452772" w:rsidRDefault="00F71418" w:rsidP="00B9360F">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140E6838" w14:textId="691EC557"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07C0D75B" w14:textId="0A6EA172"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0C127B94" w14:textId="5FB4731E" w:rsidR="00F71418" w:rsidRPr="00452772" w:rsidRDefault="00F71418" w:rsidP="00B9360F">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3C1B951D" w14:textId="2E88A26B" w:rsidR="00F71418" w:rsidRPr="00452772" w:rsidRDefault="00F71418" w:rsidP="00B9360F">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shd w:val="clear" w:color="auto" w:fill="F2F2F2" w:themeFill="background2" w:themeFillShade="F2"/>
          </w:tcPr>
          <w:p w14:paraId="093443CB" w14:textId="04896A00" w:rsidR="00F71418" w:rsidRPr="00452772" w:rsidRDefault="00F71418" w:rsidP="00B9360F">
            <w:pPr>
              <w:spacing w:before="120" w:after="120"/>
              <w:jc w:val="right"/>
              <w:rPr>
                <w:color w:val="1C1C1C"/>
                <w:sz w:val="16"/>
                <w:szCs w:val="16"/>
              </w:rPr>
            </w:pPr>
            <w:r>
              <w:rPr>
                <w:color w:val="1C1C1C"/>
                <w:sz w:val="16"/>
                <w:szCs w:val="16"/>
              </w:rPr>
              <w:t>1</w:t>
            </w:r>
          </w:p>
        </w:tc>
        <w:tc>
          <w:tcPr>
            <w:tcW w:w="850" w:type="dxa"/>
            <w:tcBorders>
              <w:right w:val="single" w:sz="4" w:space="0" w:color="FFFFFF" w:themeColor="background2"/>
            </w:tcBorders>
            <w:shd w:val="clear" w:color="auto" w:fill="F2F2F2" w:themeFill="background2" w:themeFillShade="F2"/>
          </w:tcPr>
          <w:p w14:paraId="35197673" w14:textId="6B49116B" w:rsidR="00F71418" w:rsidRPr="00452772" w:rsidRDefault="00F71418" w:rsidP="00B9360F">
            <w:pPr>
              <w:spacing w:before="120" w:after="120"/>
              <w:jc w:val="right"/>
              <w:rPr>
                <w:color w:val="1C1C1C"/>
                <w:sz w:val="16"/>
                <w:szCs w:val="16"/>
              </w:rPr>
            </w:pPr>
            <w:r>
              <w:rPr>
                <w:color w:val="1C1C1C"/>
                <w:sz w:val="16"/>
                <w:szCs w:val="16"/>
              </w:rPr>
              <w:t>1</w:t>
            </w:r>
          </w:p>
        </w:tc>
        <w:tc>
          <w:tcPr>
            <w:tcW w:w="850" w:type="dxa"/>
            <w:tcBorders>
              <w:left w:val="single" w:sz="4" w:space="0" w:color="FFFFFF" w:themeColor="background2"/>
            </w:tcBorders>
          </w:tcPr>
          <w:p w14:paraId="2CE1D9FE" w14:textId="2116C611" w:rsidR="00F71418" w:rsidRPr="00452772" w:rsidRDefault="00F71418" w:rsidP="00B9360F">
            <w:pPr>
              <w:spacing w:before="120" w:after="120"/>
              <w:jc w:val="right"/>
              <w:rPr>
                <w:color w:val="1C1C1C"/>
                <w:sz w:val="16"/>
                <w:szCs w:val="16"/>
              </w:rPr>
            </w:pPr>
            <w:r>
              <w:rPr>
                <w:color w:val="1C1C1C"/>
                <w:sz w:val="16"/>
                <w:szCs w:val="16"/>
              </w:rPr>
              <w:t>1</w:t>
            </w:r>
          </w:p>
        </w:tc>
      </w:tr>
      <w:tr w:rsidR="00F71418" w:rsidRPr="00452772" w14:paraId="3EEAB59E" w14:textId="77777777" w:rsidTr="00B9360F">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6AE90352" w14:textId="48AEBF2C" w:rsidR="00F71418" w:rsidRPr="00452772" w:rsidRDefault="00F71418" w:rsidP="00B9360F">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0831486B" w14:textId="383BAFCA" w:rsidR="00F71418" w:rsidRPr="00452772" w:rsidRDefault="00F71418" w:rsidP="00B9360F">
            <w:pPr>
              <w:spacing w:before="120" w:after="120"/>
              <w:jc w:val="right"/>
              <w:rPr>
                <w:color w:val="1C1C1C"/>
                <w:sz w:val="16"/>
                <w:szCs w:val="16"/>
              </w:rPr>
            </w:pPr>
            <w:r>
              <w:rPr>
                <w:color w:val="1C1C1C"/>
                <w:sz w:val="16"/>
                <w:szCs w:val="16"/>
              </w:rPr>
              <w:t>1</w:t>
            </w:r>
          </w:p>
        </w:tc>
        <w:tc>
          <w:tcPr>
            <w:tcW w:w="851" w:type="dxa"/>
            <w:shd w:val="clear" w:color="auto" w:fill="F2F2F2" w:themeFill="background2" w:themeFillShade="F2"/>
          </w:tcPr>
          <w:p w14:paraId="65B3EC70" w14:textId="26AE714D"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42826E09" w14:textId="050FFBED" w:rsidR="00F71418" w:rsidRPr="00452772" w:rsidRDefault="00F71418" w:rsidP="00B9360F">
            <w:pPr>
              <w:spacing w:before="120" w:after="120"/>
              <w:jc w:val="right"/>
              <w:rPr>
                <w:rFonts w:ascii="Futura PT Book" w:hAnsi="Futura PT Book" w:cs="Futura PT Book"/>
                <w:color w:val="000000"/>
                <w:sz w:val="16"/>
                <w:szCs w:val="16"/>
                <w:lang w:val="en-US"/>
              </w:rPr>
            </w:pPr>
            <w:r>
              <w:rPr>
                <w:color w:val="1C1C1C"/>
                <w:sz w:val="16"/>
                <w:szCs w:val="16"/>
              </w:rPr>
              <w:t>1</w:t>
            </w:r>
          </w:p>
        </w:tc>
        <w:tc>
          <w:tcPr>
            <w:tcW w:w="850" w:type="dxa"/>
            <w:tcBorders>
              <w:left w:val="single" w:sz="4" w:space="0" w:color="FFFFFF" w:themeColor="background2"/>
            </w:tcBorders>
            <w:shd w:val="clear" w:color="auto" w:fill="F2F2F2" w:themeFill="background2" w:themeFillShade="F2"/>
          </w:tcPr>
          <w:p w14:paraId="20C437F2" w14:textId="2D55D677" w:rsidR="00F71418" w:rsidRPr="00452772" w:rsidRDefault="00F71418" w:rsidP="00B9360F">
            <w:pPr>
              <w:spacing w:before="120" w:after="120"/>
              <w:jc w:val="right"/>
              <w:rPr>
                <w:rFonts w:ascii="Futura PT Book" w:hAnsi="Futura PT Book" w:cs="Futura PT Book"/>
                <w:color w:val="000000"/>
                <w:sz w:val="16"/>
                <w:szCs w:val="16"/>
                <w:lang w:val="en-US"/>
              </w:rPr>
            </w:pPr>
            <w:r w:rsidRPr="00452772">
              <w:rPr>
                <w:color w:val="1C1C1C"/>
                <w:sz w:val="16"/>
                <w:szCs w:val="16"/>
              </w:rPr>
              <w:t>2</w:t>
            </w:r>
          </w:p>
        </w:tc>
        <w:tc>
          <w:tcPr>
            <w:tcW w:w="850" w:type="dxa"/>
            <w:shd w:val="clear" w:color="auto" w:fill="F2F2F2" w:themeFill="background2" w:themeFillShade="F2"/>
          </w:tcPr>
          <w:p w14:paraId="22A30F3D" w14:textId="2341CC58"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648C6635" w14:textId="44AFC53A" w:rsidR="00F71418" w:rsidRPr="00452772" w:rsidRDefault="00F71418" w:rsidP="00B9360F">
            <w:pPr>
              <w:spacing w:before="120" w:after="120"/>
              <w:jc w:val="right"/>
              <w:rPr>
                <w:color w:val="1C1C1C"/>
                <w:sz w:val="16"/>
                <w:szCs w:val="16"/>
              </w:rPr>
            </w:pPr>
            <w:r w:rsidRPr="00452772">
              <w:rPr>
                <w:color w:val="1C1C1C"/>
                <w:sz w:val="16"/>
                <w:szCs w:val="16"/>
              </w:rPr>
              <w:t>2</w:t>
            </w:r>
          </w:p>
        </w:tc>
        <w:tc>
          <w:tcPr>
            <w:tcW w:w="850" w:type="dxa"/>
            <w:tcBorders>
              <w:left w:val="single" w:sz="4" w:space="0" w:color="FFFFFF" w:themeColor="background2"/>
            </w:tcBorders>
          </w:tcPr>
          <w:p w14:paraId="7939F14B" w14:textId="5416929D" w:rsidR="00F71418" w:rsidRPr="00452772" w:rsidRDefault="00F71418" w:rsidP="00B9360F">
            <w:pPr>
              <w:spacing w:before="120" w:after="120"/>
              <w:jc w:val="right"/>
              <w:rPr>
                <w:color w:val="1C1C1C"/>
                <w:sz w:val="16"/>
                <w:szCs w:val="16"/>
              </w:rPr>
            </w:pPr>
            <w:r>
              <w:rPr>
                <w:color w:val="1C1C1C"/>
                <w:sz w:val="16"/>
                <w:szCs w:val="16"/>
              </w:rPr>
              <w:t>3</w:t>
            </w:r>
          </w:p>
        </w:tc>
      </w:tr>
      <w:tr w:rsidR="00F71418" w:rsidRPr="00452772" w14:paraId="1AD55077" w14:textId="77777777" w:rsidTr="00B9360F">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4D46537A" w14:textId="691F957C" w:rsidR="00F71418" w:rsidRPr="00452772" w:rsidRDefault="00F71418" w:rsidP="00B9360F">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1DFD4A6F" w14:textId="7DDCA5E0"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191D595F" w14:textId="3834DE62"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15FA4B36" w14:textId="52E315FE" w:rsidR="00F71418" w:rsidRPr="00452772" w:rsidRDefault="00F71418" w:rsidP="00B9360F">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3E2404D9" w14:textId="73B66B12" w:rsidR="00F71418" w:rsidRPr="00452772" w:rsidRDefault="00F71418" w:rsidP="00B9360F">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shd w:val="clear" w:color="auto" w:fill="F2F2F2" w:themeFill="background2" w:themeFillShade="F2"/>
          </w:tcPr>
          <w:p w14:paraId="06DAD572" w14:textId="20487A5C"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143B3D60" w14:textId="4504AA25" w:rsidR="00F71418" w:rsidRPr="00452772" w:rsidRDefault="00F71418" w:rsidP="00B9360F">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3FAE3FE0" w14:textId="26B00725" w:rsidR="00F71418" w:rsidRPr="00452772" w:rsidRDefault="00F71418" w:rsidP="00B9360F">
            <w:pPr>
              <w:spacing w:before="120" w:after="120"/>
              <w:jc w:val="right"/>
              <w:rPr>
                <w:color w:val="1C1C1C"/>
                <w:sz w:val="16"/>
                <w:szCs w:val="16"/>
              </w:rPr>
            </w:pPr>
            <w:r>
              <w:rPr>
                <w:color w:val="1C1C1C"/>
                <w:sz w:val="16"/>
                <w:szCs w:val="16"/>
              </w:rPr>
              <w:t>0</w:t>
            </w:r>
          </w:p>
        </w:tc>
      </w:tr>
      <w:tr w:rsidR="00F71418" w:rsidRPr="00452772" w14:paraId="6DB8DB08" w14:textId="77777777" w:rsidTr="00B9360F">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047CA1C7" w14:textId="2B3B49C5" w:rsidR="00F71418" w:rsidRPr="00452772" w:rsidRDefault="00F71418" w:rsidP="00B9360F">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3C56F9C7" w14:textId="383F01AF"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6FB920C1" w14:textId="32273ABD"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C2A87AC" w14:textId="33131C79"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76A39930" w14:textId="27F6F34F"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shd w:val="clear" w:color="auto" w:fill="F2F2F2" w:themeFill="background2" w:themeFillShade="F2"/>
          </w:tcPr>
          <w:p w14:paraId="7D38C01E" w14:textId="1B154B5C"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052F3E81" w14:textId="578BC757" w:rsidR="00F71418" w:rsidRPr="00452772" w:rsidRDefault="00F71418" w:rsidP="00B9360F">
            <w:pPr>
              <w:spacing w:before="120" w:after="120"/>
              <w:jc w:val="right"/>
              <w:rPr>
                <w:color w:val="1C1C1C"/>
                <w:sz w:val="16"/>
                <w:szCs w:val="16"/>
              </w:rPr>
            </w:pPr>
            <w:r w:rsidRPr="00452772">
              <w:rPr>
                <w:color w:val="1C1C1C"/>
                <w:sz w:val="16"/>
                <w:szCs w:val="16"/>
              </w:rPr>
              <w:t>0</w:t>
            </w:r>
          </w:p>
        </w:tc>
        <w:tc>
          <w:tcPr>
            <w:tcW w:w="850" w:type="dxa"/>
            <w:tcBorders>
              <w:left w:val="single" w:sz="4" w:space="0" w:color="FFFFFF" w:themeColor="background2"/>
            </w:tcBorders>
          </w:tcPr>
          <w:p w14:paraId="007D9B3B" w14:textId="351503BD" w:rsidR="00F71418" w:rsidRPr="00452772" w:rsidRDefault="00F71418" w:rsidP="00B9360F">
            <w:pPr>
              <w:spacing w:before="120" w:after="120"/>
              <w:jc w:val="right"/>
              <w:rPr>
                <w:color w:val="1C1C1C"/>
                <w:sz w:val="16"/>
                <w:szCs w:val="16"/>
              </w:rPr>
            </w:pPr>
            <w:r w:rsidRPr="00452772">
              <w:rPr>
                <w:color w:val="1C1C1C"/>
                <w:sz w:val="16"/>
                <w:szCs w:val="16"/>
              </w:rPr>
              <w:t>0</w:t>
            </w:r>
          </w:p>
        </w:tc>
      </w:tr>
      <w:tr w:rsidR="00566DF3" w:rsidRPr="00452772" w14:paraId="3BE4C1A8" w14:textId="77777777" w:rsidTr="00B9360F">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67B7AF60" w14:textId="77777777" w:rsidR="00566DF3" w:rsidRPr="00452772" w:rsidRDefault="00566DF3" w:rsidP="00B9360F">
            <w:pPr>
              <w:spacing w:before="120" w:after="120"/>
              <w:rPr>
                <w:b/>
                <w:bCs/>
                <w:color w:val="1C1C1C"/>
                <w:sz w:val="16"/>
                <w:szCs w:val="16"/>
              </w:rPr>
            </w:pPr>
            <w:r w:rsidRPr="00452772">
              <w:rPr>
                <w:b/>
                <w:bCs/>
                <w:color w:val="1C1C1C"/>
                <w:sz w:val="16"/>
                <w:szCs w:val="16"/>
              </w:rPr>
              <w:t>Total</w:t>
            </w:r>
          </w:p>
        </w:tc>
        <w:tc>
          <w:tcPr>
            <w:tcW w:w="842" w:type="dxa"/>
            <w:shd w:val="clear" w:color="auto" w:fill="FBC5D6" w:themeFill="accent6" w:themeFillTint="33"/>
          </w:tcPr>
          <w:p w14:paraId="0CCFE9CB" w14:textId="02F19B93" w:rsidR="00566DF3" w:rsidRPr="00452772" w:rsidRDefault="00566DF3" w:rsidP="00B9360F">
            <w:pPr>
              <w:spacing w:before="120" w:after="120"/>
              <w:jc w:val="right"/>
              <w:rPr>
                <w:b/>
                <w:bCs/>
                <w:color w:val="1C1C1C"/>
                <w:sz w:val="16"/>
                <w:szCs w:val="16"/>
              </w:rPr>
            </w:pPr>
            <w:r>
              <w:rPr>
                <w:b/>
                <w:bCs/>
                <w:color w:val="1C1C1C"/>
                <w:sz w:val="16"/>
                <w:szCs w:val="16"/>
              </w:rPr>
              <w:t>1</w:t>
            </w:r>
          </w:p>
        </w:tc>
        <w:tc>
          <w:tcPr>
            <w:tcW w:w="851" w:type="dxa"/>
            <w:shd w:val="clear" w:color="auto" w:fill="FBC5D6" w:themeFill="accent6" w:themeFillTint="33"/>
          </w:tcPr>
          <w:p w14:paraId="1F48C426" w14:textId="7078FD34" w:rsidR="00566DF3" w:rsidRPr="00452772" w:rsidRDefault="00566DF3" w:rsidP="00B9360F">
            <w:pPr>
              <w:spacing w:before="120" w:after="120"/>
              <w:jc w:val="right"/>
              <w:rPr>
                <w:b/>
                <w:bCs/>
                <w:color w:val="1C1C1C"/>
                <w:sz w:val="16"/>
                <w:szCs w:val="16"/>
              </w:rPr>
            </w:pPr>
            <w:r w:rsidRPr="00452772">
              <w:rPr>
                <w:b/>
                <w:bCs/>
                <w:color w:val="1C1C1C"/>
                <w:sz w:val="16"/>
                <w:szCs w:val="16"/>
              </w:rPr>
              <w:t>0</w:t>
            </w:r>
          </w:p>
        </w:tc>
        <w:tc>
          <w:tcPr>
            <w:tcW w:w="715" w:type="dxa"/>
            <w:tcBorders>
              <w:right w:val="single" w:sz="4" w:space="0" w:color="FFFFFF" w:themeColor="background2"/>
            </w:tcBorders>
            <w:shd w:val="clear" w:color="auto" w:fill="FBC5D6" w:themeFill="accent6" w:themeFillTint="33"/>
          </w:tcPr>
          <w:p w14:paraId="4599B082" w14:textId="689D538C" w:rsidR="00566DF3" w:rsidRPr="00452772" w:rsidRDefault="00566DF3" w:rsidP="00B9360F">
            <w:pPr>
              <w:spacing w:before="120" w:after="120"/>
              <w:jc w:val="right"/>
              <w:rPr>
                <w:b/>
                <w:bCs/>
                <w:color w:val="1C1C1C"/>
                <w:sz w:val="16"/>
                <w:szCs w:val="16"/>
              </w:rPr>
            </w:pPr>
            <w:r>
              <w:rPr>
                <w:b/>
                <w:bCs/>
                <w:color w:val="1C1C1C"/>
                <w:sz w:val="16"/>
                <w:szCs w:val="16"/>
              </w:rPr>
              <w:t>1</w:t>
            </w:r>
          </w:p>
        </w:tc>
        <w:tc>
          <w:tcPr>
            <w:tcW w:w="850" w:type="dxa"/>
            <w:tcBorders>
              <w:left w:val="single" w:sz="4" w:space="0" w:color="FFFFFF" w:themeColor="background2"/>
            </w:tcBorders>
            <w:shd w:val="clear" w:color="auto" w:fill="FBC5D6" w:themeFill="accent6" w:themeFillTint="33"/>
          </w:tcPr>
          <w:p w14:paraId="341548BD" w14:textId="361AECA5" w:rsidR="00566DF3" w:rsidRPr="00452772" w:rsidRDefault="00566DF3" w:rsidP="00B9360F">
            <w:pPr>
              <w:spacing w:before="120" w:after="120"/>
              <w:jc w:val="right"/>
              <w:rPr>
                <w:b/>
                <w:bCs/>
                <w:color w:val="1C1C1C"/>
                <w:sz w:val="16"/>
                <w:szCs w:val="16"/>
              </w:rPr>
            </w:pPr>
            <w:r>
              <w:rPr>
                <w:b/>
                <w:bCs/>
                <w:color w:val="1C1C1C"/>
                <w:sz w:val="16"/>
                <w:szCs w:val="16"/>
              </w:rPr>
              <w:t>2</w:t>
            </w:r>
          </w:p>
        </w:tc>
        <w:tc>
          <w:tcPr>
            <w:tcW w:w="850" w:type="dxa"/>
            <w:shd w:val="clear" w:color="auto" w:fill="FBC5D6" w:themeFill="accent6" w:themeFillTint="33"/>
          </w:tcPr>
          <w:p w14:paraId="2F944883" w14:textId="78679B54" w:rsidR="00566DF3" w:rsidRPr="00452772" w:rsidRDefault="00566DF3" w:rsidP="00B9360F">
            <w:pPr>
              <w:spacing w:before="120" w:after="120"/>
              <w:jc w:val="right"/>
              <w:rPr>
                <w:b/>
                <w:bCs/>
                <w:color w:val="1C1C1C"/>
                <w:sz w:val="16"/>
                <w:szCs w:val="16"/>
              </w:rPr>
            </w:pPr>
            <w:r>
              <w:rPr>
                <w:b/>
                <w:bCs/>
                <w:color w:val="1C1C1C"/>
                <w:sz w:val="16"/>
                <w:szCs w:val="16"/>
              </w:rPr>
              <w:t>1</w:t>
            </w:r>
          </w:p>
        </w:tc>
        <w:tc>
          <w:tcPr>
            <w:tcW w:w="850" w:type="dxa"/>
            <w:tcBorders>
              <w:right w:val="single" w:sz="4" w:space="0" w:color="FFFFFF" w:themeColor="background2"/>
            </w:tcBorders>
            <w:shd w:val="clear" w:color="auto" w:fill="FBC5D6" w:themeFill="accent6" w:themeFillTint="33"/>
          </w:tcPr>
          <w:p w14:paraId="66AE98DD" w14:textId="6AFB5B8A" w:rsidR="00566DF3" w:rsidRPr="00452772" w:rsidRDefault="00566DF3" w:rsidP="00B9360F">
            <w:pPr>
              <w:spacing w:before="120" w:after="120"/>
              <w:jc w:val="right"/>
              <w:rPr>
                <w:b/>
                <w:bCs/>
                <w:color w:val="1C1C1C"/>
                <w:sz w:val="16"/>
                <w:szCs w:val="16"/>
              </w:rPr>
            </w:pPr>
            <w:r w:rsidRPr="00452772">
              <w:rPr>
                <w:b/>
                <w:bCs/>
                <w:color w:val="1C1C1C"/>
                <w:sz w:val="16"/>
                <w:szCs w:val="16"/>
              </w:rPr>
              <w:t>3</w:t>
            </w:r>
          </w:p>
        </w:tc>
        <w:tc>
          <w:tcPr>
            <w:tcW w:w="850" w:type="dxa"/>
            <w:tcBorders>
              <w:left w:val="single" w:sz="4" w:space="0" w:color="FFFFFF" w:themeColor="background2"/>
            </w:tcBorders>
            <w:shd w:val="clear" w:color="auto" w:fill="FBC5D6" w:themeFill="accent6" w:themeFillTint="33"/>
          </w:tcPr>
          <w:p w14:paraId="532B36DE" w14:textId="679778C1" w:rsidR="00566DF3" w:rsidRPr="00452772" w:rsidRDefault="00566DF3" w:rsidP="00B9360F">
            <w:pPr>
              <w:spacing w:before="120" w:after="120"/>
              <w:jc w:val="right"/>
              <w:rPr>
                <w:b/>
                <w:bCs/>
                <w:color w:val="1C1C1C"/>
                <w:sz w:val="16"/>
                <w:szCs w:val="16"/>
              </w:rPr>
            </w:pPr>
            <w:r>
              <w:rPr>
                <w:b/>
                <w:bCs/>
                <w:color w:val="1C1C1C"/>
                <w:sz w:val="16"/>
                <w:szCs w:val="16"/>
              </w:rPr>
              <w:t>4</w:t>
            </w:r>
          </w:p>
        </w:tc>
      </w:tr>
    </w:tbl>
    <w:p w14:paraId="51E63028" w14:textId="77777777" w:rsidR="00452772" w:rsidRPr="00452772" w:rsidRDefault="00452772" w:rsidP="00153DC1">
      <w:pPr>
        <w:pStyle w:val="Body"/>
      </w:pPr>
    </w:p>
    <w:p w14:paraId="06D25E7A" w14:textId="2544A9FD" w:rsidR="00452772" w:rsidRPr="00452772" w:rsidRDefault="00452772" w:rsidP="00153DC1">
      <w:pPr>
        <w:pStyle w:val="FigureHeading"/>
      </w:pPr>
      <w:bookmarkStart w:id="138" w:name="_Toc82510954"/>
      <w:r w:rsidRPr="00452772">
        <w:t>Table 1</w:t>
      </w:r>
      <w:r w:rsidR="00D362E1">
        <w:t>3</w:t>
      </w:r>
      <w:r w:rsidRPr="00452772">
        <w:t>: Non-ongoing seconded employees 2020</w:t>
      </w:r>
      <w:bookmarkEnd w:id="138"/>
    </w:p>
    <w:tbl>
      <w:tblPr>
        <w:tblStyle w:val="IHPATable"/>
        <w:tblW w:w="7234" w:type="dxa"/>
        <w:tblLayout w:type="fixed"/>
        <w:tblLook w:val="0020" w:firstRow="1" w:lastRow="0" w:firstColumn="0" w:lastColumn="0" w:noHBand="0" w:noVBand="0"/>
        <w:tblCaption w:val="Table 13"/>
        <w:tblDescription w:val="Non-ongoing seconded employees 2020"/>
      </w:tblPr>
      <w:tblGrid>
        <w:gridCol w:w="1426"/>
        <w:gridCol w:w="842"/>
        <w:gridCol w:w="851"/>
        <w:gridCol w:w="715"/>
        <w:gridCol w:w="850"/>
        <w:gridCol w:w="850"/>
        <w:gridCol w:w="850"/>
        <w:gridCol w:w="850"/>
      </w:tblGrid>
      <w:tr w:rsidR="00452772" w:rsidRPr="00452772" w14:paraId="5897D25A" w14:textId="77777777" w:rsidTr="00C40957">
        <w:trPr>
          <w:cnfStyle w:val="100000000000" w:firstRow="1" w:lastRow="0" w:firstColumn="0" w:lastColumn="0" w:oddVBand="0" w:evenVBand="0" w:oddHBand="0" w:evenHBand="0" w:firstRowFirstColumn="0" w:firstRowLastColumn="0" w:lastRowFirstColumn="0" w:lastRowLastColumn="0"/>
          <w:trHeight w:val="20"/>
        </w:trPr>
        <w:tc>
          <w:tcPr>
            <w:tcW w:w="1426" w:type="dxa"/>
            <w:shd w:val="clear" w:color="auto" w:fill="C40B46" w:themeFill="accent6"/>
          </w:tcPr>
          <w:p w14:paraId="4F7F3008" w14:textId="77777777" w:rsidR="00452772" w:rsidRPr="00452772" w:rsidRDefault="00452772" w:rsidP="00C40957">
            <w:pPr>
              <w:spacing w:before="120" w:after="120"/>
              <w:rPr>
                <w:rFonts w:ascii="Futura PT Book" w:hAnsi="Futura PT Book" w:cs="Futura PT Book"/>
                <w:b/>
                <w:bCs/>
                <w:szCs w:val="18"/>
                <w:lang w:val="en-US"/>
              </w:rPr>
            </w:pPr>
          </w:p>
        </w:tc>
        <w:tc>
          <w:tcPr>
            <w:tcW w:w="2408" w:type="dxa"/>
            <w:gridSpan w:val="3"/>
            <w:tcBorders>
              <w:right w:val="single" w:sz="4" w:space="0" w:color="FFFFFF" w:themeColor="background2"/>
            </w:tcBorders>
            <w:shd w:val="clear" w:color="auto" w:fill="C40B46" w:themeFill="accent6"/>
          </w:tcPr>
          <w:p w14:paraId="5D628835" w14:textId="77777777" w:rsidR="00452772" w:rsidRPr="00452772" w:rsidRDefault="00452772" w:rsidP="00C40957">
            <w:pPr>
              <w:spacing w:before="120" w:after="120"/>
              <w:jc w:val="center"/>
              <w:rPr>
                <w:rFonts w:ascii="Futura PT Book" w:hAnsi="Futura PT Book" w:cs="Futura PT Book"/>
                <w:b/>
                <w:bCs/>
                <w:szCs w:val="18"/>
                <w:lang w:val="en-US"/>
              </w:rPr>
            </w:pPr>
            <w:r w:rsidRPr="00452772">
              <w:rPr>
                <w:b/>
                <w:bCs/>
                <w:szCs w:val="18"/>
                <w:lang w:val="en-US"/>
              </w:rPr>
              <w:t>Male</w:t>
            </w:r>
          </w:p>
        </w:tc>
        <w:tc>
          <w:tcPr>
            <w:tcW w:w="2550" w:type="dxa"/>
            <w:gridSpan w:val="3"/>
            <w:tcBorders>
              <w:left w:val="single" w:sz="4" w:space="0" w:color="FFFFFF" w:themeColor="background2"/>
              <w:right w:val="single" w:sz="4" w:space="0" w:color="FFFFFF" w:themeColor="background2"/>
            </w:tcBorders>
            <w:shd w:val="clear" w:color="auto" w:fill="C40B46" w:themeFill="accent6"/>
          </w:tcPr>
          <w:p w14:paraId="28104946" w14:textId="77777777" w:rsidR="00452772" w:rsidRPr="00452772" w:rsidRDefault="00452772" w:rsidP="00C40957">
            <w:pPr>
              <w:spacing w:before="120" w:after="120"/>
              <w:jc w:val="center"/>
              <w:rPr>
                <w:b/>
                <w:bCs/>
                <w:szCs w:val="18"/>
                <w:lang w:val="en-US"/>
              </w:rPr>
            </w:pPr>
            <w:r w:rsidRPr="00452772">
              <w:rPr>
                <w:b/>
                <w:bCs/>
                <w:szCs w:val="18"/>
                <w:lang w:val="en-US"/>
              </w:rPr>
              <w:t>Female</w:t>
            </w:r>
          </w:p>
        </w:tc>
        <w:tc>
          <w:tcPr>
            <w:tcW w:w="850" w:type="dxa"/>
            <w:tcBorders>
              <w:left w:val="single" w:sz="4" w:space="0" w:color="FFFFFF" w:themeColor="background2"/>
            </w:tcBorders>
            <w:shd w:val="clear" w:color="auto" w:fill="C40B46" w:themeFill="accent6"/>
          </w:tcPr>
          <w:p w14:paraId="13D7CB1D" w14:textId="77777777" w:rsidR="00452772" w:rsidRPr="00452772" w:rsidRDefault="00452772" w:rsidP="00C40957">
            <w:pPr>
              <w:spacing w:before="120" w:after="120"/>
              <w:rPr>
                <w:b/>
                <w:bCs/>
                <w:szCs w:val="18"/>
                <w:lang w:val="en-US"/>
              </w:rPr>
            </w:pPr>
          </w:p>
        </w:tc>
      </w:tr>
      <w:tr w:rsidR="00452772" w:rsidRPr="00452772" w14:paraId="714B83BA" w14:textId="77777777" w:rsidTr="00C40957">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536DB716" w14:textId="77777777" w:rsidR="00452772" w:rsidRPr="00452772" w:rsidRDefault="00452772" w:rsidP="00C40957">
            <w:pPr>
              <w:spacing w:before="120" w:after="120"/>
              <w:rPr>
                <w:rFonts w:ascii="Futura PT Book" w:hAnsi="Futura PT Book" w:cs="Futura PT Book"/>
                <w:b/>
                <w:bCs/>
                <w:color w:val="000000"/>
                <w:sz w:val="16"/>
                <w:szCs w:val="16"/>
                <w:lang w:val="en-US"/>
              </w:rPr>
            </w:pPr>
            <w:r w:rsidRPr="00452772">
              <w:rPr>
                <w:b/>
                <w:bCs/>
                <w:color w:val="1C1C1C"/>
                <w:sz w:val="16"/>
                <w:szCs w:val="16"/>
              </w:rPr>
              <w:t>Classification</w:t>
            </w:r>
          </w:p>
        </w:tc>
        <w:tc>
          <w:tcPr>
            <w:tcW w:w="842" w:type="dxa"/>
            <w:shd w:val="clear" w:color="auto" w:fill="FBC5D6" w:themeFill="accent6" w:themeFillTint="33"/>
          </w:tcPr>
          <w:p w14:paraId="3315B284" w14:textId="77777777" w:rsidR="00452772" w:rsidRPr="00452772" w:rsidRDefault="00452772" w:rsidP="00C40957">
            <w:pPr>
              <w:spacing w:before="120" w:after="120"/>
              <w:jc w:val="right"/>
              <w:rPr>
                <w:b/>
                <w:bCs/>
                <w:color w:val="1C1C1C"/>
                <w:sz w:val="16"/>
                <w:szCs w:val="16"/>
              </w:rPr>
            </w:pPr>
            <w:r w:rsidRPr="00452772">
              <w:rPr>
                <w:b/>
                <w:bCs/>
                <w:color w:val="1C1C1C"/>
                <w:sz w:val="16"/>
                <w:szCs w:val="16"/>
              </w:rPr>
              <w:t>Full-time</w:t>
            </w:r>
          </w:p>
        </w:tc>
        <w:tc>
          <w:tcPr>
            <w:tcW w:w="851" w:type="dxa"/>
            <w:shd w:val="clear" w:color="auto" w:fill="FBC5D6" w:themeFill="accent6" w:themeFillTint="33"/>
          </w:tcPr>
          <w:p w14:paraId="626E3E87" w14:textId="77777777" w:rsidR="00452772" w:rsidRPr="00452772" w:rsidRDefault="00452772" w:rsidP="00C40957">
            <w:pPr>
              <w:spacing w:before="120" w:after="120"/>
              <w:jc w:val="right"/>
              <w:rPr>
                <w:b/>
                <w:bCs/>
                <w:color w:val="1C1C1C"/>
                <w:sz w:val="16"/>
                <w:szCs w:val="16"/>
              </w:rPr>
            </w:pPr>
            <w:r w:rsidRPr="00452772">
              <w:rPr>
                <w:b/>
                <w:bCs/>
                <w:color w:val="1C1C1C"/>
                <w:sz w:val="16"/>
                <w:szCs w:val="16"/>
              </w:rPr>
              <w:t>Part-time</w:t>
            </w:r>
          </w:p>
        </w:tc>
        <w:tc>
          <w:tcPr>
            <w:tcW w:w="715" w:type="dxa"/>
            <w:tcBorders>
              <w:right w:val="single" w:sz="4" w:space="0" w:color="FFFFFF" w:themeColor="background2"/>
            </w:tcBorders>
            <w:shd w:val="clear" w:color="auto" w:fill="FBC5D6" w:themeFill="accent6" w:themeFillTint="33"/>
          </w:tcPr>
          <w:p w14:paraId="3A61B34F" w14:textId="77777777" w:rsidR="00452772" w:rsidRPr="00452772" w:rsidRDefault="00452772" w:rsidP="00C40957">
            <w:pPr>
              <w:spacing w:before="120" w:after="120"/>
              <w:jc w:val="right"/>
              <w:rPr>
                <w:rFonts w:ascii="Futura PT Book" w:hAnsi="Futura PT Book" w:cs="Futura PT Book"/>
                <w:b/>
                <w:bCs/>
                <w:color w:val="000000"/>
                <w:sz w:val="16"/>
                <w:szCs w:val="16"/>
                <w:lang w:val="en-US"/>
              </w:rPr>
            </w:pPr>
            <w:r w:rsidRPr="00452772">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5128B79D" w14:textId="77777777" w:rsidR="00452772" w:rsidRPr="00452772" w:rsidRDefault="00452772" w:rsidP="00C40957">
            <w:pPr>
              <w:spacing w:before="120" w:after="120"/>
              <w:jc w:val="right"/>
              <w:rPr>
                <w:rFonts w:ascii="Futura PT Book" w:hAnsi="Futura PT Book" w:cs="Futura PT Book"/>
                <w:b/>
                <w:bCs/>
                <w:color w:val="000000"/>
                <w:sz w:val="16"/>
                <w:szCs w:val="16"/>
                <w:lang w:val="en-US"/>
              </w:rPr>
            </w:pPr>
            <w:r w:rsidRPr="00452772">
              <w:rPr>
                <w:b/>
                <w:bCs/>
                <w:color w:val="1C1C1C"/>
                <w:sz w:val="16"/>
                <w:szCs w:val="16"/>
              </w:rPr>
              <w:t>Full-time</w:t>
            </w:r>
          </w:p>
        </w:tc>
        <w:tc>
          <w:tcPr>
            <w:tcW w:w="850" w:type="dxa"/>
            <w:shd w:val="clear" w:color="auto" w:fill="FBC5D6" w:themeFill="accent6" w:themeFillTint="33"/>
          </w:tcPr>
          <w:p w14:paraId="2218DAAD" w14:textId="77777777" w:rsidR="00452772" w:rsidRPr="00452772" w:rsidRDefault="00452772" w:rsidP="00C40957">
            <w:pPr>
              <w:spacing w:before="120" w:after="120"/>
              <w:jc w:val="right"/>
              <w:rPr>
                <w:b/>
                <w:bCs/>
                <w:color w:val="1C1C1C"/>
                <w:sz w:val="16"/>
                <w:szCs w:val="16"/>
              </w:rPr>
            </w:pPr>
            <w:r w:rsidRPr="00452772">
              <w:rPr>
                <w:b/>
                <w:bCs/>
                <w:color w:val="1C1C1C"/>
                <w:sz w:val="16"/>
                <w:szCs w:val="16"/>
              </w:rPr>
              <w:t>Part-time</w:t>
            </w:r>
          </w:p>
        </w:tc>
        <w:tc>
          <w:tcPr>
            <w:tcW w:w="850" w:type="dxa"/>
            <w:tcBorders>
              <w:right w:val="single" w:sz="4" w:space="0" w:color="FFFFFF" w:themeColor="background2"/>
            </w:tcBorders>
            <w:shd w:val="clear" w:color="auto" w:fill="FBC5D6" w:themeFill="accent6" w:themeFillTint="33"/>
          </w:tcPr>
          <w:p w14:paraId="2E89F41E" w14:textId="77777777" w:rsidR="00452772" w:rsidRPr="00452772" w:rsidRDefault="00452772" w:rsidP="00C40957">
            <w:pPr>
              <w:spacing w:before="120" w:after="120"/>
              <w:jc w:val="right"/>
              <w:rPr>
                <w:b/>
                <w:bCs/>
                <w:color w:val="1C1C1C"/>
                <w:sz w:val="16"/>
                <w:szCs w:val="16"/>
              </w:rPr>
            </w:pPr>
            <w:r w:rsidRPr="00452772">
              <w:rPr>
                <w:b/>
                <w:bCs/>
                <w:color w:val="1C1C1C"/>
                <w:sz w:val="16"/>
                <w:szCs w:val="16"/>
              </w:rPr>
              <w:t>Total</w:t>
            </w:r>
          </w:p>
        </w:tc>
        <w:tc>
          <w:tcPr>
            <w:tcW w:w="850" w:type="dxa"/>
            <w:tcBorders>
              <w:left w:val="single" w:sz="4" w:space="0" w:color="FFFFFF" w:themeColor="background2"/>
            </w:tcBorders>
            <w:shd w:val="clear" w:color="auto" w:fill="FBC5D6" w:themeFill="accent6" w:themeFillTint="33"/>
          </w:tcPr>
          <w:p w14:paraId="7D66F17F" w14:textId="77777777" w:rsidR="00452772" w:rsidRPr="00452772" w:rsidRDefault="00452772" w:rsidP="00C40957">
            <w:pPr>
              <w:spacing w:before="120" w:after="120"/>
              <w:jc w:val="right"/>
              <w:rPr>
                <w:b/>
                <w:bCs/>
                <w:color w:val="1C1C1C"/>
                <w:sz w:val="16"/>
                <w:szCs w:val="16"/>
              </w:rPr>
            </w:pPr>
            <w:r w:rsidRPr="00452772">
              <w:rPr>
                <w:b/>
                <w:bCs/>
                <w:color w:val="1C1C1C"/>
                <w:sz w:val="16"/>
                <w:szCs w:val="16"/>
              </w:rPr>
              <w:t>Total</w:t>
            </w:r>
          </w:p>
        </w:tc>
      </w:tr>
      <w:tr w:rsidR="00F71418" w:rsidRPr="00452772" w14:paraId="4F74E47E" w14:textId="77777777" w:rsidTr="00C40957">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79097AAA" w14:textId="0C97480E" w:rsidR="00F71418" w:rsidRPr="00452772" w:rsidRDefault="00F71418" w:rsidP="00C40957">
            <w:pPr>
              <w:spacing w:before="120" w:after="120"/>
              <w:rPr>
                <w:rFonts w:ascii="Futura PT Book" w:hAnsi="Futura PT Book" w:cs="Futura PT Book"/>
                <w:color w:val="000000"/>
                <w:sz w:val="16"/>
                <w:szCs w:val="16"/>
                <w:lang w:val="en-US"/>
              </w:rPr>
            </w:pPr>
            <w:r w:rsidRPr="00C219EA">
              <w:rPr>
                <w:color w:val="1C1C1C"/>
                <w:sz w:val="16"/>
                <w:szCs w:val="16"/>
              </w:rPr>
              <w:t>S</w:t>
            </w:r>
            <w:r>
              <w:rPr>
                <w:color w:val="1C1C1C"/>
                <w:sz w:val="16"/>
                <w:szCs w:val="16"/>
              </w:rPr>
              <w:t xml:space="preserve">enior </w:t>
            </w:r>
            <w:r w:rsidRPr="00C219EA">
              <w:rPr>
                <w:color w:val="1C1C1C"/>
                <w:sz w:val="16"/>
                <w:szCs w:val="16"/>
              </w:rPr>
              <w:t>E</w:t>
            </w:r>
            <w:r>
              <w:rPr>
                <w:color w:val="1C1C1C"/>
                <w:sz w:val="16"/>
                <w:szCs w:val="16"/>
              </w:rPr>
              <w:t xml:space="preserve">xecutive </w:t>
            </w:r>
            <w:r w:rsidRPr="00C219EA">
              <w:rPr>
                <w:color w:val="1C1C1C"/>
                <w:sz w:val="16"/>
                <w:szCs w:val="16"/>
              </w:rPr>
              <w:t>S</w:t>
            </w:r>
            <w:r>
              <w:rPr>
                <w:color w:val="1C1C1C"/>
                <w:sz w:val="16"/>
                <w:szCs w:val="16"/>
              </w:rPr>
              <w:t>ervice</w:t>
            </w:r>
          </w:p>
        </w:tc>
        <w:tc>
          <w:tcPr>
            <w:tcW w:w="842" w:type="dxa"/>
            <w:shd w:val="clear" w:color="auto" w:fill="F2F2F2" w:themeFill="background2" w:themeFillShade="F2"/>
          </w:tcPr>
          <w:p w14:paraId="7BB3D4F3" w14:textId="02110416"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3CFD5E98" w14:textId="7ACAF7C2"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5F22D1D9" w14:textId="3FE13FD7" w:rsidR="00F71418" w:rsidRPr="00452772" w:rsidRDefault="00F71418" w:rsidP="00C40957">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55D9497F" w14:textId="214284C4" w:rsidR="00F71418" w:rsidRPr="00452772" w:rsidRDefault="00F71418" w:rsidP="00C40957">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shd w:val="clear" w:color="auto" w:fill="F2F2F2" w:themeFill="background2" w:themeFillShade="F2"/>
          </w:tcPr>
          <w:p w14:paraId="0BE57AE9" w14:textId="70C584F8"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7DA8F417" w14:textId="473E84FB"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tcBorders>
              <w:left w:val="single" w:sz="4" w:space="0" w:color="FFFFFF" w:themeColor="background2"/>
            </w:tcBorders>
          </w:tcPr>
          <w:p w14:paraId="55A90014" w14:textId="0DD8B3E1" w:rsidR="00F71418" w:rsidRPr="00452772" w:rsidRDefault="00F71418" w:rsidP="00C40957">
            <w:pPr>
              <w:spacing w:before="120" w:after="120"/>
              <w:jc w:val="right"/>
              <w:rPr>
                <w:color w:val="1C1C1C"/>
                <w:sz w:val="16"/>
                <w:szCs w:val="16"/>
              </w:rPr>
            </w:pPr>
            <w:r w:rsidRPr="00452772">
              <w:rPr>
                <w:color w:val="1C1C1C"/>
                <w:sz w:val="16"/>
                <w:szCs w:val="16"/>
              </w:rPr>
              <w:t>0</w:t>
            </w:r>
          </w:p>
        </w:tc>
      </w:tr>
      <w:tr w:rsidR="00F71418" w:rsidRPr="00452772" w14:paraId="50FEC71F" w14:textId="77777777" w:rsidTr="00C40957">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526E9ED2" w14:textId="6C91CBCB" w:rsidR="00F71418" w:rsidRPr="00452772" w:rsidRDefault="00F71418" w:rsidP="00C40957">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2</w:t>
            </w:r>
          </w:p>
        </w:tc>
        <w:tc>
          <w:tcPr>
            <w:tcW w:w="842" w:type="dxa"/>
            <w:shd w:val="clear" w:color="auto" w:fill="F2F2F2" w:themeFill="background2" w:themeFillShade="F2"/>
          </w:tcPr>
          <w:p w14:paraId="78CFD173" w14:textId="4A193761"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57A32FF2" w14:textId="5C1B7468"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A734AD4" w14:textId="50E85821" w:rsidR="00F71418" w:rsidRPr="00452772" w:rsidRDefault="00F71418" w:rsidP="00C40957">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240A80C8" w14:textId="4CDF858A" w:rsidR="00F71418" w:rsidRPr="00452772" w:rsidRDefault="00F71418" w:rsidP="00C40957">
            <w:pPr>
              <w:spacing w:before="120" w:after="120"/>
              <w:jc w:val="right"/>
              <w:rPr>
                <w:rFonts w:ascii="Futura PT Book" w:hAnsi="Futura PT Book" w:cs="Futura PT Book"/>
                <w:color w:val="000000"/>
                <w:sz w:val="16"/>
                <w:szCs w:val="16"/>
                <w:lang w:val="en-US"/>
              </w:rPr>
            </w:pPr>
            <w:r w:rsidRPr="00452772">
              <w:rPr>
                <w:color w:val="1C1C1C"/>
                <w:sz w:val="16"/>
                <w:szCs w:val="16"/>
              </w:rPr>
              <w:t>0</w:t>
            </w:r>
          </w:p>
        </w:tc>
        <w:tc>
          <w:tcPr>
            <w:tcW w:w="850" w:type="dxa"/>
            <w:shd w:val="clear" w:color="auto" w:fill="F2F2F2" w:themeFill="background2" w:themeFillShade="F2"/>
          </w:tcPr>
          <w:p w14:paraId="41FB435C" w14:textId="0D624B64" w:rsidR="00F71418" w:rsidRPr="00452772" w:rsidRDefault="00F71418" w:rsidP="00C40957">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5F53FDEE" w14:textId="1744B795" w:rsidR="00F71418" w:rsidRPr="00452772" w:rsidRDefault="00F71418" w:rsidP="00C40957">
            <w:pPr>
              <w:spacing w:before="120" w:after="120"/>
              <w:jc w:val="right"/>
              <w:rPr>
                <w:color w:val="1C1C1C"/>
                <w:sz w:val="16"/>
                <w:szCs w:val="16"/>
              </w:rPr>
            </w:pPr>
            <w:r>
              <w:rPr>
                <w:color w:val="1C1C1C"/>
                <w:sz w:val="16"/>
                <w:szCs w:val="16"/>
              </w:rPr>
              <w:t>0</w:t>
            </w:r>
          </w:p>
        </w:tc>
        <w:tc>
          <w:tcPr>
            <w:tcW w:w="850" w:type="dxa"/>
            <w:tcBorders>
              <w:left w:val="single" w:sz="4" w:space="0" w:color="FFFFFF" w:themeColor="background2"/>
            </w:tcBorders>
          </w:tcPr>
          <w:p w14:paraId="344187AD" w14:textId="33ED7ADC" w:rsidR="00F71418" w:rsidRPr="00452772" w:rsidRDefault="00F71418" w:rsidP="00C40957">
            <w:pPr>
              <w:spacing w:before="120" w:after="120"/>
              <w:jc w:val="right"/>
              <w:rPr>
                <w:color w:val="1C1C1C"/>
                <w:sz w:val="16"/>
                <w:szCs w:val="16"/>
              </w:rPr>
            </w:pPr>
            <w:r>
              <w:rPr>
                <w:color w:val="1C1C1C"/>
                <w:sz w:val="16"/>
                <w:szCs w:val="16"/>
              </w:rPr>
              <w:t>0</w:t>
            </w:r>
          </w:p>
        </w:tc>
      </w:tr>
      <w:tr w:rsidR="00F71418" w:rsidRPr="00452772" w14:paraId="3D8B9895" w14:textId="77777777" w:rsidTr="00C40957">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5929D0D8" w14:textId="3F451FA6" w:rsidR="00F71418" w:rsidRPr="00452772" w:rsidRDefault="00F71418" w:rsidP="00C40957">
            <w:pPr>
              <w:spacing w:before="120" w:after="120"/>
              <w:rPr>
                <w:rFonts w:ascii="Futura PT Book" w:hAnsi="Futura PT Book" w:cs="Futura PT Book"/>
                <w:color w:val="000000"/>
                <w:sz w:val="16"/>
                <w:szCs w:val="16"/>
                <w:lang w:val="en-US"/>
              </w:rPr>
            </w:pPr>
            <w:r w:rsidRPr="00C219EA">
              <w:rPr>
                <w:color w:val="1C1C1C"/>
                <w:sz w:val="16"/>
                <w:szCs w:val="16"/>
              </w:rPr>
              <w:t>E</w:t>
            </w:r>
            <w:r>
              <w:rPr>
                <w:color w:val="1C1C1C"/>
                <w:sz w:val="16"/>
                <w:szCs w:val="16"/>
              </w:rPr>
              <w:t xml:space="preserve">xecutive </w:t>
            </w:r>
            <w:r w:rsidRPr="00C219EA">
              <w:rPr>
                <w:color w:val="1C1C1C"/>
                <w:sz w:val="16"/>
                <w:szCs w:val="16"/>
              </w:rPr>
              <w:t>L</w:t>
            </w:r>
            <w:r>
              <w:rPr>
                <w:color w:val="1C1C1C"/>
                <w:sz w:val="16"/>
                <w:szCs w:val="16"/>
              </w:rPr>
              <w:t xml:space="preserve">evel </w:t>
            </w:r>
            <w:r w:rsidRPr="00C219EA">
              <w:rPr>
                <w:color w:val="1C1C1C"/>
                <w:sz w:val="16"/>
                <w:szCs w:val="16"/>
              </w:rPr>
              <w:t>1</w:t>
            </w:r>
          </w:p>
        </w:tc>
        <w:tc>
          <w:tcPr>
            <w:tcW w:w="842" w:type="dxa"/>
            <w:shd w:val="clear" w:color="auto" w:fill="F2F2F2" w:themeFill="background2" w:themeFillShade="F2"/>
          </w:tcPr>
          <w:p w14:paraId="343DCD7B" w14:textId="64EBD210" w:rsidR="00F71418" w:rsidRPr="00452772" w:rsidRDefault="00F71418" w:rsidP="00C40957">
            <w:pPr>
              <w:spacing w:before="120" w:after="120"/>
              <w:jc w:val="right"/>
              <w:rPr>
                <w:color w:val="1C1C1C"/>
                <w:sz w:val="16"/>
                <w:szCs w:val="16"/>
              </w:rPr>
            </w:pPr>
            <w:r>
              <w:rPr>
                <w:color w:val="1C1C1C"/>
                <w:sz w:val="16"/>
                <w:szCs w:val="16"/>
              </w:rPr>
              <w:t>0</w:t>
            </w:r>
          </w:p>
        </w:tc>
        <w:tc>
          <w:tcPr>
            <w:tcW w:w="851" w:type="dxa"/>
            <w:shd w:val="clear" w:color="auto" w:fill="F2F2F2" w:themeFill="background2" w:themeFillShade="F2"/>
          </w:tcPr>
          <w:p w14:paraId="4200A773" w14:textId="3C7A2C75"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2E24B05C" w14:textId="768BD081" w:rsidR="00F71418" w:rsidRPr="00452772" w:rsidRDefault="00F71418" w:rsidP="00C40957">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508E7B22" w14:textId="3E60D352" w:rsidR="00F71418" w:rsidRPr="00452772" w:rsidRDefault="00F71418" w:rsidP="00C40957">
            <w:pPr>
              <w:spacing w:before="120" w:after="120"/>
              <w:jc w:val="right"/>
              <w:rPr>
                <w:rFonts w:ascii="Futura PT Book" w:hAnsi="Futura PT Book" w:cs="Futura PT Book"/>
                <w:color w:val="000000"/>
                <w:sz w:val="16"/>
                <w:szCs w:val="16"/>
                <w:lang w:val="en-US"/>
              </w:rPr>
            </w:pPr>
            <w:r>
              <w:rPr>
                <w:color w:val="1C1C1C"/>
                <w:sz w:val="16"/>
                <w:szCs w:val="16"/>
              </w:rPr>
              <w:t>2</w:t>
            </w:r>
          </w:p>
        </w:tc>
        <w:tc>
          <w:tcPr>
            <w:tcW w:w="850" w:type="dxa"/>
            <w:shd w:val="clear" w:color="auto" w:fill="F2F2F2" w:themeFill="background2" w:themeFillShade="F2"/>
          </w:tcPr>
          <w:p w14:paraId="0516ACA9" w14:textId="10429FCD" w:rsidR="00F71418" w:rsidRPr="00452772" w:rsidRDefault="00F71418" w:rsidP="00C40957">
            <w:pPr>
              <w:spacing w:before="120" w:after="120"/>
              <w:jc w:val="right"/>
              <w:rPr>
                <w:color w:val="1C1C1C"/>
                <w:sz w:val="16"/>
                <w:szCs w:val="16"/>
              </w:rPr>
            </w:pPr>
            <w:r>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51EA72AF" w14:textId="0450C680" w:rsidR="00F71418" w:rsidRPr="00452772" w:rsidRDefault="00F71418" w:rsidP="00C40957">
            <w:pPr>
              <w:spacing w:before="120" w:after="120"/>
              <w:jc w:val="right"/>
              <w:rPr>
                <w:color w:val="1C1C1C"/>
                <w:sz w:val="16"/>
                <w:szCs w:val="16"/>
              </w:rPr>
            </w:pPr>
            <w:r>
              <w:rPr>
                <w:color w:val="1C1C1C"/>
                <w:sz w:val="16"/>
                <w:szCs w:val="16"/>
              </w:rPr>
              <w:t>2</w:t>
            </w:r>
          </w:p>
        </w:tc>
        <w:tc>
          <w:tcPr>
            <w:tcW w:w="850" w:type="dxa"/>
            <w:tcBorders>
              <w:left w:val="single" w:sz="4" w:space="0" w:color="FFFFFF" w:themeColor="background2"/>
            </w:tcBorders>
          </w:tcPr>
          <w:p w14:paraId="2A3E929F" w14:textId="702B4279" w:rsidR="00F71418" w:rsidRPr="00452772" w:rsidRDefault="00F71418" w:rsidP="00C40957">
            <w:pPr>
              <w:spacing w:before="120" w:after="120"/>
              <w:jc w:val="right"/>
              <w:rPr>
                <w:color w:val="1C1C1C"/>
                <w:sz w:val="16"/>
                <w:szCs w:val="16"/>
              </w:rPr>
            </w:pPr>
            <w:r w:rsidRPr="00452772">
              <w:rPr>
                <w:color w:val="1C1C1C"/>
                <w:sz w:val="16"/>
                <w:szCs w:val="16"/>
              </w:rPr>
              <w:t>2</w:t>
            </w:r>
          </w:p>
        </w:tc>
      </w:tr>
      <w:tr w:rsidR="00F71418" w:rsidRPr="00452772" w14:paraId="24D043DE" w14:textId="77777777" w:rsidTr="00C40957">
        <w:trPr>
          <w:cnfStyle w:val="000000100000" w:firstRow="0" w:lastRow="0" w:firstColumn="0" w:lastColumn="0" w:oddVBand="0" w:evenVBand="0" w:oddHBand="1" w:evenHBand="0" w:firstRowFirstColumn="0" w:firstRowLastColumn="0" w:lastRowFirstColumn="0" w:lastRowLastColumn="0"/>
          <w:trHeight w:val="20"/>
        </w:trPr>
        <w:tc>
          <w:tcPr>
            <w:tcW w:w="1426" w:type="dxa"/>
          </w:tcPr>
          <w:p w14:paraId="2F695629" w14:textId="681DDF84" w:rsidR="00F71418" w:rsidRPr="00452772" w:rsidRDefault="00F71418" w:rsidP="00C40957">
            <w:pPr>
              <w:spacing w:before="120" w:after="120"/>
              <w:rPr>
                <w:rFonts w:ascii="Futura PT Book" w:hAnsi="Futura PT Book" w:cs="Futura PT Book"/>
                <w:color w:val="000000"/>
                <w:sz w:val="16"/>
                <w:szCs w:val="16"/>
                <w:lang w:val="en-US"/>
              </w:rPr>
            </w:pPr>
            <w:r w:rsidRPr="00C219EA">
              <w:rPr>
                <w:color w:val="1C1C1C"/>
                <w:sz w:val="16"/>
                <w:szCs w:val="16"/>
              </w:rPr>
              <w:t>APS Level 6</w:t>
            </w:r>
          </w:p>
        </w:tc>
        <w:tc>
          <w:tcPr>
            <w:tcW w:w="842" w:type="dxa"/>
            <w:shd w:val="clear" w:color="auto" w:fill="F2F2F2" w:themeFill="background2" w:themeFillShade="F2"/>
          </w:tcPr>
          <w:p w14:paraId="771B280D" w14:textId="52E8B09C" w:rsidR="00F71418" w:rsidRPr="00452772" w:rsidRDefault="00F71418" w:rsidP="00C40957">
            <w:pPr>
              <w:spacing w:before="120" w:after="120"/>
              <w:jc w:val="right"/>
              <w:rPr>
                <w:color w:val="1C1C1C"/>
                <w:sz w:val="16"/>
                <w:szCs w:val="16"/>
              </w:rPr>
            </w:pPr>
            <w:r>
              <w:rPr>
                <w:color w:val="1C1C1C"/>
                <w:sz w:val="16"/>
                <w:szCs w:val="16"/>
              </w:rPr>
              <w:t>0</w:t>
            </w:r>
          </w:p>
        </w:tc>
        <w:tc>
          <w:tcPr>
            <w:tcW w:w="851" w:type="dxa"/>
            <w:shd w:val="clear" w:color="auto" w:fill="F2F2F2" w:themeFill="background2" w:themeFillShade="F2"/>
          </w:tcPr>
          <w:p w14:paraId="67DC6DA9" w14:textId="09376465"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0E67DED0" w14:textId="5678C06F" w:rsidR="00F71418" w:rsidRPr="00452772" w:rsidRDefault="00F71418" w:rsidP="00C40957">
            <w:pPr>
              <w:spacing w:before="120" w:after="120"/>
              <w:jc w:val="right"/>
              <w:rPr>
                <w:rFonts w:ascii="Futura PT Book" w:hAnsi="Futura PT Book" w:cs="Futura PT Book"/>
                <w:color w:val="000000"/>
                <w:sz w:val="16"/>
                <w:szCs w:val="16"/>
                <w:lang w:val="en-US"/>
              </w:rPr>
            </w:pPr>
            <w:r>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41DB930D" w14:textId="21E4F03B" w:rsidR="00F71418" w:rsidRPr="00452772" w:rsidRDefault="00F71418" w:rsidP="00C40957">
            <w:pPr>
              <w:spacing w:before="120" w:after="120"/>
              <w:jc w:val="right"/>
              <w:rPr>
                <w:rFonts w:ascii="Futura PT Book" w:hAnsi="Futura PT Book" w:cs="Futura PT Book"/>
                <w:color w:val="000000"/>
                <w:sz w:val="16"/>
                <w:szCs w:val="16"/>
                <w:lang w:val="en-US"/>
              </w:rPr>
            </w:pPr>
            <w:r w:rsidRPr="00452772">
              <w:rPr>
                <w:color w:val="1C1C1C"/>
                <w:sz w:val="16"/>
                <w:szCs w:val="16"/>
              </w:rPr>
              <w:t>1</w:t>
            </w:r>
          </w:p>
        </w:tc>
        <w:tc>
          <w:tcPr>
            <w:tcW w:w="850" w:type="dxa"/>
            <w:shd w:val="clear" w:color="auto" w:fill="F2F2F2" w:themeFill="background2" w:themeFillShade="F2"/>
          </w:tcPr>
          <w:p w14:paraId="1FA52A1F" w14:textId="5926EF05"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1E4DBD48" w14:textId="02C5BB39" w:rsidR="00F71418" w:rsidRPr="00452772" w:rsidRDefault="00F71418" w:rsidP="00C40957">
            <w:pPr>
              <w:spacing w:before="120" w:after="120"/>
              <w:jc w:val="right"/>
              <w:rPr>
                <w:color w:val="1C1C1C"/>
                <w:sz w:val="16"/>
                <w:szCs w:val="16"/>
              </w:rPr>
            </w:pPr>
            <w:r w:rsidRPr="00452772">
              <w:rPr>
                <w:color w:val="1C1C1C"/>
                <w:sz w:val="16"/>
                <w:szCs w:val="16"/>
              </w:rPr>
              <w:t>1</w:t>
            </w:r>
          </w:p>
        </w:tc>
        <w:tc>
          <w:tcPr>
            <w:tcW w:w="850" w:type="dxa"/>
            <w:tcBorders>
              <w:left w:val="single" w:sz="4" w:space="0" w:color="FFFFFF" w:themeColor="background2"/>
            </w:tcBorders>
          </w:tcPr>
          <w:p w14:paraId="27633AB7" w14:textId="48B55A13" w:rsidR="00F71418" w:rsidRPr="00452772" w:rsidRDefault="00F71418" w:rsidP="00C40957">
            <w:pPr>
              <w:spacing w:before="120" w:after="120"/>
              <w:jc w:val="right"/>
              <w:rPr>
                <w:color w:val="1C1C1C"/>
                <w:sz w:val="16"/>
                <w:szCs w:val="16"/>
              </w:rPr>
            </w:pPr>
            <w:r>
              <w:rPr>
                <w:color w:val="1C1C1C"/>
                <w:sz w:val="16"/>
                <w:szCs w:val="16"/>
              </w:rPr>
              <w:t>1</w:t>
            </w:r>
          </w:p>
        </w:tc>
      </w:tr>
      <w:tr w:rsidR="00F71418" w:rsidRPr="00452772" w14:paraId="38F51113" w14:textId="77777777" w:rsidTr="00C40957">
        <w:trPr>
          <w:cnfStyle w:val="000000010000" w:firstRow="0" w:lastRow="0" w:firstColumn="0" w:lastColumn="0" w:oddVBand="0" w:evenVBand="0" w:oddHBand="0" w:evenHBand="1" w:firstRowFirstColumn="0" w:firstRowLastColumn="0" w:lastRowFirstColumn="0" w:lastRowLastColumn="0"/>
          <w:trHeight w:val="20"/>
        </w:trPr>
        <w:tc>
          <w:tcPr>
            <w:tcW w:w="1426" w:type="dxa"/>
          </w:tcPr>
          <w:p w14:paraId="64C856C4" w14:textId="7EF10FA9" w:rsidR="00F71418" w:rsidRPr="00452772" w:rsidRDefault="00F71418" w:rsidP="00C40957">
            <w:pPr>
              <w:spacing w:before="120" w:after="120"/>
              <w:rPr>
                <w:color w:val="1C1C1C"/>
                <w:sz w:val="16"/>
                <w:szCs w:val="16"/>
              </w:rPr>
            </w:pPr>
            <w:r w:rsidRPr="00C219EA">
              <w:rPr>
                <w:color w:val="1C1C1C"/>
                <w:sz w:val="16"/>
                <w:szCs w:val="16"/>
              </w:rPr>
              <w:t>APS Level 5</w:t>
            </w:r>
          </w:p>
        </w:tc>
        <w:tc>
          <w:tcPr>
            <w:tcW w:w="842" w:type="dxa"/>
            <w:shd w:val="clear" w:color="auto" w:fill="F2F2F2" w:themeFill="background2" w:themeFillShade="F2"/>
          </w:tcPr>
          <w:p w14:paraId="74B5831A" w14:textId="61D43913"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1" w:type="dxa"/>
            <w:shd w:val="clear" w:color="auto" w:fill="F2F2F2" w:themeFill="background2" w:themeFillShade="F2"/>
          </w:tcPr>
          <w:p w14:paraId="72737DD8" w14:textId="4E3479B0"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715" w:type="dxa"/>
            <w:tcBorders>
              <w:right w:val="single" w:sz="4" w:space="0" w:color="FFFFFF" w:themeColor="background2"/>
            </w:tcBorders>
            <w:shd w:val="clear" w:color="auto" w:fill="F2F2F2" w:themeFill="background2" w:themeFillShade="F2"/>
          </w:tcPr>
          <w:p w14:paraId="53AFBBFB" w14:textId="373D1065"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tcBorders>
              <w:left w:val="single" w:sz="4" w:space="0" w:color="FFFFFF" w:themeColor="background2"/>
            </w:tcBorders>
            <w:shd w:val="clear" w:color="auto" w:fill="F2F2F2" w:themeFill="background2" w:themeFillShade="F2"/>
          </w:tcPr>
          <w:p w14:paraId="17CB7769" w14:textId="7FAECC7D"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shd w:val="clear" w:color="auto" w:fill="F2F2F2" w:themeFill="background2" w:themeFillShade="F2"/>
          </w:tcPr>
          <w:p w14:paraId="73B0A7D8" w14:textId="2B5BBE63"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tcBorders>
              <w:right w:val="single" w:sz="4" w:space="0" w:color="FFFFFF" w:themeColor="background2"/>
            </w:tcBorders>
            <w:shd w:val="clear" w:color="auto" w:fill="F2F2F2" w:themeFill="background2" w:themeFillShade="F2"/>
          </w:tcPr>
          <w:p w14:paraId="5B240C38" w14:textId="1865B2CE" w:rsidR="00F71418" w:rsidRPr="00452772" w:rsidRDefault="00F71418" w:rsidP="00C40957">
            <w:pPr>
              <w:spacing w:before="120" w:after="120"/>
              <w:jc w:val="right"/>
              <w:rPr>
                <w:color w:val="1C1C1C"/>
                <w:sz w:val="16"/>
                <w:szCs w:val="16"/>
              </w:rPr>
            </w:pPr>
            <w:r w:rsidRPr="00452772">
              <w:rPr>
                <w:color w:val="1C1C1C"/>
                <w:sz w:val="16"/>
                <w:szCs w:val="16"/>
              </w:rPr>
              <w:t>0</w:t>
            </w:r>
          </w:p>
        </w:tc>
        <w:tc>
          <w:tcPr>
            <w:tcW w:w="850" w:type="dxa"/>
            <w:tcBorders>
              <w:left w:val="single" w:sz="4" w:space="0" w:color="FFFFFF" w:themeColor="background2"/>
            </w:tcBorders>
          </w:tcPr>
          <w:p w14:paraId="10F598D6" w14:textId="7C379698" w:rsidR="00F71418" w:rsidRPr="00452772" w:rsidRDefault="00F71418" w:rsidP="00C40957">
            <w:pPr>
              <w:spacing w:before="120" w:after="120"/>
              <w:jc w:val="right"/>
              <w:rPr>
                <w:color w:val="1C1C1C"/>
                <w:sz w:val="16"/>
                <w:szCs w:val="16"/>
              </w:rPr>
            </w:pPr>
            <w:r w:rsidRPr="00452772">
              <w:rPr>
                <w:color w:val="1C1C1C"/>
                <w:sz w:val="16"/>
                <w:szCs w:val="16"/>
              </w:rPr>
              <w:t>0</w:t>
            </w:r>
          </w:p>
        </w:tc>
      </w:tr>
      <w:tr w:rsidR="00566DF3" w:rsidRPr="00452772" w14:paraId="5605E301" w14:textId="77777777" w:rsidTr="00C40957">
        <w:trPr>
          <w:cnfStyle w:val="000000100000" w:firstRow="0" w:lastRow="0" w:firstColumn="0" w:lastColumn="0" w:oddVBand="0" w:evenVBand="0" w:oddHBand="1" w:evenHBand="0" w:firstRowFirstColumn="0" w:firstRowLastColumn="0" w:lastRowFirstColumn="0" w:lastRowLastColumn="0"/>
          <w:trHeight w:val="20"/>
        </w:trPr>
        <w:tc>
          <w:tcPr>
            <w:tcW w:w="1426" w:type="dxa"/>
            <w:shd w:val="clear" w:color="auto" w:fill="FBC5D6" w:themeFill="accent6" w:themeFillTint="33"/>
          </w:tcPr>
          <w:p w14:paraId="2C9CDCBF" w14:textId="77777777" w:rsidR="00566DF3" w:rsidRPr="00452772" w:rsidRDefault="00566DF3" w:rsidP="00C40957">
            <w:pPr>
              <w:spacing w:before="120" w:after="120"/>
              <w:rPr>
                <w:b/>
                <w:bCs/>
                <w:color w:val="1C1C1C"/>
                <w:sz w:val="16"/>
                <w:szCs w:val="16"/>
              </w:rPr>
            </w:pPr>
            <w:r w:rsidRPr="00452772">
              <w:rPr>
                <w:b/>
                <w:bCs/>
                <w:color w:val="1C1C1C"/>
                <w:sz w:val="16"/>
                <w:szCs w:val="16"/>
              </w:rPr>
              <w:t>Total</w:t>
            </w:r>
          </w:p>
        </w:tc>
        <w:tc>
          <w:tcPr>
            <w:tcW w:w="842" w:type="dxa"/>
            <w:shd w:val="clear" w:color="auto" w:fill="FBC5D6" w:themeFill="accent6" w:themeFillTint="33"/>
          </w:tcPr>
          <w:p w14:paraId="18CD52DF" w14:textId="3F73EFBA" w:rsidR="00566DF3" w:rsidRPr="00452772" w:rsidRDefault="00566DF3" w:rsidP="00C40957">
            <w:pPr>
              <w:spacing w:before="120" w:after="120"/>
              <w:jc w:val="right"/>
              <w:rPr>
                <w:b/>
                <w:bCs/>
                <w:color w:val="1C1C1C"/>
                <w:sz w:val="16"/>
                <w:szCs w:val="16"/>
              </w:rPr>
            </w:pPr>
            <w:r>
              <w:rPr>
                <w:b/>
                <w:bCs/>
                <w:color w:val="1C1C1C"/>
                <w:sz w:val="16"/>
                <w:szCs w:val="16"/>
              </w:rPr>
              <w:t>0</w:t>
            </w:r>
          </w:p>
        </w:tc>
        <w:tc>
          <w:tcPr>
            <w:tcW w:w="851" w:type="dxa"/>
            <w:shd w:val="clear" w:color="auto" w:fill="FBC5D6" w:themeFill="accent6" w:themeFillTint="33"/>
          </w:tcPr>
          <w:p w14:paraId="17F0F36E" w14:textId="3E2531D6" w:rsidR="00566DF3" w:rsidRPr="00452772" w:rsidRDefault="00566DF3" w:rsidP="00C40957">
            <w:pPr>
              <w:spacing w:before="120" w:after="120"/>
              <w:jc w:val="right"/>
              <w:rPr>
                <w:b/>
                <w:bCs/>
                <w:color w:val="1C1C1C"/>
                <w:sz w:val="16"/>
                <w:szCs w:val="16"/>
              </w:rPr>
            </w:pPr>
            <w:r w:rsidRPr="00452772">
              <w:rPr>
                <w:b/>
                <w:bCs/>
                <w:color w:val="1C1C1C"/>
                <w:sz w:val="16"/>
                <w:szCs w:val="16"/>
              </w:rPr>
              <w:t>0</w:t>
            </w:r>
          </w:p>
        </w:tc>
        <w:tc>
          <w:tcPr>
            <w:tcW w:w="715" w:type="dxa"/>
            <w:tcBorders>
              <w:right w:val="single" w:sz="4" w:space="0" w:color="FFFFFF" w:themeColor="background2"/>
            </w:tcBorders>
            <w:shd w:val="clear" w:color="auto" w:fill="FBC5D6" w:themeFill="accent6" w:themeFillTint="33"/>
          </w:tcPr>
          <w:p w14:paraId="11B78234" w14:textId="72B19514" w:rsidR="00566DF3" w:rsidRPr="00452772" w:rsidRDefault="00566DF3" w:rsidP="00C40957">
            <w:pPr>
              <w:spacing w:before="120" w:after="120"/>
              <w:jc w:val="right"/>
              <w:rPr>
                <w:b/>
                <w:bCs/>
                <w:color w:val="1C1C1C"/>
                <w:sz w:val="16"/>
                <w:szCs w:val="16"/>
              </w:rPr>
            </w:pPr>
            <w:r>
              <w:rPr>
                <w:b/>
                <w:bCs/>
                <w:color w:val="1C1C1C"/>
                <w:sz w:val="16"/>
                <w:szCs w:val="16"/>
              </w:rPr>
              <w:t>0</w:t>
            </w:r>
          </w:p>
        </w:tc>
        <w:tc>
          <w:tcPr>
            <w:tcW w:w="850" w:type="dxa"/>
            <w:tcBorders>
              <w:left w:val="single" w:sz="4" w:space="0" w:color="FFFFFF" w:themeColor="background2"/>
            </w:tcBorders>
            <w:shd w:val="clear" w:color="auto" w:fill="FBC5D6" w:themeFill="accent6" w:themeFillTint="33"/>
          </w:tcPr>
          <w:p w14:paraId="480AC40E" w14:textId="1F54DA17" w:rsidR="00566DF3" w:rsidRPr="00452772" w:rsidRDefault="00566DF3" w:rsidP="00C40957">
            <w:pPr>
              <w:spacing w:before="120" w:after="120"/>
              <w:jc w:val="right"/>
              <w:rPr>
                <w:b/>
                <w:bCs/>
                <w:color w:val="1C1C1C"/>
                <w:sz w:val="16"/>
                <w:szCs w:val="16"/>
              </w:rPr>
            </w:pPr>
            <w:r>
              <w:rPr>
                <w:b/>
                <w:bCs/>
                <w:color w:val="1C1C1C"/>
                <w:sz w:val="16"/>
                <w:szCs w:val="16"/>
              </w:rPr>
              <w:t>3</w:t>
            </w:r>
          </w:p>
        </w:tc>
        <w:tc>
          <w:tcPr>
            <w:tcW w:w="850" w:type="dxa"/>
            <w:shd w:val="clear" w:color="auto" w:fill="FBC5D6" w:themeFill="accent6" w:themeFillTint="33"/>
          </w:tcPr>
          <w:p w14:paraId="60102BA5" w14:textId="3C0AA1AE" w:rsidR="00566DF3" w:rsidRPr="00452772" w:rsidRDefault="00566DF3" w:rsidP="00C40957">
            <w:pPr>
              <w:spacing w:before="120" w:after="120"/>
              <w:jc w:val="right"/>
              <w:rPr>
                <w:b/>
                <w:bCs/>
                <w:color w:val="1C1C1C"/>
                <w:sz w:val="16"/>
                <w:szCs w:val="16"/>
              </w:rPr>
            </w:pPr>
            <w:r>
              <w:rPr>
                <w:b/>
                <w:bCs/>
                <w:color w:val="1C1C1C"/>
                <w:sz w:val="16"/>
                <w:szCs w:val="16"/>
              </w:rPr>
              <w:t>0</w:t>
            </w:r>
          </w:p>
        </w:tc>
        <w:tc>
          <w:tcPr>
            <w:tcW w:w="850" w:type="dxa"/>
            <w:tcBorders>
              <w:right w:val="single" w:sz="4" w:space="0" w:color="FFFFFF" w:themeColor="background2"/>
            </w:tcBorders>
            <w:shd w:val="clear" w:color="auto" w:fill="FBC5D6" w:themeFill="accent6" w:themeFillTint="33"/>
          </w:tcPr>
          <w:p w14:paraId="67673B9F" w14:textId="58298DD6" w:rsidR="00566DF3" w:rsidRPr="00452772" w:rsidRDefault="00566DF3" w:rsidP="00C40957">
            <w:pPr>
              <w:spacing w:before="120" w:after="120"/>
              <w:jc w:val="right"/>
              <w:rPr>
                <w:b/>
                <w:bCs/>
                <w:color w:val="1C1C1C"/>
                <w:sz w:val="16"/>
                <w:szCs w:val="16"/>
              </w:rPr>
            </w:pPr>
            <w:r w:rsidRPr="00452772">
              <w:rPr>
                <w:b/>
                <w:bCs/>
                <w:color w:val="1C1C1C"/>
                <w:sz w:val="16"/>
                <w:szCs w:val="16"/>
              </w:rPr>
              <w:t>3</w:t>
            </w:r>
          </w:p>
        </w:tc>
        <w:tc>
          <w:tcPr>
            <w:tcW w:w="850" w:type="dxa"/>
            <w:tcBorders>
              <w:left w:val="single" w:sz="4" w:space="0" w:color="FFFFFF" w:themeColor="background2"/>
            </w:tcBorders>
            <w:shd w:val="clear" w:color="auto" w:fill="FBC5D6" w:themeFill="accent6" w:themeFillTint="33"/>
          </w:tcPr>
          <w:p w14:paraId="7E672510" w14:textId="4264C7E2" w:rsidR="00566DF3" w:rsidRPr="00452772" w:rsidRDefault="00566DF3" w:rsidP="00C40957">
            <w:pPr>
              <w:spacing w:before="120" w:after="120"/>
              <w:jc w:val="right"/>
              <w:rPr>
                <w:b/>
                <w:bCs/>
                <w:color w:val="1C1C1C"/>
                <w:sz w:val="16"/>
                <w:szCs w:val="16"/>
              </w:rPr>
            </w:pPr>
            <w:r>
              <w:rPr>
                <w:b/>
                <w:bCs/>
                <w:color w:val="1C1C1C"/>
                <w:sz w:val="16"/>
                <w:szCs w:val="16"/>
              </w:rPr>
              <w:t>3</w:t>
            </w:r>
          </w:p>
        </w:tc>
      </w:tr>
    </w:tbl>
    <w:p w14:paraId="3E70E250" w14:textId="77777777" w:rsidR="00A21378" w:rsidRDefault="00A21378" w:rsidP="00705609">
      <w:pPr>
        <w:pStyle w:val="Body"/>
        <w:sectPr w:rsidR="00A21378" w:rsidSect="00441579">
          <w:footerReference w:type="default" r:id="rId175"/>
          <w:pgSz w:w="9979" w:h="14175"/>
          <w:pgMar w:top="1134" w:right="1134" w:bottom="1134" w:left="1134" w:header="709" w:footer="709" w:gutter="0"/>
          <w:cols w:space="708"/>
          <w:docGrid w:linePitch="360"/>
        </w:sectPr>
      </w:pPr>
    </w:p>
    <w:p w14:paraId="3EBD84B3" w14:textId="1A057B2F" w:rsidR="00422E00" w:rsidRPr="00153DC1" w:rsidRDefault="00422E00" w:rsidP="00566DF3">
      <w:pPr>
        <w:pStyle w:val="H3"/>
        <w:spacing w:before="0"/>
        <w:rPr>
          <w:color w:val="C40B46" w:themeColor="accent6"/>
        </w:rPr>
      </w:pPr>
      <w:bookmarkStart w:id="139" w:name="KeyManagementPersonnel"/>
      <w:r w:rsidRPr="00153DC1">
        <w:rPr>
          <w:color w:val="C40B46" w:themeColor="accent6"/>
        </w:rPr>
        <w:lastRenderedPageBreak/>
        <w:t>Key management personnel</w:t>
      </w:r>
    </w:p>
    <w:bookmarkStart w:id="140" w:name="_Toc82510955"/>
    <w:bookmarkEnd w:id="139"/>
    <w:p w14:paraId="0798AFDB" w14:textId="69D5D2D4" w:rsidR="00422E00" w:rsidRPr="00422E00" w:rsidRDefault="001E2294" w:rsidP="00153DC1">
      <w:pPr>
        <w:pStyle w:val="FigureHeading"/>
      </w:pPr>
      <w:r w:rsidRPr="00F92CE2">
        <w:rPr>
          <w:noProof/>
          <w:color w:val="C40B46" w:themeColor="accent6"/>
          <w:lang w:val="en-AU" w:eastAsia="en-AU"/>
        </w:rPr>
        <mc:AlternateContent>
          <mc:Choice Requires="wps">
            <w:drawing>
              <wp:anchor distT="45720" distB="45720" distL="114300" distR="114300" simplePos="0" relativeHeight="251966464" behindDoc="1" locked="0" layoutInCell="1" allowOverlap="1" wp14:anchorId="454CE18F" wp14:editId="2BB46566">
                <wp:simplePos x="0" y="0"/>
                <wp:positionH relativeFrom="margin">
                  <wp:posOffset>-3039745</wp:posOffset>
                </wp:positionH>
                <wp:positionV relativeFrom="margin">
                  <wp:posOffset>2286801</wp:posOffset>
                </wp:positionV>
                <wp:extent cx="5255812" cy="620202"/>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255812" cy="620202"/>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5361E0E2" w14:textId="62E52F1C" w:rsidR="00B51E6F" w:rsidRDefault="00B51E6F" w:rsidP="00A43FEE">
                            <w:pPr>
                              <w:pStyle w:val="Footer"/>
                              <w:tabs>
                                <w:tab w:val="clear" w:pos="4680"/>
                                <w:tab w:val="clear" w:pos="9360"/>
                                <w:tab w:val="right" w:pos="11766"/>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9D65FF">
                              <w:rPr>
                                <w:noProof/>
                                <w:color w:val="003F2C" w:themeColor="text1"/>
                                <w:sz w:val="16"/>
                                <w:szCs w:val="16"/>
                              </w:rPr>
                              <w:t>72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4CE18F" id="_x0000_t202" coordsize="21600,21600" o:spt="202" path="m,l,21600r21600,l21600,xe">
                <v:stroke joinstyle="miter"/>
                <v:path gradientshapeok="t" o:connecttype="rect"/>
              </v:shapetype>
              <v:shape id="Text Box 2" o:spid="_x0000_s1026" type="#_x0000_t202" alt="&quot;&quot;" style="position:absolute;margin-left:-239.35pt;margin-top:180.05pt;width:413.85pt;height:48.85pt;rotation:90;z-index:-25135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" filled="f">
                <v:stroke opacity="0"/>
                <v:textbox>
                  <w:txbxContent>
                    <w:p w14:paraId="5361E0E2" w14:textId="62E52F1C" w:rsidR="00B51E6F" w:rsidRDefault="00B51E6F" w:rsidP="00A43FEE">
                      <w:pPr>
                        <w:pStyle w:val="Footer"/>
                        <w:tabs>
                          <w:tab w:val="clear" w:pos="4680"/>
                          <w:tab w:val="clear" w:pos="9360"/>
                          <w:tab w:val="right" w:pos="11766"/>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9D65FF">
                        <w:rPr>
                          <w:noProof/>
                          <w:color w:val="003F2C" w:themeColor="text1"/>
                          <w:sz w:val="16"/>
                          <w:szCs w:val="16"/>
                        </w:rPr>
                        <w:t>72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txbxContent>
                </v:textbox>
                <w10:wrap anchorx="margin" anchory="margin"/>
              </v:shape>
            </w:pict>
          </mc:Fallback>
        </mc:AlternateContent>
      </w:r>
      <w:r w:rsidR="00422E00" w:rsidRPr="00422E00">
        <w:t>Table 1</w:t>
      </w:r>
      <w:r w:rsidR="00D362E1">
        <w:t>4</w:t>
      </w:r>
      <w:r w:rsidR="00422E00" w:rsidRPr="00422E00">
        <w:t>: Information about remuneration for key management personnel</w:t>
      </w:r>
      <w:bookmarkEnd w:id="140"/>
    </w:p>
    <w:tbl>
      <w:tblPr>
        <w:tblStyle w:val="TableGrid1"/>
        <w:tblW w:w="494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Caption w:val="Table 14"/>
        <w:tblDescription w:val="Information about remuneration for key management personnel"/>
      </w:tblPr>
      <w:tblGrid>
        <w:gridCol w:w="1385"/>
        <w:gridCol w:w="2624"/>
        <w:gridCol w:w="924"/>
        <w:gridCol w:w="924"/>
        <w:gridCol w:w="924"/>
        <w:gridCol w:w="1246"/>
        <w:gridCol w:w="969"/>
        <w:gridCol w:w="969"/>
        <w:gridCol w:w="833"/>
        <w:gridCol w:w="968"/>
      </w:tblGrid>
      <w:tr w:rsidR="00422E00" w:rsidRPr="00422E00" w14:paraId="0FFB3CD2" w14:textId="77777777" w:rsidTr="009B1982">
        <w:trPr>
          <w:tblHeader/>
        </w:trPr>
        <w:tc>
          <w:tcPr>
            <w:tcW w:w="4009" w:type="dxa"/>
            <w:gridSpan w:val="2"/>
            <w:tcBorders>
              <w:right w:val="single" w:sz="4" w:space="0" w:color="FFFFFF" w:themeColor="background2"/>
            </w:tcBorders>
            <w:shd w:val="clear" w:color="auto" w:fill="C40B46" w:themeFill="accent6"/>
            <w:vAlign w:val="center"/>
          </w:tcPr>
          <w:p w14:paraId="079F1C75" w14:textId="656F405E" w:rsidR="00422E00" w:rsidRPr="00422E00" w:rsidRDefault="00422E00" w:rsidP="00134343">
            <w:pPr>
              <w:spacing w:before="20" w:after="20"/>
              <w:jc w:val="center"/>
              <w:rPr>
                <w:color w:val="FFFFFF" w:themeColor="background2"/>
                <w:sz w:val="16"/>
                <w:szCs w:val="16"/>
              </w:rPr>
            </w:pPr>
          </w:p>
        </w:tc>
        <w:tc>
          <w:tcPr>
            <w:tcW w:w="2772" w:type="dxa"/>
            <w:gridSpan w:val="3"/>
            <w:tcBorders>
              <w:left w:val="single" w:sz="4" w:space="0" w:color="FFFFFF" w:themeColor="background2"/>
              <w:right w:val="single" w:sz="2" w:space="0" w:color="FFFFFF" w:themeColor="background2"/>
            </w:tcBorders>
            <w:shd w:val="clear" w:color="auto" w:fill="C40B46" w:themeFill="accent6"/>
            <w:vAlign w:val="center"/>
          </w:tcPr>
          <w:p w14:paraId="7E137B4F" w14:textId="290677BA" w:rsidR="00422E00" w:rsidRPr="00422E00" w:rsidRDefault="00422E00" w:rsidP="00134343">
            <w:pPr>
              <w:spacing w:before="20" w:after="20"/>
              <w:jc w:val="center"/>
              <w:rPr>
                <w:color w:val="FFFFFF" w:themeColor="background2"/>
                <w:sz w:val="16"/>
                <w:szCs w:val="16"/>
              </w:rPr>
            </w:pPr>
            <w:r w:rsidRPr="00422E00">
              <w:rPr>
                <w:b/>
                <w:color w:val="FFFFFF" w:themeColor="background2"/>
                <w:sz w:val="16"/>
                <w:szCs w:val="16"/>
              </w:rPr>
              <w:t>Short</w:t>
            </w:r>
            <w:r w:rsidR="004D1057">
              <w:rPr>
                <w:b/>
                <w:color w:val="FFFFFF" w:themeColor="background2"/>
                <w:sz w:val="16"/>
                <w:szCs w:val="16"/>
              </w:rPr>
              <w:t>-</w:t>
            </w:r>
            <w:r w:rsidRPr="00422E00">
              <w:rPr>
                <w:b/>
                <w:color w:val="FFFFFF" w:themeColor="background2"/>
                <w:sz w:val="16"/>
                <w:szCs w:val="16"/>
              </w:rPr>
              <w:t>term benefits</w:t>
            </w:r>
          </w:p>
        </w:tc>
        <w:tc>
          <w:tcPr>
            <w:tcW w:w="1246" w:type="dxa"/>
            <w:tcBorders>
              <w:left w:val="single" w:sz="2" w:space="0" w:color="FFFFFF" w:themeColor="background2"/>
              <w:right w:val="single" w:sz="2" w:space="0" w:color="FFFFFF" w:themeColor="background2"/>
            </w:tcBorders>
            <w:shd w:val="clear" w:color="auto" w:fill="C40B46" w:themeFill="accent6"/>
            <w:vAlign w:val="center"/>
          </w:tcPr>
          <w:p w14:paraId="4C6E787D" w14:textId="77777777" w:rsidR="00422E00" w:rsidRPr="00422E00" w:rsidRDefault="00422E00" w:rsidP="00134343">
            <w:pPr>
              <w:spacing w:before="20" w:after="20"/>
              <w:jc w:val="center"/>
              <w:rPr>
                <w:color w:val="FFFFFF" w:themeColor="background2"/>
                <w:sz w:val="16"/>
                <w:szCs w:val="16"/>
              </w:rPr>
            </w:pPr>
            <w:r w:rsidRPr="00422E00">
              <w:rPr>
                <w:b/>
                <w:color w:val="FFFFFF" w:themeColor="background2"/>
                <w:sz w:val="16"/>
                <w:szCs w:val="16"/>
              </w:rPr>
              <w:t>Post-employment benefits</w:t>
            </w:r>
          </w:p>
        </w:tc>
        <w:tc>
          <w:tcPr>
            <w:tcW w:w="1938" w:type="dxa"/>
            <w:gridSpan w:val="2"/>
            <w:tcBorders>
              <w:left w:val="single" w:sz="2" w:space="0" w:color="FFFFFF" w:themeColor="background2"/>
              <w:right w:val="single" w:sz="2" w:space="0" w:color="FFFFFF" w:themeColor="background2"/>
            </w:tcBorders>
            <w:shd w:val="clear" w:color="auto" w:fill="C40B46" w:themeFill="accent6"/>
            <w:vAlign w:val="center"/>
          </w:tcPr>
          <w:p w14:paraId="451137BD" w14:textId="77777777" w:rsidR="00422E00" w:rsidRPr="00422E00" w:rsidRDefault="00422E00" w:rsidP="00134343">
            <w:pPr>
              <w:spacing w:before="20" w:after="20"/>
              <w:jc w:val="center"/>
              <w:rPr>
                <w:color w:val="FFFFFF" w:themeColor="background2"/>
                <w:sz w:val="16"/>
                <w:szCs w:val="16"/>
              </w:rPr>
            </w:pPr>
            <w:r w:rsidRPr="00422E00">
              <w:rPr>
                <w:b/>
                <w:color w:val="FFFFFF" w:themeColor="background2"/>
                <w:sz w:val="16"/>
                <w:szCs w:val="16"/>
              </w:rPr>
              <w:t>Other long-term benefits</w:t>
            </w:r>
          </w:p>
        </w:tc>
        <w:tc>
          <w:tcPr>
            <w:tcW w:w="1801" w:type="dxa"/>
            <w:gridSpan w:val="2"/>
            <w:tcBorders>
              <w:left w:val="single" w:sz="2" w:space="0" w:color="FFFFFF" w:themeColor="background2"/>
            </w:tcBorders>
            <w:shd w:val="clear" w:color="auto" w:fill="C40B46" w:themeFill="accent6"/>
            <w:vAlign w:val="center"/>
          </w:tcPr>
          <w:p w14:paraId="40942FD1" w14:textId="77777777" w:rsidR="00422E00" w:rsidRPr="00422E00" w:rsidRDefault="00422E00" w:rsidP="00134343">
            <w:pPr>
              <w:spacing w:before="20" w:after="20"/>
              <w:jc w:val="center"/>
              <w:rPr>
                <w:color w:val="FFFFFF" w:themeColor="background2"/>
                <w:sz w:val="16"/>
                <w:szCs w:val="16"/>
              </w:rPr>
            </w:pPr>
          </w:p>
        </w:tc>
      </w:tr>
      <w:tr w:rsidR="00422E00" w:rsidRPr="00422E00" w14:paraId="3CD59680" w14:textId="77777777" w:rsidTr="00134343">
        <w:tc>
          <w:tcPr>
            <w:tcW w:w="1385" w:type="dxa"/>
            <w:tcBorders>
              <w:right w:val="single" w:sz="2" w:space="0" w:color="BFBFBF" w:themeColor="background2" w:themeShade="BF"/>
            </w:tcBorders>
            <w:shd w:val="clear" w:color="auto" w:fill="F2F2F2" w:themeFill="background2" w:themeFillShade="F2"/>
          </w:tcPr>
          <w:p w14:paraId="3458FA3D" w14:textId="30EB1A4A" w:rsidR="00422E00" w:rsidRPr="00422E00" w:rsidRDefault="00422E00" w:rsidP="00230A2B">
            <w:pPr>
              <w:spacing w:before="40" w:after="40"/>
              <w:ind w:left="57"/>
              <w:rPr>
                <w:color w:val="1C1C1C"/>
                <w:sz w:val="15"/>
                <w:szCs w:val="15"/>
              </w:rPr>
            </w:pPr>
            <w:r w:rsidRPr="00422E00">
              <w:rPr>
                <w:b/>
                <w:color w:val="1C1C1C"/>
                <w:sz w:val="15"/>
                <w:szCs w:val="15"/>
              </w:rPr>
              <w:t>Name</w:t>
            </w:r>
          </w:p>
        </w:tc>
        <w:tc>
          <w:tcPr>
            <w:tcW w:w="2624"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5484C79B" w14:textId="77777777" w:rsidR="00422E00" w:rsidRPr="00422E00" w:rsidRDefault="00422E00" w:rsidP="00134343">
            <w:pPr>
              <w:spacing w:before="40" w:after="40"/>
              <w:ind w:left="113"/>
              <w:rPr>
                <w:color w:val="1C1C1C"/>
                <w:sz w:val="15"/>
                <w:szCs w:val="15"/>
              </w:rPr>
            </w:pPr>
            <w:r w:rsidRPr="00422E00">
              <w:rPr>
                <w:b/>
                <w:color w:val="1C1C1C"/>
                <w:sz w:val="15"/>
                <w:szCs w:val="15"/>
              </w:rPr>
              <w:t>Position title</w:t>
            </w:r>
          </w:p>
        </w:tc>
        <w:tc>
          <w:tcPr>
            <w:tcW w:w="924"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30DD891F" w14:textId="530A2F31" w:rsidR="00422E00" w:rsidRPr="00422E00" w:rsidRDefault="00422E00" w:rsidP="00134343">
            <w:pPr>
              <w:spacing w:before="40" w:after="40"/>
              <w:jc w:val="center"/>
              <w:rPr>
                <w:color w:val="1C1C1C"/>
                <w:sz w:val="15"/>
                <w:szCs w:val="15"/>
              </w:rPr>
            </w:pPr>
            <w:r w:rsidRPr="00422E00">
              <w:rPr>
                <w:b/>
                <w:color w:val="1C1C1C"/>
                <w:sz w:val="15"/>
                <w:szCs w:val="15"/>
              </w:rPr>
              <w:t>Base salary</w:t>
            </w:r>
            <w:r w:rsidR="00134343">
              <w:rPr>
                <w:color w:val="1C1C1C"/>
                <w:sz w:val="15"/>
                <w:szCs w:val="15"/>
              </w:rPr>
              <w:br/>
            </w:r>
            <w:r w:rsidRPr="00422E00">
              <w:rPr>
                <w:b/>
                <w:color w:val="1C1C1C"/>
                <w:sz w:val="15"/>
                <w:szCs w:val="15"/>
              </w:rPr>
              <w:t>$</w:t>
            </w:r>
          </w:p>
        </w:tc>
        <w:tc>
          <w:tcPr>
            <w:tcW w:w="924"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2A13E55F" w14:textId="3A6A4E21" w:rsidR="00422E00" w:rsidRPr="00422E00" w:rsidRDefault="00422E00" w:rsidP="00134343">
            <w:pPr>
              <w:spacing w:before="40" w:after="40"/>
              <w:jc w:val="center"/>
              <w:rPr>
                <w:color w:val="1C1C1C"/>
                <w:sz w:val="15"/>
                <w:szCs w:val="15"/>
              </w:rPr>
            </w:pPr>
            <w:r w:rsidRPr="00422E00">
              <w:rPr>
                <w:b/>
                <w:color w:val="1C1C1C"/>
                <w:sz w:val="15"/>
                <w:szCs w:val="15"/>
              </w:rPr>
              <w:t>Bonuses</w:t>
            </w:r>
            <w:r w:rsidR="00134343">
              <w:rPr>
                <w:color w:val="1C1C1C"/>
                <w:sz w:val="15"/>
                <w:szCs w:val="15"/>
              </w:rPr>
              <w:br/>
            </w:r>
            <w:r w:rsidRPr="00422E00">
              <w:rPr>
                <w:b/>
                <w:color w:val="1C1C1C"/>
                <w:sz w:val="15"/>
                <w:szCs w:val="15"/>
              </w:rPr>
              <w:t>$</w:t>
            </w:r>
          </w:p>
        </w:tc>
        <w:tc>
          <w:tcPr>
            <w:tcW w:w="924"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58533F7B" w14:textId="44836AC9" w:rsidR="00422E00" w:rsidRPr="00422E00" w:rsidRDefault="00422E00" w:rsidP="00134343">
            <w:pPr>
              <w:spacing w:before="40" w:after="40"/>
              <w:jc w:val="center"/>
              <w:rPr>
                <w:color w:val="1C1C1C"/>
                <w:sz w:val="15"/>
                <w:szCs w:val="15"/>
              </w:rPr>
            </w:pPr>
            <w:r w:rsidRPr="00422E00">
              <w:rPr>
                <w:b/>
                <w:color w:val="1C1C1C"/>
                <w:sz w:val="15"/>
                <w:szCs w:val="15"/>
              </w:rPr>
              <w:t>Other</w:t>
            </w:r>
            <w:r w:rsidR="00134343">
              <w:rPr>
                <w:b/>
                <w:color w:val="1C1C1C"/>
                <w:sz w:val="15"/>
                <w:szCs w:val="15"/>
              </w:rPr>
              <w:br/>
            </w:r>
            <w:r w:rsidRPr="00422E00">
              <w:rPr>
                <w:b/>
                <w:color w:val="1C1C1C"/>
                <w:sz w:val="15"/>
                <w:szCs w:val="15"/>
              </w:rPr>
              <w:t>benefits</w:t>
            </w:r>
            <w:r w:rsidR="00134343">
              <w:rPr>
                <w:b/>
                <w:color w:val="1C1C1C"/>
                <w:sz w:val="15"/>
                <w:szCs w:val="15"/>
              </w:rPr>
              <w:t xml:space="preserve"> </w:t>
            </w:r>
            <w:r w:rsidRPr="00422E00">
              <w:rPr>
                <w:b/>
                <w:color w:val="1C1C1C"/>
                <w:sz w:val="15"/>
                <w:szCs w:val="15"/>
              </w:rPr>
              <w:t>and allowances $</w:t>
            </w:r>
          </w:p>
        </w:tc>
        <w:tc>
          <w:tcPr>
            <w:tcW w:w="1246"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4C6D0B11" w14:textId="782BD53C" w:rsidR="00422E00" w:rsidRPr="00422E00" w:rsidRDefault="00422E00" w:rsidP="00134343">
            <w:pPr>
              <w:spacing w:before="40" w:after="40"/>
              <w:jc w:val="center"/>
              <w:rPr>
                <w:color w:val="1C1C1C"/>
                <w:sz w:val="15"/>
                <w:szCs w:val="15"/>
              </w:rPr>
            </w:pPr>
            <w:r w:rsidRPr="00422E00">
              <w:rPr>
                <w:b/>
                <w:color w:val="1C1C1C"/>
                <w:sz w:val="15"/>
                <w:szCs w:val="15"/>
              </w:rPr>
              <w:t>Superannuation</w:t>
            </w:r>
            <w:r w:rsidR="00134343">
              <w:rPr>
                <w:color w:val="1C1C1C"/>
                <w:sz w:val="15"/>
                <w:szCs w:val="15"/>
              </w:rPr>
              <w:br/>
            </w:r>
            <w:r w:rsidR="004D1057">
              <w:rPr>
                <w:b/>
                <w:color w:val="1C1C1C"/>
                <w:sz w:val="15"/>
                <w:szCs w:val="15"/>
              </w:rPr>
              <w:t>c</w:t>
            </w:r>
            <w:r w:rsidRPr="00422E00">
              <w:rPr>
                <w:b/>
                <w:color w:val="1C1C1C"/>
                <w:sz w:val="15"/>
                <w:szCs w:val="15"/>
              </w:rPr>
              <w:t>ontributions</w:t>
            </w:r>
            <w:r w:rsidR="00134343">
              <w:rPr>
                <w:color w:val="1C1C1C"/>
                <w:sz w:val="15"/>
                <w:szCs w:val="15"/>
              </w:rPr>
              <w:br/>
            </w:r>
            <w:r w:rsidRPr="00422E00">
              <w:rPr>
                <w:b/>
                <w:color w:val="1C1C1C"/>
                <w:sz w:val="15"/>
                <w:szCs w:val="15"/>
              </w:rPr>
              <w:t>$</w:t>
            </w:r>
          </w:p>
        </w:tc>
        <w:tc>
          <w:tcPr>
            <w:tcW w:w="969"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72188A04" w14:textId="50137123" w:rsidR="00422E00" w:rsidRPr="00422E00" w:rsidRDefault="00422E00" w:rsidP="00134343">
            <w:pPr>
              <w:spacing w:before="40" w:after="40"/>
              <w:jc w:val="center"/>
              <w:rPr>
                <w:color w:val="1C1C1C"/>
                <w:sz w:val="15"/>
                <w:szCs w:val="15"/>
              </w:rPr>
            </w:pPr>
            <w:r w:rsidRPr="00422E00">
              <w:rPr>
                <w:b/>
                <w:color w:val="1C1C1C"/>
                <w:sz w:val="15"/>
                <w:szCs w:val="15"/>
              </w:rPr>
              <w:t>Long service leave</w:t>
            </w:r>
            <w:r w:rsidR="00134343">
              <w:rPr>
                <w:color w:val="1C1C1C"/>
                <w:sz w:val="15"/>
                <w:szCs w:val="15"/>
              </w:rPr>
              <w:br/>
            </w:r>
            <w:r w:rsidRPr="00422E00">
              <w:rPr>
                <w:b/>
                <w:color w:val="1C1C1C"/>
                <w:sz w:val="15"/>
                <w:szCs w:val="15"/>
              </w:rPr>
              <w:t>$</w:t>
            </w:r>
          </w:p>
        </w:tc>
        <w:tc>
          <w:tcPr>
            <w:tcW w:w="969"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1CA83125" w14:textId="44A0679E" w:rsidR="00422E00" w:rsidRPr="00422E00" w:rsidRDefault="00422E00" w:rsidP="00134343">
            <w:pPr>
              <w:spacing w:before="40" w:after="40"/>
              <w:jc w:val="center"/>
              <w:rPr>
                <w:color w:val="1C1C1C"/>
                <w:sz w:val="15"/>
                <w:szCs w:val="15"/>
              </w:rPr>
            </w:pPr>
            <w:r w:rsidRPr="00422E00">
              <w:rPr>
                <w:b/>
                <w:color w:val="1C1C1C"/>
                <w:sz w:val="15"/>
                <w:szCs w:val="15"/>
              </w:rPr>
              <w:t>Other long</w:t>
            </w:r>
            <w:r w:rsidR="004B0AEC">
              <w:rPr>
                <w:b/>
                <w:color w:val="1C1C1C"/>
                <w:sz w:val="15"/>
                <w:szCs w:val="15"/>
              </w:rPr>
              <w:t>-</w:t>
            </w:r>
            <w:r w:rsidRPr="00422E00">
              <w:rPr>
                <w:b/>
                <w:color w:val="1C1C1C"/>
                <w:sz w:val="15"/>
                <w:szCs w:val="15"/>
              </w:rPr>
              <w:t>term benefits</w:t>
            </w:r>
            <w:r w:rsidR="00134343">
              <w:rPr>
                <w:color w:val="1C1C1C"/>
                <w:sz w:val="15"/>
                <w:szCs w:val="15"/>
              </w:rPr>
              <w:br/>
            </w:r>
            <w:r w:rsidRPr="00422E00">
              <w:rPr>
                <w:b/>
                <w:color w:val="1C1C1C"/>
                <w:sz w:val="15"/>
                <w:szCs w:val="15"/>
              </w:rPr>
              <w:t>$</w:t>
            </w:r>
          </w:p>
        </w:tc>
        <w:tc>
          <w:tcPr>
            <w:tcW w:w="833" w:type="dxa"/>
            <w:tcBorders>
              <w:left w:val="single" w:sz="2" w:space="0" w:color="BFBFBF" w:themeColor="background2" w:themeShade="BF"/>
              <w:right w:val="single" w:sz="2" w:space="0" w:color="BFBFBF" w:themeColor="background2" w:themeShade="BF"/>
            </w:tcBorders>
            <w:shd w:val="clear" w:color="auto" w:fill="F2F2F2" w:themeFill="background2" w:themeFillShade="F2"/>
          </w:tcPr>
          <w:p w14:paraId="41478B8A" w14:textId="447CB79D" w:rsidR="00422E00" w:rsidRPr="00422E00" w:rsidRDefault="00422E00" w:rsidP="00134343">
            <w:pPr>
              <w:spacing w:before="40" w:after="40"/>
              <w:jc w:val="center"/>
              <w:rPr>
                <w:color w:val="1C1C1C"/>
                <w:sz w:val="15"/>
                <w:szCs w:val="15"/>
              </w:rPr>
            </w:pPr>
            <w:r w:rsidRPr="00422E00">
              <w:rPr>
                <w:b/>
                <w:color w:val="1C1C1C"/>
                <w:sz w:val="15"/>
                <w:szCs w:val="15"/>
              </w:rPr>
              <w:t>Termination</w:t>
            </w:r>
            <w:r w:rsidR="00134343">
              <w:rPr>
                <w:color w:val="1C1C1C"/>
                <w:sz w:val="15"/>
                <w:szCs w:val="15"/>
              </w:rPr>
              <w:br/>
            </w:r>
            <w:r w:rsidRPr="00422E00">
              <w:rPr>
                <w:b/>
                <w:color w:val="1C1C1C"/>
                <w:sz w:val="15"/>
                <w:szCs w:val="15"/>
              </w:rPr>
              <w:t>benefits</w:t>
            </w:r>
            <w:r w:rsidR="00134343">
              <w:rPr>
                <w:color w:val="1C1C1C"/>
                <w:sz w:val="15"/>
                <w:szCs w:val="15"/>
              </w:rPr>
              <w:br/>
            </w:r>
            <w:r w:rsidRPr="00422E00">
              <w:rPr>
                <w:b/>
                <w:color w:val="1C1C1C"/>
                <w:sz w:val="15"/>
                <w:szCs w:val="15"/>
              </w:rPr>
              <w:t>$</w:t>
            </w:r>
          </w:p>
        </w:tc>
        <w:tc>
          <w:tcPr>
            <w:tcW w:w="968" w:type="dxa"/>
            <w:tcBorders>
              <w:left w:val="single" w:sz="2" w:space="0" w:color="BFBFBF" w:themeColor="background2" w:themeShade="BF"/>
            </w:tcBorders>
            <w:shd w:val="clear" w:color="auto" w:fill="F2F2F2" w:themeFill="background2" w:themeFillShade="F2"/>
          </w:tcPr>
          <w:p w14:paraId="4F20EA9E" w14:textId="3FE56F76" w:rsidR="00422E00" w:rsidRPr="00422E00" w:rsidRDefault="00422E00" w:rsidP="00134343">
            <w:pPr>
              <w:spacing w:before="40" w:after="40"/>
              <w:jc w:val="center"/>
              <w:rPr>
                <w:color w:val="1C1C1C"/>
                <w:sz w:val="15"/>
                <w:szCs w:val="15"/>
              </w:rPr>
            </w:pPr>
            <w:r w:rsidRPr="00422E00">
              <w:rPr>
                <w:b/>
                <w:color w:val="1C1C1C"/>
                <w:sz w:val="15"/>
                <w:szCs w:val="15"/>
              </w:rPr>
              <w:t>Total</w:t>
            </w:r>
            <w:r w:rsidR="00134343">
              <w:rPr>
                <w:color w:val="1C1C1C"/>
                <w:sz w:val="15"/>
                <w:szCs w:val="15"/>
              </w:rPr>
              <w:br/>
            </w:r>
            <w:r w:rsidRPr="00422E00">
              <w:rPr>
                <w:b/>
                <w:color w:val="1C1C1C"/>
                <w:sz w:val="15"/>
                <w:szCs w:val="15"/>
              </w:rPr>
              <w:t>remuneration</w:t>
            </w:r>
            <w:r w:rsidR="00134343">
              <w:rPr>
                <w:color w:val="1C1C1C"/>
                <w:sz w:val="15"/>
                <w:szCs w:val="15"/>
              </w:rPr>
              <w:br/>
            </w:r>
            <w:r w:rsidRPr="00422E00">
              <w:rPr>
                <w:b/>
                <w:color w:val="1C1C1C"/>
                <w:sz w:val="15"/>
                <w:szCs w:val="15"/>
              </w:rPr>
              <w:t>$</w:t>
            </w:r>
          </w:p>
        </w:tc>
      </w:tr>
      <w:tr w:rsidR="00566DF3" w:rsidRPr="00422E00" w14:paraId="3A8ED953" w14:textId="77777777" w:rsidTr="00134343">
        <w:tc>
          <w:tcPr>
            <w:tcW w:w="1385" w:type="dxa"/>
            <w:tcBorders>
              <w:bottom w:val="single" w:sz="2" w:space="0" w:color="D9D9D9" w:themeColor="background2" w:themeShade="D9"/>
              <w:right w:val="single" w:sz="2" w:space="0" w:color="D9D9D9" w:themeColor="background2" w:themeShade="D9"/>
            </w:tcBorders>
          </w:tcPr>
          <w:p w14:paraId="68FB83F0" w14:textId="735DF592" w:rsidR="00566DF3" w:rsidRPr="00422E00" w:rsidRDefault="00230A2B" w:rsidP="00230A2B">
            <w:pPr>
              <w:spacing w:before="40" w:after="40"/>
              <w:ind w:left="57"/>
              <w:rPr>
                <w:color w:val="1C1C1C"/>
                <w:sz w:val="15"/>
                <w:szCs w:val="15"/>
              </w:rPr>
            </w:pPr>
            <w:proofErr w:type="spellStart"/>
            <w:r>
              <w:rPr>
                <w:color w:val="1C1C1C"/>
                <w:sz w:val="15"/>
                <w:szCs w:val="15"/>
              </w:rPr>
              <w:t>Mr</w:t>
            </w:r>
            <w:proofErr w:type="spellEnd"/>
            <w:r>
              <w:rPr>
                <w:color w:val="1C1C1C"/>
                <w:sz w:val="15"/>
                <w:szCs w:val="15"/>
              </w:rPr>
              <w:t xml:space="preserve"> </w:t>
            </w:r>
            <w:r w:rsidR="00566DF3" w:rsidRPr="00422E00">
              <w:rPr>
                <w:color w:val="1C1C1C"/>
                <w:sz w:val="15"/>
                <w:szCs w:val="15"/>
              </w:rPr>
              <w:t>Glenn Appleyard</w:t>
            </w:r>
            <w:r w:rsidR="00D5016A">
              <w:rPr>
                <w:rFonts w:ascii="ZWAdobeF" w:hAnsi="ZWAdobeF" w:cs="ZWAdobeF"/>
                <w:sz w:val="2"/>
                <w:szCs w:val="2"/>
              </w:rPr>
              <w:t>6F</w:t>
            </w:r>
            <w:r w:rsidR="00566DF3">
              <w:rPr>
                <w:rStyle w:val="FootnoteReference"/>
                <w:color w:val="1C1C1C"/>
                <w:sz w:val="15"/>
                <w:szCs w:val="15"/>
              </w:rPr>
              <w:footnoteReference w:id="7"/>
            </w:r>
          </w:p>
        </w:tc>
        <w:tc>
          <w:tcPr>
            <w:tcW w:w="2624"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14018D6B" w14:textId="77777777" w:rsidR="00566DF3" w:rsidRPr="00422E00" w:rsidRDefault="00566DF3" w:rsidP="00134343">
            <w:pPr>
              <w:spacing w:before="40" w:after="40"/>
              <w:ind w:left="113"/>
              <w:rPr>
                <w:color w:val="1C1C1C"/>
                <w:sz w:val="15"/>
                <w:szCs w:val="15"/>
              </w:rPr>
            </w:pPr>
            <w:r w:rsidRPr="00422E00">
              <w:rPr>
                <w:color w:val="1C1C1C"/>
                <w:sz w:val="15"/>
                <w:szCs w:val="15"/>
              </w:rPr>
              <w:t>Pricing Authority member</w:t>
            </w:r>
          </w:p>
        </w:tc>
        <w:tc>
          <w:tcPr>
            <w:tcW w:w="924" w:type="dxa"/>
            <w:tcBorders>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A9B05AF" w14:textId="5CF2D056" w:rsidR="00566DF3" w:rsidRPr="00422E00" w:rsidRDefault="00566DF3" w:rsidP="00134343">
            <w:pPr>
              <w:spacing w:before="40" w:after="40"/>
              <w:jc w:val="center"/>
              <w:rPr>
                <w:color w:val="1C1C1C"/>
                <w:sz w:val="15"/>
                <w:szCs w:val="15"/>
              </w:rPr>
            </w:pPr>
            <w:r w:rsidRPr="00422E00">
              <w:rPr>
                <w:color w:val="1C1C1C"/>
                <w:sz w:val="15"/>
                <w:szCs w:val="15"/>
              </w:rPr>
              <w:t>39,748</w:t>
            </w:r>
          </w:p>
        </w:tc>
        <w:tc>
          <w:tcPr>
            <w:tcW w:w="924"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4835CCD0" w14:textId="77777777" w:rsidR="00566DF3" w:rsidRPr="00422E00" w:rsidRDefault="00566DF3" w:rsidP="00134343">
            <w:pPr>
              <w:spacing w:before="40" w:after="40"/>
              <w:jc w:val="center"/>
              <w:rPr>
                <w:color w:val="1C1C1C"/>
                <w:sz w:val="15"/>
                <w:szCs w:val="15"/>
              </w:rPr>
            </w:pPr>
            <w:r w:rsidRPr="00422E00">
              <w:rPr>
                <w:color w:val="1C1C1C"/>
                <w:sz w:val="15"/>
                <w:szCs w:val="15"/>
              </w:rPr>
              <w:t>-</w:t>
            </w:r>
          </w:p>
        </w:tc>
        <w:tc>
          <w:tcPr>
            <w:tcW w:w="924"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52FF10EB" w14:textId="77777777" w:rsidR="00566DF3" w:rsidRPr="00422E00" w:rsidRDefault="00566DF3" w:rsidP="00134343">
            <w:pPr>
              <w:spacing w:before="40" w:after="40"/>
              <w:jc w:val="center"/>
              <w:rPr>
                <w:color w:val="1C1C1C"/>
                <w:sz w:val="15"/>
                <w:szCs w:val="15"/>
              </w:rPr>
            </w:pPr>
            <w:r w:rsidRPr="00422E00">
              <w:rPr>
                <w:color w:val="1C1C1C"/>
                <w:sz w:val="15"/>
                <w:szCs w:val="15"/>
              </w:rPr>
              <w:t>-</w:t>
            </w:r>
          </w:p>
        </w:tc>
        <w:tc>
          <w:tcPr>
            <w:tcW w:w="1246" w:type="dxa"/>
            <w:tcBorders>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E38DA8B" w14:textId="4EEE7B2A" w:rsidR="00566DF3" w:rsidRPr="00422E00" w:rsidRDefault="00566DF3" w:rsidP="00134343">
            <w:pPr>
              <w:spacing w:before="40" w:after="40"/>
              <w:jc w:val="center"/>
              <w:rPr>
                <w:color w:val="1C1C1C"/>
                <w:sz w:val="15"/>
                <w:szCs w:val="15"/>
              </w:rPr>
            </w:pPr>
            <w:r w:rsidRPr="00422E00">
              <w:rPr>
                <w:color w:val="1C1C1C"/>
                <w:sz w:val="15"/>
                <w:szCs w:val="15"/>
              </w:rPr>
              <w:t>6,158</w:t>
            </w:r>
          </w:p>
        </w:tc>
        <w:tc>
          <w:tcPr>
            <w:tcW w:w="969"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0624D1CE" w14:textId="010346E5" w:rsidR="00566DF3" w:rsidRPr="00422E00" w:rsidRDefault="00566DF3" w:rsidP="00134343">
            <w:pPr>
              <w:spacing w:before="40" w:after="40"/>
              <w:jc w:val="center"/>
              <w:rPr>
                <w:color w:val="1C1C1C"/>
                <w:sz w:val="15"/>
                <w:szCs w:val="15"/>
              </w:rPr>
            </w:pPr>
            <w:r w:rsidRPr="00422E00">
              <w:rPr>
                <w:color w:val="1C1C1C"/>
                <w:sz w:val="15"/>
                <w:szCs w:val="15"/>
              </w:rPr>
              <w:t>-</w:t>
            </w:r>
          </w:p>
        </w:tc>
        <w:tc>
          <w:tcPr>
            <w:tcW w:w="969"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4D916E01" w14:textId="631EDDCE" w:rsidR="00566DF3" w:rsidRPr="00422E00" w:rsidRDefault="00566DF3" w:rsidP="00134343">
            <w:pPr>
              <w:spacing w:before="40" w:after="40"/>
              <w:jc w:val="center"/>
              <w:rPr>
                <w:color w:val="1C1C1C"/>
                <w:sz w:val="15"/>
                <w:szCs w:val="15"/>
              </w:rPr>
            </w:pPr>
            <w:r w:rsidRPr="00422E00">
              <w:rPr>
                <w:color w:val="1C1C1C"/>
                <w:sz w:val="15"/>
                <w:szCs w:val="15"/>
              </w:rPr>
              <w:t>-</w:t>
            </w:r>
          </w:p>
        </w:tc>
        <w:tc>
          <w:tcPr>
            <w:tcW w:w="833" w:type="dxa"/>
            <w:tcBorders>
              <w:left w:val="single" w:sz="2" w:space="0" w:color="D9D9D9" w:themeColor="background2" w:themeShade="D9"/>
              <w:bottom w:val="single" w:sz="2" w:space="0" w:color="D9D9D9" w:themeColor="background2" w:themeShade="D9"/>
              <w:right w:val="single" w:sz="2" w:space="0" w:color="D9D9D9" w:themeColor="background2" w:themeShade="D9"/>
            </w:tcBorders>
          </w:tcPr>
          <w:p w14:paraId="5F35EF9B" w14:textId="79DC3790" w:rsidR="00566DF3" w:rsidRPr="00422E00" w:rsidRDefault="00566DF3" w:rsidP="00134343">
            <w:pPr>
              <w:spacing w:before="40" w:after="40"/>
              <w:jc w:val="center"/>
              <w:rPr>
                <w:color w:val="1C1C1C"/>
                <w:sz w:val="15"/>
                <w:szCs w:val="15"/>
              </w:rPr>
            </w:pPr>
            <w:r w:rsidRPr="00422E00">
              <w:rPr>
                <w:color w:val="1C1C1C"/>
                <w:sz w:val="15"/>
                <w:szCs w:val="15"/>
              </w:rPr>
              <w:t>-</w:t>
            </w:r>
          </w:p>
        </w:tc>
        <w:tc>
          <w:tcPr>
            <w:tcW w:w="968" w:type="dxa"/>
            <w:tcBorders>
              <w:left w:val="single" w:sz="2" w:space="0" w:color="D9D9D9" w:themeColor="background2" w:themeShade="D9"/>
              <w:bottom w:val="single" w:sz="2" w:space="0" w:color="D9D9D9" w:themeColor="background2" w:themeShade="D9"/>
            </w:tcBorders>
            <w:vAlign w:val="center"/>
          </w:tcPr>
          <w:p w14:paraId="333605F2" w14:textId="64E2846C" w:rsidR="00566DF3" w:rsidRPr="00422E00" w:rsidRDefault="00566DF3" w:rsidP="00134343">
            <w:pPr>
              <w:spacing w:before="40" w:after="40"/>
              <w:jc w:val="center"/>
              <w:rPr>
                <w:color w:val="1C1C1C"/>
                <w:sz w:val="15"/>
                <w:szCs w:val="15"/>
              </w:rPr>
            </w:pPr>
            <w:r w:rsidRPr="00422E00">
              <w:rPr>
                <w:color w:val="1C1C1C"/>
                <w:sz w:val="15"/>
                <w:szCs w:val="15"/>
              </w:rPr>
              <w:t>45,906</w:t>
            </w:r>
          </w:p>
        </w:tc>
      </w:tr>
      <w:tr w:rsidR="001635E4" w:rsidRPr="00422E00" w14:paraId="523A16E0"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153418C6" w14:textId="71DCBD91" w:rsidR="001635E4" w:rsidRPr="00422E00" w:rsidRDefault="00230A2B" w:rsidP="00230A2B">
            <w:pPr>
              <w:spacing w:before="40" w:after="40"/>
              <w:ind w:left="57"/>
              <w:rPr>
                <w:color w:val="1C1C1C"/>
                <w:sz w:val="15"/>
                <w:szCs w:val="15"/>
              </w:rPr>
            </w:pPr>
            <w:proofErr w:type="spellStart"/>
            <w:r>
              <w:rPr>
                <w:color w:val="1C1C1C"/>
                <w:sz w:val="15"/>
                <w:szCs w:val="15"/>
              </w:rPr>
              <w:t>Mr</w:t>
            </w:r>
            <w:proofErr w:type="spellEnd"/>
            <w:r>
              <w:rPr>
                <w:color w:val="1C1C1C"/>
                <w:sz w:val="15"/>
                <w:szCs w:val="15"/>
              </w:rPr>
              <w:t xml:space="preserve"> </w:t>
            </w:r>
            <w:r w:rsidR="001635E4" w:rsidRPr="00422E00">
              <w:rPr>
                <w:color w:val="1C1C1C"/>
                <w:sz w:val="15"/>
                <w:szCs w:val="15"/>
              </w:rPr>
              <w:t xml:space="preserve">Bruce </w:t>
            </w:r>
            <w:proofErr w:type="spellStart"/>
            <w:r w:rsidR="001635E4" w:rsidRPr="00422E00">
              <w:rPr>
                <w:color w:val="1C1C1C"/>
                <w:sz w:val="15"/>
                <w:szCs w:val="15"/>
              </w:rPr>
              <w:t>Chater</w:t>
            </w:r>
            <w:proofErr w:type="spellEnd"/>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AA732AF" w14:textId="238961DB" w:rsidR="001635E4" w:rsidRPr="00422E00" w:rsidRDefault="001635E4" w:rsidP="00134343">
            <w:pPr>
              <w:spacing w:before="40" w:after="40"/>
              <w:ind w:left="113"/>
              <w:rPr>
                <w:color w:val="1C1C1C"/>
                <w:sz w:val="15"/>
                <w:szCs w:val="15"/>
              </w:rPr>
            </w:pPr>
            <w:r w:rsidRPr="00422E00">
              <w:rPr>
                <w:color w:val="1C1C1C"/>
                <w:sz w:val="15"/>
                <w:szCs w:val="15"/>
              </w:rPr>
              <w:t>Pricing Authority member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4B501361" w14:textId="722DFE24" w:rsidR="001635E4" w:rsidRPr="00422E00" w:rsidRDefault="001635E4" w:rsidP="00134343">
            <w:pPr>
              <w:spacing w:before="40" w:after="40"/>
              <w:jc w:val="center"/>
              <w:rPr>
                <w:color w:val="1C1C1C"/>
                <w:sz w:val="15"/>
                <w:szCs w:val="15"/>
              </w:rPr>
            </w:pPr>
            <w:r w:rsidRPr="00422E00">
              <w:rPr>
                <w:color w:val="1C1C1C"/>
                <w:sz w:val="15"/>
                <w:szCs w:val="15"/>
              </w:rPr>
              <w:t>31,748</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A0445BB" w14:textId="47080AAE"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0F3FA70" w14:textId="6BA80528"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5ADB7CEB" w14:textId="0F775B99" w:rsidR="001635E4" w:rsidRPr="00422E00" w:rsidRDefault="001635E4" w:rsidP="00134343">
            <w:pPr>
              <w:spacing w:before="40" w:after="40"/>
              <w:jc w:val="center"/>
              <w:rPr>
                <w:color w:val="1C1C1C"/>
                <w:sz w:val="15"/>
                <w:szCs w:val="15"/>
              </w:rPr>
            </w:pPr>
            <w:r w:rsidRPr="00422E00">
              <w:rPr>
                <w:color w:val="1C1C1C"/>
                <w:sz w:val="15"/>
                <w:szCs w:val="15"/>
              </w:rPr>
              <w:t>3,016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154224E" w14:textId="69199DA1"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3B4E980" w14:textId="062DB93E"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E6E7AD6" w14:textId="587E5591"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7F6B4B70" w14:textId="45F5BF77" w:rsidR="001635E4" w:rsidRPr="00422E00" w:rsidRDefault="001635E4" w:rsidP="00134343">
            <w:pPr>
              <w:spacing w:before="40" w:after="40"/>
              <w:jc w:val="center"/>
              <w:rPr>
                <w:color w:val="1C1C1C"/>
                <w:sz w:val="15"/>
                <w:szCs w:val="15"/>
              </w:rPr>
            </w:pPr>
            <w:r w:rsidRPr="00422E00">
              <w:rPr>
                <w:color w:val="1C1C1C"/>
                <w:sz w:val="15"/>
                <w:szCs w:val="15"/>
              </w:rPr>
              <w:t>34,764</w:t>
            </w:r>
          </w:p>
        </w:tc>
      </w:tr>
      <w:tr w:rsidR="001635E4" w:rsidRPr="00422E00" w14:paraId="260C3281"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198C6DB6" w14:textId="7BE60CC3" w:rsidR="001635E4" w:rsidRPr="00422E00" w:rsidRDefault="00230A2B" w:rsidP="00230A2B">
            <w:pPr>
              <w:spacing w:before="40" w:after="40"/>
              <w:ind w:left="57"/>
              <w:rPr>
                <w:color w:val="1C1C1C"/>
                <w:sz w:val="15"/>
                <w:szCs w:val="15"/>
              </w:rPr>
            </w:pPr>
            <w:proofErr w:type="spellStart"/>
            <w:r>
              <w:rPr>
                <w:color w:val="1C1C1C"/>
                <w:sz w:val="15"/>
                <w:szCs w:val="15"/>
              </w:rPr>
              <w:t>Mr</w:t>
            </w:r>
            <w:proofErr w:type="spellEnd"/>
            <w:r>
              <w:rPr>
                <w:color w:val="1C1C1C"/>
                <w:sz w:val="15"/>
                <w:szCs w:val="15"/>
              </w:rPr>
              <w:t xml:space="preserve"> </w:t>
            </w:r>
            <w:r w:rsidR="001635E4" w:rsidRPr="00422E00">
              <w:rPr>
                <w:color w:val="1C1C1C"/>
                <w:sz w:val="15"/>
                <w:szCs w:val="15"/>
              </w:rPr>
              <w:t xml:space="preserve">James </w:t>
            </w:r>
            <w:proofErr w:type="spellStart"/>
            <w:r w:rsidR="001635E4" w:rsidRPr="00422E00">
              <w:rPr>
                <w:color w:val="1C1C1C"/>
                <w:sz w:val="15"/>
                <w:szCs w:val="15"/>
              </w:rPr>
              <w:t>Downie</w:t>
            </w:r>
            <w:proofErr w:type="spellEnd"/>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B59ACE5" w14:textId="1589BBB5" w:rsidR="001635E4" w:rsidRPr="00422E00" w:rsidRDefault="001635E4" w:rsidP="00134343">
            <w:pPr>
              <w:spacing w:before="40" w:after="40"/>
              <w:ind w:left="113"/>
              <w:rPr>
                <w:color w:val="1C1C1C"/>
                <w:sz w:val="15"/>
                <w:szCs w:val="15"/>
              </w:rPr>
            </w:pPr>
            <w:r w:rsidRPr="00422E00">
              <w:rPr>
                <w:color w:val="1C1C1C"/>
                <w:sz w:val="15"/>
                <w:szCs w:val="15"/>
              </w:rPr>
              <w:t>Chief Executive Officer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7A4A957E" w14:textId="7E0F6EBE" w:rsidR="001635E4" w:rsidRPr="00422E00" w:rsidRDefault="001635E4" w:rsidP="00134343">
            <w:pPr>
              <w:spacing w:before="40" w:after="40"/>
              <w:jc w:val="center"/>
              <w:rPr>
                <w:color w:val="1C1C1C"/>
                <w:sz w:val="15"/>
                <w:szCs w:val="15"/>
              </w:rPr>
            </w:pPr>
            <w:r w:rsidRPr="00422E00">
              <w:rPr>
                <w:color w:val="1C1C1C"/>
                <w:sz w:val="15"/>
                <w:szCs w:val="15"/>
              </w:rPr>
              <w:t>442,446</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A560DD8" w14:textId="0F75EC95"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25DCFBD" w14:textId="7129FDEF"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3F76F50" w14:textId="56685D89" w:rsidR="001635E4" w:rsidRPr="00422E00" w:rsidRDefault="001635E4" w:rsidP="00134343">
            <w:pPr>
              <w:spacing w:before="40" w:after="40"/>
              <w:jc w:val="center"/>
              <w:rPr>
                <w:color w:val="1C1C1C"/>
                <w:sz w:val="15"/>
                <w:szCs w:val="15"/>
              </w:rPr>
            </w:pPr>
            <w:r w:rsidRPr="00422E00">
              <w:rPr>
                <w:color w:val="1C1C1C"/>
                <w:sz w:val="15"/>
                <w:szCs w:val="15"/>
              </w:rPr>
              <w:t>20,613</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6760809" w14:textId="3294F0B9" w:rsidR="001635E4" w:rsidRPr="00422E00" w:rsidRDefault="001635E4" w:rsidP="00134343">
            <w:pPr>
              <w:spacing w:before="40" w:after="40"/>
              <w:jc w:val="center"/>
              <w:rPr>
                <w:color w:val="1C1C1C"/>
                <w:sz w:val="15"/>
                <w:szCs w:val="15"/>
              </w:rPr>
            </w:pPr>
            <w:r w:rsidRPr="00422E00">
              <w:rPr>
                <w:color w:val="1C1C1C"/>
                <w:sz w:val="15"/>
                <w:szCs w:val="15"/>
              </w:rPr>
              <w:t>6,326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91F0F0B" w14:textId="3AA77611"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79107AA" w14:textId="7182E936"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21DFE977" w14:textId="2C6A3FF0" w:rsidR="001635E4" w:rsidRPr="00422E00" w:rsidRDefault="001635E4" w:rsidP="00134343">
            <w:pPr>
              <w:spacing w:before="40" w:after="40"/>
              <w:jc w:val="center"/>
              <w:rPr>
                <w:color w:val="1C1C1C"/>
                <w:sz w:val="15"/>
                <w:szCs w:val="15"/>
              </w:rPr>
            </w:pPr>
            <w:r w:rsidRPr="00422E00">
              <w:rPr>
                <w:color w:val="1C1C1C"/>
                <w:sz w:val="15"/>
                <w:szCs w:val="15"/>
              </w:rPr>
              <w:t>469,385</w:t>
            </w:r>
          </w:p>
        </w:tc>
      </w:tr>
      <w:tr w:rsidR="001635E4" w:rsidRPr="00422E00" w14:paraId="4104E1E4"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3CFA4226" w14:textId="602F1D02" w:rsidR="001635E4" w:rsidRPr="00422E00" w:rsidRDefault="00230A2B" w:rsidP="00230A2B">
            <w:pPr>
              <w:spacing w:before="40" w:after="40"/>
              <w:ind w:left="57"/>
              <w:rPr>
                <w:color w:val="1C1C1C"/>
                <w:sz w:val="15"/>
                <w:szCs w:val="15"/>
              </w:rPr>
            </w:pPr>
            <w:proofErr w:type="spellStart"/>
            <w:r>
              <w:rPr>
                <w:color w:val="1C1C1C"/>
                <w:sz w:val="15"/>
                <w:szCs w:val="15"/>
              </w:rPr>
              <w:t>Ms</w:t>
            </w:r>
            <w:proofErr w:type="spellEnd"/>
            <w:r>
              <w:rPr>
                <w:color w:val="1C1C1C"/>
                <w:sz w:val="15"/>
                <w:szCs w:val="15"/>
              </w:rPr>
              <w:t xml:space="preserve"> </w:t>
            </w:r>
            <w:r w:rsidR="001635E4" w:rsidRPr="00422E00">
              <w:rPr>
                <w:color w:val="1C1C1C"/>
                <w:sz w:val="15"/>
                <w:szCs w:val="15"/>
              </w:rPr>
              <w:t>Prudence Ford</w:t>
            </w:r>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7C889FD" w14:textId="556A3C18" w:rsidR="001635E4" w:rsidRPr="00422E00" w:rsidRDefault="001635E4" w:rsidP="00134343">
            <w:pPr>
              <w:spacing w:before="40" w:after="40"/>
              <w:ind w:left="113"/>
              <w:rPr>
                <w:color w:val="1C1C1C"/>
                <w:sz w:val="15"/>
                <w:szCs w:val="15"/>
              </w:rPr>
            </w:pPr>
            <w:r w:rsidRPr="00422E00">
              <w:rPr>
                <w:color w:val="1C1C1C"/>
                <w:sz w:val="15"/>
                <w:szCs w:val="15"/>
              </w:rPr>
              <w:t>Pricing Authority member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362951E" w14:textId="24D78CE9" w:rsidR="001635E4" w:rsidRPr="00422E00" w:rsidRDefault="001635E4" w:rsidP="00134343">
            <w:pPr>
              <w:spacing w:before="40" w:after="40"/>
              <w:jc w:val="center"/>
              <w:rPr>
                <w:color w:val="1C1C1C"/>
                <w:sz w:val="15"/>
                <w:szCs w:val="15"/>
              </w:rPr>
            </w:pPr>
            <w:r w:rsidRPr="00422E00">
              <w:rPr>
                <w:color w:val="1C1C1C"/>
                <w:sz w:val="15"/>
                <w:szCs w:val="15"/>
              </w:rPr>
              <w:t>31,748</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7FF4A15" w14:textId="12F74B94"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7C9EB96" w14:textId="132BD41B"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085F98CF" w14:textId="05686BAC" w:rsidR="001635E4" w:rsidRPr="00422E00" w:rsidRDefault="001635E4" w:rsidP="00134343">
            <w:pPr>
              <w:spacing w:before="40" w:after="40"/>
              <w:jc w:val="center"/>
              <w:rPr>
                <w:color w:val="1C1C1C"/>
                <w:sz w:val="15"/>
                <w:szCs w:val="15"/>
              </w:rPr>
            </w:pPr>
            <w:r w:rsidRPr="00422E00">
              <w:rPr>
                <w:color w:val="1C1C1C"/>
                <w:sz w:val="15"/>
                <w:szCs w:val="15"/>
              </w:rPr>
              <w:t>3,016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6760355" w14:textId="5A1F5B66"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86AAE52" w14:textId="71185AA7"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FAE3C7A" w14:textId="05D58C31"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5A531977" w14:textId="1D13B471" w:rsidR="001635E4" w:rsidRPr="00422E00" w:rsidRDefault="001635E4" w:rsidP="00134343">
            <w:pPr>
              <w:spacing w:before="40" w:after="40"/>
              <w:jc w:val="center"/>
              <w:rPr>
                <w:color w:val="1C1C1C"/>
                <w:sz w:val="15"/>
                <w:szCs w:val="15"/>
              </w:rPr>
            </w:pPr>
            <w:r w:rsidRPr="00422E00">
              <w:rPr>
                <w:color w:val="1C1C1C"/>
                <w:sz w:val="15"/>
                <w:szCs w:val="15"/>
              </w:rPr>
              <w:t>34,764</w:t>
            </w:r>
          </w:p>
        </w:tc>
      </w:tr>
      <w:tr w:rsidR="001635E4" w:rsidRPr="00422E00" w14:paraId="37DFDEF2"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735AC4BD" w14:textId="4BD69163" w:rsidR="001635E4" w:rsidRPr="00422E00" w:rsidRDefault="00230A2B" w:rsidP="00230A2B">
            <w:pPr>
              <w:spacing w:before="40" w:after="40"/>
              <w:ind w:left="57"/>
              <w:rPr>
                <w:color w:val="1C1C1C"/>
                <w:sz w:val="15"/>
                <w:szCs w:val="15"/>
              </w:rPr>
            </w:pPr>
            <w:r>
              <w:rPr>
                <w:color w:val="1C1C1C"/>
                <w:sz w:val="15"/>
                <w:szCs w:val="15"/>
              </w:rPr>
              <w:t xml:space="preserve">Prof </w:t>
            </w:r>
            <w:r w:rsidR="001635E4" w:rsidRPr="00422E00">
              <w:rPr>
                <w:color w:val="1C1C1C"/>
                <w:sz w:val="15"/>
                <w:szCs w:val="15"/>
              </w:rPr>
              <w:t>Jane Hall</w:t>
            </w:r>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C3A697D" w14:textId="7881D43C" w:rsidR="001635E4" w:rsidRPr="00422E00" w:rsidRDefault="001635E4" w:rsidP="00134343">
            <w:pPr>
              <w:spacing w:before="40" w:after="40"/>
              <w:ind w:left="113"/>
              <w:rPr>
                <w:color w:val="1C1C1C"/>
                <w:sz w:val="15"/>
                <w:szCs w:val="15"/>
              </w:rPr>
            </w:pPr>
            <w:r w:rsidRPr="00422E00">
              <w:rPr>
                <w:color w:val="1C1C1C"/>
                <w:sz w:val="15"/>
                <w:szCs w:val="15"/>
              </w:rPr>
              <w:t>Pricing Authority member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67EDD0BA" w14:textId="5715240F" w:rsidR="001635E4" w:rsidRPr="00422E00" w:rsidRDefault="001635E4" w:rsidP="00134343">
            <w:pPr>
              <w:spacing w:before="40" w:after="40"/>
              <w:jc w:val="center"/>
              <w:rPr>
                <w:color w:val="1C1C1C"/>
                <w:sz w:val="15"/>
                <w:szCs w:val="15"/>
              </w:rPr>
            </w:pPr>
            <w:r w:rsidRPr="00422E00">
              <w:rPr>
                <w:color w:val="1C1C1C"/>
                <w:sz w:val="15"/>
                <w:szCs w:val="15"/>
              </w:rPr>
              <w:t>31,748</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296D5433" w14:textId="0690C960"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2440031" w14:textId="7BB583F6"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65C84592" w14:textId="403AF9F6" w:rsidR="001635E4" w:rsidRPr="00422E00" w:rsidRDefault="001635E4" w:rsidP="00134343">
            <w:pPr>
              <w:spacing w:before="40" w:after="40"/>
              <w:jc w:val="center"/>
              <w:rPr>
                <w:color w:val="1C1C1C"/>
                <w:sz w:val="15"/>
                <w:szCs w:val="15"/>
              </w:rPr>
            </w:pPr>
            <w:r w:rsidRPr="00422E00">
              <w:rPr>
                <w:color w:val="1C1C1C"/>
                <w:sz w:val="15"/>
                <w:szCs w:val="15"/>
              </w:rPr>
              <w:t>3,016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F21CFD9" w14:textId="1EAFA510"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F2FA18E" w14:textId="0FE92931"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155A9BD" w14:textId="24EA135C"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0E5D99BF" w14:textId="6081011D" w:rsidR="001635E4" w:rsidRPr="00422E00" w:rsidRDefault="001635E4" w:rsidP="00134343">
            <w:pPr>
              <w:spacing w:before="40" w:after="40"/>
              <w:jc w:val="center"/>
              <w:rPr>
                <w:color w:val="1C1C1C"/>
                <w:sz w:val="15"/>
                <w:szCs w:val="15"/>
              </w:rPr>
            </w:pPr>
            <w:r w:rsidRPr="00422E00">
              <w:rPr>
                <w:color w:val="1C1C1C"/>
                <w:sz w:val="15"/>
                <w:szCs w:val="15"/>
              </w:rPr>
              <w:t>34,764</w:t>
            </w:r>
          </w:p>
        </w:tc>
      </w:tr>
      <w:tr w:rsidR="001635E4" w:rsidRPr="00422E00" w14:paraId="4D3A6089"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2278CA59" w14:textId="06E79213" w:rsidR="001635E4" w:rsidRPr="00422E00" w:rsidRDefault="00230A2B" w:rsidP="00230A2B">
            <w:pPr>
              <w:spacing w:before="40" w:after="40"/>
              <w:ind w:left="57"/>
              <w:rPr>
                <w:color w:val="1C1C1C"/>
                <w:sz w:val="15"/>
                <w:szCs w:val="15"/>
              </w:rPr>
            </w:pPr>
            <w:proofErr w:type="spellStart"/>
            <w:r>
              <w:rPr>
                <w:color w:val="1C1C1C"/>
                <w:sz w:val="15"/>
                <w:szCs w:val="15"/>
              </w:rPr>
              <w:t>Ms</w:t>
            </w:r>
            <w:proofErr w:type="spellEnd"/>
            <w:r>
              <w:rPr>
                <w:color w:val="1C1C1C"/>
                <w:sz w:val="15"/>
                <w:szCs w:val="15"/>
              </w:rPr>
              <w:t xml:space="preserve"> </w:t>
            </w:r>
            <w:r w:rsidR="001635E4" w:rsidRPr="00422E00">
              <w:rPr>
                <w:color w:val="1C1C1C"/>
                <w:sz w:val="15"/>
                <w:szCs w:val="15"/>
              </w:rPr>
              <w:t>Jenny Richte</w:t>
            </w:r>
            <w:r w:rsidR="001635E4">
              <w:rPr>
                <w:color w:val="1C1C1C"/>
                <w:sz w:val="15"/>
                <w:szCs w:val="15"/>
              </w:rPr>
              <w:t>r</w:t>
            </w:r>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EF78968" w14:textId="418F7F68" w:rsidR="001635E4" w:rsidRPr="00422E00" w:rsidRDefault="001635E4" w:rsidP="00134343">
            <w:pPr>
              <w:spacing w:before="40" w:after="40"/>
              <w:ind w:left="113"/>
              <w:rPr>
                <w:color w:val="1C1C1C"/>
                <w:sz w:val="15"/>
                <w:szCs w:val="15"/>
              </w:rPr>
            </w:pPr>
            <w:r w:rsidRPr="00422E00">
              <w:rPr>
                <w:color w:val="1C1C1C"/>
                <w:sz w:val="15"/>
                <w:szCs w:val="15"/>
              </w:rPr>
              <w:t>Pricing Authority member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495F22C9" w14:textId="70C6FBBF" w:rsidR="001635E4" w:rsidRPr="00422E00" w:rsidRDefault="001635E4" w:rsidP="00134343">
            <w:pPr>
              <w:spacing w:before="40" w:after="40"/>
              <w:jc w:val="center"/>
              <w:rPr>
                <w:color w:val="1C1C1C"/>
                <w:sz w:val="15"/>
                <w:szCs w:val="15"/>
              </w:rPr>
            </w:pPr>
            <w:r w:rsidRPr="00422E00">
              <w:rPr>
                <w:color w:val="1C1C1C"/>
                <w:sz w:val="15"/>
                <w:szCs w:val="15"/>
              </w:rPr>
              <w:t>31,748</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1C66836" w14:textId="5BA0740E"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398CEBD" w14:textId="1BAD6250"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683FEA72" w14:textId="7A812199" w:rsidR="001635E4" w:rsidRPr="00422E00" w:rsidRDefault="001635E4" w:rsidP="00134343">
            <w:pPr>
              <w:spacing w:before="40" w:after="40"/>
              <w:jc w:val="center"/>
              <w:rPr>
                <w:color w:val="1C1C1C"/>
                <w:sz w:val="15"/>
                <w:szCs w:val="15"/>
              </w:rPr>
            </w:pPr>
            <w:r w:rsidRPr="00422E00">
              <w:rPr>
                <w:color w:val="1C1C1C"/>
                <w:sz w:val="15"/>
                <w:szCs w:val="15"/>
              </w:rPr>
              <w:t>3,016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71203AF" w14:textId="718782EE"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09243C7A" w14:textId="623B3665"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E30B703" w14:textId="413C74F8"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3DE9CBC0" w14:textId="4F110BAF" w:rsidR="001635E4" w:rsidRPr="00422E00" w:rsidRDefault="001635E4" w:rsidP="00134343">
            <w:pPr>
              <w:spacing w:before="40" w:after="40"/>
              <w:jc w:val="center"/>
              <w:rPr>
                <w:color w:val="1C1C1C"/>
                <w:sz w:val="15"/>
                <w:szCs w:val="15"/>
              </w:rPr>
            </w:pPr>
            <w:r w:rsidRPr="00422E00">
              <w:rPr>
                <w:color w:val="1C1C1C"/>
                <w:sz w:val="15"/>
                <w:szCs w:val="15"/>
              </w:rPr>
              <w:t>34,764</w:t>
            </w:r>
          </w:p>
        </w:tc>
      </w:tr>
      <w:tr w:rsidR="001635E4" w:rsidRPr="00422E00" w14:paraId="3585066D"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5396552A" w14:textId="3318F481" w:rsidR="001635E4" w:rsidRPr="00422E00" w:rsidRDefault="00230A2B" w:rsidP="00230A2B">
            <w:pPr>
              <w:spacing w:before="40" w:after="40"/>
              <w:ind w:left="57"/>
              <w:rPr>
                <w:color w:val="1C1C1C"/>
                <w:sz w:val="15"/>
                <w:szCs w:val="15"/>
              </w:rPr>
            </w:pPr>
            <w:proofErr w:type="spellStart"/>
            <w:r>
              <w:rPr>
                <w:color w:val="1C1C1C"/>
                <w:sz w:val="15"/>
                <w:szCs w:val="15"/>
              </w:rPr>
              <w:t>Mr</w:t>
            </w:r>
            <w:proofErr w:type="spellEnd"/>
            <w:r>
              <w:rPr>
                <w:color w:val="1C1C1C"/>
                <w:sz w:val="15"/>
                <w:szCs w:val="15"/>
              </w:rPr>
              <w:t xml:space="preserve"> </w:t>
            </w:r>
            <w:r w:rsidR="001635E4" w:rsidRPr="00422E00">
              <w:rPr>
                <w:color w:val="1C1C1C"/>
                <w:sz w:val="15"/>
                <w:szCs w:val="15"/>
              </w:rPr>
              <w:t>Shane Solomon</w:t>
            </w:r>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94E0D97" w14:textId="474DAE8A" w:rsidR="001635E4" w:rsidRPr="00422E00" w:rsidRDefault="001635E4" w:rsidP="00134343">
            <w:pPr>
              <w:spacing w:before="40" w:after="40"/>
              <w:ind w:left="113"/>
              <w:rPr>
                <w:color w:val="1C1C1C"/>
                <w:sz w:val="15"/>
                <w:szCs w:val="15"/>
              </w:rPr>
            </w:pPr>
            <w:r w:rsidRPr="00422E00">
              <w:rPr>
                <w:color w:val="1C1C1C"/>
                <w:sz w:val="15"/>
                <w:szCs w:val="15"/>
              </w:rPr>
              <w:t>Pricing Authority member (Chair)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526C31D2" w14:textId="3A81A9EF" w:rsidR="001635E4" w:rsidRPr="00422E00" w:rsidRDefault="001635E4" w:rsidP="00134343">
            <w:pPr>
              <w:spacing w:before="40" w:after="40"/>
              <w:jc w:val="center"/>
              <w:rPr>
                <w:color w:val="1C1C1C"/>
                <w:sz w:val="15"/>
                <w:szCs w:val="15"/>
              </w:rPr>
            </w:pPr>
            <w:r w:rsidRPr="00422E00">
              <w:rPr>
                <w:color w:val="1C1C1C"/>
                <w:sz w:val="15"/>
                <w:szCs w:val="15"/>
              </w:rPr>
              <w:t>85,646</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BC02892" w14:textId="7751EB07"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35E1365E" w14:textId="0324586A"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1BEF7903" w14:textId="2775EB40" w:rsidR="001635E4" w:rsidRPr="00422E00" w:rsidRDefault="001635E4" w:rsidP="00134343">
            <w:pPr>
              <w:spacing w:before="40" w:after="40"/>
              <w:jc w:val="center"/>
              <w:rPr>
                <w:color w:val="1C1C1C"/>
                <w:sz w:val="15"/>
                <w:szCs w:val="15"/>
              </w:rPr>
            </w:pPr>
            <w:r w:rsidRPr="00422E00">
              <w:rPr>
                <w:color w:val="1C1C1C"/>
                <w:sz w:val="15"/>
                <w:szCs w:val="15"/>
              </w:rPr>
              <w:t>8,136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D0218CB" w14:textId="20FE8E7C"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47E0021" w14:textId="66066823"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50D7F0C4" w14:textId="134FFCFF"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073C75EF" w14:textId="45BD8CDD" w:rsidR="001635E4" w:rsidRPr="00422E00" w:rsidRDefault="001635E4" w:rsidP="00134343">
            <w:pPr>
              <w:spacing w:before="40" w:after="40"/>
              <w:jc w:val="center"/>
              <w:rPr>
                <w:color w:val="1C1C1C"/>
                <w:sz w:val="15"/>
                <w:szCs w:val="15"/>
              </w:rPr>
            </w:pPr>
            <w:r w:rsidRPr="00422E00">
              <w:rPr>
                <w:color w:val="1C1C1C"/>
                <w:sz w:val="15"/>
                <w:szCs w:val="15"/>
              </w:rPr>
              <w:t>93,782</w:t>
            </w:r>
          </w:p>
        </w:tc>
      </w:tr>
      <w:tr w:rsidR="001635E4" w:rsidRPr="00422E00" w14:paraId="6CB2FDEC" w14:textId="77777777" w:rsidTr="00134343">
        <w:tc>
          <w:tcPr>
            <w:tcW w:w="1385" w:type="dxa"/>
            <w:tcBorders>
              <w:top w:val="single" w:sz="2" w:space="0" w:color="D9D9D9" w:themeColor="background2" w:themeShade="D9"/>
              <w:bottom w:val="single" w:sz="2" w:space="0" w:color="D9D9D9" w:themeColor="background2" w:themeShade="D9"/>
              <w:right w:val="single" w:sz="2" w:space="0" w:color="D9D9D9" w:themeColor="background2" w:themeShade="D9"/>
            </w:tcBorders>
          </w:tcPr>
          <w:p w14:paraId="4B544AB4" w14:textId="750CB535" w:rsidR="001635E4" w:rsidRPr="00422E00" w:rsidRDefault="00230A2B" w:rsidP="00230A2B">
            <w:pPr>
              <w:spacing w:before="40" w:after="40"/>
              <w:ind w:left="57"/>
              <w:rPr>
                <w:color w:val="1C1C1C"/>
                <w:sz w:val="15"/>
                <w:szCs w:val="15"/>
              </w:rPr>
            </w:pPr>
            <w:r>
              <w:rPr>
                <w:color w:val="1C1C1C"/>
                <w:sz w:val="15"/>
                <w:szCs w:val="15"/>
              </w:rPr>
              <w:t xml:space="preserve">Dr </w:t>
            </w:r>
            <w:r w:rsidR="001635E4" w:rsidRPr="00422E00">
              <w:rPr>
                <w:color w:val="1C1C1C"/>
                <w:sz w:val="15"/>
                <w:szCs w:val="15"/>
              </w:rPr>
              <w:t>Kate Taylor</w:t>
            </w:r>
          </w:p>
        </w:tc>
        <w:tc>
          <w:tcPr>
            <w:tcW w:w="26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BC2C3B0" w14:textId="74A144B5" w:rsidR="001635E4" w:rsidRPr="00422E00" w:rsidRDefault="001635E4" w:rsidP="00134343">
            <w:pPr>
              <w:spacing w:before="40" w:after="40"/>
              <w:ind w:left="113"/>
              <w:rPr>
                <w:color w:val="1C1C1C"/>
                <w:sz w:val="15"/>
                <w:szCs w:val="15"/>
              </w:rPr>
            </w:pPr>
            <w:r w:rsidRPr="00422E00">
              <w:rPr>
                <w:color w:val="1C1C1C"/>
                <w:sz w:val="15"/>
                <w:szCs w:val="15"/>
              </w:rPr>
              <w:t>Pricing Authority member</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79DA3124" w14:textId="2DA86F42" w:rsidR="001635E4" w:rsidRPr="00422E00" w:rsidRDefault="001635E4" w:rsidP="00134343">
            <w:pPr>
              <w:spacing w:before="40" w:after="40"/>
              <w:jc w:val="center"/>
              <w:rPr>
                <w:color w:val="1C1C1C"/>
                <w:sz w:val="15"/>
                <w:szCs w:val="15"/>
              </w:rPr>
            </w:pPr>
            <w:r w:rsidRPr="00422E00">
              <w:rPr>
                <w:color w:val="1C1C1C"/>
                <w:sz w:val="15"/>
                <w:szCs w:val="15"/>
              </w:rPr>
              <w:t>31,748</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429C3C2C" w14:textId="54D788CE"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EBD34D4" w14:textId="2F75766E"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vAlign w:val="center"/>
          </w:tcPr>
          <w:p w14:paraId="3BA0A8D8" w14:textId="26A56228" w:rsidR="001635E4" w:rsidRPr="00422E00" w:rsidRDefault="001635E4" w:rsidP="00134343">
            <w:pPr>
              <w:spacing w:before="40" w:after="40"/>
              <w:jc w:val="center"/>
              <w:rPr>
                <w:color w:val="1C1C1C"/>
                <w:sz w:val="15"/>
                <w:szCs w:val="15"/>
              </w:rPr>
            </w:pPr>
            <w:r w:rsidRPr="00422E00">
              <w:rPr>
                <w:color w:val="1C1C1C"/>
                <w:sz w:val="15"/>
                <w:szCs w:val="15"/>
              </w:rPr>
              <w:t>3,016</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1D7A3BD1" w14:textId="4E6C4629"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75557021" w14:textId="014BA4C3"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bottom w:val="single" w:sz="2" w:space="0" w:color="D9D9D9" w:themeColor="background2" w:themeShade="D9"/>
              <w:right w:val="single" w:sz="2" w:space="0" w:color="D9D9D9" w:themeColor="background2" w:themeShade="D9"/>
            </w:tcBorders>
          </w:tcPr>
          <w:p w14:paraId="69BB8C76" w14:textId="6CF59C86"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bottom w:val="single" w:sz="2" w:space="0" w:color="D9D9D9" w:themeColor="background2" w:themeShade="D9"/>
            </w:tcBorders>
            <w:vAlign w:val="center"/>
          </w:tcPr>
          <w:p w14:paraId="5B08690D" w14:textId="237957EC" w:rsidR="001635E4" w:rsidRPr="00422E00" w:rsidRDefault="001635E4" w:rsidP="00134343">
            <w:pPr>
              <w:spacing w:before="40" w:after="40"/>
              <w:jc w:val="center"/>
              <w:rPr>
                <w:color w:val="1C1C1C"/>
                <w:sz w:val="15"/>
                <w:szCs w:val="15"/>
              </w:rPr>
            </w:pPr>
            <w:r w:rsidRPr="00422E00">
              <w:rPr>
                <w:color w:val="1C1C1C"/>
                <w:sz w:val="15"/>
                <w:szCs w:val="15"/>
              </w:rPr>
              <w:t>34,764</w:t>
            </w:r>
          </w:p>
        </w:tc>
      </w:tr>
      <w:tr w:rsidR="001635E4" w:rsidRPr="00422E00" w14:paraId="113D4CE2" w14:textId="77777777" w:rsidTr="00134343">
        <w:tc>
          <w:tcPr>
            <w:tcW w:w="1385" w:type="dxa"/>
            <w:tcBorders>
              <w:top w:val="single" w:sz="2" w:space="0" w:color="D9D9D9" w:themeColor="background2" w:themeShade="D9"/>
              <w:right w:val="single" w:sz="2" w:space="0" w:color="D9D9D9" w:themeColor="background2" w:themeShade="D9"/>
            </w:tcBorders>
          </w:tcPr>
          <w:p w14:paraId="29C43DA6" w14:textId="3BD387A0" w:rsidR="001635E4" w:rsidRPr="00422E00" w:rsidRDefault="00230A2B" w:rsidP="00230A2B">
            <w:pPr>
              <w:spacing w:before="40" w:after="40"/>
              <w:ind w:left="57"/>
              <w:rPr>
                <w:color w:val="1C1C1C"/>
                <w:sz w:val="15"/>
                <w:szCs w:val="15"/>
              </w:rPr>
            </w:pPr>
            <w:proofErr w:type="spellStart"/>
            <w:r>
              <w:rPr>
                <w:color w:val="1C1C1C"/>
                <w:sz w:val="15"/>
                <w:szCs w:val="15"/>
              </w:rPr>
              <w:t>Ms</w:t>
            </w:r>
            <w:proofErr w:type="spellEnd"/>
            <w:r>
              <w:rPr>
                <w:color w:val="1C1C1C"/>
                <w:sz w:val="15"/>
                <w:szCs w:val="15"/>
              </w:rPr>
              <w:t xml:space="preserve"> </w:t>
            </w:r>
            <w:r w:rsidR="001635E4" w:rsidRPr="00422E00">
              <w:rPr>
                <w:color w:val="1C1C1C"/>
                <w:sz w:val="15"/>
                <w:szCs w:val="15"/>
              </w:rPr>
              <w:t>Jennifer Williams</w:t>
            </w:r>
          </w:p>
        </w:tc>
        <w:tc>
          <w:tcPr>
            <w:tcW w:w="2624"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687DC6F8" w14:textId="656CEC5C" w:rsidR="001635E4" w:rsidRPr="00422E00" w:rsidRDefault="001635E4" w:rsidP="00134343">
            <w:pPr>
              <w:spacing w:before="40" w:after="40"/>
              <w:ind w:left="113"/>
              <w:rPr>
                <w:color w:val="1C1C1C"/>
                <w:sz w:val="15"/>
                <w:szCs w:val="15"/>
              </w:rPr>
            </w:pPr>
            <w:r w:rsidRPr="00422E00">
              <w:rPr>
                <w:color w:val="1C1C1C"/>
                <w:sz w:val="15"/>
                <w:szCs w:val="15"/>
              </w:rPr>
              <w:t>Pricing Authority member (Deputy Chair)</w:t>
            </w:r>
          </w:p>
        </w:tc>
        <w:tc>
          <w:tcPr>
            <w:tcW w:w="924" w:type="dxa"/>
            <w:tcBorders>
              <w:top w:val="single" w:sz="2" w:space="0" w:color="D9D9D9" w:themeColor="background2" w:themeShade="D9"/>
              <w:left w:val="single" w:sz="2" w:space="0" w:color="D9D9D9" w:themeColor="background2" w:themeShade="D9"/>
              <w:right w:val="single" w:sz="2" w:space="0" w:color="D9D9D9" w:themeColor="background2" w:themeShade="D9"/>
            </w:tcBorders>
            <w:vAlign w:val="center"/>
          </w:tcPr>
          <w:p w14:paraId="3C4704BE" w14:textId="47B2C2D2" w:rsidR="001635E4" w:rsidRPr="00422E00" w:rsidRDefault="001635E4" w:rsidP="00134343">
            <w:pPr>
              <w:spacing w:before="40" w:after="40"/>
              <w:jc w:val="center"/>
              <w:rPr>
                <w:color w:val="1C1C1C"/>
                <w:sz w:val="15"/>
                <w:szCs w:val="15"/>
              </w:rPr>
            </w:pPr>
            <w:r w:rsidRPr="00422E00">
              <w:rPr>
                <w:color w:val="1C1C1C"/>
                <w:sz w:val="15"/>
                <w:szCs w:val="15"/>
              </w:rPr>
              <w:t>31,748</w:t>
            </w:r>
          </w:p>
        </w:tc>
        <w:tc>
          <w:tcPr>
            <w:tcW w:w="924"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0B8DAF0A" w14:textId="41528E58"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24"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5580C715" w14:textId="152271B9" w:rsidR="001635E4" w:rsidRPr="00422E00" w:rsidRDefault="001635E4" w:rsidP="00134343">
            <w:pPr>
              <w:spacing w:before="40" w:after="40"/>
              <w:jc w:val="center"/>
              <w:rPr>
                <w:color w:val="1C1C1C"/>
                <w:sz w:val="15"/>
                <w:szCs w:val="15"/>
              </w:rPr>
            </w:pPr>
            <w:r w:rsidRPr="00422E00">
              <w:rPr>
                <w:color w:val="1C1C1C"/>
                <w:sz w:val="15"/>
                <w:szCs w:val="15"/>
              </w:rPr>
              <w:t>-</w:t>
            </w:r>
          </w:p>
        </w:tc>
        <w:tc>
          <w:tcPr>
            <w:tcW w:w="1246" w:type="dxa"/>
            <w:tcBorders>
              <w:top w:val="single" w:sz="2" w:space="0" w:color="D9D9D9" w:themeColor="background2" w:themeShade="D9"/>
              <w:left w:val="single" w:sz="2" w:space="0" w:color="D9D9D9" w:themeColor="background2" w:themeShade="D9"/>
              <w:right w:val="single" w:sz="2" w:space="0" w:color="D9D9D9" w:themeColor="background2" w:themeShade="D9"/>
            </w:tcBorders>
            <w:vAlign w:val="center"/>
          </w:tcPr>
          <w:p w14:paraId="4862502A" w14:textId="4EAEF0BA" w:rsidR="001635E4" w:rsidRPr="00422E00" w:rsidRDefault="001635E4" w:rsidP="00134343">
            <w:pPr>
              <w:spacing w:before="40" w:after="40"/>
              <w:jc w:val="center"/>
              <w:rPr>
                <w:color w:val="1C1C1C"/>
                <w:sz w:val="15"/>
                <w:szCs w:val="15"/>
              </w:rPr>
            </w:pPr>
            <w:r w:rsidRPr="00422E00">
              <w:rPr>
                <w:color w:val="1C1C1C"/>
                <w:sz w:val="15"/>
                <w:szCs w:val="15"/>
              </w:rPr>
              <w:t>3,016</w:t>
            </w:r>
          </w:p>
        </w:tc>
        <w:tc>
          <w:tcPr>
            <w:tcW w:w="969"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7EAA256F" w14:textId="0377EC5B"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9"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606B0CC8" w14:textId="30A77CCA" w:rsidR="001635E4" w:rsidRPr="00422E00" w:rsidRDefault="001635E4" w:rsidP="00134343">
            <w:pPr>
              <w:spacing w:before="40" w:after="40"/>
              <w:jc w:val="center"/>
              <w:rPr>
                <w:color w:val="1C1C1C"/>
                <w:sz w:val="15"/>
                <w:szCs w:val="15"/>
              </w:rPr>
            </w:pPr>
            <w:r w:rsidRPr="00422E00">
              <w:rPr>
                <w:color w:val="1C1C1C"/>
                <w:sz w:val="15"/>
                <w:szCs w:val="15"/>
              </w:rPr>
              <w:t>-</w:t>
            </w:r>
          </w:p>
        </w:tc>
        <w:tc>
          <w:tcPr>
            <w:tcW w:w="833" w:type="dxa"/>
            <w:tcBorders>
              <w:top w:val="single" w:sz="2" w:space="0" w:color="D9D9D9" w:themeColor="background2" w:themeShade="D9"/>
              <w:left w:val="single" w:sz="2" w:space="0" w:color="D9D9D9" w:themeColor="background2" w:themeShade="D9"/>
              <w:right w:val="single" w:sz="2" w:space="0" w:color="D9D9D9" w:themeColor="background2" w:themeShade="D9"/>
            </w:tcBorders>
          </w:tcPr>
          <w:p w14:paraId="05D63F6F" w14:textId="3EA53889" w:rsidR="001635E4" w:rsidRPr="00422E00" w:rsidRDefault="001635E4" w:rsidP="00134343">
            <w:pPr>
              <w:spacing w:before="40" w:after="40"/>
              <w:jc w:val="center"/>
              <w:rPr>
                <w:color w:val="1C1C1C"/>
                <w:sz w:val="15"/>
                <w:szCs w:val="15"/>
              </w:rPr>
            </w:pPr>
            <w:r w:rsidRPr="00422E00">
              <w:rPr>
                <w:color w:val="1C1C1C"/>
                <w:sz w:val="15"/>
                <w:szCs w:val="15"/>
              </w:rPr>
              <w:t>-</w:t>
            </w:r>
          </w:p>
        </w:tc>
        <w:tc>
          <w:tcPr>
            <w:tcW w:w="968" w:type="dxa"/>
            <w:tcBorders>
              <w:top w:val="single" w:sz="2" w:space="0" w:color="D9D9D9" w:themeColor="background2" w:themeShade="D9"/>
              <w:left w:val="single" w:sz="2" w:space="0" w:color="D9D9D9" w:themeColor="background2" w:themeShade="D9"/>
            </w:tcBorders>
            <w:vAlign w:val="center"/>
          </w:tcPr>
          <w:p w14:paraId="074C3296" w14:textId="5A93802C" w:rsidR="001635E4" w:rsidRPr="00422E00" w:rsidRDefault="001635E4" w:rsidP="00134343">
            <w:pPr>
              <w:spacing w:before="40" w:after="40"/>
              <w:jc w:val="center"/>
              <w:rPr>
                <w:color w:val="1C1C1C"/>
                <w:sz w:val="15"/>
                <w:szCs w:val="15"/>
              </w:rPr>
            </w:pPr>
            <w:r w:rsidRPr="00422E00">
              <w:rPr>
                <w:color w:val="1C1C1C"/>
                <w:sz w:val="15"/>
                <w:szCs w:val="15"/>
              </w:rPr>
              <w:t>34,764</w:t>
            </w:r>
          </w:p>
        </w:tc>
      </w:tr>
      <w:tr w:rsidR="00566DF3" w:rsidRPr="00422E00" w14:paraId="1815550A" w14:textId="77777777" w:rsidTr="00134343">
        <w:tc>
          <w:tcPr>
            <w:tcW w:w="1385" w:type="dxa"/>
            <w:tcBorders>
              <w:right w:val="single" w:sz="2" w:space="0" w:color="D9D9D9" w:themeColor="background2" w:themeShade="D9"/>
            </w:tcBorders>
            <w:shd w:val="clear" w:color="auto" w:fill="FBC5D6" w:themeFill="accent6" w:themeFillTint="33"/>
          </w:tcPr>
          <w:p w14:paraId="77BB29E7" w14:textId="62B43A78" w:rsidR="00566DF3" w:rsidRPr="00422E00" w:rsidRDefault="00566DF3" w:rsidP="00134343">
            <w:pPr>
              <w:ind w:left="113"/>
              <w:rPr>
                <w:color w:val="1C1C1C"/>
                <w:sz w:val="15"/>
                <w:szCs w:val="15"/>
              </w:rPr>
            </w:pPr>
            <w:r w:rsidRPr="00422E00">
              <w:rPr>
                <w:b/>
                <w:color w:val="1C1C1C"/>
                <w:sz w:val="15"/>
                <w:szCs w:val="15"/>
              </w:rPr>
              <w:t>Total</w:t>
            </w:r>
          </w:p>
        </w:tc>
        <w:tc>
          <w:tcPr>
            <w:tcW w:w="2624"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62437EC6" w14:textId="6017303A" w:rsidR="00566DF3" w:rsidRPr="00422E00" w:rsidRDefault="00566DF3" w:rsidP="00134343">
            <w:pPr>
              <w:ind w:left="113"/>
              <w:rPr>
                <w:color w:val="1C1C1C"/>
                <w:sz w:val="15"/>
                <w:szCs w:val="15"/>
              </w:rPr>
            </w:pPr>
          </w:p>
        </w:tc>
        <w:tc>
          <w:tcPr>
            <w:tcW w:w="924"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52635582" w14:textId="58B3E5F3" w:rsidR="00566DF3" w:rsidRPr="00422E00" w:rsidRDefault="00566DF3" w:rsidP="00566DF3">
            <w:pPr>
              <w:jc w:val="center"/>
              <w:rPr>
                <w:color w:val="1C1C1C"/>
                <w:sz w:val="15"/>
                <w:szCs w:val="15"/>
              </w:rPr>
            </w:pPr>
            <w:r w:rsidRPr="00422E00">
              <w:rPr>
                <w:color w:val="1C1C1C"/>
                <w:sz w:val="15"/>
                <w:szCs w:val="15"/>
              </w:rPr>
              <w:t>758,3</w:t>
            </w:r>
            <w:r w:rsidR="006D7262">
              <w:rPr>
                <w:color w:val="1C1C1C"/>
                <w:sz w:val="15"/>
                <w:szCs w:val="15"/>
              </w:rPr>
              <w:t>28</w:t>
            </w:r>
          </w:p>
        </w:tc>
        <w:tc>
          <w:tcPr>
            <w:tcW w:w="924"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47D4456D" w14:textId="77777777" w:rsidR="00566DF3" w:rsidRPr="00422E00" w:rsidRDefault="00566DF3" w:rsidP="00566DF3">
            <w:pPr>
              <w:jc w:val="center"/>
              <w:rPr>
                <w:color w:val="1C1C1C"/>
                <w:sz w:val="15"/>
                <w:szCs w:val="15"/>
              </w:rPr>
            </w:pPr>
            <w:r w:rsidRPr="00422E00">
              <w:rPr>
                <w:b/>
                <w:color w:val="1C1C1C"/>
                <w:sz w:val="15"/>
                <w:szCs w:val="15"/>
              </w:rPr>
              <w:t>-</w:t>
            </w:r>
          </w:p>
        </w:tc>
        <w:tc>
          <w:tcPr>
            <w:tcW w:w="924"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35784156" w14:textId="55EB1E43" w:rsidR="00566DF3" w:rsidRPr="00422E00" w:rsidRDefault="00566DF3" w:rsidP="00566DF3">
            <w:pPr>
              <w:jc w:val="center"/>
              <w:rPr>
                <w:color w:val="1C1C1C"/>
                <w:sz w:val="15"/>
                <w:szCs w:val="15"/>
              </w:rPr>
            </w:pPr>
            <w:r w:rsidRPr="00422E00">
              <w:rPr>
                <w:b/>
                <w:color w:val="1C1C1C"/>
                <w:sz w:val="15"/>
                <w:szCs w:val="15"/>
              </w:rPr>
              <w:t>-</w:t>
            </w:r>
          </w:p>
        </w:tc>
        <w:tc>
          <w:tcPr>
            <w:tcW w:w="1246" w:type="dxa"/>
            <w:tcBorders>
              <w:left w:val="single" w:sz="2" w:space="0" w:color="D9D9D9" w:themeColor="background2" w:themeShade="D9"/>
              <w:right w:val="single" w:sz="2" w:space="0" w:color="D9D9D9" w:themeColor="background2" w:themeShade="D9"/>
            </w:tcBorders>
            <w:shd w:val="clear" w:color="auto" w:fill="FBC5D6" w:themeFill="accent6" w:themeFillTint="33"/>
            <w:vAlign w:val="center"/>
          </w:tcPr>
          <w:p w14:paraId="616F58CE" w14:textId="0889750C" w:rsidR="00566DF3" w:rsidRPr="00422E00" w:rsidRDefault="00566DF3" w:rsidP="00566DF3">
            <w:pPr>
              <w:jc w:val="center"/>
              <w:rPr>
                <w:color w:val="1C1C1C"/>
                <w:sz w:val="15"/>
                <w:szCs w:val="15"/>
              </w:rPr>
            </w:pPr>
            <w:r w:rsidRPr="00422E00">
              <w:rPr>
                <w:color w:val="1C1C1C"/>
                <w:sz w:val="15"/>
                <w:szCs w:val="15"/>
              </w:rPr>
              <w:t>53,00</w:t>
            </w:r>
            <w:r w:rsidR="006D7262">
              <w:rPr>
                <w:color w:val="1C1C1C"/>
                <w:sz w:val="15"/>
                <w:szCs w:val="15"/>
              </w:rPr>
              <w:t>3</w:t>
            </w:r>
          </w:p>
        </w:tc>
        <w:tc>
          <w:tcPr>
            <w:tcW w:w="969"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07AECB81" w14:textId="7C19082C" w:rsidR="00566DF3" w:rsidRPr="00422E00" w:rsidRDefault="00566DF3" w:rsidP="00566DF3">
            <w:pPr>
              <w:jc w:val="center"/>
              <w:rPr>
                <w:color w:val="1C1C1C"/>
                <w:sz w:val="15"/>
                <w:szCs w:val="15"/>
              </w:rPr>
            </w:pPr>
            <w:r w:rsidRPr="000C0AA5">
              <w:rPr>
                <w:color w:val="1C1C1C"/>
                <w:sz w:val="15"/>
                <w:szCs w:val="15"/>
              </w:rPr>
              <w:t>6,326</w:t>
            </w:r>
          </w:p>
        </w:tc>
        <w:tc>
          <w:tcPr>
            <w:tcW w:w="969"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57C1C038" w14:textId="3BD02914" w:rsidR="00566DF3" w:rsidRPr="00422E00" w:rsidRDefault="00566DF3" w:rsidP="00566DF3">
            <w:pPr>
              <w:jc w:val="center"/>
              <w:rPr>
                <w:color w:val="1C1C1C"/>
                <w:sz w:val="15"/>
                <w:szCs w:val="15"/>
              </w:rPr>
            </w:pPr>
            <w:r w:rsidRPr="00422E00">
              <w:rPr>
                <w:b/>
                <w:color w:val="1C1C1C"/>
                <w:sz w:val="15"/>
                <w:szCs w:val="15"/>
              </w:rPr>
              <w:t>-</w:t>
            </w:r>
          </w:p>
        </w:tc>
        <w:tc>
          <w:tcPr>
            <w:tcW w:w="833" w:type="dxa"/>
            <w:tcBorders>
              <w:left w:val="single" w:sz="2" w:space="0" w:color="D9D9D9" w:themeColor="background2" w:themeShade="D9"/>
              <w:right w:val="single" w:sz="2" w:space="0" w:color="D9D9D9" w:themeColor="background2" w:themeShade="D9"/>
            </w:tcBorders>
            <w:shd w:val="clear" w:color="auto" w:fill="FBC5D6" w:themeFill="accent6" w:themeFillTint="33"/>
          </w:tcPr>
          <w:p w14:paraId="3EF81290" w14:textId="06CEF733" w:rsidR="00566DF3" w:rsidRPr="00422E00" w:rsidRDefault="00566DF3" w:rsidP="00566DF3">
            <w:pPr>
              <w:jc w:val="center"/>
              <w:rPr>
                <w:color w:val="1C1C1C"/>
                <w:sz w:val="15"/>
                <w:szCs w:val="15"/>
              </w:rPr>
            </w:pPr>
            <w:r w:rsidRPr="00422E00">
              <w:rPr>
                <w:b/>
                <w:color w:val="1C1C1C"/>
                <w:sz w:val="15"/>
                <w:szCs w:val="15"/>
              </w:rPr>
              <w:t>-</w:t>
            </w:r>
          </w:p>
        </w:tc>
        <w:tc>
          <w:tcPr>
            <w:tcW w:w="968" w:type="dxa"/>
            <w:tcBorders>
              <w:left w:val="single" w:sz="2" w:space="0" w:color="D9D9D9" w:themeColor="background2" w:themeShade="D9"/>
            </w:tcBorders>
            <w:shd w:val="clear" w:color="auto" w:fill="FBC5D6" w:themeFill="accent6" w:themeFillTint="33"/>
            <w:vAlign w:val="center"/>
          </w:tcPr>
          <w:p w14:paraId="4DECFF92" w14:textId="1C5BF1B4" w:rsidR="00566DF3" w:rsidRPr="00422E00" w:rsidRDefault="00566DF3" w:rsidP="00566DF3">
            <w:pPr>
              <w:jc w:val="center"/>
              <w:rPr>
                <w:color w:val="1C1C1C"/>
                <w:sz w:val="15"/>
                <w:szCs w:val="15"/>
              </w:rPr>
            </w:pPr>
            <w:r w:rsidRPr="000C0AA5">
              <w:rPr>
                <w:color w:val="1C1C1C"/>
                <w:sz w:val="15"/>
                <w:szCs w:val="15"/>
              </w:rPr>
              <w:t>817,6</w:t>
            </w:r>
            <w:r w:rsidR="006D7262">
              <w:rPr>
                <w:color w:val="1C1C1C"/>
                <w:sz w:val="15"/>
                <w:szCs w:val="15"/>
              </w:rPr>
              <w:t>57</w:t>
            </w:r>
          </w:p>
        </w:tc>
      </w:tr>
    </w:tbl>
    <w:p w14:paraId="201B2C95" w14:textId="3BF74294" w:rsidR="00A21378" w:rsidRDefault="00422E00" w:rsidP="00705609">
      <w:pPr>
        <w:pStyle w:val="Body"/>
      </w:pPr>
      <w:r>
        <w:br/>
      </w:r>
      <w:r w:rsidR="00566DF3" w:rsidRPr="00422E00">
        <w:t xml:space="preserve">The above disaggregated </w:t>
      </w:r>
      <w:r w:rsidR="00566DF3" w:rsidRPr="000A7390">
        <w:t>key management personnel</w:t>
      </w:r>
      <w:r w:rsidR="00566DF3" w:rsidRPr="00422E00">
        <w:t xml:space="preserve"> remuneration information is in accordance with the Public Governance, Performance and Accountability Rule 2014. Key management personnel are those persons having authority and responsibility for planning, directing and controlling the activities of the entity, directly or indirectly, including any Pricing Authority member. The entity has determined the key management personnel to be the Chief Executive Officer and the Pricing Authority members. The</w:t>
      </w:r>
      <w:r w:rsidR="00566DF3">
        <w:t> </w:t>
      </w:r>
      <w:r w:rsidR="00566DF3" w:rsidRPr="00422E00">
        <w:t>remuneration in the table above is based on the relevant remuneration tribunal determinations for holders of full-time and part-time public office.</w:t>
      </w:r>
    </w:p>
    <w:p w14:paraId="368D0A1C" w14:textId="77777777" w:rsidR="00A21378" w:rsidRDefault="00A21378" w:rsidP="00705609">
      <w:pPr>
        <w:pStyle w:val="Body"/>
        <w:sectPr w:rsidR="00A21378" w:rsidSect="00566DF3">
          <w:headerReference w:type="default" r:id="rId176"/>
          <w:footerReference w:type="default" r:id="rId177"/>
          <w:pgSz w:w="14175" w:h="9979" w:orient="landscape"/>
          <w:pgMar w:top="709" w:right="1134" w:bottom="1134" w:left="1134" w:header="709" w:footer="709" w:gutter="0"/>
          <w:cols w:space="708"/>
          <w:docGrid w:linePitch="360"/>
        </w:sectPr>
      </w:pPr>
    </w:p>
    <w:p w14:paraId="691DD6AD" w14:textId="77777777" w:rsidR="002C779C" w:rsidRPr="00153DC1" w:rsidRDefault="002C779C" w:rsidP="002C779C">
      <w:pPr>
        <w:pStyle w:val="H3"/>
        <w:rPr>
          <w:color w:val="C40B46" w:themeColor="accent6"/>
        </w:rPr>
      </w:pPr>
      <w:r w:rsidRPr="00153DC1">
        <w:rPr>
          <w:color w:val="C40B46" w:themeColor="accent6"/>
        </w:rPr>
        <w:lastRenderedPageBreak/>
        <w:t>Staff development</w:t>
      </w:r>
    </w:p>
    <w:p w14:paraId="38C1A9A1" w14:textId="7032B16D" w:rsidR="002C779C" w:rsidRPr="00DE23A4" w:rsidRDefault="002C779C" w:rsidP="002C779C">
      <w:pPr>
        <w:spacing w:before="240"/>
        <w:rPr>
          <w:color w:val="1C1C1C"/>
          <w:sz w:val="18"/>
          <w:szCs w:val="18"/>
        </w:rPr>
      </w:pPr>
      <w:r w:rsidRPr="00DE23A4">
        <w:rPr>
          <w:color w:val="1C1C1C"/>
          <w:sz w:val="18"/>
          <w:szCs w:val="18"/>
        </w:rPr>
        <w:t>IHPA cultivates, values and supports staff by developing their skills and capabilities to meet their</w:t>
      </w:r>
      <w:r w:rsidR="00AA5C38">
        <w:rPr>
          <w:color w:val="1C1C1C"/>
          <w:sz w:val="18"/>
          <w:szCs w:val="18"/>
        </w:rPr>
        <w:t> </w:t>
      </w:r>
      <w:r w:rsidRPr="00DE23A4">
        <w:rPr>
          <w:color w:val="1C1C1C"/>
          <w:sz w:val="18"/>
          <w:szCs w:val="18"/>
        </w:rPr>
        <w:t>work requirements, as well as to achieve their full</w:t>
      </w:r>
      <w:r w:rsidR="00AA5C38">
        <w:rPr>
          <w:color w:val="1C1C1C"/>
          <w:sz w:val="18"/>
          <w:szCs w:val="18"/>
        </w:rPr>
        <w:t> </w:t>
      </w:r>
      <w:r w:rsidRPr="00DE23A4">
        <w:rPr>
          <w:color w:val="1C1C1C"/>
          <w:sz w:val="18"/>
          <w:szCs w:val="18"/>
        </w:rPr>
        <w:t xml:space="preserve">potential. </w:t>
      </w:r>
      <w:r w:rsidR="00983715">
        <w:rPr>
          <w:color w:val="1C1C1C"/>
          <w:sz w:val="18"/>
          <w:szCs w:val="18"/>
        </w:rPr>
        <w:t xml:space="preserve">IHPA </w:t>
      </w:r>
      <w:r w:rsidRPr="00DE23A4">
        <w:rPr>
          <w:color w:val="1C1C1C"/>
          <w:sz w:val="18"/>
          <w:szCs w:val="18"/>
        </w:rPr>
        <w:t>promote</w:t>
      </w:r>
      <w:r w:rsidR="00983715">
        <w:rPr>
          <w:color w:val="1C1C1C"/>
          <w:sz w:val="18"/>
          <w:szCs w:val="18"/>
        </w:rPr>
        <w:t>s</w:t>
      </w:r>
      <w:r w:rsidRPr="00DE23A4">
        <w:rPr>
          <w:color w:val="1C1C1C"/>
          <w:sz w:val="18"/>
          <w:szCs w:val="18"/>
        </w:rPr>
        <w:t xml:space="preserve"> a culture where people work within and across teams to broaden their</w:t>
      </w:r>
      <w:r>
        <w:rPr>
          <w:color w:val="1C1C1C"/>
          <w:sz w:val="18"/>
          <w:szCs w:val="18"/>
        </w:rPr>
        <w:t> </w:t>
      </w:r>
      <w:r w:rsidRPr="00DE23A4">
        <w:rPr>
          <w:color w:val="1C1C1C"/>
          <w:sz w:val="18"/>
          <w:szCs w:val="18"/>
        </w:rPr>
        <w:t>expertise.</w:t>
      </w:r>
    </w:p>
    <w:p w14:paraId="789545D9" w14:textId="71D89007" w:rsidR="002C779C" w:rsidRPr="00DE23A4" w:rsidRDefault="002C779C" w:rsidP="002C779C">
      <w:pPr>
        <w:spacing w:before="240"/>
        <w:rPr>
          <w:color w:val="1C1C1C"/>
          <w:sz w:val="18"/>
          <w:szCs w:val="18"/>
        </w:rPr>
      </w:pPr>
      <w:r w:rsidRPr="00DE23A4">
        <w:rPr>
          <w:color w:val="1C1C1C"/>
          <w:sz w:val="18"/>
          <w:szCs w:val="18"/>
        </w:rPr>
        <w:t>Training was provided on a programmed basis to management and a needs basis to individual staff. Additionally, mid-level and senior management staff undertook a program of leadership capability</w:t>
      </w:r>
      <w:r w:rsidR="00BD5D9B">
        <w:rPr>
          <w:color w:val="1C1C1C"/>
          <w:sz w:val="18"/>
          <w:szCs w:val="18"/>
        </w:rPr>
        <w:t> </w:t>
      </w:r>
      <w:r w:rsidRPr="00DE23A4">
        <w:rPr>
          <w:color w:val="1C1C1C"/>
          <w:sz w:val="18"/>
          <w:szCs w:val="18"/>
        </w:rPr>
        <w:t>training. IHPA supported individuals to</w:t>
      </w:r>
      <w:r w:rsidR="00BD5D9B">
        <w:rPr>
          <w:color w:val="1C1C1C"/>
          <w:sz w:val="18"/>
          <w:szCs w:val="18"/>
        </w:rPr>
        <w:t> </w:t>
      </w:r>
      <w:r w:rsidRPr="00DE23A4">
        <w:rPr>
          <w:color w:val="1C1C1C"/>
          <w:sz w:val="18"/>
          <w:szCs w:val="18"/>
        </w:rPr>
        <w:t>attend conferences and training events that assisted them to acquire and develop skills used in their work. In</w:t>
      </w:r>
      <w:r w:rsidR="00D6469C">
        <w:rPr>
          <w:color w:val="1C1C1C"/>
          <w:sz w:val="18"/>
          <w:szCs w:val="18"/>
        </w:rPr>
        <w:t> </w:t>
      </w:r>
      <w:r w:rsidRPr="00DE23A4">
        <w:rPr>
          <w:color w:val="1C1C1C"/>
          <w:sz w:val="18"/>
          <w:szCs w:val="18"/>
        </w:rPr>
        <w:t>2020–21, IHPA’s training investment averaged $2,762 per</w:t>
      </w:r>
      <w:r>
        <w:rPr>
          <w:color w:val="1C1C1C"/>
          <w:sz w:val="18"/>
          <w:szCs w:val="18"/>
        </w:rPr>
        <w:t> </w:t>
      </w:r>
      <w:r w:rsidRPr="00DE23A4">
        <w:rPr>
          <w:color w:val="1C1C1C"/>
          <w:sz w:val="18"/>
          <w:szCs w:val="18"/>
        </w:rPr>
        <w:t>staff member.</w:t>
      </w:r>
    </w:p>
    <w:p w14:paraId="5496C741" w14:textId="592E3C2C" w:rsidR="002C779C" w:rsidRPr="00153DC1" w:rsidRDefault="00BE4CFB" w:rsidP="002C779C">
      <w:pPr>
        <w:pStyle w:val="H3"/>
        <w:rPr>
          <w:color w:val="C40B46" w:themeColor="accent6"/>
        </w:rPr>
      </w:pPr>
      <w:r>
        <w:rPr>
          <w:noProof/>
          <w:lang w:val="en-AU" w:eastAsia="en-AU"/>
        </w:rPr>
        <w:drawing>
          <wp:anchor distT="0" distB="0" distL="114300" distR="114300" simplePos="0" relativeHeight="251860992" behindDoc="1" locked="0" layoutInCell="1" allowOverlap="1" wp14:anchorId="68EA0FE1" wp14:editId="74BC1741">
            <wp:simplePos x="0" y="0"/>
            <wp:positionH relativeFrom="margin">
              <wp:posOffset>-409575</wp:posOffset>
            </wp:positionH>
            <wp:positionV relativeFrom="paragraph">
              <wp:posOffset>439387</wp:posOffset>
            </wp:positionV>
            <wp:extent cx="5706527" cy="18510885"/>
            <wp:effectExtent l="0" t="0" r="8890" b="5715"/>
            <wp:wrapNone/>
            <wp:docPr id="173" name="Picture 1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a:extLst>
                        <a:ext uri="{C183D7F6-B498-43B3-948B-1728B52AA6E4}">
                          <adec:decorative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706527" cy="1851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23A4" w:rsidRPr="00DE23A4">
        <w:rPr>
          <w:color w:val="F47920" w:themeColor="accent4"/>
        </w:rPr>
        <w:br w:type="column"/>
      </w:r>
      <w:bookmarkStart w:id="141" w:name="TheAccountableAuthority"/>
      <w:r w:rsidR="002C779C" w:rsidRPr="00153DC1">
        <w:rPr>
          <w:color w:val="C40B46" w:themeColor="accent6"/>
        </w:rPr>
        <w:t>The accountable authority</w:t>
      </w:r>
      <w:bookmarkEnd w:id="141"/>
    </w:p>
    <w:p w14:paraId="3766E54D" w14:textId="77777777" w:rsidR="002C779C" w:rsidRPr="00DE23A4" w:rsidRDefault="002C779C" w:rsidP="002C779C">
      <w:pPr>
        <w:spacing w:before="240"/>
        <w:rPr>
          <w:color w:val="1C1C1C"/>
          <w:sz w:val="18"/>
          <w:szCs w:val="18"/>
        </w:rPr>
      </w:pPr>
      <w:r w:rsidRPr="00DE23A4">
        <w:rPr>
          <w:color w:val="1C1C1C"/>
          <w:sz w:val="18"/>
          <w:szCs w:val="18"/>
        </w:rPr>
        <w:t xml:space="preserve">Under the </w:t>
      </w:r>
      <w:r w:rsidRPr="00DE23A4">
        <w:rPr>
          <w:i/>
          <w:iCs/>
          <w:color w:val="1C1C1C"/>
          <w:sz w:val="18"/>
          <w:szCs w:val="18"/>
        </w:rPr>
        <w:t>National Health Reform Act 2011</w:t>
      </w:r>
      <w:r w:rsidRPr="00DE23A4">
        <w:rPr>
          <w:color w:val="1C1C1C"/>
          <w:sz w:val="18"/>
          <w:szCs w:val="18"/>
        </w:rPr>
        <w:t>, the</w:t>
      </w:r>
      <w:r>
        <w:rPr>
          <w:color w:val="1C1C1C"/>
          <w:sz w:val="18"/>
          <w:szCs w:val="18"/>
        </w:rPr>
        <w:t> </w:t>
      </w:r>
      <w:r w:rsidRPr="00DE23A4">
        <w:rPr>
          <w:color w:val="1C1C1C"/>
          <w:sz w:val="18"/>
          <w:szCs w:val="18"/>
        </w:rPr>
        <w:t>Chief Executive Officer is the accountable authority.</w:t>
      </w:r>
    </w:p>
    <w:p w14:paraId="017788E7" w14:textId="77777777" w:rsidR="002C779C" w:rsidRDefault="002C779C" w:rsidP="002C779C">
      <w:pPr>
        <w:spacing w:before="240"/>
        <w:rPr>
          <w:color w:val="1C1C1C"/>
          <w:sz w:val="18"/>
          <w:szCs w:val="18"/>
        </w:rPr>
      </w:pPr>
      <w:r w:rsidRPr="00DE23A4">
        <w:rPr>
          <w:color w:val="1C1C1C"/>
          <w:sz w:val="18"/>
          <w:szCs w:val="18"/>
        </w:rPr>
        <w:t>The Chief Executive Officer is responsible for the effective delivery of IHPA’s work program and supports the Pricing Authority to fulfil its functions.</w:t>
      </w:r>
    </w:p>
    <w:p w14:paraId="61A9D971" w14:textId="7AFBDD6A" w:rsidR="00E114A4" w:rsidRPr="00DE23A4" w:rsidRDefault="00E114A4" w:rsidP="00DE23A4">
      <w:pPr>
        <w:spacing w:before="240"/>
        <w:rPr>
          <w:color w:val="1C1C1C"/>
          <w:sz w:val="18"/>
          <w:szCs w:val="18"/>
        </w:rPr>
        <w:sectPr w:rsidR="00E114A4" w:rsidRPr="00DE23A4" w:rsidSect="00441579">
          <w:headerReference w:type="even" r:id="rId178"/>
          <w:footerReference w:type="even" r:id="rId179"/>
          <w:footerReference w:type="default" r:id="rId180"/>
          <w:footnotePr>
            <w:pos w:val="beneathText"/>
          </w:footnotePr>
          <w:pgSz w:w="9979" w:h="14175" w:code="13"/>
          <w:pgMar w:top="1134" w:right="1134" w:bottom="1134" w:left="1134" w:header="709" w:footer="709" w:gutter="0"/>
          <w:cols w:num="2" w:space="623"/>
          <w:docGrid w:linePitch="360"/>
        </w:sectPr>
      </w:pPr>
    </w:p>
    <w:p w14:paraId="66883A19" w14:textId="03C2DF8F" w:rsidR="00DE23A4" w:rsidRPr="00DE23A4" w:rsidRDefault="00DE23A4" w:rsidP="00153DC1">
      <w:pPr>
        <w:pStyle w:val="FigureHeading"/>
      </w:pPr>
      <w:bookmarkStart w:id="142" w:name="_Toc82510956"/>
      <w:r w:rsidRPr="00DE23A4">
        <w:lastRenderedPageBreak/>
        <w:t>Table 1</w:t>
      </w:r>
      <w:r w:rsidR="00D362E1">
        <w:t>5</w:t>
      </w:r>
      <w:r w:rsidRPr="00DE23A4">
        <w:t>: Details of accountable authority during the reporting period current report period (2020–21)</w:t>
      </w:r>
      <w:bookmarkEnd w:id="142"/>
    </w:p>
    <w:tbl>
      <w:tblPr>
        <w:tblStyle w:val="IHPATable"/>
        <w:tblW w:w="7653" w:type="dxa"/>
        <w:tblLayout w:type="fixed"/>
        <w:tblLook w:val="0020" w:firstRow="1" w:lastRow="0" w:firstColumn="0" w:lastColumn="0" w:noHBand="0" w:noVBand="0"/>
        <w:tblCaption w:val="Table 15"/>
        <w:tblDescription w:val="Details of accountable authority during the reporting period current report period (2020-21)"/>
      </w:tblPr>
      <w:tblGrid>
        <w:gridCol w:w="737"/>
        <w:gridCol w:w="1134"/>
        <w:gridCol w:w="1539"/>
        <w:gridCol w:w="993"/>
        <w:gridCol w:w="1275"/>
        <w:gridCol w:w="851"/>
        <w:gridCol w:w="1124"/>
      </w:tblGrid>
      <w:tr w:rsidR="00DE23A4" w:rsidRPr="00DE23A4" w14:paraId="7699431C" w14:textId="77777777" w:rsidTr="00E54B9D">
        <w:trPr>
          <w:cnfStyle w:val="100000000000" w:firstRow="1" w:lastRow="0" w:firstColumn="0" w:lastColumn="0" w:oddVBand="0" w:evenVBand="0" w:oddHBand="0" w:evenHBand="0" w:firstRowFirstColumn="0" w:firstRowLastColumn="0" w:lastRowFirstColumn="0" w:lastRowLastColumn="0"/>
          <w:trHeight w:val="20"/>
        </w:trPr>
        <w:tc>
          <w:tcPr>
            <w:tcW w:w="737" w:type="dxa"/>
            <w:tcBorders>
              <w:bottom w:val="single" w:sz="4" w:space="0" w:color="D9D9D9" w:themeColor="background2" w:themeShade="D9"/>
              <w:right w:val="single" w:sz="4" w:space="0" w:color="D9D9D9" w:themeColor="background2" w:themeShade="D9"/>
            </w:tcBorders>
            <w:shd w:val="clear" w:color="auto" w:fill="C40B46" w:themeFill="accent6"/>
          </w:tcPr>
          <w:p w14:paraId="1329CF44" w14:textId="77777777" w:rsidR="00DE23A4" w:rsidRPr="00DE23A4" w:rsidRDefault="00DE23A4" w:rsidP="00E54B9D">
            <w:pPr>
              <w:spacing w:before="120" w:after="120"/>
              <w:rPr>
                <w:rFonts w:ascii="Futura PT Book" w:hAnsi="Futura PT Book" w:cs="Futura PT Book"/>
                <w:b/>
                <w:bCs/>
                <w:sz w:val="16"/>
                <w:szCs w:val="16"/>
                <w:lang w:val="en-US"/>
              </w:rPr>
            </w:pPr>
          </w:p>
        </w:tc>
        <w:tc>
          <w:tcPr>
            <w:tcW w:w="1134" w:type="dxa"/>
            <w:tcBorders>
              <w:left w:val="single" w:sz="4" w:space="0" w:color="D9D9D9" w:themeColor="background2" w:themeShade="D9"/>
            </w:tcBorders>
            <w:shd w:val="clear" w:color="auto" w:fill="C40B46" w:themeFill="accent6"/>
          </w:tcPr>
          <w:p w14:paraId="460112AF" w14:textId="77777777" w:rsidR="00DE23A4" w:rsidRPr="00DE23A4" w:rsidRDefault="00DE23A4" w:rsidP="00E54B9D">
            <w:pPr>
              <w:spacing w:before="120" w:after="120"/>
              <w:rPr>
                <w:rFonts w:ascii="Futura PT Book" w:hAnsi="Futura PT Book" w:cs="Futura PT Book"/>
                <w:b/>
                <w:bCs/>
                <w:sz w:val="16"/>
                <w:szCs w:val="16"/>
                <w:lang w:val="en-US"/>
              </w:rPr>
            </w:pPr>
          </w:p>
        </w:tc>
        <w:tc>
          <w:tcPr>
            <w:tcW w:w="1539" w:type="dxa"/>
            <w:shd w:val="clear" w:color="auto" w:fill="C40B46" w:themeFill="accent6"/>
          </w:tcPr>
          <w:p w14:paraId="32369925" w14:textId="77777777" w:rsidR="00DE23A4" w:rsidRPr="00DE23A4" w:rsidRDefault="00DE23A4" w:rsidP="00E54B9D">
            <w:pPr>
              <w:spacing w:before="120" w:after="120"/>
              <w:rPr>
                <w:rFonts w:ascii="Futura PT Book" w:hAnsi="Futura PT Book" w:cs="Futura PT Book"/>
                <w:b/>
                <w:bCs/>
                <w:sz w:val="16"/>
                <w:szCs w:val="16"/>
                <w:lang w:val="en-US"/>
              </w:rPr>
            </w:pPr>
          </w:p>
        </w:tc>
        <w:tc>
          <w:tcPr>
            <w:tcW w:w="993" w:type="dxa"/>
            <w:tcBorders>
              <w:bottom w:val="single" w:sz="4" w:space="0" w:color="D9D9D9" w:themeColor="background2" w:themeShade="D9"/>
              <w:right w:val="single" w:sz="4" w:space="0" w:color="D9D9D9" w:themeColor="background2" w:themeShade="D9"/>
            </w:tcBorders>
            <w:shd w:val="clear" w:color="auto" w:fill="C40B46" w:themeFill="accent6"/>
          </w:tcPr>
          <w:p w14:paraId="739DE48C" w14:textId="77777777" w:rsidR="00DE23A4" w:rsidRPr="00DE23A4" w:rsidRDefault="00DE23A4" w:rsidP="00E54B9D">
            <w:pPr>
              <w:spacing w:before="120" w:after="120"/>
              <w:rPr>
                <w:rFonts w:ascii="Futura PT Book" w:hAnsi="Futura PT Book" w:cs="Futura PT Book"/>
                <w:b/>
                <w:bCs/>
                <w:sz w:val="16"/>
                <w:szCs w:val="16"/>
                <w:lang w:val="en-US"/>
              </w:rPr>
            </w:pPr>
          </w:p>
        </w:tc>
        <w:tc>
          <w:tcPr>
            <w:tcW w:w="3250" w:type="dxa"/>
            <w:gridSpan w:val="3"/>
            <w:tcBorders>
              <w:left w:val="single" w:sz="4" w:space="0" w:color="D9D9D9" w:themeColor="background2" w:themeShade="D9"/>
            </w:tcBorders>
            <w:shd w:val="clear" w:color="auto" w:fill="C40B46" w:themeFill="accent6"/>
          </w:tcPr>
          <w:p w14:paraId="0B55D356" w14:textId="77777777" w:rsidR="00DE23A4" w:rsidRPr="00DE23A4" w:rsidRDefault="00DE23A4" w:rsidP="00E54B9D">
            <w:pPr>
              <w:spacing w:before="120" w:after="120"/>
              <w:jc w:val="center"/>
              <w:rPr>
                <w:b/>
                <w:bCs/>
                <w:sz w:val="16"/>
                <w:szCs w:val="16"/>
                <w:lang w:val="en-US"/>
              </w:rPr>
            </w:pPr>
            <w:r w:rsidRPr="00DE23A4">
              <w:rPr>
                <w:b/>
                <w:bCs/>
                <w:sz w:val="16"/>
                <w:szCs w:val="16"/>
                <w:lang w:val="en-US"/>
              </w:rPr>
              <w:t>Period as the accountable authority or member</w:t>
            </w:r>
          </w:p>
        </w:tc>
      </w:tr>
      <w:tr w:rsidR="00DE23A4" w:rsidRPr="00DE23A4" w14:paraId="238453C0" w14:textId="77777777" w:rsidTr="00E54B9D">
        <w:trPr>
          <w:cnfStyle w:val="000000100000" w:firstRow="0" w:lastRow="0" w:firstColumn="0" w:lastColumn="0" w:oddVBand="0" w:evenVBand="0" w:oddHBand="1" w:evenHBand="0" w:firstRowFirstColumn="0" w:firstRowLastColumn="0" w:lastRowFirstColumn="0" w:lastRowLastColumn="0"/>
          <w:trHeight w:val="20"/>
        </w:trPr>
        <w:tc>
          <w:tcPr>
            <w:tcW w:w="737" w:type="dxa"/>
            <w:tcBorders>
              <w:right w:val="single" w:sz="4" w:space="0" w:color="D9D9D9" w:themeColor="background2" w:themeShade="D9"/>
            </w:tcBorders>
            <w:shd w:val="clear" w:color="auto" w:fill="F2F2F2" w:themeFill="background2" w:themeFillShade="F2"/>
          </w:tcPr>
          <w:p w14:paraId="70B08434" w14:textId="77777777" w:rsidR="00DE23A4" w:rsidRPr="00DE23A4" w:rsidRDefault="00DE23A4" w:rsidP="00E54B9D">
            <w:pPr>
              <w:spacing w:before="120" w:after="120"/>
              <w:rPr>
                <w:b/>
                <w:bCs/>
                <w:color w:val="1C1C1C"/>
                <w:sz w:val="16"/>
                <w:szCs w:val="16"/>
              </w:rPr>
            </w:pPr>
            <w:r w:rsidRPr="00DE23A4">
              <w:rPr>
                <w:b/>
                <w:bCs/>
                <w:color w:val="1C1C1C"/>
                <w:sz w:val="16"/>
                <w:szCs w:val="16"/>
              </w:rPr>
              <w:t>Name</w:t>
            </w:r>
          </w:p>
        </w:tc>
        <w:tc>
          <w:tcPr>
            <w:tcW w:w="1134" w:type="dxa"/>
            <w:tcBorders>
              <w:left w:val="single" w:sz="4" w:space="0" w:color="D9D9D9" w:themeColor="background2" w:themeShade="D9"/>
            </w:tcBorders>
            <w:shd w:val="clear" w:color="auto" w:fill="F2F2F2" w:themeFill="background2" w:themeFillShade="F2"/>
          </w:tcPr>
          <w:p w14:paraId="3ECCA29F" w14:textId="50C9A4FC" w:rsidR="00DE23A4" w:rsidRPr="00DE23A4" w:rsidRDefault="00DE23A4" w:rsidP="00E54B9D">
            <w:pPr>
              <w:spacing w:before="120" w:after="120"/>
              <w:rPr>
                <w:b/>
                <w:bCs/>
                <w:color w:val="1C1C1C"/>
                <w:sz w:val="16"/>
                <w:szCs w:val="16"/>
              </w:rPr>
            </w:pPr>
            <w:r w:rsidRPr="00DE23A4">
              <w:rPr>
                <w:b/>
                <w:bCs/>
                <w:color w:val="1C1C1C"/>
                <w:sz w:val="16"/>
                <w:szCs w:val="16"/>
              </w:rPr>
              <w:t xml:space="preserve">Qualifications of the </w:t>
            </w:r>
            <w:r w:rsidR="004D1057">
              <w:rPr>
                <w:b/>
                <w:bCs/>
                <w:color w:val="1C1C1C"/>
                <w:sz w:val="16"/>
                <w:szCs w:val="16"/>
              </w:rPr>
              <w:t>a</w:t>
            </w:r>
            <w:r w:rsidRPr="00DE23A4">
              <w:rPr>
                <w:b/>
                <w:bCs/>
                <w:color w:val="1C1C1C"/>
                <w:sz w:val="16"/>
                <w:szCs w:val="16"/>
              </w:rPr>
              <w:t xml:space="preserve">ccountable </w:t>
            </w:r>
            <w:r w:rsidR="004D1057">
              <w:rPr>
                <w:b/>
                <w:bCs/>
                <w:color w:val="1C1C1C"/>
                <w:sz w:val="16"/>
                <w:szCs w:val="16"/>
              </w:rPr>
              <w:t>a</w:t>
            </w:r>
            <w:r w:rsidRPr="00DE23A4">
              <w:rPr>
                <w:b/>
                <w:bCs/>
                <w:color w:val="1C1C1C"/>
                <w:sz w:val="16"/>
                <w:szCs w:val="16"/>
              </w:rPr>
              <w:t>uthority</w:t>
            </w:r>
          </w:p>
        </w:tc>
        <w:tc>
          <w:tcPr>
            <w:tcW w:w="1539" w:type="dxa"/>
            <w:shd w:val="clear" w:color="auto" w:fill="F2F2F2" w:themeFill="background2" w:themeFillShade="F2"/>
          </w:tcPr>
          <w:p w14:paraId="4B877E9C" w14:textId="269D26E0" w:rsidR="00DE23A4" w:rsidRPr="00DE23A4" w:rsidRDefault="00DE23A4" w:rsidP="00E54B9D">
            <w:pPr>
              <w:spacing w:before="120" w:after="120"/>
              <w:rPr>
                <w:b/>
                <w:bCs/>
                <w:color w:val="1C1C1C"/>
                <w:sz w:val="16"/>
                <w:szCs w:val="16"/>
              </w:rPr>
            </w:pPr>
            <w:r w:rsidRPr="00DE23A4">
              <w:rPr>
                <w:b/>
                <w:bCs/>
                <w:color w:val="1C1C1C"/>
                <w:sz w:val="16"/>
                <w:szCs w:val="16"/>
              </w:rPr>
              <w:t xml:space="preserve">Experience of the </w:t>
            </w:r>
            <w:r w:rsidR="004D1057">
              <w:rPr>
                <w:b/>
                <w:bCs/>
                <w:color w:val="1C1C1C"/>
                <w:sz w:val="16"/>
                <w:szCs w:val="16"/>
              </w:rPr>
              <w:t>a</w:t>
            </w:r>
            <w:r w:rsidRPr="00DE23A4">
              <w:rPr>
                <w:b/>
                <w:bCs/>
                <w:color w:val="1C1C1C"/>
                <w:sz w:val="16"/>
                <w:szCs w:val="16"/>
              </w:rPr>
              <w:t xml:space="preserve">ccountable </w:t>
            </w:r>
            <w:r w:rsidR="004D1057">
              <w:rPr>
                <w:b/>
                <w:bCs/>
                <w:color w:val="1C1C1C"/>
                <w:sz w:val="16"/>
                <w:szCs w:val="16"/>
              </w:rPr>
              <w:t>a</w:t>
            </w:r>
            <w:r w:rsidRPr="00DE23A4">
              <w:rPr>
                <w:b/>
                <w:bCs/>
                <w:color w:val="1C1C1C"/>
                <w:sz w:val="16"/>
                <w:szCs w:val="16"/>
              </w:rPr>
              <w:t>uthority</w:t>
            </w:r>
          </w:p>
        </w:tc>
        <w:tc>
          <w:tcPr>
            <w:tcW w:w="993" w:type="dxa"/>
            <w:tcBorders>
              <w:right w:val="single" w:sz="4" w:space="0" w:color="D9D9D9" w:themeColor="background2" w:themeShade="D9"/>
            </w:tcBorders>
            <w:shd w:val="clear" w:color="auto" w:fill="F2F2F2" w:themeFill="background2" w:themeFillShade="F2"/>
          </w:tcPr>
          <w:p w14:paraId="28110023" w14:textId="75E91805" w:rsidR="00DE23A4" w:rsidRPr="00DE23A4" w:rsidRDefault="00DE23A4" w:rsidP="00E54B9D">
            <w:pPr>
              <w:spacing w:before="120" w:after="120"/>
              <w:rPr>
                <w:b/>
                <w:bCs/>
                <w:color w:val="1C1C1C"/>
                <w:sz w:val="16"/>
                <w:szCs w:val="16"/>
              </w:rPr>
            </w:pPr>
            <w:r w:rsidRPr="00DE23A4">
              <w:rPr>
                <w:b/>
                <w:bCs/>
                <w:color w:val="1C1C1C"/>
                <w:sz w:val="16"/>
                <w:szCs w:val="16"/>
              </w:rPr>
              <w:t xml:space="preserve">Position </w:t>
            </w:r>
            <w:r w:rsidR="004D1057">
              <w:rPr>
                <w:b/>
                <w:bCs/>
                <w:color w:val="1C1C1C"/>
                <w:sz w:val="16"/>
                <w:szCs w:val="16"/>
              </w:rPr>
              <w:t>t</w:t>
            </w:r>
            <w:r w:rsidRPr="00DE23A4">
              <w:rPr>
                <w:b/>
                <w:bCs/>
                <w:color w:val="1C1C1C"/>
                <w:sz w:val="16"/>
                <w:szCs w:val="16"/>
              </w:rPr>
              <w:t xml:space="preserve">itle </w:t>
            </w:r>
          </w:p>
          <w:p w14:paraId="2F3F13E9" w14:textId="77777777" w:rsidR="00DE23A4" w:rsidRPr="00DE23A4" w:rsidRDefault="00DE23A4" w:rsidP="00E54B9D">
            <w:pPr>
              <w:spacing w:before="120" w:after="120"/>
              <w:rPr>
                <w:b/>
                <w:bCs/>
                <w:color w:val="1C1C1C"/>
                <w:sz w:val="16"/>
                <w:szCs w:val="16"/>
              </w:rPr>
            </w:pPr>
          </w:p>
        </w:tc>
        <w:tc>
          <w:tcPr>
            <w:tcW w:w="1275" w:type="dxa"/>
            <w:tcBorders>
              <w:left w:val="single" w:sz="4" w:space="0" w:color="D9D9D9" w:themeColor="background2" w:themeShade="D9"/>
            </w:tcBorders>
            <w:shd w:val="clear" w:color="auto" w:fill="F2F2F2" w:themeFill="background2" w:themeFillShade="F2"/>
          </w:tcPr>
          <w:p w14:paraId="21EB9947" w14:textId="0A4B5DF3" w:rsidR="00DE23A4" w:rsidRPr="00DE23A4" w:rsidRDefault="00DE23A4" w:rsidP="00E54B9D">
            <w:pPr>
              <w:spacing w:before="120" w:after="120"/>
              <w:rPr>
                <w:b/>
                <w:bCs/>
                <w:color w:val="1C1C1C"/>
                <w:sz w:val="16"/>
                <w:szCs w:val="16"/>
              </w:rPr>
            </w:pPr>
            <w:r w:rsidRPr="00DE23A4">
              <w:rPr>
                <w:b/>
                <w:bCs/>
                <w:color w:val="1C1C1C"/>
                <w:sz w:val="16"/>
                <w:szCs w:val="16"/>
              </w:rPr>
              <w:t xml:space="preserve">Date of </w:t>
            </w:r>
            <w:r w:rsidR="004D1057">
              <w:rPr>
                <w:b/>
                <w:bCs/>
                <w:color w:val="1C1C1C"/>
                <w:sz w:val="16"/>
                <w:szCs w:val="16"/>
              </w:rPr>
              <w:t>c</w:t>
            </w:r>
            <w:r w:rsidRPr="00DE23A4">
              <w:rPr>
                <w:b/>
                <w:bCs/>
                <w:color w:val="1C1C1C"/>
                <w:sz w:val="16"/>
                <w:szCs w:val="16"/>
              </w:rPr>
              <w:t>ommencement</w:t>
            </w:r>
          </w:p>
        </w:tc>
        <w:tc>
          <w:tcPr>
            <w:tcW w:w="851" w:type="dxa"/>
            <w:shd w:val="clear" w:color="auto" w:fill="F2F2F2" w:themeFill="background2" w:themeFillShade="F2"/>
          </w:tcPr>
          <w:p w14:paraId="66640525" w14:textId="77777777" w:rsidR="00DE23A4" w:rsidRPr="00DE23A4" w:rsidRDefault="00DE23A4" w:rsidP="00E54B9D">
            <w:pPr>
              <w:spacing w:before="120" w:after="120"/>
              <w:rPr>
                <w:b/>
                <w:bCs/>
                <w:color w:val="1C1C1C"/>
                <w:sz w:val="16"/>
                <w:szCs w:val="16"/>
              </w:rPr>
            </w:pPr>
            <w:r w:rsidRPr="00DE23A4">
              <w:rPr>
                <w:b/>
                <w:bCs/>
                <w:color w:val="1C1C1C"/>
                <w:sz w:val="16"/>
                <w:szCs w:val="16"/>
              </w:rPr>
              <w:t>Date of cessation</w:t>
            </w:r>
          </w:p>
        </w:tc>
        <w:tc>
          <w:tcPr>
            <w:tcW w:w="1124" w:type="dxa"/>
            <w:shd w:val="clear" w:color="auto" w:fill="F2F2F2" w:themeFill="background2" w:themeFillShade="F2"/>
          </w:tcPr>
          <w:p w14:paraId="262639CE" w14:textId="77777777" w:rsidR="00DE23A4" w:rsidRPr="00DE23A4" w:rsidRDefault="00DE23A4" w:rsidP="00E54B9D">
            <w:pPr>
              <w:spacing w:before="120" w:after="120"/>
              <w:rPr>
                <w:b/>
                <w:bCs/>
                <w:color w:val="1C1C1C"/>
                <w:sz w:val="16"/>
                <w:szCs w:val="16"/>
              </w:rPr>
            </w:pPr>
            <w:r w:rsidRPr="00DE23A4">
              <w:rPr>
                <w:b/>
                <w:bCs/>
                <w:color w:val="1C1C1C"/>
                <w:sz w:val="16"/>
                <w:szCs w:val="16"/>
              </w:rPr>
              <w:t>Number of meetings of the board of the company</w:t>
            </w:r>
          </w:p>
        </w:tc>
      </w:tr>
      <w:tr w:rsidR="002C779C" w:rsidRPr="00DE23A4" w14:paraId="2D033DA8" w14:textId="77777777" w:rsidTr="00E54B9D">
        <w:trPr>
          <w:cnfStyle w:val="000000010000" w:firstRow="0" w:lastRow="0" w:firstColumn="0" w:lastColumn="0" w:oddVBand="0" w:evenVBand="0" w:oddHBand="0" w:evenHBand="1" w:firstRowFirstColumn="0" w:firstRowLastColumn="0" w:lastRowFirstColumn="0" w:lastRowLastColumn="0"/>
          <w:trHeight w:val="6071"/>
        </w:trPr>
        <w:tc>
          <w:tcPr>
            <w:tcW w:w="737" w:type="dxa"/>
            <w:tcBorders>
              <w:bottom w:val="single" w:sz="4" w:space="0" w:color="D9D9D9" w:themeColor="background2" w:themeShade="D9"/>
              <w:right w:val="single" w:sz="4" w:space="0" w:color="D9D9D9" w:themeColor="background2" w:themeShade="D9"/>
            </w:tcBorders>
          </w:tcPr>
          <w:p w14:paraId="268DC445" w14:textId="26157E2F" w:rsidR="002C779C" w:rsidRPr="00DE23A4" w:rsidRDefault="00F71418" w:rsidP="00E54B9D">
            <w:pPr>
              <w:spacing w:before="120" w:after="120"/>
              <w:rPr>
                <w:b/>
                <w:bCs/>
                <w:color w:val="1C1C1C"/>
                <w:sz w:val="16"/>
                <w:szCs w:val="16"/>
              </w:rPr>
            </w:pPr>
            <w:proofErr w:type="spellStart"/>
            <w:r>
              <w:rPr>
                <w:b/>
                <w:bCs/>
                <w:color w:val="1C1C1C"/>
                <w:sz w:val="16"/>
                <w:szCs w:val="16"/>
              </w:rPr>
              <w:t>Mr</w:t>
            </w:r>
            <w:proofErr w:type="spellEnd"/>
            <w:r>
              <w:rPr>
                <w:b/>
                <w:bCs/>
                <w:color w:val="1C1C1C"/>
                <w:sz w:val="16"/>
                <w:szCs w:val="16"/>
              </w:rPr>
              <w:t xml:space="preserve"> </w:t>
            </w:r>
            <w:r w:rsidR="002C779C" w:rsidRPr="00DE23A4">
              <w:rPr>
                <w:b/>
                <w:bCs/>
                <w:color w:val="1C1C1C"/>
                <w:sz w:val="16"/>
                <w:szCs w:val="16"/>
              </w:rPr>
              <w:t xml:space="preserve">James </w:t>
            </w:r>
            <w:proofErr w:type="spellStart"/>
            <w:r w:rsidR="002C779C" w:rsidRPr="00DE23A4">
              <w:rPr>
                <w:b/>
                <w:bCs/>
                <w:color w:val="1C1C1C"/>
                <w:sz w:val="16"/>
                <w:szCs w:val="16"/>
              </w:rPr>
              <w:t>Downie</w:t>
            </w:r>
            <w:proofErr w:type="spellEnd"/>
          </w:p>
        </w:tc>
        <w:tc>
          <w:tcPr>
            <w:tcW w:w="1134" w:type="dxa"/>
            <w:tcBorders>
              <w:left w:val="single" w:sz="4" w:space="0" w:color="D9D9D9" w:themeColor="background2" w:themeShade="D9"/>
              <w:bottom w:val="single" w:sz="4" w:space="0" w:color="D9D9D9" w:themeColor="background2" w:themeShade="D9"/>
            </w:tcBorders>
          </w:tcPr>
          <w:p w14:paraId="27AF448A" w14:textId="2E57CA02" w:rsidR="002C779C" w:rsidRPr="00DE23A4" w:rsidRDefault="002C779C" w:rsidP="00E54B9D">
            <w:pPr>
              <w:spacing w:before="120" w:after="120"/>
              <w:rPr>
                <w:color w:val="1C1C1C"/>
                <w:sz w:val="16"/>
                <w:szCs w:val="16"/>
              </w:rPr>
            </w:pPr>
            <w:r w:rsidRPr="00DE23A4">
              <w:rPr>
                <w:color w:val="1C1C1C"/>
                <w:sz w:val="16"/>
                <w:szCs w:val="16"/>
              </w:rPr>
              <w:t>Masters of Business Administration; Bachelor of Engineering, Metallurgical Engineering</w:t>
            </w:r>
          </w:p>
        </w:tc>
        <w:tc>
          <w:tcPr>
            <w:tcW w:w="1539" w:type="dxa"/>
            <w:tcBorders>
              <w:bottom w:val="single" w:sz="4" w:space="0" w:color="D9D9D9" w:themeColor="background2" w:themeShade="D9"/>
            </w:tcBorders>
          </w:tcPr>
          <w:p w14:paraId="4ABF9E4E" w14:textId="14310ACC" w:rsidR="002C779C" w:rsidRPr="00DE23A4" w:rsidRDefault="00C022DE" w:rsidP="00E54B9D">
            <w:pPr>
              <w:spacing w:before="120" w:after="120"/>
              <w:rPr>
                <w:color w:val="1C1C1C"/>
                <w:sz w:val="16"/>
                <w:szCs w:val="16"/>
              </w:rPr>
            </w:pPr>
            <w:proofErr w:type="spellStart"/>
            <w:r>
              <w:rPr>
                <w:color w:val="1C1C1C"/>
                <w:sz w:val="16"/>
                <w:szCs w:val="16"/>
              </w:rPr>
              <w:t>Mr</w:t>
            </w:r>
            <w:proofErr w:type="spellEnd"/>
            <w:r>
              <w:rPr>
                <w:color w:val="1C1C1C"/>
                <w:sz w:val="16"/>
                <w:szCs w:val="16"/>
              </w:rPr>
              <w:t xml:space="preserve"> </w:t>
            </w:r>
            <w:r w:rsidR="002C779C" w:rsidRPr="00DE23A4">
              <w:rPr>
                <w:color w:val="1C1C1C"/>
                <w:sz w:val="16"/>
                <w:szCs w:val="16"/>
              </w:rPr>
              <w:t xml:space="preserve">James </w:t>
            </w:r>
            <w:proofErr w:type="spellStart"/>
            <w:r w:rsidR="002C779C" w:rsidRPr="00DE23A4">
              <w:rPr>
                <w:color w:val="1C1C1C"/>
                <w:sz w:val="16"/>
                <w:szCs w:val="16"/>
              </w:rPr>
              <w:t>Downie</w:t>
            </w:r>
            <w:proofErr w:type="spellEnd"/>
            <w:r w:rsidR="002C779C" w:rsidRPr="00DE23A4">
              <w:rPr>
                <w:color w:val="1C1C1C"/>
                <w:sz w:val="16"/>
                <w:szCs w:val="16"/>
              </w:rPr>
              <w:t xml:space="preserve"> was appointed as the IHPA C</w:t>
            </w:r>
            <w:r w:rsidR="002C779C">
              <w:rPr>
                <w:color w:val="1C1C1C"/>
                <w:sz w:val="16"/>
                <w:szCs w:val="16"/>
              </w:rPr>
              <w:t>hief Executive Officer</w:t>
            </w:r>
            <w:r w:rsidR="002C779C" w:rsidRPr="00DE23A4">
              <w:rPr>
                <w:color w:val="1C1C1C"/>
                <w:sz w:val="16"/>
                <w:szCs w:val="16"/>
              </w:rPr>
              <w:t xml:space="preserve"> on 1 September 2016. Prior to this, James was Executive Director, Activity Based Funding, leading the teams responsible for delivering the classification, costing and pricing functions of IHPA as well as the data acquisition activities.</w:t>
            </w:r>
          </w:p>
          <w:p w14:paraId="364F5E44" w14:textId="3428FA37" w:rsidR="002C779C" w:rsidRPr="00DE23A4" w:rsidRDefault="002C779C" w:rsidP="00E54B9D">
            <w:pPr>
              <w:spacing w:before="120" w:after="120"/>
              <w:rPr>
                <w:color w:val="1C1C1C"/>
                <w:sz w:val="16"/>
                <w:szCs w:val="16"/>
              </w:rPr>
            </w:pPr>
            <w:r w:rsidRPr="00DE23A4">
              <w:rPr>
                <w:color w:val="1C1C1C"/>
                <w:sz w:val="16"/>
                <w:szCs w:val="16"/>
              </w:rPr>
              <w:t>He previously held roles with the Victorian Department of Health and the Royal Children’s Hospital Melbourne, and various technical and operational roles in the resources industry.</w:t>
            </w:r>
          </w:p>
        </w:tc>
        <w:tc>
          <w:tcPr>
            <w:tcW w:w="993" w:type="dxa"/>
            <w:tcBorders>
              <w:bottom w:val="single" w:sz="4" w:space="0" w:color="D9D9D9" w:themeColor="background2" w:themeShade="D9"/>
              <w:right w:val="single" w:sz="4" w:space="0" w:color="D9D9D9" w:themeColor="background2" w:themeShade="D9"/>
            </w:tcBorders>
          </w:tcPr>
          <w:p w14:paraId="1DE01C8A" w14:textId="4EB8C68E" w:rsidR="002C779C" w:rsidRPr="00DE23A4" w:rsidRDefault="002C779C" w:rsidP="00E54B9D">
            <w:pPr>
              <w:spacing w:before="120" w:after="120"/>
              <w:rPr>
                <w:color w:val="1C1C1C"/>
                <w:sz w:val="16"/>
                <w:szCs w:val="16"/>
              </w:rPr>
            </w:pPr>
            <w:r w:rsidRPr="00DE23A4">
              <w:rPr>
                <w:color w:val="1C1C1C"/>
                <w:sz w:val="16"/>
                <w:szCs w:val="16"/>
              </w:rPr>
              <w:t>Chief Executive Officer</w:t>
            </w:r>
          </w:p>
        </w:tc>
        <w:tc>
          <w:tcPr>
            <w:tcW w:w="1275" w:type="dxa"/>
            <w:tcBorders>
              <w:left w:val="single" w:sz="4" w:space="0" w:color="D9D9D9" w:themeColor="background2" w:themeShade="D9"/>
              <w:bottom w:val="single" w:sz="4" w:space="0" w:color="D9D9D9" w:themeColor="background2" w:themeShade="D9"/>
            </w:tcBorders>
          </w:tcPr>
          <w:p w14:paraId="39B398B3" w14:textId="7AB339E1" w:rsidR="002C779C" w:rsidRPr="00DE23A4" w:rsidRDefault="002C779C" w:rsidP="00E54B9D">
            <w:pPr>
              <w:spacing w:before="120" w:after="120"/>
              <w:rPr>
                <w:color w:val="1C1C1C"/>
                <w:sz w:val="16"/>
                <w:szCs w:val="16"/>
              </w:rPr>
            </w:pPr>
            <w:r w:rsidRPr="00DE23A4">
              <w:rPr>
                <w:color w:val="1C1C1C"/>
                <w:sz w:val="16"/>
                <w:szCs w:val="16"/>
              </w:rPr>
              <w:t>1 September 2016</w:t>
            </w:r>
          </w:p>
        </w:tc>
        <w:tc>
          <w:tcPr>
            <w:tcW w:w="851" w:type="dxa"/>
            <w:tcBorders>
              <w:bottom w:val="single" w:sz="4" w:space="0" w:color="D9D9D9" w:themeColor="background2" w:themeShade="D9"/>
            </w:tcBorders>
          </w:tcPr>
          <w:p w14:paraId="39F5D834" w14:textId="1734A157" w:rsidR="002C779C" w:rsidRPr="00DE23A4" w:rsidRDefault="002C779C" w:rsidP="00E54B9D">
            <w:pPr>
              <w:spacing w:before="120" w:after="120"/>
              <w:rPr>
                <w:color w:val="1C1C1C"/>
                <w:sz w:val="16"/>
                <w:szCs w:val="16"/>
              </w:rPr>
            </w:pPr>
            <w:r w:rsidRPr="00DE23A4">
              <w:rPr>
                <w:color w:val="1C1C1C"/>
                <w:sz w:val="16"/>
                <w:szCs w:val="16"/>
              </w:rPr>
              <w:t>31 August 2021</w:t>
            </w:r>
          </w:p>
        </w:tc>
        <w:tc>
          <w:tcPr>
            <w:tcW w:w="1124" w:type="dxa"/>
            <w:tcBorders>
              <w:bottom w:val="single" w:sz="4" w:space="0" w:color="D9D9D9" w:themeColor="background2" w:themeShade="D9"/>
            </w:tcBorders>
          </w:tcPr>
          <w:p w14:paraId="2774202E" w14:textId="79B511A2" w:rsidR="002C779C" w:rsidRPr="00DE23A4" w:rsidRDefault="002C779C" w:rsidP="00E54B9D">
            <w:pPr>
              <w:spacing w:before="120" w:after="120"/>
              <w:rPr>
                <w:color w:val="1C1C1C"/>
                <w:sz w:val="16"/>
                <w:szCs w:val="16"/>
              </w:rPr>
            </w:pPr>
            <w:r w:rsidRPr="00DE23A4">
              <w:rPr>
                <w:color w:val="1C1C1C"/>
                <w:sz w:val="16"/>
                <w:szCs w:val="16"/>
              </w:rPr>
              <w:t>N/A</w:t>
            </w:r>
          </w:p>
        </w:tc>
      </w:tr>
    </w:tbl>
    <w:p w14:paraId="43DB75EB" w14:textId="3B75B37D" w:rsidR="00A21378" w:rsidRDefault="00A21378" w:rsidP="00705609">
      <w:pPr>
        <w:pStyle w:val="Body"/>
      </w:pPr>
    </w:p>
    <w:p w14:paraId="3F3DF09D" w14:textId="77777777" w:rsidR="00DE23A4" w:rsidRDefault="00DE23A4" w:rsidP="00705609">
      <w:pPr>
        <w:pStyle w:val="Body"/>
        <w:sectPr w:rsidR="00DE23A4" w:rsidSect="00441579">
          <w:headerReference w:type="default" r:id="rId181"/>
          <w:footerReference w:type="default" r:id="rId182"/>
          <w:pgSz w:w="9979" w:h="14175"/>
          <w:pgMar w:top="1134" w:right="1134" w:bottom="1134" w:left="1134" w:header="709" w:footer="709" w:gutter="0"/>
          <w:cols w:space="708"/>
          <w:docGrid w:linePitch="360"/>
        </w:sectPr>
      </w:pPr>
    </w:p>
    <w:p w14:paraId="2057AC93" w14:textId="77777777" w:rsidR="002C779C" w:rsidRPr="00153DC1" w:rsidRDefault="002C779C" w:rsidP="002C779C">
      <w:pPr>
        <w:pStyle w:val="H3"/>
        <w:rPr>
          <w:color w:val="C40B46" w:themeColor="accent6"/>
        </w:rPr>
      </w:pPr>
      <w:r w:rsidRPr="00153DC1">
        <w:rPr>
          <w:color w:val="C40B46" w:themeColor="accent6"/>
        </w:rPr>
        <w:lastRenderedPageBreak/>
        <w:t>Education and review processes</w:t>
      </w:r>
    </w:p>
    <w:p w14:paraId="5E845872" w14:textId="312CF03B" w:rsidR="002C779C" w:rsidRPr="00DE23A4" w:rsidRDefault="002C779C" w:rsidP="002C779C">
      <w:pPr>
        <w:rPr>
          <w:color w:val="1C1C1C"/>
          <w:sz w:val="18"/>
          <w:szCs w:val="18"/>
        </w:rPr>
      </w:pPr>
      <w:r w:rsidRPr="00DE23A4">
        <w:rPr>
          <w:color w:val="1C1C1C"/>
          <w:sz w:val="18"/>
          <w:szCs w:val="18"/>
        </w:rPr>
        <w:t>During the reporting period, the Chief Executive</w:t>
      </w:r>
      <w:r w:rsidR="00C530FC">
        <w:rPr>
          <w:color w:val="1C1C1C"/>
          <w:sz w:val="18"/>
          <w:szCs w:val="18"/>
        </w:rPr>
        <w:t> </w:t>
      </w:r>
      <w:r w:rsidRPr="00DE23A4">
        <w:rPr>
          <w:color w:val="1C1C1C"/>
          <w:sz w:val="18"/>
          <w:szCs w:val="18"/>
        </w:rPr>
        <w:t>Officer enhanced his</w:t>
      </w:r>
      <w:r w:rsidR="00C530FC">
        <w:rPr>
          <w:color w:val="1C1C1C"/>
          <w:sz w:val="18"/>
          <w:szCs w:val="18"/>
        </w:rPr>
        <w:t> </w:t>
      </w:r>
      <w:r w:rsidRPr="00DE23A4">
        <w:rPr>
          <w:color w:val="1C1C1C"/>
          <w:sz w:val="18"/>
          <w:szCs w:val="18"/>
        </w:rPr>
        <w:t>skills through attendance at</w:t>
      </w:r>
      <w:r w:rsidR="00552589">
        <w:rPr>
          <w:color w:val="1C1C1C"/>
          <w:sz w:val="18"/>
          <w:szCs w:val="18"/>
        </w:rPr>
        <w:t> </w:t>
      </w:r>
      <w:r w:rsidRPr="00DE23A4">
        <w:rPr>
          <w:color w:val="1C1C1C"/>
          <w:sz w:val="18"/>
          <w:szCs w:val="18"/>
        </w:rPr>
        <w:t>domestic and</w:t>
      </w:r>
      <w:r w:rsidR="00C530FC">
        <w:rPr>
          <w:color w:val="1C1C1C"/>
          <w:sz w:val="18"/>
          <w:szCs w:val="18"/>
        </w:rPr>
        <w:t> </w:t>
      </w:r>
      <w:r w:rsidRPr="00DE23A4">
        <w:rPr>
          <w:color w:val="1C1C1C"/>
          <w:sz w:val="18"/>
          <w:szCs w:val="18"/>
        </w:rPr>
        <w:t>international activity based funding</w:t>
      </w:r>
      <w:r w:rsidR="00552589">
        <w:rPr>
          <w:color w:val="1C1C1C"/>
          <w:sz w:val="18"/>
          <w:szCs w:val="18"/>
        </w:rPr>
        <w:t> </w:t>
      </w:r>
      <w:r w:rsidRPr="00DE23A4">
        <w:rPr>
          <w:color w:val="1C1C1C"/>
          <w:sz w:val="18"/>
          <w:szCs w:val="18"/>
        </w:rPr>
        <w:t xml:space="preserve">events and attended </w:t>
      </w:r>
      <w:proofErr w:type="spellStart"/>
      <w:r w:rsidRPr="00DE23A4">
        <w:rPr>
          <w:color w:val="1C1C1C"/>
          <w:sz w:val="18"/>
          <w:szCs w:val="18"/>
        </w:rPr>
        <w:t>specialised</w:t>
      </w:r>
      <w:proofErr w:type="spellEnd"/>
      <w:r w:rsidRPr="00DE23A4">
        <w:rPr>
          <w:color w:val="1C1C1C"/>
          <w:sz w:val="18"/>
          <w:szCs w:val="18"/>
        </w:rPr>
        <w:t xml:space="preserve"> leadership training that</w:t>
      </w:r>
      <w:r w:rsidR="00C530FC">
        <w:rPr>
          <w:color w:val="1C1C1C"/>
          <w:sz w:val="18"/>
          <w:szCs w:val="18"/>
        </w:rPr>
        <w:t> </w:t>
      </w:r>
      <w:r w:rsidRPr="00DE23A4">
        <w:rPr>
          <w:color w:val="1C1C1C"/>
          <w:sz w:val="18"/>
          <w:szCs w:val="18"/>
        </w:rPr>
        <w:t>was also made available to IHPA</w:t>
      </w:r>
      <w:r w:rsidR="00C530FC">
        <w:rPr>
          <w:color w:val="1C1C1C"/>
          <w:sz w:val="18"/>
          <w:szCs w:val="18"/>
        </w:rPr>
        <w:t xml:space="preserve"> </w:t>
      </w:r>
      <w:r w:rsidRPr="00DE23A4">
        <w:rPr>
          <w:color w:val="1C1C1C"/>
          <w:sz w:val="18"/>
          <w:szCs w:val="18"/>
        </w:rPr>
        <w:t>mid</w:t>
      </w:r>
      <w:r w:rsidRPr="00DE23A4">
        <w:rPr>
          <w:color w:val="1C1C1C"/>
          <w:sz w:val="18"/>
          <w:szCs w:val="18"/>
        </w:rPr>
        <w:noBreakHyphen/>
        <w:t>level</w:t>
      </w:r>
      <w:r w:rsidR="00C530FC">
        <w:rPr>
          <w:color w:val="1C1C1C"/>
          <w:sz w:val="18"/>
          <w:szCs w:val="18"/>
        </w:rPr>
        <w:t> </w:t>
      </w:r>
      <w:r w:rsidRPr="00DE23A4">
        <w:rPr>
          <w:color w:val="1C1C1C"/>
          <w:sz w:val="18"/>
          <w:szCs w:val="18"/>
        </w:rPr>
        <w:t>and</w:t>
      </w:r>
      <w:r w:rsidR="00C530FC">
        <w:rPr>
          <w:color w:val="1C1C1C"/>
          <w:sz w:val="18"/>
          <w:szCs w:val="18"/>
        </w:rPr>
        <w:t> </w:t>
      </w:r>
      <w:r w:rsidRPr="00DE23A4">
        <w:rPr>
          <w:color w:val="1C1C1C"/>
          <w:sz w:val="18"/>
          <w:szCs w:val="18"/>
        </w:rPr>
        <w:t>senior management staff. He</w:t>
      </w:r>
      <w:r>
        <w:rPr>
          <w:color w:val="1C1C1C"/>
          <w:sz w:val="18"/>
          <w:szCs w:val="18"/>
        </w:rPr>
        <w:t> </w:t>
      </w:r>
      <w:r w:rsidRPr="00DE23A4">
        <w:rPr>
          <w:color w:val="1C1C1C"/>
          <w:sz w:val="18"/>
          <w:szCs w:val="18"/>
        </w:rPr>
        <w:t>receives</w:t>
      </w:r>
      <w:r w:rsidR="00C530FC">
        <w:rPr>
          <w:color w:val="1C1C1C"/>
          <w:sz w:val="18"/>
          <w:szCs w:val="18"/>
        </w:rPr>
        <w:t> </w:t>
      </w:r>
      <w:r w:rsidRPr="00DE23A4">
        <w:rPr>
          <w:color w:val="1C1C1C"/>
          <w:sz w:val="18"/>
          <w:szCs w:val="18"/>
        </w:rPr>
        <w:t>regular</w:t>
      </w:r>
      <w:r w:rsidR="00C530FC">
        <w:rPr>
          <w:color w:val="1C1C1C"/>
          <w:sz w:val="18"/>
          <w:szCs w:val="18"/>
        </w:rPr>
        <w:t> </w:t>
      </w:r>
      <w:r w:rsidRPr="00DE23A4">
        <w:rPr>
          <w:color w:val="1C1C1C"/>
          <w:sz w:val="18"/>
          <w:szCs w:val="18"/>
        </w:rPr>
        <w:t>performance feedback via the</w:t>
      </w:r>
      <w:r>
        <w:rPr>
          <w:color w:val="1C1C1C"/>
          <w:sz w:val="18"/>
          <w:szCs w:val="18"/>
        </w:rPr>
        <w:t> </w:t>
      </w:r>
      <w:r w:rsidRPr="00DE23A4">
        <w:rPr>
          <w:color w:val="1C1C1C"/>
          <w:sz w:val="18"/>
          <w:szCs w:val="18"/>
        </w:rPr>
        <w:t>Pricing</w:t>
      </w:r>
      <w:r w:rsidR="00C530FC">
        <w:rPr>
          <w:color w:val="1C1C1C"/>
          <w:sz w:val="18"/>
          <w:szCs w:val="18"/>
        </w:rPr>
        <w:t> </w:t>
      </w:r>
      <w:r w:rsidRPr="00DE23A4">
        <w:rPr>
          <w:color w:val="1C1C1C"/>
          <w:sz w:val="18"/>
          <w:szCs w:val="18"/>
        </w:rPr>
        <w:t>Authority</w:t>
      </w:r>
      <w:r w:rsidR="00C530FC">
        <w:rPr>
          <w:color w:val="1C1C1C"/>
          <w:sz w:val="18"/>
          <w:szCs w:val="18"/>
        </w:rPr>
        <w:t> </w:t>
      </w:r>
      <w:r w:rsidRPr="00DE23A4">
        <w:rPr>
          <w:color w:val="1C1C1C"/>
          <w:sz w:val="18"/>
          <w:szCs w:val="18"/>
        </w:rPr>
        <w:t>meetings.</w:t>
      </w:r>
    </w:p>
    <w:p w14:paraId="1642047A" w14:textId="77777777" w:rsidR="002C779C" w:rsidRPr="00153DC1" w:rsidRDefault="002C779C" w:rsidP="002C779C">
      <w:pPr>
        <w:pStyle w:val="H3"/>
        <w:rPr>
          <w:color w:val="C40B46" w:themeColor="accent6"/>
        </w:rPr>
      </w:pPr>
      <w:r w:rsidRPr="00153DC1">
        <w:rPr>
          <w:color w:val="C40B46" w:themeColor="accent6"/>
        </w:rPr>
        <w:t>Work health and safety</w:t>
      </w:r>
    </w:p>
    <w:p w14:paraId="7DB287D8" w14:textId="21B7B69B" w:rsidR="002C779C" w:rsidRPr="00DE23A4" w:rsidRDefault="002C779C" w:rsidP="002C779C">
      <w:pPr>
        <w:rPr>
          <w:color w:val="1C1C1C"/>
          <w:sz w:val="18"/>
          <w:szCs w:val="18"/>
        </w:rPr>
      </w:pPr>
      <w:r w:rsidRPr="00DE23A4">
        <w:rPr>
          <w:color w:val="1C1C1C"/>
          <w:sz w:val="18"/>
          <w:szCs w:val="18"/>
        </w:rPr>
        <w:t>In 2020–21, IHPA’s Work Health and Safety</w:t>
      </w:r>
      <w:r w:rsidR="00552589">
        <w:rPr>
          <w:color w:val="1C1C1C"/>
          <w:sz w:val="18"/>
          <w:szCs w:val="18"/>
        </w:rPr>
        <w:t> </w:t>
      </w:r>
      <w:r w:rsidRPr="00DE23A4">
        <w:rPr>
          <w:color w:val="1C1C1C"/>
          <w:sz w:val="18"/>
          <w:szCs w:val="18"/>
        </w:rPr>
        <w:t>Committee continued to manage work health and</w:t>
      </w:r>
      <w:r>
        <w:rPr>
          <w:color w:val="1C1C1C"/>
          <w:sz w:val="18"/>
          <w:szCs w:val="18"/>
        </w:rPr>
        <w:t> </w:t>
      </w:r>
      <w:r w:rsidRPr="00DE23A4">
        <w:rPr>
          <w:color w:val="1C1C1C"/>
          <w:sz w:val="18"/>
          <w:szCs w:val="18"/>
        </w:rPr>
        <w:t>safety matters in accordance with the</w:t>
      </w:r>
      <w:r w:rsidR="00552589">
        <w:rPr>
          <w:color w:val="1C1C1C"/>
          <w:sz w:val="18"/>
          <w:szCs w:val="18"/>
        </w:rPr>
        <w:t> </w:t>
      </w:r>
      <w:r w:rsidRPr="00DE23A4">
        <w:rPr>
          <w:i/>
          <w:iCs/>
          <w:color w:val="1C1C1C"/>
          <w:sz w:val="18"/>
          <w:szCs w:val="18"/>
        </w:rPr>
        <w:t>Work</w:t>
      </w:r>
      <w:r>
        <w:rPr>
          <w:i/>
          <w:iCs/>
          <w:color w:val="1C1C1C"/>
          <w:sz w:val="18"/>
          <w:szCs w:val="18"/>
        </w:rPr>
        <w:t> </w:t>
      </w:r>
      <w:r w:rsidRPr="00DE23A4">
        <w:rPr>
          <w:i/>
          <w:iCs/>
          <w:color w:val="1C1C1C"/>
          <w:sz w:val="18"/>
          <w:szCs w:val="18"/>
        </w:rPr>
        <w:t>Health and Safety Act 2011</w:t>
      </w:r>
      <w:r w:rsidRPr="00DE23A4">
        <w:rPr>
          <w:color w:val="1C1C1C"/>
          <w:sz w:val="18"/>
          <w:szCs w:val="18"/>
        </w:rPr>
        <w:t>.</w:t>
      </w:r>
    </w:p>
    <w:p w14:paraId="45126D45" w14:textId="77777777" w:rsidR="002C779C" w:rsidRPr="00DE23A4" w:rsidRDefault="002C779C" w:rsidP="002C779C">
      <w:pPr>
        <w:rPr>
          <w:color w:val="1C1C1C"/>
          <w:sz w:val="18"/>
          <w:szCs w:val="18"/>
        </w:rPr>
      </w:pPr>
      <w:r w:rsidRPr="00DE23A4">
        <w:rPr>
          <w:color w:val="1C1C1C"/>
          <w:sz w:val="18"/>
          <w:szCs w:val="18"/>
        </w:rPr>
        <w:t>The committee met six times during the year and</w:t>
      </w:r>
      <w:r>
        <w:rPr>
          <w:color w:val="1C1C1C"/>
          <w:sz w:val="18"/>
          <w:szCs w:val="18"/>
        </w:rPr>
        <w:t> </w:t>
      </w:r>
      <w:r w:rsidRPr="00DE23A4">
        <w:rPr>
          <w:color w:val="1C1C1C"/>
          <w:sz w:val="18"/>
          <w:szCs w:val="18"/>
        </w:rPr>
        <w:t>dealt with a range of work health and safety</w:t>
      </w:r>
      <w:r>
        <w:rPr>
          <w:color w:val="1C1C1C"/>
          <w:sz w:val="18"/>
          <w:szCs w:val="18"/>
        </w:rPr>
        <w:t> </w:t>
      </w:r>
      <w:r w:rsidRPr="00DE23A4">
        <w:rPr>
          <w:color w:val="1C1C1C"/>
          <w:sz w:val="18"/>
          <w:szCs w:val="18"/>
        </w:rPr>
        <w:t>matters.</w:t>
      </w:r>
    </w:p>
    <w:p w14:paraId="6EF6B705" w14:textId="21243414" w:rsidR="002C779C" w:rsidRPr="00DE23A4" w:rsidRDefault="002C779C" w:rsidP="002C779C">
      <w:pPr>
        <w:rPr>
          <w:color w:val="1C1C1C"/>
          <w:sz w:val="18"/>
          <w:szCs w:val="18"/>
        </w:rPr>
      </w:pPr>
      <w:r w:rsidRPr="00DE23A4">
        <w:rPr>
          <w:color w:val="1C1C1C"/>
          <w:sz w:val="18"/>
          <w:szCs w:val="18"/>
        </w:rPr>
        <w:t>IHPA maintained its ongoing practice of providing workplace assessments for new staff, as required, and provided additional support to</w:t>
      </w:r>
      <w:r>
        <w:rPr>
          <w:color w:val="1C1C1C"/>
          <w:sz w:val="18"/>
          <w:szCs w:val="18"/>
        </w:rPr>
        <w:t> </w:t>
      </w:r>
      <w:r w:rsidRPr="00DE23A4">
        <w:rPr>
          <w:color w:val="1C1C1C"/>
          <w:sz w:val="18"/>
          <w:szCs w:val="18"/>
        </w:rPr>
        <w:t>staff</w:t>
      </w:r>
      <w:r>
        <w:rPr>
          <w:color w:val="1C1C1C"/>
          <w:sz w:val="18"/>
          <w:szCs w:val="18"/>
        </w:rPr>
        <w:t> </w:t>
      </w:r>
      <w:r w:rsidRPr="00DE23A4">
        <w:rPr>
          <w:color w:val="1C1C1C"/>
          <w:sz w:val="18"/>
          <w:szCs w:val="18"/>
        </w:rPr>
        <w:t>working from home during the</w:t>
      </w:r>
      <w:r w:rsidR="00CA2E97">
        <w:rPr>
          <w:color w:val="1C1C1C"/>
          <w:sz w:val="18"/>
          <w:szCs w:val="18"/>
        </w:rPr>
        <w:t xml:space="preserve"> </w:t>
      </w:r>
      <w:r w:rsidRPr="00DE23A4">
        <w:rPr>
          <w:color w:val="1C1C1C"/>
          <w:sz w:val="18"/>
          <w:szCs w:val="18"/>
        </w:rPr>
        <w:t>COVID-19 pandemic.</w:t>
      </w:r>
    </w:p>
    <w:p w14:paraId="05A65408" w14:textId="09D83B8C" w:rsidR="005E6AA1" w:rsidRPr="00DE23A4" w:rsidRDefault="002C779C" w:rsidP="002C779C">
      <w:pPr>
        <w:rPr>
          <w:color w:val="1C1C1C"/>
          <w:sz w:val="18"/>
          <w:szCs w:val="18"/>
        </w:rPr>
      </w:pPr>
      <w:r w:rsidRPr="00DE23A4">
        <w:rPr>
          <w:color w:val="1C1C1C"/>
          <w:sz w:val="18"/>
          <w:szCs w:val="18"/>
        </w:rPr>
        <w:t xml:space="preserve">In 2020–21, no notifiable incidents were identified in regards to work health and safety. </w:t>
      </w:r>
      <w:r>
        <w:rPr>
          <w:color w:val="1C1C1C"/>
          <w:sz w:val="18"/>
          <w:szCs w:val="18"/>
        </w:rPr>
        <w:t>One</w:t>
      </w:r>
      <w:r w:rsidRPr="00DE23A4">
        <w:rPr>
          <w:color w:val="1C1C1C"/>
          <w:sz w:val="18"/>
          <w:szCs w:val="18"/>
        </w:rPr>
        <w:t xml:space="preserve"> worker reported</w:t>
      </w:r>
      <w:r>
        <w:rPr>
          <w:color w:val="1C1C1C"/>
          <w:sz w:val="18"/>
          <w:szCs w:val="18"/>
        </w:rPr>
        <w:t xml:space="preserve"> an</w:t>
      </w:r>
      <w:r w:rsidRPr="00DE23A4">
        <w:rPr>
          <w:color w:val="1C1C1C"/>
          <w:sz w:val="18"/>
          <w:szCs w:val="18"/>
        </w:rPr>
        <w:t xml:space="preserve"> injur</w:t>
      </w:r>
      <w:r>
        <w:rPr>
          <w:color w:val="1C1C1C"/>
          <w:sz w:val="18"/>
          <w:szCs w:val="18"/>
        </w:rPr>
        <w:t>y</w:t>
      </w:r>
      <w:r w:rsidRPr="00DE23A4">
        <w:rPr>
          <w:color w:val="1C1C1C"/>
          <w:sz w:val="18"/>
          <w:szCs w:val="18"/>
        </w:rPr>
        <w:t xml:space="preserve"> and </w:t>
      </w:r>
      <w:r>
        <w:rPr>
          <w:color w:val="1C1C1C"/>
          <w:sz w:val="18"/>
          <w:szCs w:val="18"/>
        </w:rPr>
        <w:t>this</w:t>
      </w:r>
      <w:r w:rsidRPr="00DE23A4">
        <w:rPr>
          <w:color w:val="1C1C1C"/>
          <w:sz w:val="18"/>
          <w:szCs w:val="18"/>
        </w:rPr>
        <w:t xml:space="preserve"> worker</w:t>
      </w:r>
      <w:r>
        <w:rPr>
          <w:color w:val="1C1C1C"/>
          <w:sz w:val="18"/>
          <w:szCs w:val="18"/>
        </w:rPr>
        <w:t xml:space="preserve"> lodged a</w:t>
      </w:r>
      <w:r w:rsidRPr="00DE23A4">
        <w:rPr>
          <w:color w:val="1C1C1C"/>
          <w:sz w:val="18"/>
          <w:szCs w:val="18"/>
        </w:rPr>
        <w:t xml:space="preserve"> </w:t>
      </w:r>
      <w:r>
        <w:rPr>
          <w:color w:val="1C1C1C"/>
          <w:sz w:val="18"/>
          <w:szCs w:val="18"/>
        </w:rPr>
        <w:t xml:space="preserve">workers’ </w:t>
      </w:r>
      <w:r w:rsidRPr="00DE23A4">
        <w:rPr>
          <w:color w:val="1C1C1C"/>
          <w:sz w:val="18"/>
          <w:szCs w:val="18"/>
        </w:rPr>
        <w:t>compensation claim</w:t>
      </w:r>
      <w:r>
        <w:rPr>
          <w:color w:val="1C1C1C"/>
          <w:sz w:val="18"/>
          <w:szCs w:val="18"/>
        </w:rPr>
        <w:t>, which has not been determined.</w:t>
      </w:r>
      <w:r w:rsidRPr="00DE23A4">
        <w:rPr>
          <w:color w:val="1C1C1C"/>
          <w:sz w:val="18"/>
          <w:szCs w:val="18"/>
        </w:rPr>
        <w:t xml:space="preserve"> There were no investigations conducted during the year relating to businesses or undertakings conducted by the</w:t>
      </w:r>
      <w:r>
        <w:rPr>
          <w:color w:val="1C1C1C"/>
          <w:sz w:val="18"/>
          <w:szCs w:val="18"/>
        </w:rPr>
        <w:t> </w:t>
      </w:r>
      <w:r w:rsidRPr="00DE23A4">
        <w:rPr>
          <w:color w:val="1C1C1C"/>
          <w:sz w:val="18"/>
          <w:szCs w:val="18"/>
        </w:rPr>
        <w:t>entity.</w:t>
      </w:r>
    </w:p>
    <w:p w14:paraId="35FACA96" w14:textId="77777777" w:rsidR="002C779C" w:rsidRPr="00DE23A4" w:rsidRDefault="00DE23A4" w:rsidP="002C779C">
      <w:pPr>
        <w:pStyle w:val="H3"/>
      </w:pPr>
      <w:r w:rsidRPr="00DE23A4">
        <w:rPr>
          <w:color w:val="F47920" w:themeColor="accent4"/>
        </w:rPr>
        <w:br w:type="column"/>
      </w:r>
      <w:r w:rsidR="002C779C" w:rsidRPr="00153DC1">
        <w:rPr>
          <w:color w:val="C40B46" w:themeColor="accent6"/>
        </w:rPr>
        <w:t>Advertising and market research</w:t>
      </w:r>
    </w:p>
    <w:p w14:paraId="6621C359" w14:textId="713ABCFF" w:rsidR="005E6AA1" w:rsidRPr="00DE23A4" w:rsidRDefault="002C779C" w:rsidP="002C779C">
      <w:pPr>
        <w:pStyle w:val="Body"/>
      </w:pPr>
      <w:r w:rsidRPr="00DE23A4">
        <w:t>In 2020–21, IHPA commissioned no advertising that must be reported under s</w:t>
      </w:r>
      <w:r>
        <w:t>ection</w:t>
      </w:r>
      <w:r w:rsidRPr="00DE23A4">
        <w:t xml:space="preserve"> 311A of the </w:t>
      </w:r>
      <w:r w:rsidRPr="00DE23A4">
        <w:rPr>
          <w:i/>
          <w:iCs/>
        </w:rPr>
        <w:t>Commonwealth Electoral Act 1918</w:t>
      </w:r>
      <w:r w:rsidRPr="00DE23A4">
        <w:t>.</w:t>
      </w:r>
    </w:p>
    <w:p w14:paraId="0DD95F50" w14:textId="77777777" w:rsidR="00C40FAB" w:rsidRDefault="00C40FAB" w:rsidP="00705609">
      <w:pPr>
        <w:pStyle w:val="Body"/>
        <w:sectPr w:rsidR="00C40FAB" w:rsidSect="00441579">
          <w:footerReference w:type="default" r:id="rId183"/>
          <w:pgSz w:w="9979" w:h="14175"/>
          <w:pgMar w:top="1134" w:right="1134" w:bottom="1134" w:left="1134" w:header="709" w:footer="709" w:gutter="0"/>
          <w:cols w:num="2" w:space="708"/>
          <w:docGrid w:linePitch="360"/>
        </w:sectPr>
      </w:pPr>
    </w:p>
    <w:p w14:paraId="0CEC087D" w14:textId="26FAB870" w:rsidR="00C40FAB" w:rsidRDefault="006E6CC9" w:rsidP="00705609">
      <w:pPr>
        <w:pStyle w:val="Body"/>
      </w:pPr>
      <w:r>
        <w:rPr>
          <w:noProof/>
          <w:lang w:val="en-AU" w:eastAsia="en-AU"/>
        </w:rPr>
        <w:lastRenderedPageBreak/>
        <w:drawing>
          <wp:anchor distT="0" distB="0" distL="114300" distR="114300" simplePos="0" relativeHeight="251973632" behindDoc="1" locked="0" layoutInCell="1" allowOverlap="1" wp14:anchorId="7B826817" wp14:editId="43307102">
            <wp:simplePos x="0" y="0"/>
            <wp:positionH relativeFrom="column">
              <wp:posOffset>-363220</wp:posOffset>
            </wp:positionH>
            <wp:positionV relativeFrom="paragraph">
              <wp:posOffset>-200660</wp:posOffset>
            </wp:positionV>
            <wp:extent cx="5615940" cy="9448277"/>
            <wp:effectExtent l="0" t="0" r="3810" b="635"/>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15940" cy="9448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E3D7A8" w14:textId="3A0D5AC7" w:rsidR="005E6AA1" w:rsidRDefault="005E6AA1" w:rsidP="00705609">
      <w:pPr>
        <w:pStyle w:val="Body"/>
        <w:sectPr w:rsidR="005E6AA1" w:rsidSect="00441579">
          <w:footerReference w:type="default" r:id="rId184"/>
          <w:pgSz w:w="9979" w:h="14175"/>
          <w:pgMar w:top="1134" w:right="1134" w:bottom="1134" w:left="1134" w:header="709" w:footer="709" w:gutter="0"/>
          <w:cols w:num="2" w:space="708"/>
          <w:docGrid w:linePitch="360"/>
        </w:sectPr>
      </w:pPr>
    </w:p>
    <w:p w14:paraId="2A0EEE99" w14:textId="2AED5EAF" w:rsidR="00454BF9" w:rsidRDefault="009C29B1" w:rsidP="009A2D17">
      <w:pPr>
        <w:pStyle w:val="H1"/>
        <w:spacing w:before="1680"/>
      </w:pPr>
      <w:bookmarkStart w:id="143" w:name="_Toc84488755"/>
      <w:r>
        <w:rPr>
          <w:noProof/>
          <w:lang w:val="en-AU" w:eastAsia="en-AU"/>
        </w:rPr>
        <w:lastRenderedPageBreak/>
        <w:drawing>
          <wp:anchor distT="0" distB="0" distL="114300" distR="114300" simplePos="0" relativeHeight="251996160" behindDoc="1" locked="0" layoutInCell="1" allowOverlap="1" wp14:anchorId="655FAD86" wp14:editId="6F56276E">
            <wp:simplePos x="0" y="0"/>
            <wp:positionH relativeFrom="column">
              <wp:posOffset>-716280</wp:posOffset>
            </wp:positionH>
            <wp:positionV relativeFrom="paragraph">
              <wp:posOffset>-901065</wp:posOffset>
            </wp:positionV>
            <wp:extent cx="6323765" cy="8987051"/>
            <wp:effectExtent l="0" t="0" r="1270" b="5080"/>
            <wp:wrapNone/>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a:extLst>
                        <a:ext uri="{C183D7F6-B498-43B3-948B-1728B52AA6E4}">
                          <adec:decorative xmlns:adec="http://schemas.microsoft.com/office/drawing/2017/decorative" val="1"/>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30254" cy="89962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4BF9">
        <w:t>Financial</w:t>
      </w:r>
      <w:r w:rsidR="00454BF9">
        <w:br/>
      </w:r>
      <w:r w:rsidR="00C56CF1">
        <w:t>m</w:t>
      </w:r>
      <w:r w:rsidR="00454BF9">
        <w:t>anagement</w:t>
      </w:r>
      <w:bookmarkEnd w:id="143"/>
    </w:p>
    <w:p w14:paraId="19E433D5" w14:textId="70F75B8B" w:rsidR="00454BF9" w:rsidRDefault="00AB3AE1" w:rsidP="00454BF9">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5C7FE485" wp14:editId="7CC3B849">
            <wp:extent cx="1838324" cy="1652665"/>
            <wp:effectExtent l="0" t="0" r="0" b="5080"/>
            <wp:docPr id="30" name="Picture 30" descr="Chapter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pter 7"/>
                    <pic:cNvPicPr>
                      <a:picLocks noChangeAspect="1" noChangeArrowheads="1"/>
                    </pic:cNvPicPr>
                  </pic:nvPicPr>
                  <pic:blipFill>
                    <a:blip r:embed="rId186" cstate="print">
                      <a:extLst>
                        <a:ext uri="{28A0092B-C50C-407E-A947-70E740481C1C}">
                          <a14:useLocalDpi xmlns:a14="http://schemas.microsoft.com/office/drawing/2010/main"/>
                        </a:ext>
                      </a:extLst>
                    </a:blip>
                    <a:stretch>
                      <a:fillRect/>
                    </a:stretch>
                  </pic:blipFill>
                  <pic:spPr bwMode="auto">
                    <a:xfrm>
                      <a:off x="0" y="0"/>
                      <a:ext cx="1838324" cy="1652665"/>
                    </a:xfrm>
                    <a:prstGeom prst="rect">
                      <a:avLst/>
                    </a:prstGeom>
                    <a:noFill/>
                    <a:ln>
                      <a:noFill/>
                    </a:ln>
                  </pic:spPr>
                </pic:pic>
              </a:graphicData>
            </a:graphic>
          </wp:inline>
        </w:drawing>
      </w:r>
    </w:p>
    <w:p w14:paraId="62A53A75" w14:textId="6BFFF9F6" w:rsidR="00454BF9" w:rsidRPr="00454BF9" w:rsidRDefault="00454BF9" w:rsidP="00454BF9">
      <w:pPr>
        <w:pStyle w:val="Body"/>
        <w:spacing w:before="1200" w:after="0"/>
        <w:jc w:val="center"/>
        <w:rPr>
          <w:color w:val="4D4D4D"/>
        </w:rPr>
      </w:pPr>
    </w:p>
    <w:p w14:paraId="5D6BE66A" w14:textId="77777777" w:rsidR="00386C88" w:rsidRDefault="00386C88" w:rsidP="00705609">
      <w:pPr>
        <w:pStyle w:val="Body"/>
        <w:sectPr w:rsidR="00386C88" w:rsidSect="00386C88">
          <w:headerReference w:type="default" r:id="rId187"/>
          <w:footerReference w:type="default" r:id="rId188"/>
          <w:pgSz w:w="9979" w:h="14175"/>
          <w:pgMar w:top="1418" w:right="1134" w:bottom="1134" w:left="1134" w:header="709" w:footer="709" w:gutter="0"/>
          <w:cols w:space="708"/>
          <w:docGrid w:linePitch="360"/>
        </w:sectPr>
      </w:pPr>
    </w:p>
    <w:p w14:paraId="5D929C4A" w14:textId="77777777" w:rsidR="0015771D" w:rsidRPr="007F327F" w:rsidRDefault="0015771D" w:rsidP="00C7201E">
      <w:pPr>
        <w:pStyle w:val="Heading1"/>
        <w:rPr>
          <w:color w:val="292929"/>
        </w:rPr>
      </w:pPr>
      <w:bookmarkStart w:id="144" w:name="_Toc44350189"/>
      <w:bookmarkStart w:id="145" w:name="_Toc50378086"/>
      <w:bookmarkStart w:id="146" w:name="_Toc84488756"/>
      <w:r w:rsidRPr="007F327F">
        <w:rPr>
          <w:color w:val="292929"/>
        </w:rPr>
        <w:lastRenderedPageBreak/>
        <w:t>Financial statements</w:t>
      </w:r>
      <w:bookmarkEnd w:id="144"/>
      <w:bookmarkEnd w:id="145"/>
      <w:bookmarkEnd w:id="146"/>
    </w:p>
    <w:p w14:paraId="4C21E193" w14:textId="0BE90D77" w:rsidR="005A6F86" w:rsidRDefault="009F752B" w:rsidP="005A6F86">
      <w:pPr>
        <w:pStyle w:val="TOCHeader"/>
        <w:numPr>
          <w:ilvl w:val="0"/>
          <w:numId w:val="0"/>
        </w:numPr>
        <w:rPr>
          <w:rFonts w:eastAsiaTheme="minorEastAsia"/>
          <w:lang w:eastAsia="en-PH"/>
        </w:rPr>
      </w:pPr>
      <w:r>
        <w:fldChar w:fldCharType="begin"/>
      </w:r>
      <w:r>
        <w:instrText xml:space="preserve"> TOC \t "H3 Financials,2,H2 Financials,1,H4 Financials,3" </w:instrText>
      </w:r>
      <w:r>
        <w:fldChar w:fldCharType="separate"/>
      </w:r>
      <w:r w:rsidR="005A6F86">
        <w:t>Independent auditor’s report</w:t>
      </w:r>
      <w:r w:rsidR="005A6F86">
        <w:tab/>
      </w:r>
      <w:r w:rsidR="005A6F86">
        <w:fldChar w:fldCharType="begin"/>
      </w:r>
      <w:r w:rsidR="005A6F86">
        <w:instrText xml:space="preserve"> PAGEREF _Toc83220554 \h </w:instrText>
      </w:r>
      <w:r w:rsidR="005A6F86">
        <w:fldChar w:fldCharType="separate"/>
      </w:r>
      <w:r w:rsidR="009D65FF">
        <w:t>79</w:t>
      </w:r>
      <w:r w:rsidR="005A6F86">
        <w:fldChar w:fldCharType="end"/>
      </w:r>
    </w:p>
    <w:p w14:paraId="4AD79613" w14:textId="1765A10D" w:rsidR="005A6F86" w:rsidRDefault="005A6F86" w:rsidP="005A6F86">
      <w:pPr>
        <w:pStyle w:val="TOCHeader"/>
        <w:numPr>
          <w:ilvl w:val="0"/>
          <w:numId w:val="0"/>
        </w:numPr>
        <w:rPr>
          <w:rFonts w:eastAsiaTheme="minorEastAsia"/>
          <w:lang w:eastAsia="en-PH"/>
        </w:rPr>
      </w:pPr>
      <w:r>
        <w:t>Statement by the Chief Executive Officer and Chief Financial Officer</w:t>
      </w:r>
      <w:r>
        <w:tab/>
      </w:r>
      <w:r>
        <w:fldChar w:fldCharType="begin"/>
      </w:r>
      <w:r>
        <w:instrText xml:space="preserve"> PAGEREF _Toc83220555 \h </w:instrText>
      </w:r>
      <w:r>
        <w:fldChar w:fldCharType="separate"/>
      </w:r>
      <w:r w:rsidR="009D65FF">
        <w:t>81</w:t>
      </w:r>
      <w:r>
        <w:fldChar w:fldCharType="end"/>
      </w:r>
    </w:p>
    <w:p w14:paraId="4BA5304B" w14:textId="2453CEF0" w:rsidR="005A6F86" w:rsidRDefault="005A6F86" w:rsidP="005A6F86">
      <w:pPr>
        <w:pStyle w:val="TOCHeader"/>
        <w:numPr>
          <w:ilvl w:val="0"/>
          <w:numId w:val="0"/>
        </w:numPr>
        <w:rPr>
          <w:rFonts w:eastAsiaTheme="minorEastAsia"/>
          <w:lang w:eastAsia="en-PH"/>
        </w:rPr>
      </w:pPr>
      <w:r>
        <w:t>Primary financial statements</w:t>
      </w:r>
      <w:r>
        <w:tab/>
      </w:r>
      <w:r>
        <w:fldChar w:fldCharType="begin"/>
      </w:r>
      <w:r>
        <w:instrText xml:space="preserve"> PAGEREF _Toc83220556 \h </w:instrText>
      </w:r>
      <w:r>
        <w:fldChar w:fldCharType="separate"/>
      </w:r>
      <w:r w:rsidR="009D65FF">
        <w:t>82</w:t>
      </w:r>
      <w:r>
        <w:fldChar w:fldCharType="end"/>
      </w:r>
    </w:p>
    <w:p w14:paraId="1B3A7B79" w14:textId="50D8130B" w:rsidR="005A6F86" w:rsidRDefault="005A6F86" w:rsidP="005A6F86">
      <w:pPr>
        <w:pStyle w:val="TOCBody"/>
        <w:rPr>
          <w:rFonts w:eastAsiaTheme="minorEastAsia"/>
          <w:lang w:eastAsia="en-PH"/>
        </w:rPr>
      </w:pPr>
      <w:r w:rsidRPr="000F4E7D">
        <w:rPr>
          <w:color w:val="292929"/>
        </w:rPr>
        <w:t>Statement of comprehensive income</w:t>
      </w:r>
      <w:r>
        <w:tab/>
      </w:r>
      <w:r>
        <w:fldChar w:fldCharType="begin"/>
      </w:r>
      <w:r>
        <w:instrText xml:space="preserve"> PAGEREF _Toc83220557 \h </w:instrText>
      </w:r>
      <w:r>
        <w:fldChar w:fldCharType="separate"/>
      </w:r>
      <w:r w:rsidR="009D65FF">
        <w:t>82</w:t>
      </w:r>
      <w:r>
        <w:fldChar w:fldCharType="end"/>
      </w:r>
    </w:p>
    <w:p w14:paraId="2D9F9CB6" w14:textId="43D92754" w:rsidR="005A6F86" w:rsidRDefault="005A6F86" w:rsidP="005A6F86">
      <w:pPr>
        <w:pStyle w:val="TOCBody"/>
        <w:rPr>
          <w:rFonts w:eastAsiaTheme="minorEastAsia"/>
          <w:lang w:eastAsia="en-PH"/>
        </w:rPr>
      </w:pPr>
      <w:r w:rsidRPr="000F4E7D">
        <w:rPr>
          <w:color w:val="292929"/>
        </w:rPr>
        <w:t>Statement of financial position</w:t>
      </w:r>
      <w:r>
        <w:tab/>
      </w:r>
      <w:r>
        <w:fldChar w:fldCharType="begin"/>
      </w:r>
      <w:r>
        <w:instrText xml:space="preserve"> PAGEREF _Toc83220558 \h </w:instrText>
      </w:r>
      <w:r>
        <w:fldChar w:fldCharType="separate"/>
      </w:r>
      <w:r w:rsidR="009D65FF">
        <w:t>83</w:t>
      </w:r>
      <w:r>
        <w:fldChar w:fldCharType="end"/>
      </w:r>
    </w:p>
    <w:p w14:paraId="5F4BBE18" w14:textId="6803DD98" w:rsidR="005A6F86" w:rsidRDefault="005A6F86" w:rsidP="005A6F86">
      <w:pPr>
        <w:pStyle w:val="TOCBody"/>
        <w:rPr>
          <w:rFonts w:eastAsiaTheme="minorEastAsia"/>
          <w:lang w:eastAsia="en-PH"/>
        </w:rPr>
      </w:pPr>
      <w:r>
        <w:t>Statement of changes in equity</w:t>
      </w:r>
      <w:r>
        <w:tab/>
      </w:r>
      <w:r>
        <w:fldChar w:fldCharType="begin"/>
      </w:r>
      <w:r>
        <w:instrText xml:space="preserve"> PAGEREF _Toc83220559 \h </w:instrText>
      </w:r>
      <w:r>
        <w:fldChar w:fldCharType="separate"/>
      </w:r>
      <w:r w:rsidR="009D65FF">
        <w:t>84</w:t>
      </w:r>
      <w:r>
        <w:fldChar w:fldCharType="end"/>
      </w:r>
    </w:p>
    <w:p w14:paraId="77C87F99" w14:textId="2BD57391" w:rsidR="005A6F86" w:rsidRDefault="005A6F86" w:rsidP="005A6F86">
      <w:pPr>
        <w:pStyle w:val="TOCBody"/>
        <w:rPr>
          <w:rFonts w:eastAsiaTheme="minorEastAsia"/>
          <w:lang w:eastAsia="en-PH"/>
        </w:rPr>
      </w:pPr>
      <w:r>
        <w:t>Cash flow statement</w:t>
      </w:r>
      <w:r>
        <w:tab/>
      </w:r>
      <w:r>
        <w:fldChar w:fldCharType="begin"/>
      </w:r>
      <w:r>
        <w:instrText xml:space="preserve"> PAGEREF _Toc83220560 \h </w:instrText>
      </w:r>
      <w:r>
        <w:fldChar w:fldCharType="separate"/>
      </w:r>
      <w:r w:rsidR="009D65FF">
        <w:t>85</w:t>
      </w:r>
      <w:r>
        <w:fldChar w:fldCharType="end"/>
      </w:r>
    </w:p>
    <w:p w14:paraId="61D40B76" w14:textId="64E4B71C" w:rsidR="005A6F86" w:rsidRDefault="005A6F86" w:rsidP="005A6F86">
      <w:pPr>
        <w:pStyle w:val="TOCHeader"/>
        <w:numPr>
          <w:ilvl w:val="0"/>
          <w:numId w:val="0"/>
        </w:numPr>
        <w:rPr>
          <w:rFonts w:eastAsiaTheme="minorEastAsia"/>
          <w:lang w:eastAsia="en-PH"/>
        </w:rPr>
      </w:pPr>
      <w:r>
        <w:t>Overview</w:t>
      </w:r>
      <w:r>
        <w:tab/>
      </w:r>
      <w:r>
        <w:fldChar w:fldCharType="begin"/>
      </w:r>
      <w:r>
        <w:instrText xml:space="preserve"> PAGEREF _Toc83220561 \h </w:instrText>
      </w:r>
      <w:r>
        <w:fldChar w:fldCharType="separate"/>
      </w:r>
      <w:r w:rsidR="009D65FF">
        <w:t>86</w:t>
      </w:r>
      <w:r>
        <w:fldChar w:fldCharType="end"/>
      </w:r>
    </w:p>
    <w:p w14:paraId="1EC8A9E0" w14:textId="13D20E79" w:rsidR="005A6F86" w:rsidRDefault="005A6F86" w:rsidP="005A6F86">
      <w:pPr>
        <w:pStyle w:val="TOCHeader"/>
        <w:numPr>
          <w:ilvl w:val="0"/>
          <w:numId w:val="0"/>
        </w:numPr>
        <w:rPr>
          <w:rFonts w:eastAsiaTheme="minorEastAsia"/>
          <w:lang w:eastAsia="en-PH"/>
        </w:rPr>
      </w:pPr>
      <w:r>
        <w:t>Notes to the financial statements</w:t>
      </w:r>
      <w:r>
        <w:tab/>
      </w:r>
      <w:r>
        <w:fldChar w:fldCharType="begin"/>
      </w:r>
      <w:r>
        <w:instrText xml:space="preserve"> PAGEREF _Toc83220562 \h </w:instrText>
      </w:r>
      <w:r>
        <w:fldChar w:fldCharType="separate"/>
      </w:r>
      <w:r w:rsidR="009D65FF">
        <w:t>88</w:t>
      </w:r>
      <w:r>
        <w:fldChar w:fldCharType="end"/>
      </w:r>
    </w:p>
    <w:p w14:paraId="1329C175" w14:textId="1EB358B0" w:rsidR="005A6F86" w:rsidRDefault="005A6F86" w:rsidP="005A6F86">
      <w:pPr>
        <w:pStyle w:val="TOCHeader"/>
        <w:numPr>
          <w:ilvl w:val="0"/>
          <w:numId w:val="0"/>
        </w:numPr>
        <w:ind w:left="283"/>
        <w:rPr>
          <w:rFonts w:eastAsiaTheme="minorEastAsia"/>
          <w:lang w:eastAsia="en-PH"/>
        </w:rPr>
      </w:pPr>
      <w:r w:rsidRPr="000F4E7D">
        <w:rPr>
          <w:color w:val="292929"/>
        </w:rPr>
        <w:t>Financial performance</w:t>
      </w:r>
      <w:r>
        <w:tab/>
      </w:r>
      <w:r>
        <w:fldChar w:fldCharType="begin"/>
      </w:r>
      <w:r>
        <w:instrText xml:space="preserve"> PAGEREF _Toc83220563 \h </w:instrText>
      </w:r>
      <w:r>
        <w:fldChar w:fldCharType="separate"/>
      </w:r>
      <w:r w:rsidR="009D65FF">
        <w:t>88</w:t>
      </w:r>
      <w:r>
        <w:fldChar w:fldCharType="end"/>
      </w:r>
    </w:p>
    <w:p w14:paraId="43EF5921" w14:textId="740A8396" w:rsidR="005A6F86" w:rsidRDefault="005A6F86" w:rsidP="005A6F86">
      <w:pPr>
        <w:pStyle w:val="TOCBody"/>
        <w:rPr>
          <w:rFonts w:eastAsiaTheme="minorEastAsia"/>
          <w:lang w:eastAsia="en-PH"/>
        </w:rPr>
      </w:pPr>
      <w:r w:rsidRPr="000F4E7D">
        <w:rPr>
          <w:color w:val="292929"/>
        </w:rPr>
        <w:t>Note 1.1 Expenses</w:t>
      </w:r>
      <w:r>
        <w:tab/>
      </w:r>
      <w:r>
        <w:fldChar w:fldCharType="begin"/>
      </w:r>
      <w:r>
        <w:instrText xml:space="preserve"> PAGEREF _Toc83220564 \h </w:instrText>
      </w:r>
      <w:r>
        <w:fldChar w:fldCharType="separate"/>
      </w:r>
      <w:r w:rsidR="009D65FF">
        <w:t>88</w:t>
      </w:r>
      <w:r>
        <w:fldChar w:fldCharType="end"/>
      </w:r>
    </w:p>
    <w:p w14:paraId="503B2699" w14:textId="53FF8F5D" w:rsidR="005A6F86" w:rsidRDefault="005A6F86" w:rsidP="005A6F86">
      <w:pPr>
        <w:pStyle w:val="TOCBody"/>
        <w:rPr>
          <w:rFonts w:eastAsiaTheme="minorEastAsia"/>
          <w:lang w:eastAsia="en-PH"/>
        </w:rPr>
      </w:pPr>
      <w:r w:rsidRPr="000F4E7D">
        <w:rPr>
          <w:color w:val="292929"/>
        </w:rPr>
        <w:t>Note 1.2 Own-source revenue and gains</w:t>
      </w:r>
      <w:r>
        <w:tab/>
      </w:r>
      <w:r>
        <w:fldChar w:fldCharType="begin"/>
      </w:r>
      <w:r>
        <w:instrText xml:space="preserve"> PAGEREF _Toc83220565 \h </w:instrText>
      </w:r>
      <w:r>
        <w:fldChar w:fldCharType="separate"/>
      </w:r>
      <w:r w:rsidR="009D65FF">
        <w:t>90</w:t>
      </w:r>
      <w:r>
        <w:fldChar w:fldCharType="end"/>
      </w:r>
    </w:p>
    <w:p w14:paraId="08448CBC" w14:textId="3F20F599" w:rsidR="005A6F86" w:rsidRDefault="005A6F86" w:rsidP="005A6F86">
      <w:pPr>
        <w:pStyle w:val="TOCHeader"/>
        <w:numPr>
          <w:ilvl w:val="0"/>
          <w:numId w:val="0"/>
        </w:numPr>
        <w:ind w:left="283"/>
        <w:rPr>
          <w:rFonts w:eastAsiaTheme="minorEastAsia"/>
          <w:lang w:eastAsia="en-PH"/>
        </w:rPr>
      </w:pPr>
      <w:r>
        <w:t>Financial position</w:t>
      </w:r>
      <w:r>
        <w:tab/>
      </w:r>
      <w:r>
        <w:fldChar w:fldCharType="begin"/>
      </w:r>
      <w:r>
        <w:instrText xml:space="preserve"> PAGEREF _Toc83220566 \h </w:instrText>
      </w:r>
      <w:r>
        <w:fldChar w:fldCharType="separate"/>
      </w:r>
      <w:r w:rsidR="009D65FF">
        <w:t>92</w:t>
      </w:r>
      <w:r>
        <w:fldChar w:fldCharType="end"/>
      </w:r>
    </w:p>
    <w:p w14:paraId="48D7B0E8" w14:textId="78563E2B" w:rsidR="005A6F86" w:rsidRDefault="005A6F86" w:rsidP="005A6F86">
      <w:pPr>
        <w:pStyle w:val="TOCBody"/>
        <w:rPr>
          <w:rFonts w:eastAsiaTheme="minorEastAsia"/>
          <w:lang w:eastAsia="en-PH"/>
        </w:rPr>
      </w:pPr>
      <w:r>
        <w:t>Note 2.1 Financial assets</w:t>
      </w:r>
      <w:r>
        <w:tab/>
      </w:r>
      <w:r>
        <w:fldChar w:fldCharType="begin"/>
      </w:r>
      <w:r>
        <w:instrText xml:space="preserve"> PAGEREF _Toc83220567 \h </w:instrText>
      </w:r>
      <w:r>
        <w:fldChar w:fldCharType="separate"/>
      </w:r>
      <w:r w:rsidR="009D65FF">
        <w:t>92</w:t>
      </w:r>
      <w:r>
        <w:fldChar w:fldCharType="end"/>
      </w:r>
    </w:p>
    <w:p w14:paraId="15AA9F5B" w14:textId="3DEC667C" w:rsidR="005A6F86" w:rsidRDefault="005A6F86" w:rsidP="005A6F86">
      <w:pPr>
        <w:pStyle w:val="TOCBody"/>
        <w:rPr>
          <w:rFonts w:eastAsiaTheme="minorEastAsia"/>
          <w:lang w:eastAsia="en-PH"/>
        </w:rPr>
      </w:pPr>
      <w:r>
        <w:t>Note 2.2 Non-financial assets</w:t>
      </w:r>
      <w:r>
        <w:tab/>
      </w:r>
      <w:r>
        <w:fldChar w:fldCharType="begin"/>
      </w:r>
      <w:r>
        <w:instrText xml:space="preserve"> PAGEREF _Toc83220568 \h </w:instrText>
      </w:r>
      <w:r>
        <w:fldChar w:fldCharType="separate"/>
      </w:r>
      <w:r w:rsidR="009D65FF">
        <w:t>93</w:t>
      </w:r>
      <w:r>
        <w:fldChar w:fldCharType="end"/>
      </w:r>
    </w:p>
    <w:p w14:paraId="4DB02F30" w14:textId="60593C51" w:rsidR="005A6F86" w:rsidRDefault="005A6F86" w:rsidP="005A6F86">
      <w:pPr>
        <w:pStyle w:val="TOCBody"/>
        <w:rPr>
          <w:rFonts w:eastAsiaTheme="minorEastAsia"/>
          <w:lang w:eastAsia="en-PH"/>
        </w:rPr>
      </w:pPr>
      <w:r>
        <w:t>Note 2.3 Payables</w:t>
      </w:r>
      <w:r>
        <w:tab/>
      </w:r>
      <w:r>
        <w:fldChar w:fldCharType="begin"/>
      </w:r>
      <w:r>
        <w:instrText xml:space="preserve"> PAGEREF _Toc83220569 \h </w:instrText>
      </w:r>
      <w:r>
        <w:fldChar w:fldCharType="separate"/>
      </w:r>
      <w:r w:rsidR="009D65FF">
        <w:t>96</w:t>
      </w:r>
      <w:r>
        <w:fldChar w:fldCharType="end"/>
      </w:r>
    </w:p>
    <w:p w14:paraId="7B0F2910" w14:textId="74F81D28" w:rsidR="005A6F86" w:rsidRDefault="005A6F86" w:rsidP="005A6F86">
      <w:pPr>
        <w:pStyle w:val="TOCBody"/>
        <w:rPr>
          <w:rFonts w:eastAsiaTheme="minorEastAsia"/>
          <w:lang w:eastAsia="en-PH"/>
        </w:rPr>
      </w:pPr>
      <w:r>
        <w:t>Note 2.4 Interest bearing liabilities</w:t>
      </w:r>
      <w:r>
        <w:tab/>
      </w:r>
      <w:r>
        <w:fldChar w:fldCharType="begin"/>
      </w:r>
      <w:r>
        <w:instrText xml:space="preserve"> PAGEREF _Toc83220570 \h </w:instrText>
      </w:r>
      <w:r>
        <w:fldChar w:fldCharType="separate"/>
      </w:r>
      <w:r w:rsidR="009D65FF">
        <w:t>96</w:t>
      </w:r>
      <w:r>
        <w:fldChar w:fldCharType="end"/>
      </w:r>
    </w:p>
    <w:p w14:paraId="0FA748D8" w14:textId="671E09F2" w:rsidR="005A6F86" w:rsidRDefault="005A6F86" w:rsidP="005A6F86">
      <w:pPr>
        <w:pStyle w:val="TOCHeader"/>
        <w:numPr>
          <w:ilvl w:val="0"/>
          <w:numId w:val="0"/>
        </w:numPr>
        <w:ind w:left="283"/>
        <w:rPr>
          <w:rFonts w:eastAsiaTheme="minorEastAsia"/>
          <w:lang w:eastAsia="en-PH"/>
        </w:rPr>
      </w:pPr>
      <w:r>
        <w:t>People and Relationships</w:t>
      </w:r>
      <w:r>
        <w:tab/>
      </w:r>
      <w:r>
        <w:fldChar w:fldCharType="begin"/>
      </w:r>
      <w:r>
        <w:instrText xml:space="preserve"> PAGEREF _Toc83220571 \h </w:instrText>
      </w:r>
      <w:r>
        <w:fldChar w:fldCharType="separate"/>
      </w:r>
      <w:r w:rsidR="009D65FF">
        <w:t>97</w:t>
      </w:r>
      <w:r>
        <w:fldChar w:fldCharType="end"/>
      </w:r>
    </w:p>
    <w:p w14:paraId="1FA24E07" w14:textId="22BCBE70" w:rsidR="005A6F86" w:rsidRDefault="005A6F86" w:rsidP="005A6F86">
      <w:pPr>
        <w:pStyle w:val="TOCBody"/>
        <w:rPr>
          <w:rFonts w:eastAsiaTheme="minorEastAsia"/>
          <w:lang w:eastAsia="en-PH"/>
        </w:rPr>
      </w:pPr>
      <w:r>
        <w:t>Note 3.1 Employee provisions</w:t>
      </w:r>
      <w:r>
        <w:tab/>
      </w:r>
      <w:r>
        <w:fldChar w:fldCharType="begin"/>
      </w:r>
      <w:r>
        <w:instrText xml:space="preserve"> PAGEREF _Toc83220572 \h </w:instrText>
      </w:r>
      <w:r>
        <w:fldChar w:fldCharType="separate"/>
      </w:r>
      <w:r w:rsidR="009D65FF">
        <w:t>97</w:t>
      </w:r>
      <w:r>
        <w:fldChar w:fldCharType="end"/>
      </w:r>
    </w:p>
    <w:p w14:paraId="309827EE" w14:textId="3B06591D" w:rsidR="005A6F86" w:rsidRDefault="005A6F86" w:rsidP="005A6F86">
      <w:pPr>
        <w:pStyle w:val="TOCBody"/>
        <w:rPr>
          <w:rFonts w:eastAsiaTheme="minorEastAsia"/>
          <w:lang w:eastAsia="en-PH"/>
        </w:rPr>
      </w:pPr>
      <w:r>
        <w:t>Note 3.2 Key management personnel remuneration</w:t>
      </w:r>
      <w:r>
        <w:tab/>
      </w:r>
      <w:r>
        <w:fldChar w:fldCharType="begin"/>
      </w:r>
      <w:r>
        <w:instrText xml:space="preserve"> PAGEREF _Toc83220573 \h </w:instrText>
      </w:r>
      <w:r>
        <w:fldChar w:fldCharType="separate"/>
      </w:r>
      <w:r w:rsidR="009D65FF">
        <w:t>98</w:t>
      </w:r>
      <w:r>
        <w:fldChar w:fldCharType="end"/>
      </w:r>
    </w:p>
    <w:p w14:paraId="58409094" w14:textId="6A665757" w:rsidR="005A6F86" w:rsidRDefault="005A6F86" w:rsidP="005A6F86">
      <w:pPr>
        <w:pStyle w:val="TOCBody"/>
        <w:rPr>
          <w:rFonts w:eastAsiaTheme="minorEastAsia"/>
          <w:lang w:eastAsia="en-PH"/>
        </w:rPr>
      </w:pPr>
      <w:r>
        <w:t>Note 3.3 Related party disclosures</w:t>
      </w:r>
      <w:r>
        <w:tab/>
      </w:r>
      <w:r>
        <w:fldChar w:fldCharType="begin"/>
      </w:r>
      <w:r>
        <w:instrText xml:space="preserve"> PAGEREF _Toc83220574 \h </w:instrText>
      </w:r>
      <w:r>
        <w:fldChar w:fldCharType="separate"/>
      </w:r>
      <w:r w:rsidR="009D65FF">
        <w:t>98</w:t>
      </w:r>
      <w:r>
        <w:fldChar w:fldCharType="end"/>
      </w:r>
    </w:p>
    <w:p w14:paraId="3FF763AB" w14:textId="5127FAE8" w:rsidR="005A6F86" w:rsidRDefault="005A6F86" w:rsidP="005A6F86">
      <w:pPr>
        <w:pStyle w:val="TOCHeader"/>
        <w:numPr>
          <w:ilvl w:val="0"/>
          <w:numId w:val="0"/>
        </w:numPr>
        <w:ind w:left="283"/>
        <w:rPr>
          <w:rFonts w:eastAsiaTheme="minorEastAsia"/>
          <w:lang w:eastAsia="en-PH"/>
        </w:rPr>
      </w:pPr>
      <w:r>
        <w:t>Managing uncertainties</w:t>
      </w:r>
      <w:r>
        <w:tab/>
      </w:r>
      <w:r>
        <w:fldChar w:fldCharType="begin"/>
      </w:r>
      <w:r>
        <w:instrText xml:space="preserve"> PAGEREF _Toc83220575 \h </w:instrText>
      </w:r>
      <w:r>
        <w:fldChar w:fldCharType="separate"/>
      </w:r>
      <w:r w:rsidR="009D65FF">
        <w:t>99</w:t>
      </w:r>
      <w:r>
        <w:fldChar w:fldCharType="end"/>
      </w:r>
    </w:p>
    <w:p w14:paraId="10B7722A" w14:textId="5093123E" w:rsidR="005A6F86" w:rsidRDefault="005A6F86" w:rsidP="005A6F86">
      <w:pPr>
        <w:pStyle w:val="TOCBody"/>
        <w:rPr>
          <w:rFonts w:eastAsiaTheme="minorEastAsia"/>
          <w:lang w:eastAsia="en-PH"/>
        </w:rPr>
      </w:pPr>
      <w:r>
        <w:t>Note 4.1 Contingent assets and liabilities</w:t>
      </w:r>
      <w:r>
        <w:tab/>
      </w:r>
      <w:r>
        <w:fldChar w:fldCharType="begin"/>
      </w:r>
      <w:r>
        <w:instrText xml:space="preserve"> PAGEREF _Toc83220576 \h </w:instrText>
      </w:r>
      <w:r>
        <w:fldChar w:fldCharType="separate"/>
      </w:r>
      <w:r w:rsidR="009D65FF">
        <w:t>99</w:t>
      </w:r>
      <w:r>
        <w:fldChar w:fldCharType="end"/>
      </w:r>
    </w:p>
    <w:p w14:paraId="68A35CF8" w14:textId="001BC4A7" w:rsidR="005A6F86" w:rsidRDefault="005A6F86" w:rsidP="005A6F86">
      <w:pPr>
        <w:pStyle w:val="TOCBody"/>
        <w:rPr>
          <w:rFonts w:eastAsiaTheme="minorEastAsia"/>
          <w:lang w:eastAsia="en-PH"/>
        </w:rPr>
      </w:pPr>
      <w:r>
        <w:t>Note 4.2 Financial instruments</w:t>
      </w:r>
      <w:r>
        <w:tab/>
      </w:r>
      <w:r>
        <w:fldChar w:fldCharType="begin"/>
      </w:r>
      <w:r>
        <w:instrText xml:space="preserve"> PAGEREF _Toc83220577 \h </w:instrText>
      </w:r>
      <w:r>
        <w:fldChar w:fldCharType="separate"/>
      </w:r>
      <w:r w:rsidR="009D65FF">
        <w:t>100</w:t>
      </w:r>
      <w:r>
        <w:fldChar w:fldCharType="end"/>
      </w:r>
    </w:p>
    <w:p w14:paraId="5E327A45" w14:textId="629356BC" w:rsidR="005A6F86" w:rsidRDefault="005A6F86" w:rsidP="005A6F86">
      <w:pPr>
        <w:pStyle w:val="TOCBody"/>
        <w:rPr>
          <w:rFonts w:eastAsiaTheme="minorEastAsia"/>
          <w:lang w:eastAsia="en-PH"/>
        </w:rPr>
      </w:pPr>
      <w:r>
        <w:t>Note 4.3 Fair value measurement</w:t>
      </w:r>
      <w:r>
        <w:tab/>
      </w:r>
      <w:r>
        <w:fldChar w:fldCharType="begin"/>
      </w:r>
      <w:r>
        <w:instrText xml:space="preserve"> PAGEREF _Toc83220578 \h </w:instrText>
      </w:r>
      <w:r>
        <w:fldChar w:fldCharType="separate"/>
      </w:r>
      <w:r w:rsidR="009D65FF">
        <w:t>101</w:t>
      </w:r>
      <w:r>
        <w:fldChar w:fldCharType="end"/>
      </w:r>
    </w:p>
    <w:p w14:paraId="5189A3A6" w14:textId="682BEBD0" w:rsidR="005A6F86" w:rsidRDefault="005A6F86" w:rsidP="005A6F86">
      <w:pPr>
        <w:pStyle w:val="TOCHeader"/>
        <w:numPr>
          <w:ilvl w:val="0"/>
          <w:numId w:val="0"/>
        </w:numPr>
        <w:ind w:left="283"/>
        <w:rPr>
          <w:rFonts w:eastAsiaTheme="minorEastAsia"/>
          <w:lang w:eastAsia="en-PH"/>
        </w:rPr>
      </w:pPr>
      <w:r>
        <w:t>Other information</w:t>
      </w:r>
      <w:r>
        <w:tab/>
      </w:r>
      <w:r>
        <w:fldChar w:fldCharType="begin"/>
      </w:r>
      <w:r>
        <w:instrText xml:space="preserve"> PAGEREF _Toc83220579 \h </w:instrText>
      </w:r>
      <w:r>
        <w:fldChar w:fldCharType="separate"/>
      </w:r>
      <w:r w:rsidR="009D65FF">
        <w:t>102</w:t>
      </w:r>
      <w:r>
        <w:fldChar w:fldCharType="end"/>
      </w:r>
    </w:p>
    <w:p w14:paraId="2857F771" w14:textId="12256ED0" w:rsidR="005A6F86" w:rsidRDefault="005A6F86" w:rsidP="005A6F86">
      <w:pPr>
        <w:pStyle w:val="TOCBody"/>
        <w:rPr>
          <w:rFonts w:eastAsiaTheme="minorEastAsia"/>
          <w:lang w:eastAsia="en-PH"/>
        </w:rPr>
      </w:pPr>
      <w:r>
        <w:t>Note 5.1 Current/non-current distinction for assets and liabilities</w:t>
      </w:r>
      <w:r>
        <w:tab/>
      </w:r>
      <w:r>
        <w:fldChar w:fldCharType="begin"/>
      </w:r>
      <w:r>
        <w:instrText xml:space="preserve"> PAGEREF _Toc83220580 \h </w:instrText>
      </w:r>
      <w:r>
        <w:fldChar w:fldCharType="separate"/>
      </w:r>
      <w:r w:rsidR="009D65FF">
        <w:t>102</w:t>
      </w:r>
      <w:r>
        <w:fldChar w:fldCharType="end"/>
      </w:r>
    </w:p>
    <w:p w14:paraId="47EA3275" w14:textId="51BC5F40" w:rsidR="0015771D" w:rsidRDefault="009F752B" w:rsidP="00F7762B">
      <w:pPr>
        <w:pStyle w:val="TOCBody"/>
        <w:spacing w:after="60"/>
      </w:pPr>
      <w:r>
        <w:rPr>
          <w:rFonts w:asciiTheme="majorHAnsi" w:hAnsiTheme="majorHAnsi"/>
        </w:rPr>
        <w:fldChar w:fldCharType="end"/>
      </w:r>
    </w:p>
    <w:p w14:paraId="61352473" w14:textId="77777777" w:rsidR="008D2A25" w:rsidRDefault="008D2A25" w:rsidP="00705609">
      <w:pPr>
        <w:pStyle w:val="Body"/>
        <w:sectPr w:rsidR="008D2A25" w:rsidSect="00441579">
          <w:headerReference w:type="default" r:id="rId189"/>
          <w:footerReference w:type="default" r:id="rId190"/>
          <w:pgSz w:w="9979" w:h="14175"/>
          <w:pgMar w:top="1134" w:right="1134" w:bottom="1134" w:left="1134" w:header="709" w:footer="709" w:gutter="0"/>
          <w:cols w:space="708"/>
          <w:docGrid w:linePitch="360"/>
        </w:sectPr>
      </w:pPr>
    </w:p>
    <w:p w14:paraId="249C3949" w14:textId="6102D992" w:rsidR="004F27FE" w:rsidRPr="009F752B" w:rsidRDefault="00942010" w:rsidP="00441579">
      <w:pPr>
        <w:pStyle w:val="H2Financials"/>
      </w:pPr>
      <w:bookmarkStart w:id="147" w:name="_Toc76744237"/>
      <w:bookmarkStart w:id="148" w:name="_Toc83220554"/>
      <w:r>
        <w:lastRenderedPageBreak/>
        <w:t>Independent a</w:t>
      </w:r>
      <w:r w:rsidR="00400ACB">
        <w:t>uditor’s</w:t>
      </w:r>
      <w:r w:rsidR="004F27FE" w:rsidRPr="009F752B">
        <w:t> </w:t>
      </w:r>
      <w:r>
        <w:t>r</w:t>
      </w:r>
      <w:r w:rsidR="004F27FE" w:rsidRPr="009F752B">
        <w:t>eport</w:t>
      </w:r>
      <w:bookmarkEnd w:id="147"/>
      <w:bookmarkEnd w:id="148"/>
    </w:p>
    <w:p w14:paraId="184E6CDB" w14:textId="563842DE" w:rsidR="004F27FE" w:rsidRDefault="000655A6" w:rsidP="004F27FE">
      <w:pPr>
        <w:rPr>
          <w:color w:val="1C1C1C"/>
          <w:sz w:val="18"/>
          <w:szCs w:val="18"/>
        </w:rPr>
      </w:pPr>
      <w:r>
        <w:rPr>
          <w:noProof/>
          <w:lang w:val="en-AU" w:eastAsia="en-AU"/>
        </w:rPr>
        <w:drawing>
          <wp:inline distT="0" distB="0" distL="0" distR="0" wp14:anchorId="476A2E71" wp14:editId="531ACEFC">
            <wp:extent cx="4019107" cy="5682800"/>
            <wp:effectExtent l="95250" t="76200" r="114935" b="127635"/>
            <wp:docPr id="7" name="Picture 7" descr="Independent auditor’s report to the Minister for Health and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Independent auditor’s report to the Minister for Health and Aged Care"/>
                    <pic:cNvPicPr/>
                  </pic:nvPicPr>
                  <pic:blipFill>
                    <a:blip r:embed="rId191"/>
                    <a:stretch>
                      <a:fillRect/>
                    </a:stretch>
                  </pic:blipFill>
                  <pic:spPr>
                    <a:xfrm>
                      <a:off x="0" y="0"/>
                      <a:ext cx="4029278" cy="5697182"/>
                    </a:xfrm>
                    <a:prstGeom prst="rect">
                      <a:avLst/>
                    </a:prstGeom>
                    <a:solidFill>
                      <a:schemeClr val="bg2"/>
                    </a:solidFill>
                    <a:effectLst>
                      <a:outerShdw blurRad="101600" dist="25400" dir="4560000" algn="tl" rotWithShape="0">
                        <a:prstClr val="black">
                          <a:alpha val="25000"/>
                        </a:prstClr>
                      </a:outerShdw>
                    </a:effectLst>
                  </pic:spPr>
                </pic:pic>
              </a:graphicData>
            </a:graphic>
          </wp:inline>
        </w:drawing>
      </w:r>
    </w:p>
    <w:p w14:paraId="6BA9477F" w14:textId="77777777" w:rsidR="0080406A" w:rsidRDefault="0080406A" w:rsidP="004F27FE">
      <w:pPr>
        <w:rPr>
          <w:color w:val="1C1C1C"/>
          <w:sz w:val="18"/>
          <w:szCs w:val="18"/>
        </w:rPr>
        <w:sectPr w:rsidR="0080406A" w:rsidSect="00441579">
          <w:footerReference w:type="default" r:id="rId192"/>
          <w:footnotePr>
            <w:pos w:val="beneathText"/>
          </w:footnotePr>
          <w:pgSz w:w="9979" w:h="14175" w:code="13"/>
          <w:pgMar w:top="1134" w:right="1134" w:bottom="1134" w:left="1134" w:header="709" w:footer="709" w:gutter="0"/>
          <w:cols w:space="623"/>
          <w:docGrid w:linePitch="360"/>
        </w:sectPr>
      </w:pPr>
    </w:p>
    <w:p w14:paraId="2DCCD539" w14:textId="111C1B93" w:rsidR="0080406A" w:rsidRPr="004F27FE" w:rsidRDefault="000655A6" w:rsidP="004F27FE">
      <w:pPr>
        <w:rPr>
          <w:color w:val="1C1C1C"/>
          <w:sz w:val="18"/>
          <w:szCs w:val="18"/>
        </w:rPr>
      </w:pPr>
      <w:r>
        <w:rPr>
          <w:noProof/>
          <w:lang w:val="en-AU" w:eastAsia="en-AU"/>
        </w:rPr>
        <w:lastRenderedPageBreak/>
        <w:drawing>
          <wp:inline distT="0" distB="0" distL="0" distR="0" wp14:anchorId="7E5AA30D" wp14:editId="3DF9971A">
            <wp:extent cx="4218915" cy="5965319"/>
            <wp:effectExtent l="95250" t="76200" r="106045" b="130810"/>
            <wp:docPr id="34" name="Picture 34" descr="Independent auditor’s report to the Minister for Health and Age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ndependent auditor’s report to the Minister for Health and Aged Care"/>
                    <pic:cNvPicPr/>
                  </pic:nvPicPr>
                  <pic:blipFill>
                    <a:blip r:embed="rId193"/>
                    <a:stretch>
                      <a:fillRect/>
                    </a:stretch>
                  </pic:blipFill>
                  <pic:spPr>
                    <a:xfrm>
                      <a:off x="0" y="0"/>
                      <a:ext cx="4221306" cy="5968700"/>
                    </a:xfrm>
                    <a:prstGeom prst="rect">
                      <a:avLst/>
                    </a:prstGeom>
                    <a:solidFill>
                      <a:schemeClr val="bg2"/>
                    </a:solidFill>
                    <a:effectLst>
                      <a:outerShdw blurRad="101600" dist="25400" dir="4560000" algn="tl" rotWithShape="0">
                        <a:prstClr val="black">
                          <a:alpha val="25000"/>
                        </a:prstClr>
                      </a:outerShdw>
                    </a:effectLst>
                  </pic:spPr>
                </pic:pic>
              </a:graphicData>
            </a:graphic>
          </wp:inline>
        </w:drawing>
      </w:r>
    </w:p>
    <w:p w14:paraId="545A1E82" w14:textId="77777777" w:rsidR="00C14FCE" w:rsidRDefault="00C14FCE" w:rsidP="004F27FE">
      <w:pPr>
        <w:rPr>
          <w:color w:val="1C1C1C"/>
          <w:sz w:val="18"/>
          <w:szCs w:val="18"/>
        </w:rPr>
        <w:sectPr w:rsidR="00C14FCE" w:rsidSect="00441579">
          <w:footerReference w:type="default" r:id="rId194"/>
          <w:footnotePr>
            <w:pos w:val="beneathText"/>
          </w:footnotePr>
          <w:pgSz w:w="9979" w:h="14175" w:code="13"/>
          <w:pgMar w:top="1134" w:right="1134" w:bottom="1134" w:left="1134" w:header="709" w:footer="709" w:gutter="0"/>
          <w:cols w:space="623"/>
          <w:docGrid w:linePitch="360"/>
        </w:sectPr>
      </w:pPr>
    </w:p>
    <w:p w14:paraId="1775FD1D" w14:textId="77777777" w:rsidR="00C14FCE" w:rsidRPr="008D2A25" w:rsidRDefault="00C14FCE" w:rsidP="00C14FCE">
      <w:pPr>
        <w:rPr>
          <w:b/>
          <w:bCs/>
          <w:color w:val="1C1C1C"/>
          <w:sz w:val="18"/>
          <w:szCs w:val="18"/>
        </w:rPr>
      </w:pPr>
      <w:r w:rsidRPr="008D2A25">
        <w:rPr>
          <w:b/>
          <w:bCs/>
          <w:color w:val="1C1C1C"/>
          <w:sz w:val="18"/>
          <w:szCs w:val="18"/>
        </w:rPr>
        <w:lastRenderedPageBreak/>
        <w:t>Independent Hospital Pricing Authority Financial Statements 2020–21</w:t>
      </w:r>
    </w:p>
    <w:p w14:paraId="247C0B57" w14:textId="77777777" w:rsidR="00C14FCE" w:rsidRPr="008D2A25" w:rsidRDefault="00C14FCE" w:rsidP="00C14FCE">
      <w:pPr>
        <w:rPr>
          <w:color w:val="1C1C1C"/>
          <w:sz w:val="18"/>
          <w:szCs w:val="18"/>
        </w:rPr>
      </w:pPr>
      <w:r w:rsidRPr="008D2A25">
        <w:rPr>
          <w:color w:val="1C1C1C"/>
          <w:sz w:val="18"/>
          <w:szCs w:val="18"/>
        </w:rPr>
        <w:t>For the year ended 30 June 202</w:t>
      </w:r>
      <w:r>
        <w:rPr>
          <w:color w:val="1C1C1C"/>
          <w:sz w:val="18"/>
          <w:szCs w:val="18"/>
        </w:rPr>
        <w:t>1</w:t>
      </w:r>
    </w:p>
    <w:p w14:paraId="45CBDF39" w14:textId="77777777" w:rsidR="00C14FCE" w:rsidRPr="008D2A25" w:rsidRDefault="00C14FCE" w:rsidP="00C14FCE">
      <w:pPr>
        <w:pStyle w:val="H3Financials"/>
      </w:pPr>
      <w:bookmarkStart w:id="149" w:name="_Toc83220555"/>
      <w:r w:rsidRPr="00974E28">
        <w:t>Statement by the Chief Executive Officer and Chief Financial Officer</w:t>
      </w:r>
      <w:bookmarkEnd w:id="149"/>
    </w:p>
    <w:p w14:paraId="393F66A6" w14:textId="77777777" w:rsidR="00C14FCE" w:rsidRPr="008D2A25" w:rsidRDefault="00C14FCE" w:rsidP="00C14FCE">
      <w:pPr>
        <w:pStyle w:val="Body"/>
      </w:pPr>
      <w:r w:rsidRPr="008D2A25">
        <w:t xml:space="preserve">In our opinion, the attached financial statements for the year ended 30 June 2021 comply with subsection 42(2) of the </w:t>
      </w:r>
      <w:r w:rsidRPr="008D2A25">
        <w:rPr>
          <w:i/>
          <w:iCs/>
        </w:rPr>
        <w:t>Public Governance, Performance and Accountability Act 2013</w:t>
      </w:r>
      <w:r w:rsidRPr="008D2A25">
        <w:t xml:space="preserve"> (PGPA Act), and are based on properly maintained financial records as per subsection 41(2) of the PGPA Act.</w:t>
      </w:r>
    </w:p>
    <w:p w14:paraId="5051B915" w14:textId="77777777" w:rsidR="00C14FCE" w:rsidRPr="008D2A25" w:rsidRDefault="00C14FCE" w:rsidP="00C14FCE">
      <w:pPr>
        <w:pStyle w:val="Body"/>
      </w:pPr>
      <w:r w:rsidRPr="008D2A25">
        <w:t>In our opinion, at the date of this statement, there are reasonable grounds to believe that the Independent Hospital Pricing Authority will be able to pay its debts as and when they fall due.</w:t>
      </w:r>
    </w:p>
    <w:p w14:paraId="3E1FDEE7" w14:textId="77777777" w:rsidR="00C14FCE" w:rsidRPr="008D2A25" w:rsidRDefault="00C14FCE" w:rsidP="0060649A">
      <w:pPr>
        <w:spacing w:before="360"/>
        <w:rPr>
          <w:color w:val="1C1C1C"/>
          <w:sz w:val="18"/>
          <w:szCs w:val="18"/>
        </w:rPr>
      </w:pPr>
      <w:r w:rsidRPr="008D2A25">
        <w:rPr>
          <w:noProof/>
          <w:color w:val="1C1C1C"/>
          <w:sz w:val="18"/>
          <w:szCs w:val="18"/>
          <w:lang w:val="en-AU" w:eastAsia="en-AU"/>
        </w:rPr>
        <w:drawing>
          <wp:inline distT="0" distB="0" distL="0" distR="0" wp14:anchorId="4A5BC4E3" wp14:editId="36C80CB4">
            <wp:extent cx="711770" cy="273050"/>
            <wp:effectExtent l="0" t="0" r="0" b="0"/>
            <wp:docPr id="46" name="Picture 46" descr="Signature of Mr James Downie&#10;Chief Executive Officer, Independent Hospital Pricing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Signature of Mr James Downie&#10;Chief Executive Officer, Independent Hospital Pricing Authority&#10;"/>
                    <pic:cNvPicPr>
                      <a:picLocks noChangeAspect="1" noChangeArrowheads="1"/>
                    </pic:cNvPicPr>
                  </pic:nvPicPr>
                  <pic:blipFill>
                    <a:blip r:embed="rId100" cstate="print">
                      <a:extLst>
                        <a:ext uri="{28A0092B-C50C-407E-A947-70E740481C1C}">
                          <a14:useLocalDpi xmlns:a14="http://schemas.microsoft.com/office/drawing/2010/main"/>
                        </a:ext>
                      </a:extLst>
                    </a:blip>
                    <a:stretch>
                      <a:fillRect/>
                    </a:stretch>
                  </pic:blipFill>
                  <pic:spPr bwMode="auto">
                    <a:xfrm>
                      <a:off x="0" y="0"/>
                      <a:ext cx="711770" cy="273050"/>
                    </a:xfrm>
                    <a:prstGeom prst="rect">
                      <a:avLst/>
                    </a:prstGeom>
                    <a:noFill/>
                    <a:ln>
                      <a:noFill/>
                    </a:ln>
                  </pic:spPr>
                </pic:pic>
              </a:graphicData>
            </a:graphic>
          </wp:inline>
        </w:drawing>
      </w:r>
    </w:p>
    <w:p w14:paraId="67B71391" w14:textId="22338FD3" w:rsidR="00C14FCE" w:rsidRPr="008D2A25" w:rsidRDefault="00F71418" w:rsidP="00C14FCE">
      <w:pPr>
        <w:rPr>
          <w:color w:val="1C1C1C"/>
          <w:sz w:val="18"/>
          <w:szCs w:val="18"/>
        </w:rPr>
      </w:pPr>
      <w:proofErr w:type="spellStart"/>
      <w:r>
        <w:rPr>
          <w:color w:val="1C1C1C"/>
          <w:sz w:val="18"/>
          <w:szCs w:val="18"/>
        </w:rPr>
        <w:t>Mr</w:t>
      </w:r>
      <w:proofErr w:type="spellEnd"/>
      <w:r>
        <w:rPr>
          <w:color w:val="1C1C1C"/>
          <w:sz w:val="18"/>
          <w:szCs w:val="18"/>
        </w:rPr>
        <w:t xml:space="preserve"> </w:t>
      </w:r>
      <w:r w:rsidR="00C14FCE" w:rsidRPr="008D2A25">
        <w:rPr>
          <w:color w:val="1C1C1C"/>
          <w:sz w:val="18"/>
          <w:szCs w:val="18"/>
        </w:rPr>
        <w:t xml:space="preserve">James </w:t>
      </w:r>
      <w:proofErr w:type="spellStart"/>
      <w:r w:rsidR="00C14FCE" w:rsidRPr="008D2A25">
        <w:rPr>
          <w:color w:val="1C1C1C"/>
          <w:sz w:val="18"/>
          <w:szCs w:val="18"/>
        </w:rPr>
        <w:t>Downie</w:t>
      </w:r>
      <w:proofErr w:type="spellEnd"/>
      <w:r w:rsidR="00C14FCE" w:rsidRPr="008D2A25">
        <w:rPr>
          <w:color w:val="1C1C1C"/>
          <w:sz w:val="18"/>
          <w:szCs w:val="18"/>
        </w:rPr>
        <w:br/>
        <w:t>Chief Executive Officer</w:t>
      </w:r>
      <w:r w:rsidR="00C14FCE" w:rsidRPr="008D2A25">
        <w:rPr>
          <w:color w:val="1C1C1C"/>
          <w:sz w:val="18"/>
          <w:szCs w:val="18"/>
        </w:rPr>
        <w:br/>
      </w:r>
      <w:r w:rsidR="00C14FCE" w:rsidRPr="009C6E92">
        <w:rPr>
          <w:color w:val="1C1C1C"/>
          <w:sz w:val="18"/>
          <w:szCs w:val="18"/>
        </w:rPr>
        <w:t>15 September 2021</w:t>
      </w:r>
    </w:p>
    <w:p w14:paraId="75767EBC" w14:textId="77777777" w:rsidR="00C14FCE" w:rsidRPr="008D2A25" w:rsidRDefault="00C14FCE" w:rsidP="00C14FCE">
      <w:pPr>
        <w:rPr>
          <w:color w:val="1C1C1C"/>
          <w:sz w:val="18"/>
          <w:szCs w:val="18"/>
        </w:rPr>
      </w:pPr>
      <w:r w:rsidRPr="008D2A25">
        <w:rPr>
          <w:noProof/>
          <w:color w:val="1C1C1C"/>
          <w:sz w:val="18"/>
          <w:szCs w:val="18"/>
          <w:lang w:val="en-AU" w:eastAsia="en-AU"/>
        </w:rPr>
        <w:drawing>
          <wp:inline distT="0" distB="0" distL="0" distR="0" wp14:anchorId="4F8BD838" wp14:editId="36ADD4B7">
            <wp:extent cx="384424" cy="486320"/>
            <wp:effectExtent l="0" t="0" r="0" b="9525"/>
            <wp:docPr id="47" name="Picture 47" descr="Signature of Mr Chris Miljak, Chief Financial Officer, Independent Hospital Pric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Signature of Mr Chris Miljak, Chief Financial Officer, Independent Hospital Pricing Authority"/>
                    <pic:cNvPicPr>
                      <a:picLocks noChangeAspect="1" noChangeArrowheads="1"/>
                    </pic:cNvPicPr>
                  </pic:nvPicPr>
                  <pic:blipFill>
                    <a:blip r:embed="rId195">
                      <a:extLst>
                        <a:ext uri="{28A0092B-C50C-407E-A947-70E740481C1C}">
                          <a14:useLocalDpi xmlns:a14="http://schemas.microsoft.com/office/drawing/2010/main"/>
                        </a:ext>
                      </a:extLst>
                    </a:blip>
                    <a:stretch>
                      <a:fillRect/>
                    </a:stretch>
                  </pic:blipFill>
                  <pic:spPr bwMode="auto">
                    <a:xfrm>
                      <a:off x="0" y="0"/>
                      <a:ext cx="384424" cy="486320"/>
                    </a:xfrm>
                    <a:prstGeom prst="rect">
                      <a:avLst/>
                    </a:prstGeom>
                    <a:noFill/>
                    <a:ln>
                      <a:noFill/>
                    </a:ln>
                  </pic:spPr>
                </pic:pic>
              </a:graphicData>
            </a:graphic>
          </wp:inline>
        </w:drawing>
      </w:r>
    </w:p>
    <w:p w14:paraId="5DE8E310" w14:textId="11CF7FEA" w:rsidR="00C14FCE" w:rsidRPr="008D2A25" w:rsidRDefault="00F71418" w:rsidP="00C14FCE">
      <w:pPr>
        <w:rPr>
          <w:color w:val="1C1C1C"/>
          <w:sz w:val="18"/>
          <w:szCs w:val="18"/>
        </w:rPr>
      </w:pPr>
      <w:proofErr w:type="spellStart"/>
      <w:r>
        <w:rPr>
          <w:color w:val="1C1C1C"/>
          <w:sz w:val="18"/>
          <w:szCs w:val="18"/>
        </w:rPr>
        <w:t>Mr</w:t>
      </w:r>
      <w:proofErr w:type="spellEnd"/>
      <w:r>
        <w:rPr>
          <w:color w:val="1C1C1C"/>
          <w:sz w:val="18"/>
          <w:szCs w:val="18"/>
        </w:rPr>
        <w:t xml:space="preserve"> </w:t>
      </w:r>
      <w:r w:rsidR="00C14FCE" w:rsidRPr="008D2A25">
        <w:rPr>
          <w:color w:val="1C1C1C"/>
          <w:sz w:val="18"/>
          <w:szCs w:val="18"/>
        </w:rPr>
        <w:t xml:space="preserve">Chris </w:t>
      </w:r>
      <w:proofErr w:type="spellStart"/>
      <w:r w:rsidR="00C14FCE" w:rsidRPr="008D2A25">
        <w:rPr>
          <w:color w:val="1C1C1C"/>
          <w:sz w:val="18"/>
          <w:szCs w:val="18"/>
        </w:rPr>
        <w:t>Miljak</w:t>
      </w:r>
      <w:proofErr w:type="spellEnd"/>
      <w:r w:rsidR="00C14FCE" w:rsidRPr="008D2A25">
        <w:rPr>
          <w:color w:val="1C1C1C"/>
          <w:sz w:val="18"/>
          <w:szCs w:val="18"/>
        </w:rPr>
        <w:br/>
        <w:t>Chief Financial Officer</w:t>
      </w:r>
      <w:r w:rsidR="00C14FCE" w:rsidRPr="008D2A25">
        <w:rPr>
          <w:color w:val="1C1C1C"/>
          <w:sz w:val="18"/>
          <w:szCs w:val="18"/>
        </w:rPr>
        <w:br/>
      </w:r>
      <w:r w:rsidR="00C14FCE" w:rsidRPr="009C6E92">
        <w:rPr>
          <w:color w:val="1C1C1C"/>
          <w:sz w:val="18"/>
          <w:szCs w:val="18"/>
        </w:rPr>
        <w:t>15 September 2021</w:t>
      </w:r>
    </w:p>
    <w:p w14:paraId="13B2BE0A" w14:textId="0B06AE96" w:rsidR="00C14FCE" w:rsidRPr="004F27FE" w:rsidRDefault="00C14FCE" w:rsidP="004F27FE">
      <w:pPr>
        <w:rPr>
          <w:color w:val="1C1C1C"/>
          <w:sz w:val="18"/>
          <w:szCs w:val="18"/>
        </w:rPr>
        <w:sectPr w:rsidR="00C14FCE" w:rsidRPr="004F27FE" w:rsidSect="00441579">
          <w:footerReference w:type="default" r:id="rId196"/>
          <w:footnotePr>
            <w:pos w:val="beneathText"/>
          </w:footnotePr>
          <w:pgSz w:w="9979" w:h="14175" w:code="13"/>
          <w:pgMar w:top="1134" w:right="1134" w:bottom="1134" w:left="1134" w:header="709" w:footer="709" w:gutter="0"/>
          <w:cols w:space="623"/>
          <w:docGrid w:linePitch="360"/>
        </w:sectPr>
      </w:pPr>
    </w:p>
    <w:p w14:paraId="3133E3C0" w14:textId="77777777" w:rsidR="004F27FE" w:rsidRPr="00241765" w:rsidRDefault="004F27FE" w:rsidP="0015771D">
      <w:pPr>
        <w:pStyle w:val="H2Financials"/>
        <w:spacing w:after="240"/>
      </w:pPr>
      <w:bookmarkStart w:id="150" w:name="_Toc76744238"/>
      <w:bookmarkStart w:id="151" w:name="_Toc83220556"/>
      <w:r w:rsidRPr="00241765">
        <w:lastRenderedPageBreak/>
        <w:t>Primary financial statements</w:t>
      </w:r>
      <w:bookmarkEnd w:id="150"/>
      <w:bookmarkEnd w:id="151"/>
    </w:p>
    <w:p w14:paraId="2EB4FB04" w14:textId="77777777" w:rsidR="004F27FE" w:rsidRPr="00241765" w:rsidRDefault="004F27FE" w:rsidP="009C33E9">
      <w:pPr>
        <w:pStyle w:val="H3Financials"/>
        <w:spacing w:before="120"/>
        <w:rPr>
          <w:color w:val="292929"/>
        </w:rPr>
      </w:pPr>
      <w:bookmarkStart w:id="152" w:name="_Toc83220557"/>
      <w:r w:rsidRPr="00241765">
        <w:rPr>
          <w:color w:val="292929"/>
        </w:rPr>
        <w:t>Statement of comprehensive income</w:t>
      </w:r>
      <w:bookmarkEnd w:id="152"/>
      <w:r w:rsidRPr="00241765">
        <w:rPr>
          <w:color w:val="292929"/>
        </w:rPr>
        <w:t xml:space="preserve"> </w:t>
      </w:r>
    </w:p>
    <w:p w14:paraId="700EA01E" w14:textId="10437951" w:rsidR="004F27FE" w:rsidRPr="004F27FE" w:rsidRDefault="004F27FE" w:rsidP="004F27FE">
      <w:pPr>
        <w:spacing w:after="0"/>
        <w:rPr>
          <w:i/>
          <w:iCs/>
          <w:color w:val="292929"/>
          <w:sz w:val="18"/>
          <w:szCs w:val="18"/>
        </w:rPr>
      </w:pPr>
      <w:r w:rsidRPr="004F27FE">
        <w:rPr>
          <w:i/>
          <w:iCs/>
          <w:color w:val="292929"/>
          <w:sz w:val="18"/>
          <w:szCs w:val="18"/>
        </w:rPr>
        <w:t>for the period ended 30 June 202</w:t>
      </w:r>
      <w:r w:rsidR="00241765" w:rsidRPr="00241765">
        <w:rPr>
          <w:i/>
          <w:iCs/>
          <w:color w:val="292929"/>
          <w:sz w:val="18"/>
          <w:szCs w:val="18"/>
        </w:rPr>
        <w:t>1</w:t>
      </w:r>
    </w:p>
    <w:tbl>
      <w:tblPr>
        <w:tblStyle w:val="1"/>
        <w:tblW w:w="7423" w:type="dxa"/>
        <w:tblLayout w:type="fixed"/>
        <w:tblLook w:val="0020" w:firstRow="1" w:lastRow="0" w:firstColumn="0" w:lastColumn="0" w:noHBand="0" w:noVBand="0"/>
        <w:tblCaption w:val="Statement of comprehensive income"/>
        <w:tblDescription w:val="Statement of comprehensive income"/>
      </w:tblPr>
      <w:tblGrid>
        <w:gridCol w:w="3483"/>
        <w:gridCol w:w="985"/>
        <w:gridCol w:w="985"/>
        <w:gridCol w:w="985"/>
        <w:gridCol w:w="985"/>
      </w:tblGrid>
      <w:tr w:rsidR="00241765" w:rsidRPr="004F27FE" w14:paraId="2EA834AA" w14:textId="77777777" w:rsidTr="006517A1">
        <w:trPr>
          <w:trHeight w:val="340"/>
        </w:trPr>
        <w:tc>
          <w:tcPr>
            <w:tcW w:w="3483" w:type="dxa"/>
          </w:tcPr>
          <w:p w14:paraId="7C218CAA" w14:textId="77777777" w:rsidR="004F27FE" w:rsidRPr="004F27FE" w:rsidRDefault="004F27FE" w:rsidP="001636A3">
            <w:pPr>
              <w:autoSpaceDE w:val="0"/>
              <w:autoSpaceDN w:val="0"/>
              <w:adjustRightInd w:val="0"/>
              <w:spacing w:before="20" w:after="20"/>
              <w:rPr>
                <w:rFonts w:ascii="Futura PT Book" w:hAnsi="Futura PT Book"/>
                <w:color w:val="292929"/>
                <w:sz w:val="24"/>
                <w:szCs w:val="24"/>
              </w:rPr>
            </w:pPr>
          </w:p>
        </w:tc>
        <w:tc>
          <w:tcPr>
            <w:tcW w:w="985" w:type="dxa"/>
            <w:tcBorders>
              <w:bottom w:val="single" w:sz="12" w:space="0" w:color="auto"/>
              <w:right w:val="single" w:sz="18" w:space="0" w:color="FFFFFF" w:themeColor="background2"/>
            </w:tcBorders>
            <w:vAlign w:val="bottom"/>
          </w:tcPr>
          <w:p w14:paraId="2E1E5A02" w14:textId="77777777" w:rsidR="004F27FE" w:rsidRPr="004F27FE" w:rsidRDefault="004F27FE"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5D6FC921" w14:textId="77777777" w:rsidR="004F27FE" w:rsidRPr="004F27FE" w:rsidRDefault="004F27FE"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2021</w:t>
            </w:r>
            <w:r w:rsidRPr="004F27FE">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2483DEFE" w14:textId="77777777" w:rsidR="004F27FE" w:rsidRPr="004F27FE" w:rsidRDefault="004F27FE"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2020</w:t>
            </w:r>
            <w:r w:rsidRPr="004F27FE">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tcBorders>
            <w:vAlign w:val="bottom"/>
          </w:tcPr>
          <w:p w14:paraId="720E6E3E" w14:textId="77777777" w:rsidR="004F27FE" w:rsidRPr="004F27FE" w:rsidRDefault="004F27FE"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4F27FE">
              <w:rPr>
                <w:rFonts w:asciiTheme="majorHAnsi" w:hAnsiTheme="majorHAnsi" w:cs="Futura PT Heavy"/>
                <w:color w:val="292929"/>
                <w:sz w:val="16"/>
                <w:szCs w:val="16"/>
                <w:lang w:val="en-US"/>
              </w:rPr>
              <w:t>Original Budget</w:t>
            </w:r>
            <w:r w:rsidRPr="004F27FE">
              <w:rPr>
                <w:rFonts w:asciiTheme="majorHAnsi" w:hAnsiTheme="majorHAnsi" w:cs="Futura PT Heavy"/>
                <w:color w:val="292929"/>
                <w:sz w:val="16"/>
                <w:szCs w:val="16"/>
                <w:lang w:val="en-US"/>
              </w:rPr>
              <w:br/>
              <w:t>$’000</w:t>
            </w:r>
          </w:p>
        </w:tc>
      </w:tr>
      <w:tr w:rsidR="00241765" w:rsidRPr="004F27FE" w14:paraId="703A275A" w14:textId="77777777" w:rsidTr="008569C2">
        <w:trPr>
          <w:trHeight w:hRule="exact" w:val="227"/>
        </w:trPr>
        <w:tc>
          <w:tcPr>
            <w:tcW w:w="3483" w:type="dxa"/>
          </w:tcPr>
          <w:p w14:paraId="05F92638" w14:textId="77777777" w:rsidR="004F27FE" w:rsidRPr="004F27FE" w:rsidRDefault="004F27FE"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NET COST OF SERVICES</w:t>
            </w:r>
          </w:p>
        </w:tc>
        <w:tc>
          <w:tcPr>
            <w:tcW w:w="985" w:type="dxa"/>
            <w:tcBorders>
              <w:top w:val="single" w:sz="12" w:space="0" w:color="auto"/>
              <w:right w:val="single" w:sz="18" w:space="0" w:color="FFFFFF" w:themeColor="background2"/>
            </w:tcBorders>
          </w:tcPr>
          <w:p w14:paraId="423BD842" w14:textId="77777777" w:rsidR="004F27FE" w:rsidRPr="004F27FE" w:rsidRDefault="004F27FE" w:rsidP="001636A3">
            <w:pPr>
              <w:autoSpaceDE w:val="0"/>
              <w:autoSpaceDN w:val="0"/>
              <w:adjustRightInd w:val="0"/>
              <w:spacing w:before="20" w:after="20"/>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0CE4325F" w14:textId="77777777" w:rsidR="004F27FE" w:rsidRPr="004F27FE" w:rsidRDefault="004F27FE" w:rsidP="001636A3">
            <w:pPr>
              <w:autoSpaceDE w:val="0"/>
              <w:autoSpaceDN w:val="0"/>
              <w:adjustRightInd w:val="0"/>
              <w:spacing w:before="20" w:after="20"/>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296D2A8C" w14:textId="77777777" w:rsidR="004F27FE" w:rsidRPr="004F27FE" w:rsidRDefault="004F27FE" w:rsidP="001636A3">
            <w:pPr>
              <w:autoSpaceDE w:val="0"/>
              <w:autoSpaceDN w:val="0"/>
              <w:adjustRightInd w:val="0"/>
              <w:spacing w:before="20" w:after="20"/>
              <w:rPr>
                <w:color w:val="292929"/>
                <w:sz w:val="14"/>
                <w:szCs w:val="14"/>
              </w:rPr>
            </w:pPr>
          </w:p>
        </w:tc>
        <w:tc>
          <w:tcPr>
            <w:tcW w:w="985" w:type="dxa"/>
            <w:tcBorders>
              <w:top w:val="single" w:sz="12" w:space="0" w:color="auto"/>
              <w:left w:val="single" w:sz="18" w:space="0" w:color="FFFFFF" w:themeColor="background2"/>
            </w:tcBorders>
          </w:tcPr>
          <w:p w14:paraId="5C061400" w14:textId="77777777" w:rsidR="004F27FE" w:rsidRPr="004F27FE" w:rsidRDefault="004F27FE" w:rsidP="001636A3">
            <w:pPr>
              <w:autoSpaceDE w:val="0"/>
              <w:autoSpaceDN w:val="0"/>
              <w:adjustRightInd w:val="0"/>
              <w:spacing w:before="20" w:after="20"/>
              <w:rPr>
                <w:color w:val="292929"/>
                <w:sz w:val="14"/>
                <w:szCs w:val="14"/>
              </w:rPr>
            </w:pPr>
          </w:p>
        </w:tc>
      </w:tr>
      <w:tr w:rsidR="00241765" w:rsidRPr="004F27FE" w14:paraId="7504E878" w14:textId="77777777" w:rsidTr="008569C2">
        <w:trPr>
          <w:trHeight w:val="227"/>
        </w:trPr>
        <w:tc>
          <w:tcPr>
            <w:tcW w:w="3483" w:type="dxa"/>
          </w:tcPr>
          <w:p w14:paraId="0204A25B" w14:textId="77777777" w:rsidR="004F27FE" w:rsidRPr="004F27FE" w:rsidRDefault="004F27FE"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EXPENSES</w:t>
            </w:r>
          </w:p>
        </w:tc>
        <w:tc>
          <w:tcPr>
            <w:tcW w:w="985" w:type="dxa"/>
            <w:tcBorders>
              <w:right w:val="single" w:sz="18" w:space="0" w:color="FFFFFF" w:themeColor="background2"/>
            </w:tcBorders>
          </w:tcPr>
          <w:p w14:paraId="06D53DE0" w14:textId="77777777" w:rsidR="004F27FE" w:rsidRPr="004F27FE" w:rsidRDefault="004F27FE" w:rsidP="001636A3">
            <w:pPr>
              <w:autoSpaceDE w:val="0"/>
              <w:autoSpaceDN w:val="0"/>
              <w:adjustRightInd w:val="0"/>
              <w:spacing w:before="20" w:after="20"/>
              <w:rPr>
                <w:color w:val="292929"/>
                <w:sz w:val="14"/>
                <w:szCs w:val="14"/>
              </w:rPr>
            </w:pPr>
          </w:p>
        </w:tc>
        <w:tc>
          <w:tcPr>
            <w:tcW w:w="985" w:type="dxa"/>
            <w:tcBorders>
              <w:left w:val="single" w:sz="18" w:space="0" w:color="FFFFFF" w:themeColor="background2"/>
              <w:right w:val="single" w:sz="18" w:space="0" w:color="FFFFFF" w:themeColor="background2"/>
            </w:tcBorders>
          </w:tcPr>
          <w:p w14:paraId="3DB3726D" w14:textId="77777777" w:rsidR="004F27FE" w:rsidRPr="004F27FE" w:rsidRDefault="004F27FE" w:rsidP="001636A3">
            <w:pPr>
              <w:autoSpaceDE w:val="0"/>
              <w:autoSpaceDN w:val="0"/>
              <w:adjustRightInd w:val="0"/>
              <w:spacing w:before="20" w:after="20"/>
              <w:rPr>
                <w:color w:val="292929"/>
                <w:sz w:val="14"/>
                <w:szCs w:val="14"/>
              </w:rPr>
            </w:pPr>
          </w:p>
        </w:tc>
        <w:tc>
          <w:tcPr>
            <w:tcW w:w="985" w:type="dxa"/>
            <w:tcBorders>
              <w:left w:val="single" w:sz="18" w:space="0" w:color="FFFFFF" w:themeColor="background2"/>
              <w:right w:val="single" w:sz="18" w:space="0" w:color="FFFFFF" w:themeColor="background2"/>
            </w:tcBorders>
          </w:tcPr>
          <w:p w14:paraId="283984F9" w14:textId="77777777" w:rsidR="004F27FE" w:rsidRPr="004F27FE" w:rsidRDefault="004F27FE" w:rsidP="001636A3">
            <w:pPr>
              <w:autoSpaceDE w:val="0"/>
              <w:autoSpaceDN w:val="0"/>
              <w:adjustRightInd w:val="0"/>
              <w:spacing w:before="20" w:after="20"/>
              <w:rPr>
                <w:color w:val="292929"/>
                <w:sz w:val="14"/>
                <w:szCs w:val="14"/>
              </w:rPr>
            </w:pPr>
          </w:p>
        </w:tc>
        <w:tc>
          <w:tcPr>
            <w:tcW w:w="985" w:type="dxa"/>
            <w:tcBorders>
              <w:left w:val="single" w:sz="18" w:space="0" w:color="FFFFFF" w:themeColor="background2"/>
            </w:tcBorders>
          </w:tcPr>
          <w:p w14:paraId="41AF16A7" w14:textId="77777777" w:rsidR="004F27FE" w:rsidRPr="004F27FE" w:rsidRDefault="004F27FE" w:rsidP="001636A3">
            <w:pPr>
              <w:autoSpaceDE w:val="0"/>
              <w:autoSpaceDN w:val="0"/>
              <w:adjustRightInd w:val="0"/>
              <w:spacing w:before="20" w:after="20"/>
              <w:rPr>
                <w:color w:val="292929"/>
                <w:sz w:val="14"/>
                <w:szCs w:val="14"/>
              </w:rPr>
            </w:pPr>
          </w:p>
        </w:tc>
      </w:tr>
      <w:tr w:rsidR="005E6AA1" w:rsidRPr="004F27FE" w14:paraId="38090EDA" w14:textId="77777777" w:rsidTr="008569C2">
        <w:trPr>
          <w:trHeight w:val="170"/>
        </w:trPr>
        <w:tc>
          <w:tcPr>
            <w:tcW w:w="3483" w:type="dxa"/>
          </w:tcPr>
          <w:p w14:paraId="585741B2"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Employee benefits</w:t>
            </w:r>
          </w:p>
        </w:tc>
        <w:tc>
          <w:tcPr>
            <w:tcW w:w="985" w:type="dxa"/>
            <w:tcBorders>
              <w:right w:val="single" w:sz="18" w:space="0" w:color="FFFFFF" w:themeColor="background2"/>
            </w:tcBorders>
          </w:tcPr>
          <w:p w14:paraId="26803E7B" w14:textId="6BDC7BD7"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1.1A</w:t>
            </w:r>
          </w:p>
        </w:tc>
        <w:tc>
          <w:tcPr>
            <w:tcW w:w="985" w:type="dxa"/>
            <w:tcBorders>
              <w:left w:val="single" w:sz="18" w:space="0" w:color="FFFFFF" w:themeColor="background2"/>
              <w:right w:val="single" w:sz="18" w:space="0" w:color="FFFFFF" w:themeColor="background2"/>
            </w:tcBorders>
          </w:tcPr>
          <w:p w14:paraId="20E9AEFB" w14:textId="32B11BB7"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7,</w:t>
            </w:r>
            <w:r w:rsidR="009D1E53">
              <w:rPr>
                <w:rFonts w:asciiTheme="majorHAnsi" w:hAnsiTheme="majorHAnsi"/>
                <w:color w:val="292929"/>
                <w:sz w:val="14"/>
                <w:szCs w:val="14"/>
              </w:rPr>
              <w:t>764</w:t>
            </w:r>
            <w:r w:rsidRPr="004F27FE">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3FEA92CC" w14:textId="50D01943"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7,983</w:t>
            </w:r>
          </w:p>
        </w:tc>
        <w:tc>
          <w:tcPr>
            <w:tcW w:w="985" w:type="dxa"/>
            <w:tcBorders>
              <w:left w:val="single" w:sz="18" w:space="0" w:color="FFFFFF" w:themeColor="background2"/>
            </w:tcBorders>
          </w:tcPr>
          <w:p w14:paraId="250E7E1E" w14:textId="15574869"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7,983</w:t>
            </w:r>
          </w:p>
        </w:tc>
      </w:tr>
      <w:tr w:rsidR="005E6AA1" w:rsidRPr="004F27FE" w14:paraId="34B2781C" w14:textId="77777777" w:rsidTr="008569C2">
        <w:trPr>
          <w:trHeight w:val="170"/>
        </w:trPr>
        <w:tc>
          <w:tcPr>
            <w:tcW w:w="3483" w:type="dxa"/>
          </w:tcPr>
          <w:p w14:paraId="4E8BA5C0"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Suppliers</w:t>
            </w:r>
          </w:p>
        </w:tc>
        <w:tc>
          <w:tcPr>
            <w:tcW w:w="985" w:type="dxa"/>
            <w:tcBorders>
              <w:right w:val="single" w:sz="18" w:space="0" w:color="FFFFFF" w:themeColor="background2"/>
            </w:tcBorders>
          </w:tcPr>
          <w:p w14:paraId="5E628772" w14:textId="199C3E2A"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1.1B</w:t>
            </w:r>
          </w:p>
        </w:tc>
        <w:tc>
          <w:tcPr>
            <w:tcW w:w="985" w:type="dxa"/>
            <w:tcBorders>
              <w:left w:val="single" w:sz="18" w:space="0" w:color="FFFFFF" w:themeColor="background2"/>
              <w:right w:val="single" w:sz="18" w:space="0" w:color="FFFFFF" w:themeColor="background2"/>
            </w:tcBorders>
          </w:tcPr>
          <w:p w14:paraId="04F3124F" w14:textId="42D53545" w:rsidR="005E6AA1" w:rsidRPr="004F27FE" w:rsidRDefault="009D1E53"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9</w:t>
            </w:r>
            <w:r w:rsidR="00780B28">
              <w:rPr>
                <w:rFonts w:asciiTheme="majorHAnsi" w:hAnsiTheme="majorHAnsi"/>
                <w:color w:val="292929"/>
                <w:sz w:val="14"/>
                <w:szCs w:val="14"/>
              </w:rPr>
              <w:t>,</w:t>
            </w:r>
            <w:r>
              <w:rPr>
                <w:rFonts w:asciiTheme="majorHAnsi" w:hAnsiTheme="majorHAnsi"/>
                <w:color w:val="292929"/>
                <w:sz w:val="14"/>
                <w:szCs w:val="14"/>
              </w:rPr>
              <w:t>800</w:t>
            </w:r>
          </w:p>
        </w:tc>
        <w:tc>
          <w:tcPr>
            <w:tcW w:w="985" w:type="dxa"/>
            <w:tcBorders>
              <w:left w:val="single" w:sz="18" w:space="0" w:color="FFFFFF" w:themeColor="background2"/>
              <w:right w:val="single" w:sz="18" w:space="0" w:color="FFFFFF" w:themeColor="background2"/>
            </w:tcBorders>
          </w:tcPr>
          <w:p w14:paraId="7C1217C5" w14:textId="6F9B5968"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13,224</w:t>
            </w:r>
          </w:p>
        </w:tc>
        <w:tc>
          <w:tcPr>
            <w:tcW w:w="985" w:type="dxa"/>
            <w:tcBorders>
              <w:left w:val="single" w:sz="18" w:space="0" w:color="FFFFFF" w:themeColor="background2"/>
            </w:tcBorders>
          </w:tcPr>
          <w:p w14:paraId="5D26CDCF" w14:textId="6C15AF38"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14,258</w:t>
            </w:r>
          </w:p>
        </w:tc>
      </w:tr>
      <w:tr w:rsidR="005E6AA1" w:rsidRPr="004F27FE" w14:paraId="34A9037B" w14:textId="77777777" w:rsidTr="008569C2">
        <w:trPr>
          <w:trHeight w:val="170"/>
        </w:trPr>
        <w:tc>
          <w:tcPr>
            <w:tcW w:w="3483" w:type="dxa"/>
          </w:tcPr>
          <w:p w14:paraId="3DB691F4"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 xml:space="preserve">Depreciation and </w:t>
            </w:r>
            <w:proofErr w:type="spellStart"/>
            <w:r w:rsidRPr="004F27FE">
              <w:rPr>
                <w:rFonts w:cs="Futura PT Book"/>
                <w:color w:val="292929"/>
                <w:sz w:val="14"/>
                <w:szCs w:val="14"/>
                <w:lang w:val="en-US"/>
              </w:rPr>
              <w:t>amortisation</w:t>
            </w:r>
            <w:proofErr w:type="spellEnd"/>
          </w:p>
        </w:tc>
        <w:tc>
          <w:tcPr>
            <w:tcW w:w="985" w:type="dxa"/>
            <w:tcBorders>
              <w:right w:val="single" w:sz="18" w:space="0" w:color="FFFFFF" w:themeColor="background2"/>
            </w:tcBorders>
          </w:tcPr>
          <w:p w14:paraId="200A17EE" w14:textId="0C94433B"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2.2A</w:t>
            </w:r>
          </w:p>
        </w:tc>
        <w:tc>
          <w:tcPr>
            <w:tcW w:w="985" w:type="dxa"/>
            <w:tcBorders>
              <w:left w:val="single" w:sz="18" w:space="0" w:color="FFFFFF" w:themeColor="background2"/>
              <w:right w:val="single" w:sz="18" w:space="0" w:color="FFFFFF" w:themeColor="background2"/>
            </w:tcBorders>
          </w:tcPr>
          <w:p w14:paraId="3E44DA94" w14:textId="1953CD1B"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1,</w:t>
            </w:r>
            <w:r w:rsidR="009D1E53">
              <w:rPr>
                <w:rFonts w:asciiTheme="majorHAnsi" w:hAnsiTheme="majorHAnsi"/>
                <w:color w:val="292929"/>
                <w:sz w:val="14"/>
                <w:szCs w:val="14"/>
              </w:rPr>
              <w:t>437</w:t>
            </w:r>
          </w:p>
        </w:tc>
        <w:tc>
          <w:tcPr>
            <w:tcW w:w="985" w:type="dxa"/>
            <w:tcBorders>
              <w:left w:val="single" w:sz="18" w:space="0" w:color="FFFFFF" w:themeColor="background2"/>
              <w:right w:val="single" w:sz="18" w:space="0" w:color="FFFFFF" w:themeColor="background2"/>
            </w:tcBorders>
          </w:tcPr>
          <w:p w14:paraId="728246CA" w14:textId="70A2F547"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1,323 </w:t>
            </w:r>
          </w:p>
        </w:tc>
        <w:tc>
          <w:tcPr>
            <w:tcW w:w="985" w:type="dxa"/>
            <w:tcBorders>
              <w:left w:val="single" w:sz="18" w:space="0" w:color="FFFFFF" w:themeColor="background2"/>
            </w:tcBorders>
          </w:tcPr>
          <w:p w14:paraId="0AE2AA39" w14:textId="7D224FB9"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1,111  </w:t>
            </w:r>
          </w:p>
        </w:tc>
      </w:tr>
      <w:tr w:rsidR="005E6AA1" w:rsidRPr="004F27FE" w14:paraId="547643A1" w14:textId="77777777" w:rsidTr="008569C2">
        <w:trPr>
          <w:trHeight w:val="170"/>
        </w:trPr>
        <w:tc>
          <w:tcPr>
            <w:tcW w:w="3483" w:type="dxa"/>
          </w:tcPr>
          <w:p w14:paraId="52F7570E"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Finance costs</w:t>
            </w:r>
          </w:p>
        </w:tc>
        <w:tc>
          <w:tcPr>
            <w:tcW w:w="985" w:type="dxa"/>
            <w:tcBorders>
              <w:right w:val="single" w:sz="18" w:space="0" w:color="FFFFFF" w:themeColor="background2"/>
            </w:tcBorders>
          </w:tcPr>
          <w:p w14:paraId="75D397F6" w14:textId="0BAED24E"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1.1C</w:t>
            </w:r>
          </w:p>
        </w:tc>
        <w:tc>
          <w:tcPr>
            <w:tcW w:w="985" w:type="dxa"/>
            <w:tcBorders>
              <w:left w:val="single" w:sz="18" w:space="0" w:color="FFFFFF" w:themeColor="background2"/>
              <w:right w:val="single" w:sz="18" w:space="0" w:color="FFFFFF" w:themeColor="background2"/>
            </w:tcBorders>
          </w:tcPr>
          <w:p w14:paraId="5179BD70" w14:textId="7B438A89"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 xml:space="preserve">63 </w:t>
            </w:r>
          </w:p>
        </w:tc>
        <w:tc>
          <w:tcPr>
            <w:tcW w:w="985" w:type="dxa"/>
            <w:tcBorders>
              <w:left w:val="single" w:sz="18" w:space="0" w:color="FFFFFF" w:themeColor="background2"/>
              <w:right w:val="single" w:sz="18" w:space="0" w:color="FFFFFF" w:themeColor="background2"/>
            </w:tcBorders>
          </w:tcPr>
          <w:p w14:paraId="4665624E" w14:textId="0A7BF0D5"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75 </w:t>
            </w:r>
          </w:p>
        </w:tc>
        <w:tc>
          <w:tcPr>
            <w:tcW w:w="985" w:type="dxa"/>
            <w:tcBorders>
              <w:left w:val="single" w:sz="18" w:space="0" w:color="FFFFFF" w:themeColor="background2"/>
            </w:tcBorders>
          </w:tcPr>
          <w:p w14:paraId="3A792467" w14:textId="65989641"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 68 </w:t>
            </w:r>
          </w:p>
        </w:tc>
      </w:tr>
      <w:tr w:rsidR="005E6AA1" w:rsidRPr="004F27FE" w14:paraId="34B925DF" w14:textId="77777777" w:rsidTr="008569C2">
        <w:trPr>
          <w:trHeight w:val="170"/>
        </w:trPr>
        <w:tc>
          <w:tcPr>
            <w:tcW w:w="3483" w:type="dxa"/>
          </w:tcPr>
          <w:p w14:paraId="580D6AE0"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Losses from the disposal of assets</w:t>
            </w:r>
          </w:p>
        </w:tc>
        <w:tc>
          <w:tcPr>
            <w:tcW w:w="985" w:type="dxa"/>
            <w:tcBorders>
              <w:right w:val="single" w:sz="18" w:space="0" w:color="FFFFFF" w:themeColor="background2"/>
            </w:tcBorders>
          </w:tcPr>
          <w:p w14:paraId="15CA0917" w14:textId="77777777"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bottom w:val="single" w:sz="2" w:space="0" w:color="auto"/>
              <w:right w:val="single" w:sz="18" w:space="0" w:color="FFFFFF" w:themeColor="background2"/>
            </w:tcBorders>
          </w:tcPr>
          <w:p w14:paraId="02CB788C" w14:textId="2542928B"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 xml:space="preserve">- </w:t>
            </w:r>
          </w:p>
        </w:tc>
        <w:tc>
          <w:tcPr>
            <w:tcW w:w="985" w:type="dxa"/>
            <w:tcBorders>
              <w:left w:val="single" w:sz="18" w:space="0" w:color="FFFFFF" w:themeColor="background2"/>
              <w:bottom w:val="single" w:sz="2" w:space="0" w:color="auto"/>
              <w:right w:val="single" w:sz="18" w:space="0" w:color="FFFFFF" w:themeColor="background2"/>
            </w:tcBorders>
          </w:tcPr>
          <w:p w14:paraId="52DC4762" w14:textId="48784C99"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152 </w:t>
            </w:r>
          </w:p>
        </w:tc>
        <w:tc>
          <w:tcPr>
            <w:tcW w:w="985" w:type="dxa"/>
            <w:tcBorders>
              <w:left w:val="single" w:sz="18" w:space="0" w:color="FFFFFF" w:themeColor="background2"/>
              <w:bottom w:val="single" w:sz="2" w:space="0" w:color="auto"/>
            </w:tcBorders>
          </w:tcPr>
          <w:p w14:paraId="67AB611B" w14:textId="32F9439A"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 - </w:t>
            </w:r>
          </w:p>
        </w:tc>
      </w:tr>
      <w:tr w:rsidR="005E6AA1" w:rsidRPr="004F27FE" w14:paraId="32C8912D" w14:textId="77777777" w:rsidTr="008569C2">
        <w:trPr>
          <w:trHeight w:val="170"/>
        </w:trPr>
        <w:tc>
          <w:tcPr>
            <w:tcW w:w="3483" w:type="dxa"/>
          </w:tcPr>
          <w:p w14:paraId="3DEEA66A" w14:textId="77777777"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Total expenses</w:t>
            </w:r>
          </w:p>
        </w:tc>
        <w:tc>
          <w:tcPr>
            <w:tcW w:w="985" w:type="dxa"/>
            <w:tcBorders>
              <w:right w:val="single" w:sz="18" w:space="0" w:color="FFFFFF" w:themeColor="background2"/>
            </w:tcBorders>
          </w:tcPr>
          <w:p w14:paraId="07731883"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580118F" w14:textId="02BB944E"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1</w:t>
            </w:r>
            <w:r w:rsidR="009D1E53">
              <w:rPr>
                <w:rFonts w:asciiTheme="majorHAnsi" w:hAnsiTheme="majorHAnsi"/>
                <w:color w:val="292929"/>
                <w:sz w:val="14"/>
                <w:szCs w:val="14"/>
              </w:rPr>
              <w:t>9</w:t>
            </w:r>
            <w:r w:rsidRPr="004F27FE">
              <w:rPr>
                <w:rFonts w:asciiTheme="majorHAnsi" w:hAnsiTheme="majorHAnsi"/>
                <w:color w:val="292929"/>
                <w:sz w:val="14"/>
                <w:szCs w:val="14"/>
              </w:rPr>
              <w:t>,</w:t>
            </w:r>
            <w:r w:rsidR="009D1E53">
              <w:rPr>
                <w:rFonts w:asciiTheme="majorHAnsi" w:hAnsiTheme="majorHAnsi"/>
                <w:color w:val="292929"/>
                <w:sz w:val="14"/>
                <w:szCs w:val="14"/>
              </w:rPr>
              <w:t>064</w:t>
            </w:r>
            <w:r w:rsidRPr="004F27FE">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D2E8F16" w14:textId="6F8D584C"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22,757</w:t>
            </w:r>
          </w:p>
        </w:tc>
        <w:tc>
          <w:tcPr>
            <w:tcW w:w="985" w:type="dxa"/>
            <w:tcBorders>
              <w:top w:val="single" w:sz="2" w:space="0" w:color="auto"/>
              <w:left w:val="single" w:sz="18" w:space="0" w:color="FFFFFF" w:themeColor="background2"/>
              <w:bottom w:val="single" w:sz="2" w:space="0" w:color="auto"/>
            </w:tcBorders>
          </w:tcPr>
          <w:p w14:paraId="7E342DA8" w14:textId="28CEB658"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23,420</w:t>
            </w:r>
          </w:p>
        </w:tc>
      </w:tr>
      <w:tr w:rsidR="005E6AA1" w:rsidRPr="004F27FE" w14:paraId="04272775" w14:textId="77777777" w:rsidTr="008569C2">
        <w:trPr>
          <w:trHeight w:val="283"/>
        </w:trPr>
        <w:tc>
          <w:tcPr>
            <w:tcW w:w="3483" w:type="dxa"/>
          </w:tcPr>
          <w:p w14:paraId="53762AA9" w14:textId="77777777"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OWN-SOURCE INCOME</w:t>
            </w:r>
          </w:p>
        </w:tc>
        <w:tc>
          <w:tcPr>
            <w:tcW w:w="985" w:type="dxa"/>
            <w:tcBorders>
              <w:right w:val="single" w:sz="18" w:space="0" w:color="FFFFFF" w:themeColor="background2"/>
            </w:tcBorders>
          </w:tcPr>
          <w:p w14:paraId="774F81E3" w14:textId="77777777" w:rsidR="005E6AA1" w:rsidRPr="004F27FE"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4036E244" w14:textId="77777777" w:rsidR="005E6AA1" w:rsidRPr="004F27FE"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14932DD6" w14:textId="77777777" w:rsidR="005E6AA1" w:rsidRPr="004F27FE"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tcBorders>
          </w:tcPr>
          <w:p w14:paraId="6D522A21" w14:textId="77777777" w:rsidR="005E6AA1" w:rsidRPr="004F27FE" w:rsidRDefault="005E6AA1" w:rsidP="001636A3">
            <w:pPr>
              <w:autoSpaceDE w:val="0"/>
              <w:autoSpaceDN w:val="0"/>
              <w:adjustRightInd w:val="0"/>
              <w:spacing w:before="20" w:after="20"/>
              <w:rPr>
                <w:color w:val="292929"/>
                <w:sz w:val="14"/>
                <w:szCs w:val="14"/>
              </w:rPr>
            </w:pPr>
          </w:p>
        </w:tc>
      </w:tr>
      <w:tr w:rsidR="005E6AA1" w:rsidRPr="004F27FE" w14:paraId="242299AE" w14:textId="77777777" w:rsidTr="008569C2">
        <w:trPr>
          <w:trHeight w:val="170"/>
        </w:trPr>
        <w:tc>
          <w:tcPr>
            <w:tcW w:w="3483" w:type="dxa"/>
          </w:tcPr>
          <w:p w14:paraId="6D216388" w14:textId="77777777"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Own-source revenue</w:t>
            </w:r>
          </w:p>
        </w:tc>
        <w:tc>
          <w:tcPr>
            <w:tcW w:w="985" w:type="dxa"/>
            <w:tcBorders>
              <w:right w:val="single" w:sz="18" w:space="0" w:color="FFFFFF" w:themeColor="background2"/>
            </w:tcBorders>
          </w:tcPr>
          <w:p w14:paraId="34F442CE"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19B3AFFB"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1D72ED2D"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tcBorders>
          </w:tcPr>
          <w:p w14:paraId="5D01ABA4" w14:textId="77777777" w:rsidR="005E6AA1" w:rsidRPr="004F27FE" w:rsidRDefault="005E6AA1" w:rsidP="001636A3">
            <w:pPr>
              <w:autoSpaceDE w:val="0"/>
              <w:autoSpaceDN w:val="0"/>
              <w:adjustRightInd w:val="0"/>
              <w:spacing w:before="20" w:after="20"/>
              <w:jc w:val="right"/>
              <w:rPr>
                <w:color w:val="292929"/>
                <w:sz w:val="14"/>
                <w:szCs w:val="14"/>
              </w:rPr>
            </w:pPr>
          </w:p>
        </w:tc>
      </w:tr>
      <w:tr w:rsidR="005E6AA1" w:rsidRPr="004F27FE" w14:paraId="16398A09" w14:textId="77777777" w:rsidTr="008569C2">
        <w:trPr>
          <w:trHeight w:val="170"/>
        </w:trPr>
        <w:tc>
          <w:tcPr>
            <w:tcW w:w="3483" w:type="dxa"/>
          </w:tcPr>
          <w:p w14:paraId="5E6E7FA7" w14:textId="550A72E7" w:rsidR="005E6AA1" w:rsidRPr="004F27FE" w:rsidRDefault="009D1E53" w:rsidP="001636A3">
            <w:pPr>
              <w:suppressAutoHyphens/>
              <w:autoSpaceDE w:val="0"/>
              <w:autoSpaceDN w:val="0"/>
              <w:adjustRightInd w:val="0"/>
              <w:spacing w:before="20" w:after="20"/>
              <w:textAlignment w:val="center"/>
              <w:rPr>
                <w:rFonts w:cs="Futura PT Book"/>
                <w:color w:val="292929"/>
                <w:sz w:val="14"/>
                <w:szCs w:val="14"/>
                <w:lang w:val="en-US"/>
              </w:rPr>
            </w:pPr>
            <w:r>
              <w:rPr>
                <w:rFonts w:cs="Futura PT Book"/>
                <w:color w:val="292929"/>
                <w:sz w:val="14"/>
                <w:szCs w:val="14"/>
                <w:lang w:val="en-US"/>
              </w:rPr>
              <w:t>Revenue from contracts with customers</w:t>
            </w:r>
          </w:p>
        </w:tc>
        <w:tc>
          <w:tcPr>
            <w:tcW w:w="985" w:type="dxa"/>
            <w:tcBorders>
              <w:right w:val="single" w:sz="18" w:space="0" w:color="FFFFFF" w:themeColor="background2"/>
            </w:tcBorders>
          </w:tcPr>
          <w:p w14:paraId="50240288" w14:textId="3F773AD5"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1.2A</w:t>
            </w:r>
          </w:p>
        </w:tc>
        <w:tc>
          <w:tcPr>
            <w:tcW w:w="985" w:type="dxa"/>
            <w:tcBorders>
              <w:left w:val="single" w:sz="18" w:space="0" w:color="FFFFFF" w:themeColor="background2"/>
              <w:right w:val="single" w:sz="18" w:space="0" w:color="FFFFFF" w:themeColor="background2"/>
            </w:tcBorders>
          </w:tcPr>
          <w:p w14:paraId="10820595" w14:textId="213391FF"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21</w:t>
            </w:r>
            <w:r w:rsidR="009D1E53">
              <w:rPr>
                <w:rFonts w:asciiTheme="majorHAnsi" w:hAnsiTheme="majorHAnsi"/>
                <w:color w:val="292929"/>
                <w:sz w:val="14"/>
                <w:szCs w:val="14"/>
              </w:rPr>
              <w:t>7</w:t>
            </w:r>
          </w:p>
        </w:tc>
        <w:tc>
          <w:tcPr>
            <w:tcW w:w="985" w:type="dxa"/>
            <w:tcBorders>
              <w:left w:val="single" w:sz="18" w:space="0" w:color="FFFFFF" w:themeColor="background2"/>
              <w:right w:val="single" w:sz="18" w:space="0" w:color="FFFFFF" w:themeColor="background2"/>
            </w:tcBorders>
          </w:tcPr>
          <w:p w14:paraId="671CE75D" w14:textId="365462B3"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804 </w:t>
            </w:r>
          </w:p>
        </w:tc>
        <w:tc>
          <w:tcPr>
            <w:tcW w:w="985" w:type="dxa"/>
            <w:tcBorders>
              <w:left w:val="single" w:sz="18" w:space="0" w:color="FFFFFF" w:themeColor="background2"/>
            </w:tcBorders>
          </w:tcPr>
          <w:p w14:paraId="5AE4CA80" w14:textId="6D58F43A"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750  </w:t>
            </w:r>
          </w:p>
        </w:tc>
      </w:tr>
      <w:tr w:rsidR="005E6AA1" w:rsidRPr="004F27FE" w14:paraId="5E98061E" w14:textId="77777777" w:rsidTr="008569C2">
        <w:trPr>
          <w:trHeight w:val="170"/>
        </w:trPr>
        <w:tc>
          <w:tcPr>
            <w:tcW w:w="3483" w:type="dxa"/>
          </w:tcPr>
          <w:p w14:paraId="38714693"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Interest</w:t>
            </w:r>
          </w:p>
        </w:tc>
        <w:tc>
          <w:tcPr>
            <w:tcW w:w="985" w:type="dxa"/>
            <w:tcBorders>
              <w:right w:val="single" w:sz="18" w:space="0" w:color="FFFFFF" w:themeColor="background2"/>
            </w:tcBorders>
          </w:tcPr>
          <w:p w14:paraId="6CAD3DEE"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4D2DCD12" w14:textId="38A28525"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 xml:space="preserve">5 </w:t>
            </w:r>
          </w:p>
        </w:tc>
        <w:tc>
          <w:tcPr>
            <w:tcW w:w="985" w:type="dxa"/>
            <w:tcBorders>
              <w:left w:val="single" w:sz="18" w:space="0" w:color="FFFFFF" w:themeColor="background2"/>
              <w:right w:val="single" w:sz="18" w:space="0" w:color="FFFFFF" w:themeColor="background2"/>
            </w:tcBorders>
          </w:tcPr>
          <w:p w14:paraId="7120FDE2" w14:textId="5C3646D1"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56</w:t>
            </w:r>
          </w:p>
        </w:tc>
        <w:tc>
          <w:tcPr>
            <w:tcW w:w="985" w:type="dxa"/>
            <w:tcBorders>
              <w:left w:val="single" w:sz="18" w:space="0" w:color="FFFFFF" w:themeColor="background2"/>
            </w:tcBorders>
          </w:tcPr>
          <w:p w14:paraId="19B8B8D8" w14:textId="3C0518D0"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20 </w:t>
            </w:r>
          </w:p>
        </w:tc>
      </w:tr>
      <w:tr w:rsidR="005E6AA1" w:rsidRPr="004F27FE" w14:paraId="7FF1BAF3" w14:textId="77777777" w:rsidTr="008569C2">
        <w:trPr>
          <w:trHeight w:val="170"/>
        </w:trPr>
        <w:tc>
          <w:tcPr>
            <w:tcW w:w="3483" w:type="dxa"/>
          </w:tcPr>
          <w:p w14:paraId="092F89F7"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Resources received free of charge</w:t>
            </w:r>
          </w:p>
        </w:tc>
        <w:tc>
          <w:tcPr>
            <w:tcW w:w="985" w:type="dxa"/>
            <w:tcBorders>
              <w:right w:val="single" w:sz="18" w:space="0" w:color="FFFFFF" w:themeColor="background2"/>
            </w:tcBorders>
          </w:tcPr>
          <w:p w14:paraId="7FCC6CC4" w14:textId="4E5C00E8"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1.2B</w:t>
            </w:r>
          </w:p>
        </w:tc>
        <w:tc>
          <w:tcPr>
            <w:tcW w:w="985" w:type="dxa"/>
            <w:tcBorders>
              <w:left w:val="single" w:sz="18" w:space="0" w:color="FFFFFF" w:themeColor="background2"/>
              <w:bottom w:val="single" w:sz="2" w:space="0" w:color="auto"/>
              <w:right w:val="single" w:sz="18" w:space="0" w:color="FFFFFF" w:themeColor="background2"/>
            </w:tcBorders>
          </w:tcPr>
          <w:p w14:paraId="6075A991" w14:textId="4C2C0F2B" w:rsidR="005E6AA1" w:rsidRPr="004F27FE" w:rsidRDefault="009D1E53"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7</w:t>
            </w:r>
            <w:r w:rsidR="00780B28">
              <w:rPr>
                <w:rFonts w:asciiTheme="majorHAnsi" w:hAnsiTheme="majorHAnsi"/>
                <w:color w:val="292929"/>
                <w:sz w:val="14"/>
                <w:szCs w:val="14"/>
              </w:rPr>
              <w:t>,</w:t>
            </w:r>
            <w:r>
              <w:rPr>
                <w:rFonts w:asciiTheme="majorHAnsi" w:hAnsiTheme="majorHAnsi"/>
                <w:color w:val="292929"/>
                <w:sz w:val="14"/>
                <w:szCs w:val="14"/>
              </w:rPr>
              <w:t>440</w:t>
            </w:r>
          </w:p>
        </w:tc>
        <w:tc>
          <w:tcPr>
            <w:tcW w:w="985" w:type="dxa"/>
            <w:tcBorders>
              <w:left w:val="single" w:sz="18" w:space="0" w:color="FFFFFF" w:themeColor="background2"/>
              <w:bottom w:val="single" w:sz="2" w:space="0" w:color="auto"/>
              <w:right w:val="single" w:sz="18" w:space="0" w:color="FFFFFF" w:themeColor="background2"/>
            </w:tcBorders>
          </w:tcPr>
          <w:p w14:paraId="1CF6FE03" w14:textId="38727FB8"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7,722</w:t>
            </w:r>
          </w:p>
        </w:tc>
        <w:tc>
          <w:tcPr>
            <w:tcW w:w="985" w:type="dxa"/>
            <w:tcBorders>
              <w:left w:val="single" w:sz="18" w:space="0" w:color="FFFFFF" w:themeColor="background2"/>
              <w:bottom w:val="single" w:sz="2" w:space="0" w:color="auto"/>
            </w:tcBorders>
          </w:tcPr>
          <w:p w14:paraId="4A7B86DD" w14:textId="133D9A95"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7,562</w:t>
            </w:r>
          </w:p>
        </w:tc>
      </w:tr>
      <w:tr w:rsidR="005E6AA1" w:rsidRPr="004F27FE" w14:paraId="7BDB3C82" w14:textId="77777777" w:rsidTr="008569C2">
        <w:trPr>
          <w:trHeight w:val="170"/>
        </w:trPr>
        <w:tc>
          <w:tcPr>
            <w:tcW w:w="3483" w:type="dxa"/>
          </w:tcPr>
          <w:p w14:paraId="779E0757" w14:textId="77777777"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Total own-source revenue</w:t>
            </w:r>
          </w:p>
        </w:tc>
        <w:tc>
          <w:tcPr>
            <w:tcW w:w="985" w:type="dxa"/>
            <w:tcBorders>
              <w:right w:val="single" w:sz="18" w:space="0" w:color="FFFFFF" w:themeColor="background2"/>
            </w:tcBorders>
          </w:tcPr>
          <w:p w14:paraId="048C999B"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0ED92AC" w14:textId="25E97766" w:rsidR="005E6AA1" w:rsidRPr="004F27FE" w:rsidRDefault="00780B28"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olor w:val="292929"/>
                <w:sz w:val="14"/>
                <w:szCs w:val="14"/>
              </w:rPr>
              <w:t>7,</w:t>
            </w:r>
            <w:r w:rsidR="009D1E53">
              <w:rPr>
                <w:rFonts w:asciiTheme="majorHAnsi" w:hAnsiTheme="majorHAnsi"/>
                <w:color w:val="292929"/>
                <w:sz w:val="14"/>
                <w:szCs w:val="14"/>
              </w:rPr>
              <w:t>662</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5208F46" w14:textId="5F27F94E"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8,582</w:t>
            </w:r>
          </w:p>
        </w:tc>
        <w:tc>
          <w:tcPr>
            <w:tcW w:w="985" w:type="dxa"/>
            <w:tcBorders>
              <w:top w:val="single" w:sz="2" w:space="0" w:color="auto"/>
              <w:left w:val="single" w:sz="18" w:space="0" w:color="FFFFFF" w:themeColor="background2"/>
              <w:bottom w:val="single" w:sz="2" w:space="0" w:color="auto"/>
            </w:tcBorders>
          </w:tcPr>
          <w:p w14:paraId="5D255282" w14:textId="180D2EE2"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8,332 </w:t>
            </w:r>
          </w:p>
        </w:tc>
      </w:tr>
      <w:tr w:rsidR="005E6AA1" w:rsidRPr="004F27FE" w14:paraId="76C7B4F9" w14:textId="77777777" w:rsidTr="008569C2">
        <w:trPr>
          <w:trHeight w:val="170"/>
        </w:trPr>
        <w:tc>
          <w:tcPr>
            <w:tcW w:w="3483" w:type="dxa"/>
          </w:tcPr>
          <w:p w14:paraId="24AD4E06" w14:textId="77777777"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Net cost of services</w:t>
            </w:r>
          </w:p>
        </w:tc>
        <w:tc>
          <w:tcPr>
            <w:tcW w:w="985" w:type="dxa"/>
            <w:tcBorders>
              <w:right w:val="single" w:sz="18" w:space="0" w:color="FFFFFF" w:themeColor="background2"/>
            </w:tcBorders>
          </w:tcPr>
          <w:p w14:paraId="27970D54"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8E71E7D" w14:textId="0AED50EF"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4F27FE">
              <w:rPr>
                <w:rFonts w:asciiTheme="majorHAnsi" w:hAnsiTheme="majorHAnsi"/>
                <w:color w:val="292929"/>
                <w:sz w:val="14"/>
                <w:szCs w:val="14"/>
              </w:rPr>
              <w:t>11,</w:t>
            </w:r>
            <w:r w:rsidR="00780B28">
              <w:rPr>
                <w:rFonts w:asciiTheme="majorHAnsi" w:hAnsiTheme="majorHAnsi"/>
                <w:color w:val="292929"/>
                <w:sz w:val="14"/>
                <w:szCs w:val="14"/>
              </w:rPr>
              <w:t>4</w:t>
            </w:r>
            <w:r w:rsidR="009D1E53">
              <w:rPr>
                <w:rFonts w:asciiTheme="majorHAnsi" w:hAnsiTheme="majorHAnsi"/>
                <w:color w:val="292929"/>
                <w:sz w:val="14"/>
                <w:szCs w:val="14"/>
              </w:rPr>
              <w:t>02</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5898C7D" w14:textId="7F229AAB" w:rsidR="005E6AA1" w:rsidRPr="004F27FE" w:rsidRDefault="005E6AA1" w:rsidP="001636A3">
            <w:pPr>
              <w:suppressAutoHyphens/>
              <w:autoSpaceDE w:val="0"/>
              <w:autoSpaceDN w:val="0"/>
              <w:adjustRightInd w:val="0"/>
              <w:spacing w:before="20" w:after="20"/>
              <w:jc w:val="right"/>
              <w:textAlignment w:val="center"/>
              <w:rPr>
                <w:color w:val="292929"/>
                <w:sz w:val="14"/>
                <w:szCs w:val="14"/>
              </w:rPr>
            </w:pPr>
            <w:r w:rsidRPr="004F27FE">
              <w:rPr>
                <w:color w:val="292929"/>
                <w:sz w:val="14"/>
                <w:szCs w:val="14"/>
              </w:rPr>
              <w:t>14,175</w:t>
            </w:r>
          </w:p>
        </w:tc>
        <w:tc>
          <w:tcPr>
            <w:tcW w:w="985" w:type="dxa"/>
            <w:tcBorders>
              <w:top w:val="single" w:sz="2" w:space="0" w:color="auto"/>
              <w:left w:val="single" w:sz="18" w:space="0" w:color="FFFFFF" w:themeColor="background2"/>
              <w:bottom w:val="single" w:sz="2" w:space="0" w:color="auto"/>
            </w:tcBorders>
          </w:tcPr>
          <w:p w14:paraId="08DF3A2E" w14:textId="76489CB5" w:rsidR="005E6AA1" w:rsidRPr="004F27FE" w:rsidRDefault="005E6AA1" w:rsidP="001636A3">
            <w:pPr>
              <w:suppressAutoHyphens/>
              <w:autoSpaceDE w:val="0"/>
              <w:autoSpaceDN w:val="0"/>
              <w:adjustRightInd w:val="0"/>
              <w:spacing w:before="20" w:after="20"/>
              <w:jc w:val="right"/>
              <w:textAlignment w:val="center"/>
              <w:rPr>
                <w:color w:val="292929"/>
                <w:sz w:val="14"/>
                <w:szCs w:val="14"/>
              </w:rPr>
            </w:pPr>
            <w:r w:rsidRPr="004F27FE">
              <w:rPr>
                <w:color w:val="292929"/>
                <w:sz w:val="14"/>
                <w:szCs w:val="14"/>
              </w:rPr>
              <w:t>15,088</w:t>
            </w:r>
          </w:p>
        </w:tc>
      </w:tr>
      <w:tr w:rsidR="005E6AA1" w:rsidRPr="004F27FE" w14:paraId="50043FB2" w14:textId="77777777" w:rsidTr="008569C2">
        <w:trPr>
          <w:trHeight w:val="227"/>
        </w:trPr>
        <w:tc>
          <w:tcPr>
            <w:tcW w:w="3483" w:type="dxa"/>
          </w:tcPr>
          <w:p w14:paraId="6676B27C"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right w:val="single" w:sz="18" w:space="0" w:color="FFFFFF" w:themeColor="background2"/>
            </w:tcBorders>
          </w:tcPr>
          <w:p w14:paraId="72AA2CF7" w14:textId="77777777"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58BEB7B" w14:textId="77777777"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3D588F3" w14:textId="77777777" w:rsidR="005E6AA1" w:rsidRPr="004F27FE" w:rsidRDefault="005E6AA1" w:rsidP="001636A3">
            <w:pPr>
              <w:suppressAutoHyphens/>
              <w:autoSpaceDE w:val="0"/>
              <w:autoSpaceDN w:val="0"/>
              <w:adjustRightInd w:val="0"/>
              <w:spacing w:before="20" w:after="20"/>
              <w:jc w:val="right"/>
              <w:textAlignment w:val="center"/>
              <w:rPr>
                <w:color w:val="292929"/>
                <w:sz w:val="14"/>
                <w:szCs w:val="14"/>
              </w:rPr>
            </w:pPr>
          </w:p>
        </w:tc>
        <w:tc>
          <w:tcPr>
            <w:tcW w:w="985" w:type="dxa"/>
            <w:tcBorders>
              <w:top w:val="single" w:sz="2" w:space="0" w:color="auto"/>
              <w:left w:val="single" w:sz="18" w:space="0" w:color="FFFFFF" w:themeColor="background2"/>
              <w:bottom w:val="single" w:sz="2" w:space="0" w:color="auto"/>
            </w:tcBorders>
          </w:tcPr>
          <w:p w14:paraId="11F3C61F" w14:textId="77777777"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4F27FE" w14:paraId="2049F230" w14:textId="77777777" w:rsidTr="008569C2">
        <w:trPr>
          <w:trHeight w:val="227"/>
        </w:trPr>
        <w:tc>
          <w:tcPr>
            <w:tcW w:w="3483" w:type="dxa"/>
          </w:tcPr>
          <w:p w14:paraId="4E0C5E7D" w14:textId="77777777" w:rsidR="005E6AA1" w:rsidRPr="004F27FE"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4F27FE">
              <w:rPr>
                <w:rFonts w:cs="Futura PT Book"/>
                <w:color w:val="292929"/>
                <w:sz w:val="14"/>
                <w:szCs w:val="14"/>
                <w:lang w:val="en-US"/>
              </w:rPr>
              <w:t>Revenue from Government</w:t>
            </w:r>
          </w:p>
        </w:tc>
        <w:tc>
          <w:tcPr>
            <w:tcW w:w="985" w:type="dxa"/>
            <w:tcBorders>
              <w:right w:val="single" w:sz="18" w:space="0" w:color="FFFFFF" w:themeColor="background2"/>
            </w:tcBorders>
          </w:tcPr>
          <w:p w14:paraId="4B91BE8C" w14:textId="4C567EB3"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1.2C</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147D23C" w14:textId="270BF779"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13,744</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B590551" w14:textId="50EDD5A4"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15,024 </w:t>
            </w:r>
          </w:p>
        </w:tc>
        <w:tc>
          <w:tcPr>
            <w:tcW w:w="985" w:type="dxa"/>
            <w:tcBorders>
              <w:top w:val="single" w:sz="2" w:space="0" w:color="auto"/>
              <w:left w:val="single" w:sz="18" w:space="0" w:color="FFFFFF" w:themeColor="background2"/>
              <w:bottom w:val="single" w:sz="2" w:space="0" w:color="auto"/>
            </w:tcBorders>
          </w:tcPr>
          <w:p w14:paraId="112DACC6" w14:textId="123F8C47"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14,993</w:t>
            </w:r>
          </w:p>
        </w:tc>
      </w:tr>
      <w:tr w:rsidR="005E6AA1" w:rsidRPr="004F27FE" w14:paraId="5AFA2481" w14:textId="77777777" w:rsidTr="008569C2">
        <w:trPr>
          <w:trHeight w:val="170"/>
        </w:trPr>
        <w:tc>
          <w:tcPr>
            <w:tcW w:w="3483" w:type="dxa"/>
          </w:tcPr>
          <w:p w14:paraId="4FDCCF23" w14:textId="2EB6A24E"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Surplus</w:t>
            </w:r>
            <w:r w:rsidR="009D1E53">
              <w:rPr>
                <w:rFonts w:asciiTheme="majorHAnsi" w:hAnsiTheme="majorHAnsi" w:cs="Futura PT Book"/>
                <w:color w:val="292929"/>
                <w:sz w:val="14"/>
                <w:szCs w:val="14"/>
                <w:lang w:val="en-US"/>
              </w:rPr>
              <w:t xml:space="preserve"> / (Deficit)</w:t>
            </w:r>
          </w:p>
        </w:tc>
        <w:tc>
          <w:tcPr>
            <w:tcW w:w="985" w:type="dxa"/>
            <w:tcBorders>
              <w:right w:val="single" w:sz="18" w:space="0" w:color="FFFFFF" w:themeColor="background2"/>
            </w:tcBorders>
          </w:tcPr>
          <w:p w14:paraId="6503584A"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4C5F0246" w14:textId="4653F49C"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2,</w:t>
            </w:r>
            <w:r w:rsidR="00780B28">
              <w:rPr>
                <w:rFonts w:asciiTheme="majorHAnsi" w:hAnsiTheme="majorHAnsi"/>
                <w:color w:val="292929"/>
                <w:sz w:val="14"/>
                <w:szCs w:val="14"/>
              </w:rPr>
              <w:t>3</w:t>
            </w:r>
            <w:r w:rsidR="009D1E53">
              <w:rPr>
                <w:rFonts w:asciiTheme="majorHAnsi" w:hAnsiTheme="majorHAnsi"/>
                <w:color w:val="292929"/>
                <w:sz w:val="14"/>
                <w:szCs w:val="14"/>
              </w:rPr>
              <w:t>42</w:t>
            </w:r>
            <w:r w:rsidRPr="004F27FE">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3E706C7" w14:textId="278F41FA"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849  </w:t>
            </w:r>
          </w:p>
        </w:tc>
        <w:tc>
          <w:tcPr>
            <w:tcW w:w="985" w:type="dxa"/>
            <w:tcBorders>
              <w:top w:val="single" w:sz="2" w:space="0" w:color="auto"/>
              <w:left w:val="single" w:sz="18" w:space="0" w:color="FFFFFF" w:themeColor="background2"/>
              <w:bottom w:val="single" w:sz="2" w:space="0" w:color="auto"/>
            </w:tcBorders>
          </w:tcPr>
          <w:p w14:paraId="00FBE7D9" w14:textId="44994B84"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(95)</w:t>
            </w:r>
          </w:p>
        </w:tc>
      </w:tr>
      <w:tr w:rsidR="005E6AA1" w:rsidRPr="004F27FE" w14:paraId="3E6864E3" w14:textId="77777777" w:rsidTr="008569C2">
        <w:trPr>
          <w:trHeight w:val="170"/>
        </w:trPr>
        <w:tc>
          <w:tcPr>
            <w:tcW w:w="3483" w:type="dxa"/>
          </w:tcPr>
          <w:p w14:paraId="49575D4E" w14:textId="76AA029D" w:rsidR="005E6AA1" w:rsidRPr="004F27FE"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4F27FE">
              <w:rPr>
                <w:rFonts w:asciiTheme="majorHAnsi" w:hAnsiTheme="majorHAnsi" w:cs="Futura PT Book"/>
                <w:color w:val="292929"/>
                <w:sz w:val="14"/>
                <w:szCs w:val="14"/>
                <w:lang w:val="en-US"/>
              </w:rPr>
              <w:t>Total comprehensive surplus</w:t>
            </w:r>
            <w:r w:rsidR="009D1E53">
              <w:rPr>
                <w:rFonts w:asciiTheme="majorHAnsi" w:hAnsiTheme="majorHAnsi" w:cs="Futura PT Book"/>
                <w:color w:val="292929"/>
                <w:sz w:val="14"/>
                <w:szCs w:val="14"/>
                <w:lang w:val="en-US"/>
              </w:rPr>
              <w:t xml:space="preserve"> / (Deficit)</w:t>
            </w:r>
          </w:p>
        </w:tc>
        <w:tc>
          <w:tcPr>
            <w:tcW w:w="985" w:type="dxa"/>
            <w:tcBorders>
              <w:right w:val="single" w:sz="18" w:space="0" w:color="FFFFFF" w:themeColor="background2"/>
            </w:tcBorders>
          </w:tcPr>
          <w:p w14:paraId="37A3429E" w14:textId="77777777" w:rsidR="005E6AA1" w:rsidRPr="004F27FE"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D3F739B" w14:textId="00653B17" w:rsidR="005E6AA1" w:rsidRPr="004F27FE"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4F27FE">
              <w:rPr>
                <w:rFonts w:asciiTheme="majorHAnsi" w:hAnsiTheme="majorHAnsi"/>
                <w:color w:val="292929"/>
                <w:sz w:val="14"/>
                <w:szCs w:val="14"/>
              </w:rPr>
              <w:t>2,</w:t>
            </w:r>
            <w:r w:rsidR="00780B28">
              <w:rPr>
                <w:rFonts w:asciiTheme="majorHAnsi" w:hAnsiTheme="majorHAnsi"/>
                <w:color w:val="292929"/>
                <w:sz w:val="14"/>
                <w:szCs w:val="14"/>
              </w:rPr>
              <w:t>3</w:t>
            </w:r>
            <w:r w:rsidR="009D1E53">
              <w:rPr>
                <w:rFonts w:asciiTheme="majorHAnsi" w:hAnsiTheme="majorHAnsi"/>
                <w:color w:val="292929"/>
                <w:sz w:val="14"/>
                <w:szCs w:val="14"/>
              </w:rPr>
              <w:t>42</w:t>
            </w:r>
            <w:r w:rsidRPr="004F27FE">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642AA5E" w14:textId="574CE831"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color w:val="292929"/>
                <w:sz w:val="14"/>
                <w:szCs w:val="14"/>
              </w:rPr>
              <w:t xml:space="preserve">849  </w:t>
            </w:r>
          </w:p>
        </w:tc>
        <w:tc>
          <w:tcPr>
            <w:tcW w:w="985" w:type="dxa"/>
            <w:tcBorders>
              <w:top w:val="single" w:sz="2" w:space="0" w:color="auto"/>
              <w:left w:val="single" w:sz="18" w:space="0" w:color="FFFFFF" w:themeColor="background2"/>
              <w:bottom w:val="single" w:sz="2" w:space="0" w:color="auto"/>
            </w:tcBorders>
          </w:tcPr>
          <w:p w14:paraId="568EC6AB" w14:textId="5C069344" w:rsidR="005E6AA1" w:rsidRPr="004F27FE"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4F27FE">
              <w:rPr>
                <w:rFonts w:cs="Futura PT Book"/>
                <w:color w:val="292929"/>
                <w:sz w:val="14"/>
                <w:szCs w:val="14"/>
                <w:lang w:val="en-US"/>
              </w:rPr>
              <w:t>(95)</w:t>
            </w:r>
          </w:p>
        </w:tc>
      </w:tr>
      <w:tr w:rsidR="00241765" w:rsidRPr="004F27FE" w14:paraId="6CF848EF" w14:textId="77777777" w:rsidTr="008569C2">
        <w:trPr>
          <w:trHeight w:val="20"/>
        </w:trPr>
        <w:tc>
          <w:tcPr>
            <w:tcW w:w="3483" w:type="dxa"/>
          </w:tcPr>
          <w:p w14:paraId="45F33F57" w14:textId="77777777" w:rsidR="004F27FE" w:rsidRPr="004F27FE" w:rsidRDefault="004F27FE" w:rsidP="004F27FE">
            <w:pPr>
              <w:suppressAutoHyphens/>
              <w:autoSpaceDE w:val="0"/>
              <w:autoSpaceDN w:val="0"/>
              <w:adjustRightInd w:val="0"/>
              <w:textAlignment w:val="center"/>
              <w:rPr>
                <w:rFonts w:asciiTheme="majorHAnsi" w:hAnsiTheme="majorHAnsi" w:cs="Futura PT Book"/>
                <w:color w:val="292929"/>
                <w:sz w:val="4"/>
                <w:szCs w:val="4"/>
                <w:lang w:val="en-US"/>
              </w:rPr>
            </w:pPr>
          </w:p>
        </w:tc>
        <w:tc>
          <w:tcPr>
            <w:tcW w:w="985" w:type="dxa"/>
            <w:tcBorders>
              <w:right w:val="single" w:sz="18" w:space="0" w:color="FFFFFF" w:themeColor="background2"/>
            </w:tcBorders>
          </w:tcPr>
          <w:p w14:paraId="1FD1D582" w14:textId="77777777" w:rsidR="004F27FE" w:rsidRPr="004F27FE" w:rsidRDefault="004F27FE" w:rsidP="004F27FE">
            <w:pPr>
              <w:autoSpaceDE w:val="0"/>
              <w:autoSpaceDN w:val="0"/>
              <w:adjustRightInd w:val="0"/>
              <w:jc w:val="right"/>
              <w:rPr>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4FF89B17" w14:textId="77777777" w:rsidR="004F27FE" w:rsidRPr="004F27FE" w:rsidRDefault="004F27FE" w:rsidP="004F27FE">
            <w:pPr>
              <w:suppressAutoHyphens/>
              <w:autoSpaceDE w:val="0"/>
              <w:autoSpaceDN w:val="0"/>
              <w:adjustRightInd w:val="0"/>
              <w:jc w:val="right"/>
              <w:textAlignment w:val="center"/>
              <w:rPr>
                <w:rFonts w:asciiTheme="majorHAnsi" w:hAnsiTheme="majorHAnsi"/>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0F62AA69" w14:textId="77777777" w:rsidR="004F27FE" w:rsidRPr="004F27FE" w:rsidRDefault="004F27FE" w:rsidP="004F27FE">
            <w:pPr>
              <w:suppressAutoHyphens/>
              <w:autoSpaceDE w:val="0"/>
              <w:autoSpaceDN w:val="0"/>
              <w:adjustRightInd w:val="0"/>
              <w:jc w:val="right"/>
              <w:textAlignment w:val="center"/>
              <w:rPr>
                <w:color w:val="292929"/>
                <w:sz w:val="4"/>
                <w:szCs w:val="4"/>
              </w:rPr>
            </w:pPr>
          </w:p>
        </w:tc>
        <w:tc>
          <w:tcPr>
            <w:tcW w:w="985" w:type="dxa"/>
            <w:tcBorders>
              <w:top w:val="single" w:sz="2" w:space="0" w:color="auto"/>
              <w:left w:val="single" w:sz="18" w:space="0" w:color="FFFFFF" w:themeColor="background2"/>
            </w:tcBorders>
          </w:tcPr>
          <w:p w14:paraId="57302495" w14:textId="77777777" w:rsidR="004F27FE" w:rsidRPr="004F27FE" w:rsidRDefault="004F27FE" w:rsidP="004F27FE">
            <w:pPr>
              <w:suppressAutoHyphens/>
              <w:autoSpaceDE w:val="0"/>
              <w:autoSpaceDN w:val="0"/>
              <w:adjustRightInd w:val="0"/>
              <w:jc w:val="right"/>
              <w:textAlignment w:val="center"/>
              <w:rPr>
                <w:rFonts w:cs="Futura PT Book"/>
                <w:color w:val="292929"/>
                <w:sz w:val="4"/>
                <w:szCs w:val="4"/>
                <w:lang w:val="en-US"/>
              </w:rPr>
            </w:pPr>
          </w:p>
        </w:tc>
      </w:tr>
      <w:tr w:rsidR="00241765" w:rsidRPr="004F27FE" w14:paraId="4D10E880" w14:textId="77777777" w:rsidTr="008569C2">
        <w:trPr>
          <w:trHeight w:val="454"/>
        </w:trPr>
        <w:tc>
          <w:tcPr>
            <w:tcW w:w="7423" w:type="dxa"/>
            <w:gridSpan w:val="5"/>
          </w:tcPr>
          <w:p w14:paraId="0C12ECBE" w14:textId="77777777" w:rsidR="004F27FE" w:rsidRPr="004F27FE" w:rsidRDefault="004F27FE" w:rsidP="004F27FE">
            <w:pPr>
              <w:suppressAutoHyphens/>
              <w:autoSpaceDE w:val="0"/>
              <w:autoSpaceDN w:val="0"/>
              <w:adjustRightInd w:val="0"/>
              <w:textAlignment w:val="center"/>
              <w:rPr>
                <w:rFonts w:cs="Futura PT Book"/>
                <w:color w:val="292929"/>
                <w:sz w:val="14"/>
                <w:szCs w:val="14"/>
                <w:lang w:val="en-US"/>
              </w:rPr>
            </w:pPr>
            <w:r w:rsidRPr="004F27FE">
              <w:rPr>
                <w:rFonts w:cs="Futura PT Book"/>
                <w:color w:val="292929"/>
                <w:sz w:val="14"/>
                <w:szCs w:val="14"/>
                <w:lang w:val="en-US"/>
              </w:rPr>
              <w:t>The above statement should be read in conjunction with the accompanying notes.</w:t>
            </w:r>
          </w:p>
        </w:tc>
      </w:tr>
    </w:tbl>
    <w:p w14:paraId="508752A0" w14:textId="77777777" w:rsidR="00957DFA" w:rsidRPr="00241765" w:rsidRDefault="00957DFA" w:rsidP="00957DFA">
      <w:pPr>
        <w:pStyle w:val="H4"/>
        <w:spacing w:before="120" w:after="120"/>
        <w:rPr>
          <w:color w:val="292929"/>
          <w:sz w:val="18"/>
        </w:rPr>
      </w:pPr>
      <w:r w:rsidRPr="00241765">
        <w:rPr>
          <w:color w:val="292929"/>
          <w:sz w:val="18"/>
        </w:rPr>
        <w:t>Budget Variances Commentary</w:t>
      </w:r>
    </w:p>
    <w:p w14:paraId="4B419960" w14:textId="77777777" w:rsidR="004F27FE" w:rsidRPr="00241765" w:rsidRDefault="004F27FE" w:rsidP="00957DFA">
      <w:pPr>
        <w:pStyle w:val="Body-Financial"/>
        <w:rPr>
          <w:b/>
          <w:bCs/>
          <w:color w:val="292929"/>
        </w:rPr>
      </w:pPr>
      <w:r w:rsidRPr="00241765">
        <w:rPr>
          <w:b/>
          <w:bCs/>
          <w:color w:val="292929"/>
        </w:rPr>
        <w:t>Statement of Comprehensive Income</w:t>
      </w:r>
    </w:p>
    <w:p w14:paraId="153972CB" w14:textId="69601CDF" w:rsidR="00780B28" w:rsidRDefault="009D1E53" w:rsidP="005E6AA1">
      <w:pPr>
        <w:pStyle w:val="Body-Financial"/>
        <w:ind w:right="-86"/>
        <w:rPr>
          <w:color w:val="292929"/>
        </w:rPr>
      </w:pPr>
      <w:r w:rsidRPr="009D1E53">
        <w:rPr>
          <w:color w:val="292929"/>
        </w:rPr>
        <w:t>Total expenses of $19.064m were $4.356m lower than the budgeted amount of $23.420m. The main driver w</w:t>
      </w:r>
      <w:r w:rsidR="00C963EA">
        <w:rPr>
          <w:color w:val="292929"/>
        </w:rPr>
        <w:t>as</w:t>
      </w:r>
      <w:r w:rsidRPr="009D1E53">
        <w:rPr>
          <w:color w:val="292929"/>
        </w:rPr>
        <w:t xml:space="preserve"> lower supplier expenses of</w:t>
      </w:r>
      <w:r>
        <w:rPr>
          <w:color w:val="292929"/>
        </w:rPr>
        <w:t> </w:t>
      </w:r>
      <w:r w:rsidRPr="009D1E53">
        <w:rPr>
          <w:color w:val="292929"/>
        </w:rPr>
        <w:t xml:space="preserve">$4.458m which were partially offset by higher depreciation and </w:t>
      </w:r>
      <w:proofErr w:type="spellStart"/>
      <w:r w:rsidRPr="009D1E53">
        <w:rPr>
          <w:color w:val="292929"/>
        </w:rPr>
        <w:t>amortisation</w:t>
      </w:r>
      <w:proofErr w:type="spellEnd"/>
      <w:r w:rsidRPr="009D1E53">
        <w:rPr>
          <w:color w:val="292929"/>
        </w:rPr>
        <w:t xml:space="preserve"> expenses of $0.326m.</w:t>
      </w:r>
    </w:p>
    <w:p w14:paraId="3A1BB3C4" w14:textId="53BD2CC3" w:rsidR="00780B28" w:rsidRDefault="009D1E53" w:rsidP="005E6AA1">
      <w:pPr>
        <w:pStyle w:val="Body-Financial"/>
        <w:rPr>
          <w:color w:val="292929"/>
        </w:rPr>
      </w:pPr>
      <w:r w:rsidRPr="009D1E53">
        <w:rPr>
          <w:color w:val="292929"/>
        </w:rPr>
        <w:t>Supplier expenses were lower than budget primarily due to a greater proportion of projects being managed in-house which resulted in</w:t>
      </w:r>
      <w:r>
        <w:rPr>
          <w:color w:val="292929"/>
        </w:rPr>
        <w:t> </w:t>
      </w:r>
      <w:r w:rsidRPr="009D1E53">
        <w:rPr>
          <w:color w:val="292929"/>
        </w:rPr>
        <w:t>net</w:t>
      </w:r>
      <w:r>
        <w:rPr>
          <w:color w:val="292929"/>
        </w:rPr>
        <w:t> </w:t>
      </w:r>
      <w:r w:rsidRPr="009D1E53">
        <w:rPr>
          <w:color w:val="292929"/>
        </w:rPr>
        <w:t>savings</w:t>
      </w:r>
      <w:r w:rsidR="009705B8">
        <w:rPr>
          <w:color w:val="292929"/>
        </w:rPr>
        <w:t>,</w:t>
      </w:r>
      <w:r w:rsidRPr="009D1E53">
        <w:rPr>
          <w:color w:val="292929"/>
        </w:rPr>
        <w:t xml:space="preserve"> and deferred program activity arising from state and territory hospital resources being reassigned to manage the COVID</w:t>
      </w:r>
      <w:r>
        <w:rPr>
          <w:color w:val="292929"/>
        </w:rPr>
        <w:noBreakHyphen/>
      </w:r>
      <w:r w:rsidRPr="009D1E53">
        <w:rPr>
          <w:color w:val="292929"/>
        </w:rPr>
        <w:t>19</w:t>
      </w:r>
      <w:r>
        <w:rPr>
          <w:color w:val="292929"/>
        </w:rPr>
        <w:t> </w:t>
      </w:r>
      <w:r w:rsidRPr="009D1E53">
        <w:rPr>
          <w:color w:val="292929"/>
        </w:rPr>
        <w:t>pandemic.</w:t>
      </w:r>
    </w:p>
    <w:p w14:paraId="25E63089" w14:textId="07D75921" w:rsidR="00780B28" w:rsidRDefault="009D1E53" w:rsidP="005E6AA1">
      <w:pPr>
        <w:pStyle w:val="Body-Financial"/>
        <w:rPr>
          <w:color w:val="292929"/>
        </w:rPr>
      </w:pPr>
      <w:r w:rsidRPr="009D1E53">
        <w:rPr>
          <w:color w:val="292929"/>
        </w:rPr>
        <w:t xml:space="preserve">Depreciation and </w:t>
      </w:r>
      <w:proofErr w:type="spellStart"/>
      <w:r w:rsidRPr="009D1E53">
        <w:rPr>
          <w:color w:val="292929"/>
        </w:rPr>
        <w:t>amortisation</w:t>
      </w:r>
      <w:proofErr w:type="spellEnd"/>
      <w:r w:rsidRPr="009D1E53">
        <w:rPr>
          <w:color w:val="292929"/>
        </w:rPr>
        <w:t xml:space="preserve"> expenses were higher than budget primarily due to reducing the useful life of leasehold improvement assets consistent with the reassessment of the lease term.</w:t>
      </w:r>
    </w:p>
    <w:p w14:paraId="3992DC26" w14:textId="77777777" w:rsidR="009D1E53" w:rsidRDefault="009D1E53" w:rsidP="005E6AA1">
      <w:pPr>
        <w:pStyle w:val="Body-Financial"/>
        <w:rPr>
          <w:color w:val="292929"/>
        </w:rPr>
      </w:pPr>
      <w:r w:rsidRPr="009D1E53">
        <w:rPr>
          <w:color w:val="292929"/>
        </w:rPr>
        <w:t xml:space="preserve">Total own source income of $7.662m was $0.670m less than the budgeted amount of $8.322m, primarily due to lower revenue from contracts with customers of $0.533m and lower resources received free of charge of $0.122m. </w:t>
      </w:r>
    </w:p>
    <w:p w14:paraId="249CC75D" w14:textId="022BF847" w:rsidR="00780B28" w:rsidRDefault="009D1E53" w:rsidP="005E6AA1">
      <w:pPr>
        <w:pStyle w:val="Body-Financial"/>
        <w:rPr>
          <w:color w:val="292929"/>
        </w:rPr>
      </w:pPr>
      <w:r w:rsidRPr="009D1E53">
        <w:rPr>
          <w:color w:val="292929"/>
        </w:rPr>
        <w:t xml:space="preserve">Revenue from contracts with customers were lower than budget due to fewer sales of </w:t>
      </w:r>
      <w:proofErr w:type="spellStart"/>
      <w:r w:rsidRPr="009D1E53">
        <w:rPr>
          <w:color w:val="292929"/>
        </w:rPr>
        <w:t>licences</w:t>
      </w:r>
      <w:proofErr w:type="spellEnd"/>
      <w:r w:rsidRPr="009D1E53">
        <w:rPr>
          <w:color w:val="292929"/>
        </w:rPr>
        <w:t xml:space="preserve"> relating to the Australian Refined Diagnosis Related Groups classification systems as a result of the COVID-19 pandemic.</w:t>
      </w:r>
    </w:p>
    <w:p w14:paraId="543C6A71" w14:textId="33106BE7" w:rsidR="00300754" w:rsidRDefault="009D1E53" w:rsidP="00915C78">
      <w:pPr>
        <w:pStyle w:val="Body-Financial"/>
        <w:rPr>
          <w:bCs/>
        </w:rPr>
      </w:pPr>
      <w:r w:rsidRPr="009D1E53">
        <w:t>Revenue from Government of $1</w:t>
      </w:r>
      <w:r w:rsidR="009705B8">
        <w:t>3.744</w:t>
      </w:r>
      <w:r w:rsidRPr="009D1E53">
        <w:t>m was also lower than budget by $1.249m as IHPA did not require the full budgeted amount from the Department of Health due to lower supplier expenses.</w:t>
      </w:r>
    </w:p>
    <w:p w14:paraId="73F28B15" w14:textId="2C8A6473" w:rsidR="00780B28" w:rsidRDefault="00780B28" w:rsidP="00957DFA">
      <w:pPr>
        <w:pStyle w:val="H3Financials"/>
        <w:spacing w:before="0" w:after="60"/>
        <w:rPr>
          <w:color w:val="292929"/>
        </w:rPr>
        <w:sectPr w:rsidR="00780B28" w:rsidSect="00441579">
          <w:footerReference w:type="default" r:id="rId197"/>
          <w:pgSz w:w="9979" w:h="14175"/>
          <w:pgMar w:top="1134" w:right="1134" w:bottom="1134" w:left="1134" w:header="709" w:footer="709" w:gutter="0"/>
          <w:cols w:space="708"/>
          <w:docGrid w:linePitch="360"/>
        </w:sectPr>
      </w:pPr>
    </w:p>
    <w:p w14:paraId="47C5F2DD" w14:textId="77777777" w:rsidR="005E6AA1" w:rsidRPr="00241765" w:rsidRDefault="005E6AA1" w:rsidP="005E6AA1">
      <w:pPr>
        <w:pStyle w:val="H3Financials"/>
        <w:spacing w:before="0" w:after="40"/>
        <w:rPr>
          <w:color w:val="292929"/>
        </w:rPr>
      </w:pPr>
      <w:bookmarkStart w:id="153" w:name="_Toc83220558"/>
      <w:r w:rsidRPr="00241765">
        <w:rPr>
          <w:color w:val="292929"/>
        </w:rPr>
        <w:lastRenderedPageBreak/>
        <w:t>Statement of financial position</w:t>
      </w:r>
      <w:bookmarkEnd w:id="153"/>
      <w:r w:rsidRPr="00241765">
        <w:rPr>
          <w:color w:val="292929"/>
        </w:rPr>
        <w:t xml:space="preserve"> </w:t>
      </w:r>
    </w:p>
    <w:p w14:paraId="1002D71D" w14:textId="77777777" w:rsidR="005E6AA1" w:rsidRPr="00241765" w:rsidRDefault="005E6AA1" w:rsidP="005E6AA1">
      <w:pPr>
        <w:pStyle w:val="Body"/>
        <w:spacing w:after="0"/>
        <w:rPr>
          <w:i/>
          <w:iCs/>
          <w:color w:val="292929"/>
        </w:rPr>
      </w:pPr>
      <w:r w:rsidRPr="00241765">
        <w:rPr>
          <w:i/>
          <w:iCs/>
          <w:color w:val="292929"/>
        </w:rPr>
        <w:t>as at 30 June 2021</w:t>
      </w:r>
    </w:p>
    <w:tbl>
      <w:tblPr>
        <w:tblStyle w:val="IHPA"/>
        <w:tblW w:w="7423" w:type="dxa"/>
        <w:tblLayout w:type="fixed"/>
        <w:tblLook w:val="0020" w:firstRow="1" w:lastRow="0" w:firstColumn="0" w:lastColumn="0" w:noHBand="0" w:noVBand="0"/>
        <w:tblCaption w:val="Statement of financial position"/>
        <w:tblDescription w:val="Statement of financial position"/>
      </w:tblPr>
      <w:tblGrid>
        <w:gridCol w:w="3483"/>
        <w:gridCol w:w="985"/>
        <w:gridCol w:w="985"/>
        <w:gridCol w:w="985"/>
        <w:gridCol w:w="985"/>
      </w:tblGrid>
      <w:tr w:rsidR="008569C2" w:rsidRPr="00241765" w14:paraId="618AC6AA" w14:textId="77777777" w:rsidTr="006517A1">
        <w:trPr>
          <w:trHeight w:val="340"/>
        </w:trPr>
        <w:tc>
          <w:tcPr>
            <w:tcW w:w="3483" w:type="dxa"/>
          </w:tcPr>
          <w:p w14:paraId="58032A4E" w14:textId="77777777" w:rsidR="005E6AA1" w:rsidRPr="00241765" w:rsidRDefault="005E6AA1" w:rsidP="001636A3">
            <w:pPr>
              <w:autoSpaceDE w:val="0"/>
              <w:autoSpaceDN w:val="0"/>
              <w:adjustRightInd w:val="0"/>
              <w:spacing w:before="20" w:after="20"/>
              <w:rPr>
                <w:rFonts w:ascii="Futura PT Book" w:hAnsi="Futura PT Book"/>
                <w:color w:val="292929"/>
                <w:sz w:val="24"/>
                <w:szCs w:val="24"/>
              </w:rPr>
            </w:pPr>
          </w:p>
        </w:tc>
        <w:tc>
          <w:tcPr>
            <w:tcW w:w="985" w:type="dxa"/>
            <w:tcBorders>
              <w:bottom w:val="single" w:sz="12" w:space="0" w:color="auto"/>
              <w:right w:val="single" w:sz="18" w:space="0" w:color="FFFFFF" w:themeColor="background2"/>
            </w:tcBorders>
            <w:vAlign w:val="bottom"/>
          </w:tcPr>
          <w:p w14:paraId="0C7AEA13" w14:textId="77777777" w:rsidR="005E6AA1" w:rsidRPr="00241765"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6272986B" w14:textId="77777777" w:rsidR="005E6AA1" w:rsidRPr="00241765"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2021</w:t>
            </w:r>
            <w:r w:rsidRPr="00241765">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614E1F94" w14:textId="77777777" w:rsidR="005E6AA1" w:rsidRPr="00241765"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2020</w:t>
            </w:r>
            <w:r w:rsidRPr="00241765">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tcBorders>
            <w:vAlign w:val="bottom"/>
          </w:tcPr>
          <w:p w14:paraId="0D1E6163" w14:textId="77777777" w:rsidR="005E6AA1" w:rsidRPr="00241765"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241765">
              <w:rPr>
                <w:rFonts w:asciiTheme="majorHAnsi" w:hAnsiTheme="majorHAnsi" w:cs="Futura PT Heavy"/>
                <w:color w:val="292929"/>
                <w:sz w:val="16"/>
                <w:szCs w:val="16"/>
                <w:lang w:val="en-US"/>
              </w:rPr>
              <w:t>Original Budget</w:t>
            </w:r>
            <w:r w:rsidRPr="00241765">
              <w:rPr>
                <w:rFonts w:asciiTheme="majorHAnsi" w:hAnsiTheme="majorHAnsi" w:cs="Futura PT Heavy"/>
                <w:color w:val="292929"/>
                <w:sz w:val="16"/>
                <w:szCs w:val="16"/>
                <w:lang w:val="en-US"/>
              </w:rPr>
              <w:br/>
              <w:t>$’000</w:t>
            </w:r>
          </w:p>
        </w:tc>
      </w:tr>
      <w:tr w:rsidR="008569C2" w:rsidRPr="00241765" w14:paraId="77D5E3A2" w14:textId="77777777" w:rsidTr="008569C2">
        <w:trPr>
          <w:trHeight w:hRule="exact" w:val="227"/>
        </w:trPr>
        <w:tc>
          <w:tcPr>
            <w:tcW w:w="3483" w:type="dxa"/>
          </w:tcPr>
          <w:p w14:paraId="23F44E56"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s="Futura PT Book"/>
                <w:color w:val="292929"/>
                <w:sz w:val="14"/>
                <w:szCs w:val="14"/>
                <w:lang w:val="en-US"/>
              </w:rPr>
              <w:t>ASSETS</w:t>
            </w:r>
          </w:p>
        </w:tc>
        <w:tc>
          <w:tcPr>
            <w:tcW w:w="985" w:type="dxa"/>
            <w:tcBorders>
              <w:top w:val="single" w:sz="12" w:space="0" w:color="auto"/>
              <w:right w:val="single" w:sz="18" w:space="0" w:color="FFFFFF" w:themeColor="background2"/>
            </w:tcBorders>
          </w:tcPr>
          <w:p w14:paraId="6E6E0644"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0DF3546B" w14:textId="77777777" w:rsidR="005E6AA1" w:rsidRPr="00241765" w:rsidRDefault="005E6AA1" w:rsidP="001636A3">
            <w:pPr>
              <w:autoSpaceDE w:val="0"/>
              <w:autoSpaceDN w:val="0"/>
              <w:adjustRightInd w:val="0"/>
              <w:spacing w:before="20" w:after="20"/>
              <w:jc w:val="right"/>
              <w:rPr>
                <w:rFonts w:asciiTheme="majorHAnsi" w:hAnsiTheme="majorHAnsi"/>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4AFA4E22"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tcBorders>
          </w:tcPr>
          <w:p w14:paraId="7F945034" w14:textId="77777777" w:rsidR="005E6AA1" w:rsidRPr="00241765" w:rsidRDefault="005E6AA1" w:rsidP="001636A3">
            <w:pPr>
              <w:autoSpaceDE w:val="0"/>
              <w:autoSpaceDN w:val="0"/>
              <w:adjustRightInd w:val="0"/>
              <w:spacing w:before="20" w:after="20"/>
              <w:jc w:val="right"/>
              <w:rPr>
                <w:color w:val="292929"/>
                <w:sz w:val="14"/>
                <w:szCs w:val="14"/>
              </w:rPr>
            </w:pPr>
          </w:p>
        </w:tc>
      </w:tr>
      <w:tr w:rsidR="005E6AA1" w:rsidRPr="00241765" w14:paraId="33759979" w14:textId="77777777" w:rsidTr="008569C2">
        <w:trPr>
          <w:trHeight w:val="170"/>
        </w:trPr>
        <w:tc>
          <w:tcPr>
            <w:tcW w:w="3483" w:type="dxa"/>
          </w:tcPr>
          <w:p w14:paraId="638AAAB8"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Financial assets</w:t>
            </w:r>
          </w:p>
        </w:tc>
        <w:tc>
          <w:tcPr>
            <w:tcW w:w="985" w:type="dxa"/>
            <w:tcBorders>
              <w:right w:val="single" w:sz="18" w:space="0" w:color="FFFFFF" w:themeColor="background2"/>
            </w:tcBorders>
          </w:tcPr>
          <w:p w14:paraId="59C45233"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B9243F2" w14:textId="77777777" w:rsidR="005E6AA1" w:rsidRPr="00241765" w:rsidRDefault="005E6AA1" w:rsidP="001636A3">
            <w:pPr>
              <w:autoSpaceDE w:val="0"/>
              <w:autoSpaceDN w:val="0"/>
              <w:adjustRightInd w:val="0"/>
              <w:spacing w:before="20" w:after="20"/>
              <w:jc w:val="right"/>
              <w:rPr>
                <w:rFonts w:asciiTheme="majorHAnsi" w:hAnsiTheme="majorHAnsi"/>
                <w:color w:val="292929"/>
                <w:sz w:val="14"/>
                <w:szCs w:val="14"/>
              </w:rPr>
            </w:pPr>
            <w:r w:rsidRPr="00241765">
              <w:rPr>
                <w:rFonts w:asciiTheme="majorHAnsi" w:hAnsiTheme="majorHAnsi" w:cs="Calibri"/>
                <w:color w:val="292929"/>
                <w:sz w:val="14"/>
                <w:szCs w:val="14"/>
              </w:rPr>
              <w:t> </w:t>
            </w:r>
          </w:p>
        </w:tc>
        <w:tc>
          <w:tcPr>
            <w:tcW w:w="985" w:type="dxa"/>
            <w:tcBorders>
              <w:left w:val="single" w:sz="18" w:space="0" w:color="FFFFFF" w:themeColor="background2"/>
              <w:right w:val="single" w:sz="18" w:space="0" w:color="FFFFFF" w:themeColor="background2"/>
            </w:tcBorders>
          </w:tcPr>
          <w:p w14:paraId="15457774"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tcBorders>
          </w:tcPr>
          <w:p w14:paraId="25045D22" w14:textId="77777777" w:rsidR="005E6AA1" w:rsidRPr="00241765" w:rsidRDefault="005E6AA1" w:rsidP="001636A3">
            <w:pPr>
              <w:autoSpaceDE w:val="0"/>
              <w:autoSpaceDN w:val="0"/>
              <w:adjustRightInd w:val="0"/>
              <w:spacing w:before="20" w:after="20"/>
              <w:jc w:val="right"/>
              <w:rPr>
                <w:color w:val="292929"/>
                <w:sz w:val="14"/>
                <w:szCs w:val="14"/>
              </w:rPr>
            </w:pPr>
          </w:p>
        </w:tc>
      </w:tr>
      <w:tr w:rsidR="005E6AA1" w:rsidRPr="00241765" w14:paraId="28F22E75" w14:textId="77777777" w:rsidTr="008569C2">
        <w:trPr>
          <w:trHeight w:val="170"/>
        </w:trPr>
        <w:tc>
          <w:tcPr>
            <w:tcW w:w="3483" w:type="dxa"/>
          </w:tcPr>
          <w:p w14:paraId="418D92AB"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Cash and cash equivalents</w:t>
            </w:r>
          </w:p>
        </w:tc>
        <w:tc>
          <w:tcPr>
            <w:tcW w:w="985" w:type="dxa"/>
            <w:tcBorders>
              <w:right w:val="single" w:sz="18" w:space="0" w:color="FFFFFF" w:themeColor="background2"/>
            </w:tcBorders>
          </w:tcPr>
          <w:p w14:paraId="6F40908C"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2.1A</w:t>
            </w:r>
          </w:p>
        </w:tc>
        <w:tc>
          <w:tcPr>
            <w:tcW w:w="985" w:type="dxa"/>
            <w:tcBorders>
              <w:left w:val="single" w:sz="18" w:space="0" w:color="FFFFFF" w:themeColor="background2"/>
              <w:right w:val="single" w:sz="18" w:space="0" w:color="FFFFFF" w:themeColor="background2"/>
            </w:tcBorders>
          </w:tcPr>
          <w:p w14:paraId="1AF63051" w14:textId="77777777"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s="Calibri"/>
                <w:color w:val="292929"/>
                <w:sz w:val="14"/>
                <w:szCs w:val="14"/>
              </w:rPr>
              <w:t xml:space="preserve">16,251 </w:t>
            </w:r>
          </w:p>
        </w:tc>
        <w:tc>
          <w:tcPr>
            <w:tcW w:w="985" w:type="dxa"/>
            <w:tcBorders>
              <w:left w:val="single" w:sz="18" w:space="0" w:color="FFFFFF" w:themeColor="background2"/>
              <w:right w:val="single" w:sz="18" w:space="0" w:color="FFFFFF" w:themeColor="background2"/>
            </w:tcBorders>
          </w:tcPr>
          <w:p w14:paraId="71A844CD"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14,119 </w:t>
            </w:r>
          </w:p>
        </w:tc>
        <w:tc>
          <w:tcPr>
            <w:tcW w:w="985" w:type="dxa"/>
            <w:tcBorders>
              <w:left w:val="single" w:sz="18" w:space="0" w:color="FFFFFF" w:themeColor="background2"/>
            </w:tcBorders>
          </w:tcPr>
          <w:p w14:paraId="5F646136"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 xml:space="preserve">14,300 </w:t>
            </w:r>
          </w:p>
        </w:tc>
      </w:tr>
      <w:tr w:rsidR="005E6AA1" w:rsidRPr="00241765" w14:paraId="534DF1F3" w14:textId="77777777" w:rsidTr="008569C2">
        <w:trPr>
          <w:trHeight w:val="170"/>
        </w:trPr>
        <w:tc>
          <w:tcPr>
            <w:tcW w:w="3483" w:type="dxa"/>
          </w:tcPr>
          <w:p w14:paraId="6DED102C"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Trade and other receivables</w:t>
            </w:r>
          </w:p>
        </w:tc>
        <w:tc>
          <w:tcPr>
            <w:tcW w:w="985" w:type="dxa"/>
            <w:tcBorders>
              <w:right w:val="single" w:sz="18" w:space="0" w:color="FFFFFF" w:themeColor="background2"/>
            </w:tcBorders>
          </w:tcPr>
          <w:p w14:paraId="3A9267BD"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2.1B</w:t>
            </w:r>
          </w:p>
        </w:tc>
        <w:tc>
          <w:tcPr>
            <w:tcW w:w="985" w:type="dxa"/>
            <w:tcBorders>
              <w:left w:val="single" w:sz="18" w:space="0" w:color="FFFFFF" w:themeColor="background2"/>
              <w:bottom w:val="single" w:sz="2" w:space="0" w:color="auto"/>
              <w:right w:val="single" w:sz="18" w:space="0" w:color="FFFFFF" w:themeColor="background2"/>
            </w:tcBorders>
          </w:tcPr>
          <w:p w14:paraId="1DA28BF6" w14:textId="4F0696A4" w:rsidR="005E6AA1" w:rsidRPr="00241765" w:rsidRDefault="00826E13"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273</w:t>
            </w:r>
          </w:p>
        </w:tc>
        <w:tc>
          <w:tcPr>
            <w:tcW w:w="985" w:type="dxa"/>
            <w:tcBorders>
              <w:left w:val="single" w:sz="18" w:space="0" w:color="FFFFFF" w:themeColor="background2"/>
              <w:bottom w:val="single" w:sz="2" w:space="0" w:color="auto"/>
              <w:right w:val="single" w:sz="18" w:space="0" w:color="FFFFFF" w:themeColor="background2"/>
            </w:tcBorders>
          </w:tcPr>
          <w:p w14:paraId="7FE02F16"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199 </w:t>
            </w:r>
          </w:p>
        </w:tc>
        <w:tc>
          <w:tcPr>
            <w:tcW w:w="985" w:type="dxa"/>
            <w:tcBorders>
              <w:left w:val="single" w:sz="18" w:space="0" w:color="FFFFFF" w:themeColor="background2"/>
              <w:bottom w:val="single" w:sz="2" w:space="0" w:color="auto"/>
            </w:tcBorders>
          </w:tcPr>
          <w:p w14:paraId="567B4D36"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 xml:space="preserve">306 </w:t>
            </w:r>
          </w:p>
        </w:tc>
      </w:tr>
      <w:tr w:rsidR="005E6AA1" w:rsidRPr="00241765" w14:paraId="3F1E5D52" w14:textId="77777777" w:rsidTr="008569C2">
        <w:trPr>
          <w:trHeight w:val="170"/>
        </w:trPr>
        <w:tc>
          <w:tcPr>
            <w:tcW w:w="3483" w:type="dxa"/>
          </w:tcPr>
          <w:p w14:paraId="7047CF3E"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s="Futura PT Book"/>
                <w:color w:val="292929"/>
                <w:sz w:val="14"/>
                <w:szCs w:val="14"/>
                <w:lang w:val="en-US"/>
              </w:rPr>
              <w:t>Total financial assets</w:t>
            </w:r>
          </w:p>
        </w:tc>
        <w:tc>
          <w:tcPr>
            <w:tcW w:w="985" w:type="dxa"/>
            <w:tcBorders>
              <w:right w:val="single" w:sz="18" w:space="0" w:color="FFFFFF" w:themeColor="background2"/>
            </w:tcBorders>
          </w:tcPr>
          <w:p w14:paraId="0DE660CF"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A1C8C3C" w14:textId="2C0707B5"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6F1958">
              <w:rPr>
                <w:rFonts w:asciiTheme="majorHAnsi" w:hAnsiTheme="majorHAnsi" w:cs="Calibri"/>
                <w:color w:val="292929"/>
                <w:sz w:val="14"/>
                <w:szCs w:val="14"/>
              </w:rPr>
              <w:t>16,</w:t>
            </w:r>
            <w:r w:rsidR="00826E13">
              <w:rPr>
                <w:rFonts w:asciiTheme="majorHAnsi" w:hAnsiTheme="majorHAnsi" w:cs="Calibri"/>
                <w:color w:val="292929"/>
                <w:sz w:val="14"/>
                <w:szCs w:val="14"/>
              </w:rPr>
              <w:t>524</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43CCBFE"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14,318 </w:t>
            </w:r>
          </w:p>
        </w:tc>
        <w:tc>
          <w:tcPr>
            <w:tcW w:w="985" w:type="dxa"/>
            <w:tcBorders>
              <w:top w:val="single" w:sz="2" w:space="0" w:color="auto"/>
              <w:left w:val="single" w:sz="18" w:space="0" w:color="FFFFFF" w:themeColor="background2"/>
              <w:bottom w:val="single" w:sz="2" w:space="0" w:color="auto"/>
            </w:tcBorders>
          </w:tcPr>
          <w:p w14:paraId="7B6A7BDA"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 xml:space="preserve">14,606 </w:t>
            </w:r>
          </w:p>
        </w:tc>
      </w:tr>
      <w:tr w:rsidR="005E6AA1" w:rsidRPr="00241765" w14:paraId="0F30881F" w14:textId="77777777" w:rsidTr="008569C2">
        <w:trPr>
          <w:trHeight w:val="227"/>
        </w:trPr>
        <w:tc>
          <w:tcPr>
            <w:tcW w:w="3483" w:type="dxa"/>
          </w:tcPr>
          <w:p w14:paraId="0AEEE7D6"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Non-financial assets</w:t>
            </w:r>
          </w:p>
        </w:tc>
        <w:tc>
          <w:tcPr>
            <w:tcW w:w="985" w:type="dxa"/>
            <w:tcBorders>
              <w:right w:val="single" w:sz="18" w:space="0" w:color="FFFFFF" w:themeColor="background2"/>
            </w:tcBorders>
          </w:tcPr>
          <w:p w14:paraId="0A40B671"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6FA3BB47" w14:textId="77777777" w:rsidR="005E6AA1" w:rsidRPr="00241765" w:rsidRDefault="005E6AA1" w:rsidP="001636A3">
            <w:pPr>
              <w:autoSpaceDE w:val="0"/>
              <w:autoSpaceDN w:val="0"/>
              <w:adjustRightInd w:val="0"/>
              <w:spacing w:before="20" w:after="20"/>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775495C4"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tcBorders>
          </w:tcPr>
          <w:p w14:paraId="03026D87" w14:textId="77777777" w:rsidR="005E6AA1" w:rsidRPr="00241765" w:rsidRDefault="005E6AA1" w:rsidP="001636A3">
            <w:pPr>
              <w:autoSpaceDE w:val="0"/>
              <w:autoSpaceDN w:val="0"/>
              <w:adjustRightInd w:val="0"/>
              <w:spacing w:before="20" w:after="20"/>
              <w:rPr>
                <w:color w:val="292929"/>
                <w:sz w:val="14"/>
                <w:szCs w:val="14"/>
              </w:rPr>
            </w:pPr>
          </w:p>
        </w:tc>
      </w:tr>
      <w:tr w:rsidR="005E6AA1" w:rsidRPr="00241765" w14:paraId="454D9BC0" w14:textId="77777777" w:rsidTr="008569C2">
        <w:trPr>
          <w:trHeight w:val="170"/>
        </w:trPr>
        <w:tc>
          <w:tcPr>
            <w:tcW w:w="3483" w:type="dxa"/>
          </w:tcPr>
          <w:p w14:paraId="53E2C9F5"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Buildings</w:t>
            </w:r>
          </w:p>
        </w:tc>
        <w:tc>
          <w:tcPr>
            <w:tcW w:w="985" w:type="dxa"/>
            <w:tcBorders>
              <w:right w:val="single" w:sz="18" w:space="0" w:color="FFFFFF" w:themeColor="background2"/>
            </w:tcBorders>
          </w:tcPr>
          <w:p w14:paraId="3E6A8B6E" w14:textId="77777777" w:rsidR="005E6AA1" w:rsidRPr="00241765" w:rsidRDefault="005E6AA1" w:rsidP="001636A3">
            <w:pPr>
              <w:autoSpaceDE w:val="0"/>
              <w:autoSpaceDN w:val="0"/>
              <w:adjustRightInd w:val="0"/>
              <w:spacing w:before="20" w:after="20"/>
              <w:jc w:val="right"/>
              <w:rPr>
                <w:color w:val="292929"/>
                <w:sz w:val="14"/>
                <w:szCs w:val="14"/>
              </w:rPr>
            </w:pPr>
            <w:r w:rsidRPr="00241765">
              <w:rPr>
                <w:color w:val="292929"/>
                <w:sz w:val="14"/>
                <w:szCs w:val="14"/>
              </w:rPr>
              <w:t>2.2A</w:t>
            </w:r>
          </w:p>
        </w:tc>
        <w:tc>
          <w:tcPr>
            <w:tcW w:w="985" w:type="dxa"/>
            <w:tcBorders>
              <w:left w:val="single" w:sz="18" w:space="0" w:color="FFFFFF" w:themeColor="background2"/>
              <w:right w:val="single" w:sz="18" w:space="0" w:color="FFFFFF" w:themeColor="background2"/>
            </w:tcBorders>
          </w:tcPr>
          <w:p w14:paraId="1873C31F" w14:textId="616E56FA" w:rsidR="005E6AA1" w:rsidRPr="00241765" w:rsidRDefault="006F1958" w:rsidP="001636A3">
            <w:pPr>
              <w:autoSpaceDE w:val="0"/>
              <w:autoSpaceDN w:val="0"/>
              <w:adjustRightInd w:val="0"/>
              <w:spacing w:before="20" w:after="20"/>
              <w:jc w:val="right"/>
              <w:rPr>
                <w:rFonts w:asciiTheme="majorHAnsi" w:hAnsiTheme="majorHAnsi"/>
                <w:color w:val="292929"/>
                <w:sz w:val="14"/>
                <w:szCs w:val="14"/>
              </w:rPr>
            </w:pPr>
            <w:r w:rsidRPr="006F1958">
              <w:rPr>
                <w:rFonts w:asciiTheme="majorHAnsi" w:hAnsiTheme="majorHAnsi" w:cs="Calibri"/>
                <w:color w:val="292929"/>
                <w:sz w:val="14"/>
                <w:szCs w:val="14"/>
              </w:rPr>
              <w:t>1,12</w:t>
            </w:r>
            <w:r w:rsidR="00826E13">
              <w:rPr>
                <w:rFonts w:asciiTheme="majorHAnsi" w:hAnsiTheme="majorHAnsi" w:cs="Calibri"/>
                <w:color w:val="292929"/>
                <w:sz w:val="14"/>
                <w:szCs w:val="14"/>
              </w:rPr>
              <w:t>4</w:t>
            </w:r>
          </w:p>
        </w:tc>
        <w:tc>
          <w:tcPr>
            <w:tcW w:w="985" w:type="dxa"/>
            <w:tcBorders>
              <w:left w:val="single" w:sz="18" w:space="0" w:color="FFFFFF" w:themeColor="background2"/>
              <w:right w:val="single" w:sz="18" w:space="0" w:color="FFFFFF" w:themeColor="background2"/>
            </w:tcBorders>
          </w:tcPr>
          <w:p w14:paraId="2C112CAB" w14:textId="77777777" w:rsidR="005E6AA1" w:rsidRPr="00241765" w:rsidRDefault="005E6AA1" w:rsidP="001636A3">
            <w:pPr>
              <w:autoSpaceDE w:val="0"/>
              <w:autoSpaceDN w:val="0"/>
              <w:adjustRightInd w:val="0"/>
              <w:spacing w:before="20" w:after="20"/>
              <w:jc w:val="right"/>
              <w:rPr>
                <w:color w:val="292929"/>
                <w:sz w:val="14"/>
                <w:szCs w:val="14"/>
              </w:rPr>
            </w:pPr>
            <w:r w:rsidRPr="00241765">
              <w:rPr>
                <w:rFonts w:cs="Calibri"/>
                <w:color w:val="292929"/>
                <w:sz w:val="14"/>
                <w:szCs w:val="14"/>
              </w:rPr>
              <w:t xml:space="preserve">6,112 </w:t>
            </w:r>
          </w:p>
        </w:tc>
        <w:tc>
          <w:tcPr>
            <w:tcW w:w="985" w:type="dxa"/>
            <w:tcBorders>
              <w:left w:val="single" w:sz="18" w:space="0" w:color="FFFFFF" w:themeColor="background2"/>
            </w:tcBorders>
          </w:tcPr>
          <w:p w14:paraId="29EB5CA3" w14:textId="77777777" w:rsidR="005E6AA1" w:rsidRPr="00241765" w:rsidRDefault="005E6AA1" w:rsidP="001636A3">
            <w:pPr>
              <w:autoSpaceDE w:val="0"/>
              <w:autoSpaceDN w:val="0"/>
              <w:adjustRightInd w:val="0"/>
              <w:spacing w:before="20" w:after="20"/>
              <w:jc w:val="right"/>
              <w:rPr>
                <w:color w:val="292929"/>
                <w:sz w:val="14"/>
                <w:szCs w:val="14"/>
              </w:rPr>
            </w:pPr>
            <w:r w:rsidRPr="00241765">
              <w:rPr>
                <w:rFonts w:cs="Calibri"/>
                <w:color w:val="292929"/>
                <w:sz w:val="14"/>
                <w:szCs w:val="14"/>
              </w:rPr>
              <w:t xml:space="preserve">5,340 </w:t>
            </w:r>
          </w:p>
        </w:tc>
      </w:tr>
      <w:tr w:rsidR="005E6AA1" w:rsidRPr="00241765" w14:paraId="3D67ECE0" w14:textId="77777777" w:rsidTr="008569C2">
        <w:trPr>
          <w:trHeight w:val="170"/>
        </w:trPr>
        <w:tc>
          <w:tcPr>
            <w:tcW w:w="3483" w:type="dxa"/>
          </w:tcPr>
          <w:p w14:paraId="4D5CF9FA"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Leasehold improvement</w:t>
            </w:r>
          </w:p>
        </w:tc>
        <w:tc>
          <w:tcPr>
            <w:tcW w:w="985" w:type="dxa"/>
            <w:tcBorders>
              <w:right w:val="single" w:sz="18" w:space="0" w:color="FFFFFF" w:themeColor="background2"/>
            </w:tcBorders>
          </w:tcPr>
          <w:p w14:paraId="02EED4E0"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2.2A</w:t>
            </w:r>
          </w:p>
        </w:tc>
        <w:tc>
          <w:tcPr>
            <w:tcW w:w="985" w:type="dxa"/>
            <w:tcBorders>
              <w:left w:val="single" w:sz="18" w:space="0" w:color="FFFFFF" w:themeColor="background2"/>
              <w:right w:val="single" w:sz="18" w:space="0" w:color="FFFFFF" w:themeColor="background2"/>
            </w:tcBorders>
          </w:tcPr>
          <w:p w14:paraId="1F693BD1" w14:textId="3030F306"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6F1958">
              <w:rPr>
                <w:rFonts w:asciiTheme="majorHAnsi" w:hAnsiTheme="majorHAnsi" w:cs="Calibri"/>
                <w:color w:val="292929"/>
                <w:sz w:val="14"/>
                <w:szCs w:val="14"/>
              </w:rPr>
              <w:t>1,</w:t>
            </w:r>
            <w:r w:rsidR="00826E13">
              <w:rPr>
                <w:rFonts w:asciiTheme="majorHAnsi" w:hAnsiTheme="majorHAnsi" w:cs="Calibri"/>
                <w:color w:val="292929"/>
                <w:sz w:val="14"/>
                <w:szCs w:val="14"/>
              </w:rPr>
              <w:t>107</w:t>
            </w:r>
          </w:p>
        </w:tc>
        <w:tc>
          <w:tcPr>
            <w:tcW w:w="985" w:type="dxa"/>
            <w:tcBorders>
              <w:left w:val="single" w:sz="18" w:space="0" w:color="FFFFFF" w:themeColor="background2"/>
              <w:right w:val="single" w:sz="18" w:space="0" w:color="FFFFFF" w:themeColor="background2"/>
            </w:tcBorders>
          </w:tcPr>
          <w:p w14:paraId="23287B60"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1,686 </w:t>
            </w:r>
          </w:p>
        </w:tc>
        <w:tc>
          <w:tcPr>
            <w:tcW w:w="985" w:type="dxa"/>
            <w:tcBorders>
              <w:left w:val="single" w:sz="18" w:space="0" w:color="FFFFFF" w:themeColor="background2"/>
            </w:tcBorders>
          </w:tcPr>
          <w:p w14:paraId="6311D010"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1,517 </w:t>
            </w:r>
          </w:p>
        </w:tc>
      </w:tr>
      <w:tr w:rsidR="005E6AA1" w:rsidRPr="00241765" w14:paraId="7B0DBBCA" w14:textId="77777777" w:rsidTr="008569C2">
        <w:trPr>
          <w:trHeight w:val="170"/>
        </w:trPr>
        <w:tc>
          <w:tcPr>
            <w:tcW w:w="3483" w:type="dxa"/>
          </w:tcPr>
          <w:p w14:paraId="56F718E7" w14:textId="6E0C6ADB" w:rsidR="005E6AA1" w:rsidRPr="00241765" w:rsidRDefault="00826E13" w:rsidP="001636A3">
            <w:pPr>
              <w:suppressAutoHyphens/>
              <w:autoSpaceDE w:val="0"/>
              <w:autoSpaceDN w:val="0"/>
              <w:adjustRightInd w:val="0"/>
              <w:spacing w:before="20" w:after="20"/>
              <w:textAlignment w:val="center"/>
              <w:rPr>
                <w:rFonts w:cs="Futura PT Book"/>
                <w:color w:val="292929"/>
                <w:sz w:val="14"/>
                <w:szCs w:val="14"/>
                <w:lang w:val="en-US"/>
              </w:rPr>
            </w:pPr>
            <w:r>
              <w:rPr>
                <w:color w:val="292929"/>
                <w:sz w:val="14"/>
                <w:szCs w:val="14"/>
              </w:rPr>
              <w:t>Computer software</w:t>
            </w:r>
          </w:p>
        </w:tc>
        <w:tc>
          <w:tcPr>
            <w:tcW w:w="985" w:type="dxa"/>
            <w:tcBorders>
              <w:right w:val="single" w:sz="18" w:space="0" w:color="FFFFFF" w:themeColor="background2"/>
            </w:tcBorders>
          </w:tcPr>
          <w:p w14:paraId="6083335A" w14:textId="77777777" w:rsidR="005E6AA1" w:rsidRPr="00241765" w:rsidRDefault="005E6AA1" w:rsidP="001636A3">
            <w:pPr>
              <w:autoSpaceDE w:val="0"/>
              <w:autoSpaceDN w:val="0"/>
              <w:adjustRightInd w:val="0"/>
              <w:spacing w:before="20" w:after="20"/>
              <w:jc w:val="right"/>
              <w:rPr>
                <w:color w:val="292929"/>
                <w:sz w:val="14"/>
                <w:szCs w:val="14"/>
              </w:rPr>
            </w:pPr>
            <w:r w:rsidRPr="00241765">
              <w:rPr>
                <w:color w:val="292929"/>
                <w:sz w:val="14"/>
                <w:szCs w:val="14"/>
              </w:rPr>
              <w:t>2.2A</w:t>
            </w:r>
          </w:p>
        </w:tc>
        <w:tc>
          <w:tcPr>
            <w:tcW w:w="985" w:type="dxa"/>
            <w:tcBorders>
              <w:left w:val="single" w:sz="18" w:space="0" w:color="FFFFFF" w:themeColor="background2"/>
              <w:right w:val="single" w:sz="18" w:space="0" w:color="FFFFFF" w:themeColor="background2"/>
            </w:tcBorders>
          </w:tcPr>
          <w:p w14:paraId="2455F0F1" w14:textId="36E763CA" w:rsidR="005E6AA1" w:rsidRPr="00241765" w:rsidRDefault="00826E13"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92</w:t>
            </w:r>
            <w:r w:rsidR="005E6AA1" w:rsidRPr="00241765">
              <w:rPr>
                <w:rFonts w:asciiTheme="majorHAnsi" w:hAnsiTheme="majorHAnsi" w:cs="Calibr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100920F3" w14:textId="11DEFDE4" w:rsidR="005E6AA1" w:rsidRPr="00241765" w:rsidRDefault="00826E13" w:rsidP="001636A3">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177</w:t>
            </w:r>
            <w:r w:rsidR="005E6AA1" w:rsidRPr="00241765">
              <w:rPr>
                <w:rFonts w:cs="Calibri"/>
                <w:color w:val="292929"/>
                <w:sz w:val="14"/>
                <w:szCs w:val="14"/>
              </w:rPr>
              <w:t xml:space="preserve"> </w:t>
            </w:r>
          </w:p>
        </w:tc>
        <w:tc>
          <w:tcPr>
            <w:tcW w:w="985" w:type="dxa"/>
            <w:tcBorders>
              <w:left w:val="single" w:sz="18" w:space="0" w:color="FFFFFF" w:themeColor="background2"/>
            </w:tcBorders>
          </w:tcPr>
          <w:p w14:paraId="4941C41F" w14:textId="768C423D" w:rsidR="005E6AA1" w:rsidRPr="00241765" w:rsidRDefault="00826E13" w:rsidP="001636A3">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59</w:t>
            </w:r>
            <w:r w:rsidR="005E6AA1" w:rsidRPr="00241765">
              <w:rPr>
                <w:rFonts w:cs="Calibri"/>
                <w:color w:val="292929"/>
                <w:sz w:val="14"/>
                <w:szCs w:val="14"/>
              </w:rPr>
              <w:t xml:space="preserve"> </w:t>
            </w:r>
          </w:p>
        </w:tc>
      </w:tr>
      <w:tr w:rsidR="005E6AA1" w:rsidRPr="00241765" w14:paraId="68D96670" w14:textId="77777777" w:rsidTr="008569C2">
        <w:trPr>
          <w:trHeight w:val="170"/>
        </w:trPr>
        <w:tc>
          <w:tcPr>
            <w:tcW w:w="3483" w:type="dxa"/>
          </w:tcPr>
          <w:p w14:paraId="58EA2F1D" w14:textId="4D5BE161" w:rsidR="005E6AA1" w:rsidRPr="00241765" w:rsidRDefault="00826E13" w:rsidP="001636A3">
            <w:pPr>
              <w:suppressAutoHyphens/>
              <w:autoSpaceDE w:val="0"/>
              <w:autoSpaceDN w:val="0"/>
              <w:adjustRightInd w:val="0"/>
              <w:spacing w:before="20" w:after="20"/>
              <w:textAlignment w:val="center"/>
              <w:rPr>
                <w:rFonts w:cs="Futura PT Book"/>
                <w:color w:val="292929"/>
                <w:sz w:val="14"/>
                <w:szCs w:val="14"/>
                <w:lang w:val="en-US"/>
              </w:rPr>
            </w:pPr>
            <w:r>
              <w:rPr>
                <w:color w:val="292929"/>
                <w:sz w:val="14"/>
                <w:szCs w:val="14"/>
              </w:rPr>
              <w:t>Plant and equipment</w:t>
            </w:r>
          </w:p>
        </w:tc>
        <w:tc>
          <w:tcPr>
            <w:tcW w:w="985" w:type="dxa"/>
            <w:tcBorders>
              <w:right w:val="single" w:sz="18" w:space="0" w:color="FFFFFF" w:themeColor="background2"/>
            </w:tcBorders>
          </w:tcPr>
          <w:p w14:paraId="2B1E59C2"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2.2A</w:t>
            </w:r>
          </w:p>
        </w:tc>
        <w:tc>
          <w:tcPr>
            <w:tcW w:w="985" w:type="dxa"/>
            <w:tcBorders>
              <w:left w:val="single" w:sz="18" w:space="0" w:color="FFFFFF" w:themeColor="background2"/>
              <w:bottom w:val="single" w:sz="2" w:space="0" w:color="auto"/>
              <w:right w:val="single" w:sz="18" w:space="0" w:color="FFFFFF" w:themeColor="background2"/>
            </w:tcBorders>
          </w:tcPr>
          <w:p w14:paraId="4666225F" w14:textId="2AA7D6B4" w:rsidR="005E6AA1" w:rsidRPr="00241765" w:rsidRDefault="00826E13"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1</w:t>
            </w:r>
            <w:r w:rsidR="005E6AA1" w:rsidRPr="00241765">
              <w:rPr>
                <w:rFonts w:asciiTheme="majorHAnsi" w:hAnsiTheme="majorHAnsi" w:cs="Calibri"/>
                <w:color w:val="292929"/>
                <w:sz w:val="14"/>
                <w:szCs w:val="14"/>
              </w:rPr>
              <w:t xml:space="preserve"> </w:t>
            </w:r>
          </w:p>
        </w:tc>
        <w:tc>
          <w:tcPr>
            <w:tcW w:w="985" w:type="dxa"/>
            <w:tcBorders>
              <w:left w:val="single" w:sz="18" w:space="0" w:color="FFFFFF" w:themeColor="background2"/>
              <w:bottom w:val="single" w:sz="2" w:space="0" w:color="auto"/>
              <w:right w:val="single" w:sz="18" w:space="0" w:color="FFFFFF" w:themeColor="background2"/>
            </w:tcBorders>
          </w:tcPr>
          <w:p w14:paraId="57416782" w14:textId="5A52DFA1" w:rsidR="005E6AA1" w:rsidRPr="00241765" w:rsidRDefault="00826E13" w:rsidP="001636A3">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2</w:t>
            </w:r>
            <w:r w:rsidR="005E6AA1" w:rsidRPr="00241765">
              <w:rPr>
                <w:rFonts w:cs="Calibri"/>
                <w:color w:val="292929"/>
                <w:sz w:val="14"/>
                <w:szCs w:val="14"/>
              </w:rPr>
              <w:t xml:space="preserve"> </w:t>
            </w:r>
          </w:p>
        </w:tc>
        <w:tc>
          <w:tcPr>
            <w:tcW w:w="985" w:type="dxa"/>
            <w:tcBorders>
              <w:left w:val="single" w:sz="18" w:space="0" w:color="FFFFFF" w:themeColor="background2"/>
              <w:bottom w:val="single" w:sz="2" w:space="0" w:color="auto"/>
            </w:tcBorders>
          </w:tcPr>
          <w:p w14:paraId="032CCDA2" w14:textId="3D8F9DB7" w:rsidR="005E6AA1" w:rsidRPr="00241765" w:rsidRDefault="00826E13" w:rsidP="001636A3">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10</w:t>
            </w:r>
            <w:r w:rsidR="005E6AA1" w:rsidRPr="00241765">
              <w:rPr>
                <w:rFonts w:cs="Calibri"/>
                <w:color w:val="292929"/>
                <w:sz w:val="14"/>
                <w:szCs w:val="14"/>
              </w:rPr>
              <w:t xml:space="preserve"> </w:t>
            </w:r>
          </w:p>
        </w:tc>
      </w:tr>
      <w:tr w:rsidR="005E6AA1" w:rsidRPr="00241765" w14:paraId="3258B73D" w14:textId="77777777" w:rsidTr="008569C2">
        <w:trPr>
          <w:trHeight w:val="170"/>
        </w:trPr>
        <w:tc>
          <w:tcPr>
            <w:tcW w:w="3483" w:type="dxa"/>
          </w:tcPr>
          <w:p w14:paraId="773BC56E" w14:textId="180D64BB"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Other</w:t>
            </w:r>
            <w:r w:rsidR="00647A65">
              <w:rPr>
                <w:color w:val="292929"/>
                <w:sz w:val="14"/>
                <w:szCs w:val="14"/>
              </w:rPr>
              <w:t xml:space="preserve"> </w:t>
            </w:r>
            <w:r w:rsidR="00942010">
              <w:rPr>
                <w:color w:val="292929"/>
                <w:sz w:val="14"/>
                <w:szCs w:val="14"/>
              </w:rPr>
              <w:t>-</w:t>
            </w:r>
            <w:r w:rsidR="00647A65">
              <w:rPr>
                <w:color w:val="292929"/>
                <w:sz w:val="14"/>
                <w:szCs w:val="14"/>
              </w:rPr>
              <w:t xml:space="preserve"> </w:t>
            </w:r>
            <w:r w:rsidRPr="00241765">
              <w:rPr>
                <w:color w:val="292929"/>
                <w:sz w:val="14"/>
                <w:szCs w:val="14"/>
              </w:rPr>
              <w:t>prepayments</w:t>
            </w:r>
          </w:p>
        </w:tc>
        <w:tc>
          <w:tcPr>
            <w:tcW w:w="985" w:type="dxa"/>
            <w:tcBorders>
              <w:right w:val="single" w:sz="18" w:space="0" w:color="FFFFFF" w:themeColor="background2"/>
            </w:tcBorders>
          </w:tcPr>
          <w:p w14:paraId="4B120FA3"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EEEB1AA" w14:textId="3D812744" w:rsidR="005E6AA1" w:rsidRPr="00241765" w:rsidRDefault="00826E13"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368</w:t>
            </w:r>
            <w:r w:rsidR="005E6AA1" w:rsidRPr="00241765">
              <w:rPr>
                <w:rFonts w:asciiTheme="majorHAnsi" w:hAnsiTheme="majorHAnsi" w:cs="Calibr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6228B3D"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161 </w:t>
            </w:r>
          </w:p>
        </w:tc>
        <w:tc>
          <w:tcPr>
            <w:tcW w:w="985" w:type="dxa"/>
            <w:tcBorders>
              <w:top w:val="single" w:sz="2" w:space="0" w:color="auto"/>
              <w:left w:val="single" w:sz="18" w:space="0" w:color="FFFFFF" w:themeColor="background2"/>
              <w:bottom w:val="single" w:sz="2" w:space="0" w:color="auto"/>
            </w:tcBorders>
          </w:tcPr>
          <w:p w14:paraId="2644A41D"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161 </w:t>
            </w:r>
          </w:p>
        </w:tc>
      </w:tr>
      <w:tr w:rsidR="005E6AA1" w:rsidRPr="00241765" w14:paraId="292CC86C" w14:textId="77777777" w:rsidTr="008569C2">
        <w:trPr>
          <w:trHeight w:val="170"/>
        </w:trPr>
        <w:tc>
          <w:tcPr>
            <w:tcW w:w="3483" w:type="dxa"/>
          </w:tcPr>
          <w:p w14:paraId="107A7CAD"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non-financial assets</w:t>
            </w:r>
          </w:p>
        </w:tc>
        <w:tc>
          <w:tcPr>
            <w:tcW w:w="985" w:type="dxa"/>
            <w:tcBorders>
              <w:right w:val="single" w:sz="18" w:space="0" w:color="FFFFFF" w:themeColor="background2"/>
            </w:tcBorders>
          </w:tcPr>
          <w:p w14:paraId="460DA056"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3CCD285" w14:textId="3BB2F59D"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6F1958">
              <w:rPr>
                <w:rFonts w:asciiTheme="majorHAnsi" w:hAnsiTheme="majorHAnsi" w:cs="Calibri"/>
                <w:color w:val="292929"/>
                <w:sz w:val="14"/>
                <w:szCs w:val="14"/>
              </w:rPr>
              <w:t>2,</w:t>
            </w:r>
            <w:r w:rsidR="00826E13">
              <w:rPr>
                <w:rFonts w:asciiTheme="majorHAnsi" w:hAnsiTheme="majorHAnsi" w:cs="Calibri"/>
                <w:color w:val="292929"/>
                <w:sz w:val="14"/>
                <w:szCs w:val="14"/>
              </w:rPr>
              <w:t>692</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3B4F289"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8,138 </w:t>
            </w:r>
          </w:p>
        </w:tc>
        <w:tc>
          <w:tcPr>
            <w:tcW w:w="985" w:type="dxa"/>
            <w:tcBorders>
              <w:top w:val="single" w:sz="2" w:space="0" w:color="auto"/>
              <w:left w:val="single" w:sz="18" w:space="0" w:color="FFFFFF" w:themeColor="background2"/>
              <w:bottom w:val="single" w:sz="2" w:space="0" w:color="auto"/>
            </w:tcBorders>
          </w:tcPr>
          <w:p w14:paraId="3FC950C7"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7,087 </w:t>
            </w:r>
          </w:p>
        </w:tc>
      </w:tr>
      <w:tr w:rsidR="005E6AA1" w:rsidRPr="00241765" w14:paraId="390220E6" w14:textId="77777777" w:rsidTr="008569C2">
        <w:trPr>
          <w:trHeight w:val="170"/>
        </w:trPr>
        <w:tc>
          <w:tcPr>
            <w:tcW w:w="3483" w:type="dxa"/>
          </w:tcPr>
          <w:p w14:paraId="3611A0D1"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assets</w:t>
            </w:r>
          </w:p>
        </w:tc>
        <w:tc>
          <w:tcPr>
            <w:tcW w:w="985" w:type="dxa"/>
            <w:tcBorders>
              <w:right w:val="single" w:sz="18" w:space="0" w:color="FFFFFF" w:themeColor="background2"/>
            </w:tcBorders>
          </w:tcPr>
          <w:p w14:paraId="5D5333A3"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BF0D984" w14:textId="22BAEEBB"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6F1958">
              <w:rPr>
                <w:rFonts w:asciiTheme="majorHAnsi" w:hAnsiTheme="majorHAnsi" w:cs="Calibri"/>
                <w:color w:val="292929"/>
                <w:sz w:val="14"/>
                <w:szCs w:val="14"/>
              </w:rPr>
              <w:t>19,</w:t>
            </w:r>
            <w:r w:rsidR="00826E13">
              <w:rPr>
                <w:rFonts w:asciiTheme="majorHAnsi" w:hAnsiTheme="majorHAnsi" w:cs="Calibri"/>
                <w:color w:val="292929"/>
                <w:sz w:val="14"/>
                <w:szCs w:val="14"/>
              </w:rPr>
              <w:t>216</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41D58CF9"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22,456 </w:t>
            </w:r>
          </w:p>
        </w:tc>
        <w:tc>
          <w:tcPr>
            <w:tcW w:w="985" w:type="dxa"/>
            <w:tcBorders>
              <w:top w:val="single" w:sz="2" w:space="0" w:color="auto"/>
              <w:left w:val="single" w:sz="18" w:space="0" w:color="FFFFFF" w:themeColor="background2"/>
              <w:bottom w:val="single" w:sz="2" w:space="0" w:color="auto"/>
            </w:tcBorders>
          </w:tcPr>
          <w:p w14:paraId="388DF523"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21,693 </w:t>
            </w:r>
          </w:p>
        </w:tc>
      </w:tr>
      <w:tr w:rsidR="005E6AA1" w:rsidRPr="00241765" w14:paraId="7E82763F" w14:textId="77777777" w:rsidTr="008569C2">
        <w:trPr>
          <w:trHeight w:val="283"/>
        </w:trPr>
        <w:tc>
          <w:tcPr>
            <w:tcW w:w="3483" w:type="dxa"/>
          </w:tcPr>
          <w:p w14:paraId="21B4E196"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LIABILITIES</w:t>
            </w:r>
          </w:p>
        </w:tc>
        <w:tc>
          <w:tcPr>
            <w:tcW w:w="985" w:type="dxa"/>
            <w:tcBorders>
              <w:right w:val="single" w:sz="18" w:space="0" w:color="FFFFFF" w:themeColor="background2"/>
            </w:tcBorders>
          </w:tcPr>
          <w:p w14:paraId="333EFCA7"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126F5F3F" w14:textId="77777777" w:rsidR="005E6AA1" w:rsidRPr="00241765" w:rsidRDefault="005E6AA1" w:rsidP="001636A3">
            <w:pPr>
              <w:autoSpaceDE w:val="0"/>
              <w:autoSpaceDN w:val="0"/>
              <w:adjustRightInd w:val="0"/>
              <w:spacing w:before="20" w:after="20"/>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55A5BFCA"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tcBorders>
          </w:tcPr>
          <w:p w14:paraId="52BB824C" w14:textId="77777777" w:rsidR="005E6AA1" w:rsidRPr="00241765" w:rsidRDefault="005E6AA1" w:rsidP="001636A3">
            <w:pPr>
              <w:autoSpaceDE w:val="0"/>
              <w:autoSpaceDN w:val="0"/>
              <w:adjustRightInd w:val="0"/>
              <w:spacing w:before="20" w:after="20"/>
              <w:rPr>
                <w:color w:val="292929"/>
                <w:sz w:val="14"/>
                <w:szCs w:val="14"/>
              </w:rPr>
            </w:pPr>
          </w:p>
        </w:tc>
      </w:tr>
      <w:tr w:rsidR="005E6AA1" w:rsidRPr="00241765" w14:paraId="07E588D7" w14:textId="77777777" w:rsidTr="008569C2">
        <w:trPr>
          <w:trHeight w:val="170"/>
        </w:trPr>
        <w:tc>
          <w:tcPr>
            <w:tcW w:w="3483" w:type="dxa"/>
          </w:tcPr>
          <w:p w14:paraId="6DFF4A84"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Payables</w:t>
            </w:r>
          </w:p>
        </w:tc>
        <w:tc>
          <w:tcPr>
            <w:tcW w:w="985" w:type="dxa"/>
            <w:tcBorders>
              <w:right w:val="single" w:sz="18" w:space="0" w:color="FFFFFF" w:themeColor="background2"/>
            </w:tcBorders>
          </w:tcPr>
          <w:p w14:paraId="75DA9F10"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5F15256B" w14:textId="77777777"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49495668"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1D84BA23"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 xml:space="preserve"> </w:t>
            </w:r>
          </w:p>
        </w:tc>
      </w:tr>
      <w:tr w:rsidR="005E6AA1" w:rsidRPr="00241765" w14:paraId="75204A9B" w14:textId="77777777" w:rsidTr="008569C2">
        <w:trPr>
          <w:trHeight w:val="170"/>
        </w:trPr>
        <w:tc>
          <w:tcPr>
            <w:tcW w:w="3483" w:type="dxa"/>
          </w:tcPr>
          <w:p w14:paraId="0BBF5575"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Suppliers</w:t>
            </w:r>
          </w:p>
        </w:tc>
        <w:tc>
          <w:tcPr>
            <w:tcW w:w="985" w:type="dxa"/>
            <w:tcBorders>
              <w:right w:val="single" w:sz="18" w:space="0" w:color="FFFFFF" w:themeColor="background2"/>
            </w:tcBorders>
          </w:tcPr>
          <w:p w14:paraId="463E2991" w14:textId="77777777" w:rsidR="005E6AA1" w:rsidRPr="00241765" w:rsidRDefault="005E6AA1" w:rsidP="001636A3">
            <w:pPr>
              <w:autoSpaceDE w:val="0"/>
              <w:autoSpaceDN w:val="0"/>
              <w:adjustRightInd w:val="0"/>
              <w:spacing w:before="20" w:after="20"/>
              <w:jc w:val="right"/>
              <w:rPr>
                <w:color w:val="292929"/>
                <w:sz w:val="14"/>
                <w:szCs w:val="14"/>
              </w:rPr>
            </w:pPr>
            <w:r w:rsidRPr="00241765">
              <w:rPr>
                <w:color w:val="292929"/>
                <w:sz w:val="14"/>
                <w:szCs w:val="14"/>
              </w:rPr>
              <w:t>2.3A</w:t>
            </w:r>
          </w:p>
        </w:tc>
        <w:tc>
          <w:tcPr>
            <w:tcW w:w="985" w:type="dxa"/>
            <w:tcBorders>
              <w:left w:val="single" w:sz="18" w:space="0" w:color="FFFFFF" w:themeColor="background2"/>
              <w:right w:val="single" w:sz="18" w:space="0" w:color="FFFFFF" w:themeColor="background2"/>
            </w:tcBorders>
          </w:tcPr>
          <w:p w14:paraId="59CD8521" w14:textId="4719A85E"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6F1958">
              <w:rPr>
                <w:rFonts w:asciiTheme="majorHAnsi" w:hAnsiTheme="majorHAnsi" w:cs="Calibri"/>
                <w:color w:val="292929"/>
                <w:sz w:val="14"/>
                <w:szCs w:val="14"/>
              </w:rPr>
              <w:t>1,</w:t>
            </w:r>
            <w:r w:rsidR="00826E13">
              <w:rPr>
                <w:rFonts w:asciiTheme="majorHAnsi" w:hAnsiTheme="majorHAnsi" w:cs="Calibri"/>
                <w:color w:val="292929"/>
                <w:sz w:val="14"/>
                <w:szCs w:val="14"/>
              </w:rPr>
              <w:t>737</w:t>
            </w:r>
          </w:p>
        </w:tc>
        <w:tc>
          <w:tcPr>
            <w:tcW w:w="985" w:type="dxa"/>
            <w:tcBorders>
              <w:left w:val="single" w:sz="18" w:space="0" w:color="FFFFFF" w:themeColor="background2"/>
              <w:right w:val="single" w:sz="18" w:space="0" w:color="FFFFFF" w:themeColor="background2"/>
            </w:tcBorders>
          </w:tcPr>
          <w:p w14:paraId="3C791A94"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2,416 </w:t>
            </w:r>
          </w:p>
        </w:tc>
        <w:tc>
          <w:tcPr>
            <w:tcW w:w="985" w:type="dxa"/>
            <w:tcBorders>
              <w:left w:val="single" w:sz="18" w:space="0" w:color="FFFFFF" w:themeColor="background2"/>
            </w:tcBorders>
          </w:tcPr>
          <w:p w14:paraId="0CFD8692"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2,426 </w:t>
            </w:r>
          </w:p>
        </w:tc>
      </w:tr>
      <w:tr w:rsidR="005E6AA1" w:rsidRPr="00241765" w14:paraId="0DE7D6C3" w14:textId="77777777" w:rsidTr="008569C2">
        <w:trPr>
          <w:trHeight w:val="170"/>
        </w:trPr>
        <w:tc>
          <w:tcPr>
            <w:tcW w:w="3483" w:type="dxa"/>
          </w:tcPr>
          <w:p w14:paraId="72DB05A8"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Other payables</w:t>
            </w:r>
          </w:p>
        </w:tc>
        <w:tc>
          <w:tcPr>
            <w:tcW w:w="985" w:type="dxa"/>
            <w:tcBorders>
              <w:right w:val="single" w:sz="18" w:space="0" w:color="FFFFFF" w:themeColor="background2"/>
            </w:tcBorders>
          </w:tcPr>
          <w:p w14:paraId="5774E6DB" w14:textId="77777777" w:rsidR="005E6AA1" w:rsidRPr="00241765" w:rsidRDefault="005E6AA1" w:rsidP="001636A3">
            <w:pPr>
              <w:autoSpaceDE w:val="0"/>
              <w:autoSpaceDN w:val="0"/>
              <w:adjustRightInd w:val="0"/>
              <w:spacing w:before="20" w:after="20"/>
              <w:jc w:val="right"/>
              <w:rPr>
                <w:color w:val="292929"/>
                <w:sz w:val="14"/>
                <w:szCs w:val="14"/>
              </w:rPr>
            </w:pPr>
            <w:r w:rsidRPr="00241765">
              <w:rPr>
                <w:color w:val="292929"/>
                <w:sz w:val="14"/>
                <w:szCs w:val="14"/>
              </w:rPr>
              <w:t>2.3B</w:t>
            </w:r>
          </w:p>
        </w:tc>
        <w:tc>
          <w:tcPr>
            <w:tcW w:w="985" w:type="dxa"/>
            <w:tcBorders>
              <w:left w:val="single" w:sz="18" w:space="0" w:color="FFFFFF" w:themeColor="background2"/>
              <w:bottom w:val="single" w:sz="2" w:space="0" w:color="auto"/>
              <w:right w:val="single" w:sz="18" w:space="0" w:color="FFFFFF" w:themeColor="background2"/>
            </w:tcBorders>
          </w:tcPr>
          <w:p w14:paraId="3AC93DE5" w14:textId="0FE4939C"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6F1958">
              <w:rPr>
                <w:rFonts w:asciiTheme="majorHAnsi" w:hAnsiTheme="majorHAnsi" w:cs="Calibri"/>
                <w:color w:val="292929"/>
                <w:sz w:val="14"/>
                <w:szCs w:val="14"/>
              </w:rPr>
              <w:t>1</w:t>
            </w:r>
            <w:r w:rsidR="00826E13">
              <w:rPr>
                <w:rFonts w:asciiTheme="majorHAnsi" w:hAnsiTheme="majorHAnsi" w:cs="Calibri"/>
                <w:color w:val="292929"/>
                <w:sz w:val="14"/>
                <w:szCs w:val="14"/>
              </w:rPr>
              <w:t>8</w:t>
            </w:r>
          </w:p>
        </w:tc>
        <w:tc>
          <w:tcPr>
            <w:tcW w:w="985" w:type="dxa"/>
            <w:tcBorders>
              <w:left w:val="single" w:sz="18" w:space="0" w:color="FFFFFF" w:themeColor="background2"/>
              <w:bottom w:val="single" w:sz="2" w:space="0" w:color="auto"/>
              <w:right w:val="single" w:sz="18" w:space="0" w:color="FFFFFF" w:themeColor="background2"/>
            </w:tcBorders>
          </w:tcPr>
          <w:p w14:paraId="555847F7"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12 </w:t>
            </w:r>
          </w:p>
        </w:tc>
        <w:tc>
          <w:tcPr>
            <w:tcW w:w="985" w:type="dxa"/>
            <w:tcBorders>
              <w:left w:val="single" w:sz="18" w:space="0" w:color="FFFFFF" w:themeColor="background2"/>
              <w:bottom w:val="single" w:sz="2" w:space="0" w:color="auto"/>
            </w:tcBorders>
          </w:tcPr>
          <w:p w14:paraId="36CDBD67"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12 </w:t>
            </w:r>
          </w:p>
        </w:tc>
      </w:tr>
      <w:tr w:rsidR="005E6AA1" w:rsidRPr="00241765" w14:paraId="6C2041E5" w14:textId="77777777" w:rsidTr="008569C2">
        <w:trPr>
          <w:trHeight w:val="170"/>
        </w:trPr>
        <w:tc>
          <w:tcPr>
            <w:tcW w:w="3483" w:type="dxa"/>
          </w:tcPr>
          <w:p w14:paraId="1226AF1D"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payables</w:t>
            </w:r>
          </w:p>
        </w:tc>
        <w:tc>
          <w:tcPr>
            <w:tcW w:w="985" w:type="dxa"/>
            <w:tcBorders>
              <w:right w:val="single" w:sz="18" w:space="0" w:color="FFFFFF" w:themeColor="background2"/>
            </w:tcBorders>
          </w:tcPr>
          <w:p w14:paraId="7118AED1"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AF78C79" w14:textId="2BB15914"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6F1958">
              <w:rPr>
                <w:rFonts w:asciiTheme="majorHAnsi" w:hAnsiTheme="majorHAnsi" w:cs="Calibri"/>
                <w:color w:val="292929"/>
                <w:sz w:val="14"/>
                <w:szCs w:val="14"/>
              </w:rPr>
              <w:t>1,</w:t>
            </w:r>
            <w:r w:rsidR="00826E13">
              <w:rPr>
                <w:rFonts w:asciiTheme="majorHAnsi" w:hAnsiTheme="majorHAnsi" w:cs="Calibri"/>
                <w:color w:val="292929"/>
                <w:sz w:val="14"/>
                <w:szCs w:val="14"/>
              </w:rPr>
              <w:t>755</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5D4E43B"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2,428 </w:t>
            </w:r>
          </w:p>
        </w:tc>
        <w:tc>
          <w:tcPr>
            <w:tcW w:w="985" w:type="dxa"/>
            <w:tcBorders>
              <w:top w:val="single" w:sz="2" w:space="0" w:color="auto"/>
              <w:left w:val="single" w:sz="18" w:space="0" w:color="FFFFFF" w:themeColor="background2"/>
              <w:bottom w:val="single" w:sz="2" w:space="0" w:color="auto"/>
            </w:tcBorders>
          </w:tcPr>
          <w:p w14:paraId="3344A950"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2,438 </w:t>
            </w:r>
          </w:p>
        </w:tc>
      </w:tr>
      <w:tr w:rsidR="005E6AA1" w:rsidRPr="00241765" w14:paraId="22654CE7" w14:textId="77777777" w:rsidTr="008569C2">
        <w:trPr>
          <w:trHeight w:val="227"/>
        </w:trPr>
        <w:tc>
          <w:tcPr>
            <w:tcW w:w="3483" w:type="dxa"/>
          </w:tcPr>
          <w:p w14:paraId="2C8CD43F"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Interest bearing liabilities</w:t>
            </w:r>
          </w:p>
        </w:tc>
        <w:tc>
          <w:tcPr>
            <w:tcW w:w="985" w:type="dxa"/>
            <w:tcBorders>
              <w:right w:val="single" w:sz="18" w:space="0" w:color="FFFFFF" w:themeColor="background2"/>
            </w:tcBorders>
          </w:tcPr>
          <w:p w14:paraId="31B737A6"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top w:val="single" w:sz="2" w:space="0" w:color="auto"/>
              <w:left w:val="single" w:sz="18" w:space="0" w:color="FFFFFF" w:themeColor="background2"/>
              <w:right w:val="single" w:sz="18" w:space="0" w:color="FFFFFF" w:themeColor="background2"/>
            </w:tcBorders>
          </w:tcPr>
          <w:p w14:paraId="5CDEAF13"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right w:val="single" w:sz="18" w:space="0" w:color="FFFFFF" w:themeColor="background2"/>
            </w:tcBorders>
          </w:tcPr>
          <w:p w14:paraId="65EF4896"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 xml:space="preserve"> </w:t>
            </w:r>
          </w:p>
        </w:tc>
        <w:tc>
          <w:tcPr>
            <w:tcW w:w="985" w:type="dxa"/>
            <w:tcBorders>
              <w:top w:val="single" w:sz="2" w:space="0" w:color="auto"/>
              <w:left w:val="single" w:sz="18" w:space="0" w:color="FFFFFF" w:themeColor="background2"/>
            </w:tcBorders>
          </w:tcPr>
          <w:p w14:paraId="27C096C8"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rFonts w:cs="Futura PT Book"/>
                <w:color w:val="292929"/>
                <w:sz w:val="14"/>
                <w:szCs w:val="14"/>
                <w:lang w:val="en-US"/>
              </w:rPr>
              <w:t xml:space="preserve"> </w:t>
            </w:r>
          </w:p>
        </w:tc>
      </w:tr>
      <w:tr w:rsidR="005E6AA1" w:rsidRPr="00241765" w14:paraId="4D5DF48E" w14:textId="77777777" w:rsidTr="008569C2">
        <w:trPr>
          <w:trHeight w:val="170"/>
        </w:trPr>
        <w:tc>
          <w:tcPr>
            <w:tcW w:w="3483" w:type="dxa"/>
          </w:tcPr>
          <w:p w14:paraId="2343F005"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color w:val="292929"/>
                <w:sz w:val="14"/>
                <w:szCs w:val="14"/>
              </w:rPr>
              <w:t>Lease liabilities</w:t>
            </w:r>
          </w:p>
        </w:tc>
        <w:tc>
          <w:tcPr>
            <w:tcW w:w="985" w:type="dxa"/>
            <w:tcBorders>
              <w:right w:val="single" w:sz="18" w:space="0" w:color="FFFFFF" w:themeColor="background2"/>
            </w:tcBorders>
          </w:tcPr>
          <w:p w14:paraId="005BA8D7" w14:textId="77777777" w:rsidR="005E6AA1" w:rsidRPr="00241765" w:rsidRDefault="005E6AA1" w:rsidP="001636A3">
            <w:pPr>
              <w:autoSpaceDE w:val="0"/>
              <w:autoSpaceDN w:val="0"/>
              <w:adjustRightInd w:val="0"/>
              <w:spacing w:before="20" w:after="20"/>
              <w:jc w:val="right"/>
              <w:rPr>
                <w:color w:val="292929"/>
                <w:sz w:val="14"/>
                <w:szCs w:val="14"/>
              </w:rPr>
            </w:pPr>
            <w:r w:rsidRPr="00241765">
              <w:rPr>
                <w:color w:val="292929"/>
                <w:sz w:val="14"/>
                <w:szCs w:val="14"/>
              </w:rPr>
              <w:t>2.4A</w:t>
            </w:r>
          </w:p>
        </w:tc>
        <w:tc>
          <w:tcPr>
            <w:tcW w:w="985" w:type="dxa"/>
            <w:tcBorders>
              <w:left w:val="single" w:sz="18" w:space="0" w:color="FFFFFF" w:themeColor="background2"/>
              <w:bottom w:val="single" w:sz="2" w:space="0" w:color="auto"/>
              <w:right w:val="single" w:sz="18" w:space="0" w:color="FFFFFF" w:themeColor="background2"/>
            </w:tcBorders>
          </w:tcPr>
          <w:p w14:paraId="5768FC59" w14:textId="77777777"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s="Calibri"/>
                <w:color w:val="292929"/>
                <w:sz w:val="14"/>
                <w:szCs w:val="14"/>
              </w:rPr>
              <w:t xml:space="preserve">1,519 </w:t>
            </w:r>
          </w:p>
        </w:tc>
        <w:tc>
          <w:tcPr>
            <w:tcW w:w="985" w:type="dxa"/>
            <w:tcBorders>
              <w:left w:val="single" w:sz="18" w:space="0" w:color="FFFFFF" w:themeColor="background2"/>
              <w:bottom w:val="single" w:sz="2" w:space="0" w:color="auto"/>
              <w:right w:val="single" w:sz="18" w:space="0" w:color="FFFFFF" w:themeColor="background2"/>
            </w:tcBorders>
          </w:tcPr>
          <w:p w14:paraId="71A5BDAB"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6,433 </w:t>
            </w:r>
          </w:p>
        </w:tc>
        <w:tc>
          <w:tcPr>
            <w:tcW w:w="985" w:type="dxa"/>
            <w:tcBorders>
              <w:left w:val="single" w:sz="18" w:space="0" w:color="FFFFFF" w:themeColor="background2"/>
              <w:bottom w:val="single" w:sz="2" w:space="0" w:color="auto"/>
            </w:tcBorders>
          </w:tcPr>
          <w:p w14:paraId="7E6A4174"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5,756 </w:t>
            </w:r>
          </w:p>
        </w:tc>
      </w:tr>
      <w:tr w:rsidR="005E6AA1" w:rsidRPr="00241765" w14:paraId="6EEAA480" w14:textId="77777777" w:rsidTr="008569C2">
        <w:trPr>
          <w:trHeight w:val="170"/>
        </w:trPr>
        <w:tc>
          <w:tcPr>
            <w:tcW w:w="3483" w:type="dxa"/>
          </w:tcPr>
          <w:p w14:paraId="287BB757"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241765">
              <w:rPr>
                <w:rFonts w:asciiTheme="majorHAnsi" w:hAnsiTheme="majorHAnsi"/>
                <w:color w:val="292929"/>
                <w:sz w:val="14"/>
                <w:szCs w:val="14"/>
              </w:rPr>
              <w:t>Total interest bearing liabilities</w:t>
            </w:r>
          </w:p>
        </w:tc>
        <w:tc>
          <w:tcPr>
            <w:tcW w:w="985" w:type="dxa"/>
            <w:tcBorders>
              <w:right w:val="single" w:sz="18" w:space="0" w:color="FFFFFF" w:themeColor="background2"/>
            </w:tcBorders>
          </w:tcPr>
          <w:p w14:paraId="2D355096"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1614502" w14:textId="77777777"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241765">
              <w:rPr>
                <w:rFonts w:asciiTheme="majorHAnsi" w:hAnsiTheme="majorHAnsi" w:cs="Calibri"/>
                <w:color w:val="292929"/>
                <w:sz w:val="14"/>
                <w:szCs w:val="14"/>
              </w:rPr>
              <w:t xml:space="preserve">1,519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BA1589C"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6,433 </w:t>
            </w:r>
          </w:p>
        </w:tc>
        <w:tc>
          <w:tcPr>
            <w:tcW w:w="985" w:type="dxa"/>
            <w:tcBorders>
              <w:top w:val="single" w:sz="2" w:space="0" w:color="auto"/>
              <w:left w:val="single" w:sz="18" w:space="0" w:color="FFFFFF" w:themeColor="background2"/>
              <w:bottom w:val="single" w:sz="2" w:space="0" w:color="auto"/>
            </w:tcBorders>
          </w:tcPr>
          <w:p w14:paraId="37D12E51"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5,756 </w:t>
            </w:r>
          </w:p>
        </w:tc>
      </w:tr>
      <w:tr w:rsidR="005E6AA1" w:rsidRPr="00241765" w14:paraId="5462C2D4" w14:textId="77777777" w:rsidTr="008569C2">
        <w:trPr>
          <w:trHeight w:val="227"/>
        </w:trPr>
        <w:tc>
          <w:tcPr>
            <w:tcW w:w="3483" w:type="dxa"/>
          </w:tcPr>
          <w:p w14:paraId="3AB5C2DA"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Provisions</w:t>
            </w:r>
          </w:p>
        </w:tc>
        <w:tc>
          <w:tcPr>
            <w:tcW w:w="985" w:type="dxa"/>
            <w:tcBorders>
              <w:right w:val="single" w:sz="18" w:space="0" w:color="FFFFFF" w:themeColor="background2"/>
            </w:tcBorders>
          </w:tcPr>
          <w:p w14:paraId="6A0104E0"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442503DB"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5B11B369" w14:textId="77777777" w:rsidR="005E6AA1" w:rsidRPr="00241765" w:rsidRDefault="005E6AA1" w:rsidP="001636A3">
            <w:pPr>
              <w:suppressAutoHyphens/>
              <w:autoSpaceDE w:val="0"/>
              <w:autoSpaceDN w:val="0"/>
              <w:adjustRightInd w:val="0"/>
              <w:spacing w:before="20" w:after="20"/>
              <w:textAlignment w:val="center"/>
              <w:rPr>
                <w:color w:val="292929"/>
                <w:sz w:val="14"/>
                <w:szCs w:val="14"/>
              </w:rPr>
            </w:pPr>
          </w:p>
        </w:tc>
        <w:tc>
          <w:tcPr>
            <w:tcW w:w="985" w:type="dxa"/>
            <w:tcBorders>
              <w:top w:val="single" w:sz="2" w:space="0" w:color="auto"/>
              <w:left w:val="single" w:sz="18" w:space="0" w:color="FFFFFF" w:themeColor="background2"/>
            </w:tcBorders>
          </w:tcPr>
          <w:p w14:paraId="511CAE97"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p>
        </w:tc>
      </w:tr>
      <w:tr w:rsidR="005E6AA1" w:rsidRPr="00241765" w14:paraId="1C241B5C" w14:textId="77777777" w:rsidTr="008569C2">
        <w:trPr>
          <w:trHeight w:val="170"/>
        </w:trPr>
        <w:tc>
          <w:tcPr>
            <w:tcW w:w="3483" w:type="dxa"/>
          </w:tcPr>
          <w:p w14:paraId="6BD90F09" w14:textId="77777777" w:rsidR="005E6AA1" w:rsidRPr="00241765" w:rsidRDefault="005E6AA1" w:rsidP="001636A3">
            <w:pPr>
              <w:suppressAutoHyphens/>
              <w:autoSpaceDE w:val="0"/>
              <w:autoSpaceDN w:val="0"/>
              <w:adjustRightInd w:val="0"/>
              <w:spacing w:before="20" w:after="20"/>
              <w:textAlignment w:val="center"/>
              <w:rPr>
                <w:color w:val="292929"/>
                <w:sz w:val="14"/>
                <w:szCs w:val="14"/>
              </w:rPr>
            </w:pPr>
            <w:r w:rsidRPr="00241765">
              <w:rPr>
                <w:color w:val="292929"/>
                <w:sz w:val="14"/>
                <w:szCs w:val="14"/>
              </w:rPr>
              <w:t>Employee provisions</w:t>
            </w:r>
          </w:p>
        </w:tc>
        <w:tc>
          <w:tcPr>
            <w:tcW w:w="985" w:type="dxa"/>
            <w:tcBorders>
              <w:right w:val="single" w:sz="18" w:space="0" w:color="FFFFFF" w:themeColor="background2"/>
            </w:tcBorders>
          </w:tcPr>
          <w:p w14:paraId="0122CC2D" w14:textId="77777777" w:rsidR="005E6AA1" w:rsidRPr="00241765" w:rsidRDefault="005E6AA1" w:rsidP="001636A3">
            <w:pPr>
              <w:autoSpaceDE w:val="0"/>
              <w:autoSpaceDN w:val="0"/>
              <w:adjustRightInd w:val="0"/>
              <w:spacing w:before="20" w:after="20"/>
              <w:jc w:val="right"/>
              <w:rPr>
                <w:color w:val="292929"/>
                <w:sz w:val="14"/>
                <w:szCs w:val="14"/>
              </w:rPr>
            </w:pPr>
            <w:r w:rsidRPr="00241765">
              <w:rPr>
                <w:color w:val="292929"/>
                <w:sz w:val="14"/>
                <w:szCs w:val="14"/>
              </w:rPr>
              <w:t>3.1A</w:t>
            </w:r>
          </w:p>
        </w:tc>
        <w:tc>
          <w:tcPr>
            <w:tcW w:w="985" w:type="dxa"/>
            <w:tcBorders>
              <w:left w:val="single" w:sz="18" w:space="0" w:color="FFFFFF" w:themeColor="background2"/>
              <w:bottom w:val="single" w:sz="2" w:space="0" w:color="auto"/>
              <w:right w:val="single" w:sz="18" w:space="0" w:color="FFFFFF" w:themeColor="background2"/>
            </w:tcBorders>
          </w:tcPr>
          <w:p w14:paraId="2EFF9039" w14:textId="6A002164"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10</w:t>
            </w:r>
            <w:r w:rsidR="00826E13">
              <w:rPr>
                <w:rFonts w:asciiTheme="majorHAnsi" w:hAnsiTheme="majorHAnsi"/>
                <w:color w:val="292929"/>
                <w:sz w:val="14"/>
                <w:szCs w:val="14"/>
              </w:rPr>
              <w:t>6</w:t>
            </w:r>
            <w:r w:rsidR="005E6AA1" w:rsidRPr="00241765">
              <w:rPr>
                <w:rFonts w:asciiTheme="majorHAnsi" w:hAnsiTheme="majorHAnsi"/>
                <w:color w:val="292929"/>
                <w:sz w:val="14"/>
                <w:szCs w:val="14"/>
              </w:rPr>
              <w:t xml:space="preserve"> </w:t>
            </w:r>
          </w:p>
        </w:tc>
        <w:tc>
          <w:tcPr>
            <w:tcW w:w="985" w:type="dxa"/>
            <w:tcBorders>
              <w:left w:val="single" w:sz="18" w:space="0" w:color="FFFFFF" w:themeColor="background2"/>
              <w:bottom w:val="single" w:sz="2" w:space="0" w:color="auto"/>
              <w:right w:val="single" w:sz="18" w:space="0" w:color="FFFFFF" w:themeColor="background2"/>
            </w:tcBorders>
          </w:tcPr>
          <w:p w14:paraId="1D4CA530"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color w:val="292929"/>
                <w:sz w:val="14"/>
                <w:szCs w:val="14"/>
              </w:rPr>
              <w:t xml:space="preserve">101 </w:t>
            </w:r>
          </w:p>
        </w:tc>
        <w:tc>
          <w:tcPr>
            <w:tcW w:w="985" w:type="dxa"/>
            <w:tcBorders>
              <w:left w:val="single" w:sz="18" w:space="0" w:color="FFFFFF" w:themeColor="background2"/>
              <w:bottom w:val="single" w:sz="2" w:space="0" w:color="auto"/>
            </w:tcBorders>
          </w:tcPr>
          <w:p w14:paraId="2069F68C"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100</w:t>
            </w:r>
          </w:p>
        </w:tc>
      </w:tr>
      <w:tr w:rsidR="005E6AA1" w:rsidRPr="00241765" w14:paraId="42EFD08F" w14:textId="77777777" w:rsidTr="008569C2">
        <w:trPr>
          <w:trHeight w:val="170"/>
        </w:trPr>
        <w:tc>
          <w:tcPr>
            <w:tcW w:w="3483" w:type="dxa"/>
          </w:tcPr>
          <w:p w14:paraId="303A66FC"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Total provisions</w:t>
            </w:r>
          </w:p>
        </w:tc>
        <w:tc>
          <w:tcPr>
            <w:tcW w:w="985" w:type="dxa"/>
            <w:tcBorders>
              <w:right w:val="single" w:sz="18" w:space="0" w:color="FFFFFF" w:themeColor="background2"/>
            </w:tcBorders>
          </w:tcPr>
          <w:p w14:paraId="4B8DA97A"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4AB79F0" w14:textId="08200226" w:rsidR="005E6AA1" w:rsidRPr="00241765" w:rsidRDefault="006F1958"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10</w:t>
            </w:r>
            <w:r w:rsidR="00826E13">
              <w:rPr>
                <w:rFonts w:asciiTheme="majorHAnsi" w:hAnsiTheme="majorHAnsi"/>
                <w:color w:val="292929"/>
                <w:sz w:val="14"/>
                <w:szCs w:val="14"/>
              </w:rPr>
              <w:t>6</w:t>
            </w:r>
            <w:r w:rsidR="005E6AA1" w:rsidRPr="00241765">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1171A86F"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color w:val="292929"/>
                <w:sz w:val="14"/>
                <w:szCs w:val="14"/>
              </w:rPr>
              <w:t>101</w:t>
            </w:r>
          </w:p>
        </w:tc>
        <w:tc>
          <w:tcPr>
            <w:tcW w:w="985" w:type="dxa"/>
            <w:tcBorders>
              <w:top w:val="single" w:sz="2" w:space="0" w:color="auto"/>
              <w:left w:val="single" w:sz="18" w:space="0" w:color="FFFFFF" w:themeColor="background2"/>
              <w:bottom w:val="single" w:sz="2" w:space="0" w:color="auto"/>
            </w:tcBorders>
          </w:tcPr>
          <w:p w14:paraId="50575F4C"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color w:val="292929"/>
                <w:sz w:val="14"/>
                <w:szCs w:val="14"/>
              </w:rPr>
              <w:t>100</w:t>
            </w:r>
          </w:p>
        </w:tc>
      </w:tr>
      <w:tr w:rsidR="005E6AA1" w:rsidRPr="00241765" w14:paraId="7FC6A4AE" w14:textId="77777777" w:rsidTr="008569C2">
        <w:trPr>
          <w:trHeight w:val="227"/>
        </w:trPr>
        <w:tc>
          <w:tcPr>
            <w:tcW w:w="3483" w:type="dxa"/>
          </w:tcPr>
          <w:p w14:paraId="0520D1A6"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Total liabilities</w:t>
            </w:r>
          </w:p>
        </w:tc>
        <w:tc>
          <w:tcPr>
            <w:tcW w:w="985" w:type="dxa"/>
            <w:tcBorders>
              <w:right w:val="single" w:sz="18" w:space="0" w:color="FFFFFF" w:themeColor="background2"/>
            </w:tcBorders>
          </w:tcPr>
          <w:p w14:paraId="57177CA9"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B163171" w14:textId="2209020D"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3,</w:t>
            </w:r>
            <w:r w:rsidR="006F1958">
              <w:rPr>
                <w:rFonts w:asciiTheme="majorHAnsi" w:hAnsiTheme="majorHAnsi" w:cs="Calibri"/>
                <w:color w:val="292929"/>
                <w:sz w:val="14"/>
                <w:szCs w:val="14"/>
              </w:rPr>
              <w:t>3</w:t>
            </w:r>
            <w:r w:rsidR="00826E13">
              <w:rPr>
                <w:rFonts w:asciiTheme="majorHAnsi" w:hAnsiTheme="majorHAnsi" w:cs="Calibri"/>
                <w:color w:val="292929"/>
                <w:sz w:val="14"/>
                <w:szCs w:val="14"/>
              </w:rPr>
              <w:t>80</w:t>
            </w:r>
            <w:r w:rsidRPr="00241765">
              <w:rPr>
                <w:rFonts w:asciiTheme="majorHAnsi" w:hAnsiTheme="majorHAnsi" w:cs="Calibr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D7391EB"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8,962 </w:t>
            </w:r>
          </w:p>
        </w:tc>
        <w:tc>
          <w:tcPr>
            <w:tcW w:w="985" w:type="dxa"/>
            <w:tcBorders>
              <w:top w:val="single" w:sz="2" w:space="0" w:color="auto"/>
              <w:left w:val="single" w:sz="18" w:space="0" w:color="FFFFFF" w:themeColor="background2"/>
              <w:bottom w:val="single" w:sz="2" w:space="0" w:color="auto"/>
            </w:tcBorders>
          </w:tcPr>
          <w:p w14:paraId="35B1C45B"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8,294 </w:t>
            </w:r>
          </w:p>
        </w:tc>
      </w:tr>
      <w:tr w:rsidR="005E6AA1" w:rsidRPr="00241765" w14:paraId="2C4EA956" w14:textId="77777777" w:rsidTr="008569C2">
        <w:trPr>
          <w:trHeight w:val="170"/>
        </w:trPr>
        <w:tc>
          <w:tcPr>
            <w:tcW w:w="3483" w:type="dxa"/>
          </w:tcPr>
          <w:p w14:paraId="02A8AE50"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Net assets</w:t>
            </w:r>
          </w:p>
        </w:tc>
        <w:tc>
          <w:tcPr>
            <w:tcW w:w="985" w:type="dxa"/>
            <w:tcBorders>
              <w:right w:val="single" w:sz="18" w:space="0" w:color="FFFFFF" w:themeColor="background2"/>
            </w:tcBorders>
          </w:tcPr>
          <w:p w14:paraId="1C33D35C"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B402EEB" w14:textId="5A985316"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15,</w:t>
            </w:r>
            <w:r w:rsidR="006F1958">
              <w:rPr>
                <w:rFonts w:asciiTheme="majorHAnsi" w:hAnsiTheme="majorHAnsi" w:cs="Calibri"/>
                <w:color w:val="292929"/>
                <w:sz w:val="14"/>
                <w:szCs w:val="14"/>
              </w:rPr>
              <w:t>8</w:t>
            </w:r>
            <w:r w:rsidR="00826E13">
              <w:rPr>
                <w:rFonts w:asciiTheme="majorHAnsi" w:hAnsiTheme="majorHAnsi" w:cs="Calibri"/>
                <w:color w:val="292929"/>
                <w:sz w:val="14"/>
                <w:szCs w:val="14"/>
              </w:rPr>
              <w:t>36</w:t>
            </w:r>
            <w:r w:rsidRPr="00241765">
              <w:rPr>
                <w:rFonts w:asciiTheme="majorHAnsi" w:hAnsiTheme="majorHAnsi" w:cs="Calibr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854A438"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13,494 </w:t>
            </w:r>
          </w:p>
        </w:tc>
        <w:tc>
          <w:tcPr>
            <w:tcW w:w="985" w:type="dxa"/>
            <w:tcBorders>
              <w:top w:val="single" w:sz="2" w:space="0" w:color="auto"/>
              <w:left w:val="single" w:sz="18" w:space="0" w:color="FFFFFF" w:themeColor="background2"/>
              <w:bottom w:val="single" w:sz="2" w:space="0" w:color="auto"/>
            </w:tcBorders>
          </w:tcPr>
          <w:p w14:paraId="222CD0B0"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13,399 </w:t>
            </w:r>
          </w:p>
        </w:tc>
      </w:tr>
      <w:tr w:rsidR="005E6AA1" w:rsidRPr="00241765" w14:paraId="3DC069CD" w14:textId="77777777" w:rsidTr="008569C2">
        <w:trPr>
          <w:trHeight w:val="283"/>
        </w:trPr>
        <w:tc>
          <w:tcPr>
            <w:tcW w:w="3483" w:type="dxa"/>
          </w:tcPr>
          <w:p w14:paraId="60C300F6"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EQUITY</w:t>
            </w:r>
          </w:p>
        </w:tc>
        <w:tc>
          <w:tcPr>
            <w:tcW w:w="985" w:type="dxa"/>
            <w:tcBorders>
              <w:right w:val="single" w:sz="18" w:space="0" w:color="FFFFFF" w:themeColor="background2"/>
            </w:tcBorders>
          </w:tcPr>
          <w:p w14:paraId="3408CA77" w14:textId="77777777" w:rsidR="005E6AA1" w:rsidRPr="00241765" w:rsidRDefault="005E6AA1" w:rsidP="001636A3">
            <w:pPr>
              <w:autoSpaceDE w:val="0"/>
              <w:autoSpaceDN w:val="0"/>
              <w:adjustRightInd w:val="0"/>
              <w:spacing w:before="20" w:after="20"/>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504BFCB0"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0E29D464" w14:textId="77777777" w:rsidR="005E6AA1" w:rsidRPr="00241765" w:rsidRDefault="005E6AA1" w:rsidP="001636A3">
            <w:pPr>
              <w:suppressAutoHyphens/>
              <w:autoSpaceDE w:val="0"/>
              <w:autoSpaceDN w:val="0"/>
              <w:adjustRightInd w:val="0"/>
              <w:spacing w:before="20" w:after="20"/>
              <w:textAlignment w:val="center"/>
              <w:rPr>
                <w:color w:val="292929"/>
                <w:sz w:val="14"/>
                <w:szCs w:val="14"/>
              </w:rPr>
            </w:pPr>
          </w:p>
        </w:tc>
        <w:tc>
          <w:tcPr>
            <w:tcW w:w="985" w:type="dxa"/>
            <w:tcBorders>
              <w:top w:val="single" w:sz="2" w:space="0" w:color="auto"/>
              <w:left w:val="single" w:sz="18" w:space="0" w:color="FFFFFF" w:themeColor="background2"/>
            </w:tcBorders>
          </w:tcPr>
          <w:p w14:paraId="75C5BBBE"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p>
        </w:tc>
      </w:tr>
      <w:tr w:rsidR="005E6AA1" w:rsidRPr="00241765" w14:paraId="7F221926" w14:textId="77777777" w:rsidTr="008569C2">
        <w:trPr>
          <w:trHeight w:val="170"/>
        </w:trPr>
        <w:tc>
          <w:tcPr>
            <w:tcW w:w="3483" w:type="dxa"/>
          </w:tcPr>
          <w:p w14:paraId="19A7A807" w14:textId="77777777" w:rsidR="005E6AA1" w:rsidRPr="00241765" w:rsidRDefault="005E6AA1" w:rsidP="001636A3">
            <w:pPr>
              <w:suppressAutoHyphens/>
              <w:autoSpaceDE w:val="0"/>
              <w:autoSpaceDN w:val="0"/>
              <w:adjustRightInd w:val="0"/>
              <w:spacing w:before="20" w:after="20"/>
              <w:textAlignment w:val="center"/>
              <w:rPr>
                <w:color w:val="292929"/>
                <w:sz w:val="14"/>
                <w:szCs w:val="14"/>
              </w:rPr>
            </w:pPr>
            <w:r w:rsidRPr="00241765">
              <w:rPr>
                <w:color w:val="292929"/>
                <w:sz w:val="14"/>
                <w:szCs w:val="14"/>
              </w:rPr>
              <w:t>Contributed equity</w:t>
            </w:r>
          </w:p>
        </w:tc>
        <w:tc>
          <w:tcPr>
            <w:tcW w:w="985" w:type="dxa"/>
            <w:tcBorders>
              <w:right w:val="single" w:sz="18" w:space="0" w:color="FFFFFF" w:themeColor="background2"/>
            </w:tcBorders>
          </w:tcPr>
          <w:p w14:paraId="4FE5E41E"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416D28FE" w14:textId="77777777"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 xml:space="preserve">400 </w:t>
            </w:r>
          </w:p>
        </w:tc>
        <w:tc>
          <w:tcPr>
            <w:tcW w:w="985" w:type="dxa"/>
            <w:tcBorders>
              <w:left w:val="single" w:sz="18" w:space="0" w:color="FFFFFF" w:themeColor="background2"/>
              <w:right w:val="single" w:sz="18" w:space="0" w:color="FFFFFF" w:themeColor="background2"/>
            </w:tcBorders>
          </w:tcPr>
          <w:p w14:paraId="13CA66CD"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400 </w:t>
            </w:r>
          </w:p>
        </w:tc>
        <w:tc>
          <w:tcPr>
            <w:tcW w:w="985" w:type="dxa"/>
            <w:tcBorders>
              <w:left w:val="single" w:sz="18" w:space="0" w:color="FFFFFF" w:themeColor="background2"/>
            </w:tcBorders>
          </w:tcPr>
          <w:p w14:paraId="56D687BC"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400 </w:t>
            </w:r>
          </w:p>
        </w:tc>
      </w:tr>
      <w:tr w:rsidR="005E6AA1" w:rsidRPr="00241765" w14:paraId="078F4C90" w14:textId="77777777" w:rsidTr="008569C2">
        <w:trPr>
          <w:trHeight w:val="170"/>
        </w:trPr>
        <w:tc>
          <w:tcPr>
            <w:tcW w:w="3483" w:type="dxa"/>
          </w:tcPr>
          <w:p w14:paraId="5A2BCF8C" w14:textId="77777777" w:rsidR="005E6AA1" w:rsidRPr="00241765" w:rsidRDefault="005E6AA1" w:rsidP="001636A3">
            <w:pPr>
              <w:suppressAutoHyphens/>
              <w:autoSpaceDE w:val="0"/>
              <w:autoSpaceDN w:val="0"/>
              <w:adjustRightInd w:val="0"/>
              <w:spacing w:before="20" w:after="20"/>
              <w:textAlignment w:val="center"/>
              <w:rPr>
                <w:color w:val="292929"/>
                <w:sz w:val="14"/>
                <w:szCs w:val="14"/>
              </w:rPr>
            </w:pPr>
            <w:r w:rsidRPr="00241765">
              <w:rPr>
                <w:color w:val="292929"/>
                <w:sz w:val="14"/>
                <w:szCs w:val="14"/>
              </w:rPr>
              <w:t>Retained surplus</w:t>
            </w:r>
          </w:p>
        </w:tc>
        <w:tc>
          <w:tcPr>
            <w:tcW w:w="985" w:type="dxa"/>
            <w:tcBorders>
              <w:right w:val="single" w:sz="18" w:space="0" w:color="FFFFFF" w:themeColor="background2"/>
            </w:tcBorders>
          </w:tcPr>
          <w:p w14:paraId="5DC61ABB"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13FC4EDA" w14:textId="68ACECC1"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15,</w:t>
            </w:r>
            <w:r w:rsidR="00826E13">
              <w:rPr>
                <w:rFonts w:asciiTheme="majorHAnsi" w:hAnsiTheme="majorHAnsi" w:cs="Calibri"/>
                <w:color w:val="292929"/>
                <w:sz w:val="14"/>
                <w:szCs w:val="14"/>
              </w:rPr>
              <w:t>436</w:t>
            </w:r>
            <w:r w:rsidRPr="00241765">
              <w:rPr>
                <w:rFonts w:asciiTheme="majorHAnsi" w:hAnsiTheme="majorHAnsi" w:cs="Calibri"/>
                <w:color w:val="292929"/>
                <w:sz w:val="14"/>
                <w:szCs w:val="14"/>
              </w:rPr>
              <w:t xml:space="preserve"> </w:t>
            </w:r>
          </w:p>
        </w:tc>
        <w:tc>
          <w:tcPr>
            <w:tcW w:w="985" w:type="dxa"/>
            <w:tcBorders>
              <w:left w:val="single" w:sz="18" w:space="0" w:color="FFFFFF" w:themeColor="background2"/>
              <w:bottom w:val="single" w:sz="2" w:space="0" w:color="auto"/>
              <w:right w:val="single" w:sz="18" w:space="0" w:color="FFFFFF" w:themeColor="background2"/>
            </w:tcBorders>
          </w:tcPr>
          <w:p w14:paraId="5169CFA5"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13,094 </w:t>
            </w:r>
          </w:p>
        </w:tc>
        <w:tc>
          <w:tcPr>
            <w:tcW w:w="985" w:type="dxa"/>
            <w:tcBorders>
              <w:left w:val="single" w:sz="18" w:space="0" w:color="FFFFFF" w:themeColor="background2"/>
              <w:bottom w:val="single" w:sz="2" w:space="0" w:color="auto"/>
            </w:tcBorders>
          </w:tcPr>
          <w:p w14:paraId="634FCD99"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12,999 </w:t>
            </w:r>
          </w:p>
        </w:tc>
      </w:tr>
      <w:tr w:rsidR="005E6AA1" w:rsidRPr="00241765" w14:paraId="14F27F99" w14:textId="77777777" w:rsidTr="008569C2">
        <w:trPr>
          <w:trHeight w:val="170"/>
        </w:trPr>
        <w:tc>
          <w:tcPr>
            <w:tcW w:w="3483" w:type="dxa"/>
          </w:tcPr>
          <w:p w14:paraId="1F78EBF5"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14"/>
                <w:szCs w:val="14"/>
              </w:rPr>
            </w:pPr>
            <w:r w:rsidRPr="00241765">
              <w:rPr>
                <w:rFonts w:asciiTheme="majorHAnsi" w:hAnsiTheme="majorHAnsi"/>
                <w:color w:val="292929"/>
                <w:sz w:val="14"/>
                <w:szCs w:val="14"/>
              </w:rPr>
              <w:t>Total equity</w:t>
            </w:r>
          </w:p>
        </w:tc>
        <w:tc>
          <w:tcPr>
            <w:tcW w:w="985" w:type="dxa"/>
            <w:tcBorders>
              <w:right w:val="single" w:sz="18" w:space="0" w:color="FFFFFF" w:themeColor="background2"/>
            </w:tcBorders>
          </w:tcPr>
          <w:p w14:paraId="7D00DFF4" w14:textId="77777777" w:rsidR="005E6AA1" w:rsidRPr="00241765" w:rsidRDefault="005E6AA1" w:rsidP="001636A3">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259C9E8F" w14:textId="7E4F6231"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olor w:val="292929"/>
                <w:sz w:val="14"/>
                <w:szCs w:val="14"/>
              </w:rPr>
            </w:pPr>
            <w:r w:rsidRPr="00241765">
              <w:rPr>
                <w:rFonts w:asciiTheme="majorHAnsi" w:hAnsiTheme="majorHAnsi" w:cs="Calibri"/>
                <w:color w:val="292929"/>
                <w:sz w:val="14"/>
                <w:szCs w:val="14"/>
              </w:rPr>
              <w:t>15,</w:t>
            </w:r>
            <w:r w:rsidR="00826E13">
              <w:rPr>
                <w:rFonts w:asciiTheme="majorHAnsi" w:hAnsiTheme="majorHAnsi" w:cs="Calibri"/>
                <w:color w:val="292929"/>
                <w:sz w:val="14"/>
                <w:szCs w:val="14"/>
              </w:rPr>
              <w:t>836</w:t>
            </w:r>
            <w:r w:rsidRPr="00241765">
              <w:rPr>
                <w:rFonts w:asciiTheme="majorHAnsi" w:hAnsiTheme="majorHAnsi" w:cs="Calibr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47BA4CD" w14:textId="77777777" w:rsidR="005E6AA1" w:rsidRPr="00241765" w:rsidRDefault="005E6AA1" w:rsidP="001636A3">
            <w:pPr>
              <w:suppressAutoHyphens/>
              <w:autoSpaceDE w:val="0"/>
              <w:autoSpaceDN w:val="0"/>
              <w:adjustRightInd w:val="0"/>
              <w:spacing w:before="20" w:after="20"/>
              <w:jc w:val="right"/>
              <w:textAlignment w:val="center"/>
              <w:rPr>
                <w:color w:val="292929"/>
                <w:sz w:val="14"/>
                <w:szCs w:val="14"/>
              </w:rPr>
            </w:pPr>
            <w:r w:rsidRPr="00241765">
              <w:rPr>
                <w:rFonts w:cs="Calibri"/>
                <w:color w:val="292929"/>
                <w:sz w:val="14"/>
                <w:szCs w:val="14"/>
              </w:rPr>
              <w:t xml:space="preserve">13,494 </w:t>
            </w:r>
          </w:p>
        </w:tc>
        <w:tc>
          <w:tcPr>
            <w:tcW w:w="985" w:type="dxa"/>
            <w:tcBorders>
              <w:top w:val="single" w:sz="2" w:space="0" w:color="auto"/>
              <w:left w:val="single" w:sz="18" w:space="0" w:color="FFFFFF" w:themeColor="background2"/>
              <w:bottom w:val="single" w:sz="2" w:space="0" w:color="auto"/>
            </w:tcBorders>
          </w:tcPr>
          <w:p w14:paraId="166DFF94" w14:textId="77777777" w:rsidR="005E6AA1" w:rsidRPr="00241765" w:rsidRDefault="005E6AA1" w:rsidP="001636A3">
            <w:pPr>
              <w:suppressAutoHyphens/>
              <w:autoSpaceDE w:val="0"/>
              <w:autoSpaceDN w:val="0"/>
              <w:adjustRightInd w:val="0"/>
              <w:spacing w:before="20" w:after="20"/>
              <w:jc w:val="right"/>
              <w:textAlignment w:val="center"/>
              <w:rPr>
                <w:rFonts w:cs="Futura PT Book"/>
                <w:color w:val="292929"/>
                <w:sz w:val="14"/>
                <w:szCs w:val="14"/>
                <w:lang w:val="en-US"/>
              </w:rPr>
            </w:pPr>
            <w:r w:rsidRPr="00241765">
              <w:rPr>
                <w:rFonts w:cs="Calibri"/>
                <w:color w:val="292929"/>
                <w:sz w:val="14"/>
                <w:szCs w:val="14"/>
              </w:rPr>
              <w:t xml:space="preserve">13,399 </w:t>
            </w:r>
          </w:p>
        </w:tc>
      </w:tr>
      <w:tr w:rsidR="005E6AA1" w:rsidRPr="00241765" w14:paraId="6CB09C81" w14:textId="77777777" w:rsidTr="008569C2">
        <w:trPr>
          <w:trHeight w:val="57"/>
        </w:trPr>
        <w:tc>
          <w:tcPr>
            <w:tcW w:w="3483" w:type="dxa"/>
          </w:tcPr>
          <w:p w14:paraId="3615D837" w14:textId="77777777" w:rsidR="005E6AA1" w:rsidRPr="00241765" w:rsidRDefault="005E6AA1" w:rsidP="001636A3">
            <w:pPr>
              <w:suppressAutoHyphens/>
              <w:autoSpaceDE w:val="0"/>
              <w:autoSpaceDN w:val="0"/>
              <w:adjustRightInd w:val="0"/>
              <w:spacing w:before="20" w:after="20"/>
              <w:textAlignment w:val="center"/>
              <w:rPr>
                <w:rFonts w:asciiTheme="majorHAnsi" w:hAnsiTheme="majorHAnsi"/>
                <w:color w:val="292929"/>
                <w:sz w:val="4"/>
                <w:szCs w:val="4"/>
              </w:rPr>
            </w:pPr>
          </w:p>
        </w:tc>
        <w:tc>
          <w:tcPr>
            <w:tcW w:w="985" w:type="dxa"/>
            <w:tcBorders>
              <w:right w:val="single" w:sz="18" w:space="0" w:color="FFFFFF" w:themeColor="background2"/>
            </w:tcBorders>
          </w:tcPr>
          <w:p w14:paraId="7F148254" w14:textId="77777777" w:rsidR="005E6AA1" w:rsidRPr="00241765" w:rsidRDefault="005E6AA1" w:rsidP="001636A3">
            <w:pPr>
              <w:autoSpaceDE w:val="0"/>
              <w:autoSpaceDN w:val="0"/>
              <w:adjustRightInd w:val="0"/>
              <w:spacing w:before="20" w:after="20"/>
              <w:jc w:val="right"/>
              <w:rPr>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50D8D43D" w14:textId="77777777" w:rsidR="005E6AA1" w:rsidRPr="00241765" w:rsidRDefault="005E6AA1" w:rsidP="001636A3">
            <w:pPr>
              <w:suppressAutoHyphens/>
              <w:autoSpaceDE w:val="0"/>
              <w:autoSpaceDN w:val="0"/>
              <w:adjustRightInd w:val="0"/>
              <w:spacing w:before="20" w:after="20"/>
              <w:jc w:val="right"/>
              <w:textAlignment w:val="center"/>
              <w:rPr>
                <w:rFonts w:asciiTheme="majorHAnsi" w:hAnsiTheme="majorHAnsi"/>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29530E97" w14:textId="77777777" w:rsidR="005E6AA1" w:rsidRPr="00241765" w:rsidRDefault="005E6AA1" w:rsidP="001636A3">
            <w:pPr>
              <w:suppressAutoHyphens/>
              <w:autoSpaceDE w:val="0"/>
              <w:autoSpaceDN w:val="0"/>
              <w:adjustRightInd w:val="0"/>
              <w:spacing w:before="20" w:after="20"/>
              <w:jc w:val="right"/>
              <w:textAlignment w:val="center"/>
              <w:rPr>
                <w:color w:val="292929"/>
                <w:sz w:val="4"/>
                <w:szCs w:val="4"/>
              </w:rPr>
            </w:pPr>
          </w:p>
        </w:tc>
        <w:tc>
          <w:tcPr>
            <w:tcW w:w="985" w:type="dxa"/>
            <w:tcBorders>
              <w:top w:val="single" w:sz="2" w:space="0" w:color="auto"/>
              <w:left w:val="single" w:sz="18" w:space="0" w:color="FFFFFF" w:themeColor="background2"/>
            </w:tcBorders>
          </w:tcPr>
          <w:p w14:paraId="726375F1" w14:textId="77777777" w:rsidR="005E6AA1" w:rsidRPr="00241765" w:rsidRDefault="005E6AA1" w:rsidP="001636A3">
            <w:pPr>
              <w:suppressAutoHyphens/>
              <w:autoSpaceDE w:val="0"/>
              <w:autoSpaceDN w:val="0"/>
              <w:adjustRightInd w:val="0"/>
              <w:spacing w:before="20" w:after="20"/>
              <w:jc w:val="right"/>
              <w:textAlignment w:val="center"/>
              <w:rPr>
                <w:color w:val="292929"/>
                <w:sz w:val="4"/>
                <w:szCs w:val="4"/>
              </w:rPr>
            </w:pPr>
          </w:p>
        </w:tc>
      </w:tr>
      <w:tr w:rsidR="005E6AA1" w:rsidRPr="00241765" w14:paraId="5C7726A2" w14:textId="77777777" w:rsidTr="008569C2">
        <w:trPr>
          <w:trHeight w:val="222"/>
        </w:trPr>
        <w:tc>
          <w:tcPr>
            <w:tcW w:w="7423" w:type="dxa"/>
            <w:gridSpan w:val="5"/>
          </w:tcPr>
          <w:p w14:paraId="4E70E7BD" w14:textId="77777777" w:rsidR="005E6AA1" w:rsidRPr="00241765" w:rsidRDefault="005E6AA1" w:rsidP="001636A3">
            <w:pPr>
              <w:suppressAutoHyphens/>
              <w:autoSpaceDE w:val="0"/>
              <w:autoSpaceDN w:val="0"/>
              <w:adjustRightInd w:val="0"/>
              <w:spacing w:before="20" w:after="20"/>
              <w:textAlignment w:val="center"/>
              <w:rPr>
                <w:rFonts w:cs="Futura PT Book"/>
                <w:color w:val="292929"/>
                <w:sz w:val="14"/>
                <w:szCs w:val="14"/>
                <w:lang w:val="en-US"/>
              </w:rPr>
            </w:pPr>
            <w:r w:rsidRPr="00241765">
              <w:rPr>
                <w:rFonts w:cs="Futura PT Book"/>
                <w:color w:val="292929"/>
                <w:sz w:val="14"/>
                <w:szCs w:val="14"/>
                <w:lang w:val="en-US"/>
              </w:rPr>
              <w:t>The above statement should be read in conjunction with the accompanying notes.</w:t>
            </w:r>
          </w:p>
        </w:tc>
      </w:tr>
    </w:tbl>
    <w:p w14:paraId="6212010C" w14:textId="77777777" w:rsidR="005E6AA1" w:rsidRPr="00241765" w:rsidRDefault="005E6AA1" w:rsidP="005E6AA1">
      <w:pPr>
        <w:pStyle w:val="H4"/>
        <w:spacing w:before="120" w:after="120"/>
        <w:rPr>
          <w:color w:val="292929"/>
          <w:sz w:val="18"/>
        </w:rPr>
      </w:pPr>
      <w:r w:rsidRPr="00241765">
        <w:rPr>
          <w:color w:val="292929"/>
          <w:sz w:val="18"/>
        </w:rPr>
        <w:t>Budget Variances Commentary</w:t>
      </w:r>
    </w:p>
    <w:p w14:paraId="67BF0E49" w14:textId="77777777" w:rsidR="005E6AA1" w:rsidRPr="00241765" w:rsidRDefault="005E6AA1" w:rsidP="005E6AA1">
      <w:pPr>
        <w:pStyle w:val="Body-Financial"/>
        <w:rPr>
          <w:b/>
          <w:bCs/>
          <w:color w:val="292929"/>
        </w:rPr>
      </w:pPr>
      <w:r w:rsidRPr="00241765">
        <w:rPr>
          <w:b/>
          <w:bCs/>
          <w:color w:val="292929"/>
        </w:rPr>
        <w:t xml:space="preserve">Statement of Financial Position </w:t>
      </w:r>
    </w:p>
    <w:p w14:paraId="4B242813" w14:textId="5726B56B" w:rsidR="006F1958" w:rsidRDefault="00826E13" w:rsidP="005E6AA1">
      <w:pPr>
        <w:pStyle w:val="Body-Financial"/>
        <w:ind w:right="-86"/>
        <w:rPr>
          <w:color w:val="292929"/>
          <w:lang w:val="en-AU"/>
        </w:rPr>
      </w:pPr>
      <w:r w:rsidRPr="00826E13">
        <w:rPr>
          <w:color w:val="292929"/>
          <w:lang w:val="en-AU"/>
        </w:rPr>
        <w:t>Total assets of $19.216m were $2.477m less than the budgeted amount of $21.693m primarily due to the lower buildings (represented by right</w:t>
      </w:r>
      <w:r w:rsidR="006918B9">
        <w:rPr>
          <w:color w:val="292929"/>
          <w:lang w:val="en-AU"/>
        </w:rPr>
        <w:noBreakHyphen/>
      </w:r>
      <w:r w:rsidRPr="00826E13">
        <w:rPr>
          <w:color w:val="292929"/>
          <w:lang w:val="en-AU"/>
        </w:rPr>
        <w:t>of-use assets) of $4.216m and leasehold improvements of $0.410m</w:t>
      </w:r>
      <w:r w:rsidR="00647A65">
        <w:rPr>
          <w:color w:val="292929"/>
          <w:lang w:val="en-AU"/>
        </w:rPr>
        <w:t>,</w:t>
      </w:r>
      <w:r w:rsidRPr="00826E13">
        <w:rPr>
          <w:color w:val="292929"/>
          <w:lang w:val="en-AU"/>
        </w:rPr>
        <w:t xml:space="preserve"> which was partially offset by a higher cash balance of $1.951m.</w:t>
      </w:r>
      <w:r w:rsidR="006F1958" w:rsidRPr="006F1958">
        <w:rPr>
          <w:color w:val="292929"/>
          <w:lang w:val="en-AU"/>
        </w:rPr>
        <w:t xml:space="preserve"> </w:t>
      </w:r>
    </w:p>
    <w:p w14:paraId="7935EF68" w14:textId="54DE18A6" w:rsidR="006F1958" w:rsidRDefault="00826E13" w:rsidP="005E6AA1">
      <w:pPr>
        <w:pStyle w:val="Body-Financial"/>
        <w:ind w:right="-227"/>
        <w:rPr>
          <w:color w:val="292929"/>
          <w:lang w:val="en-AU"/>
        </w:rPr>
      </w:pPr>
      <w:r w:rsidRPr="00826E13">
        <w:rPr>
          <w:color w:val="292929"/>
          <w:lang w:val="en-AU"/>
        </w:rPr>
        <w:t>Right-of-use assets were lower than budget due to IHPA reassessing (shortening) the end of the lease term in accordance with AASB</w:t>
      </w:r>
      <w:r>
        <w:rPr>
          <w:color w:val="292929"/>
          <w:lang w:val="en-AU"/>
        </w:rPr>
        <w:t> </w:t>
      </w:r>
      <w:r w:rsidRPr="00826E13">
        <w:rPr>
          <w:color w:val="292929"/>
          <w:lang w:val="en-AU"/>
        </w:rPr>
        <w:t>16</w:t>
      </w:r>
      <w:r>
        <w:rPr>
          <w:color w:val="292929"/>
          <w:lang w:val="en-AU"/>
        </w:rPr>
        <w:t> </w:t>
      </w:r>
      <w:r w:rsidRPr="00826E13">
        <w:rPr>
          <w:i/>
          <w:iCs/>
          <w:color w:val="292929"/>
          <w:lang w:val="en-AU"/>
        </w:rPr>
        <w:t>Leases</w:t>
      </w:r>
      <w:r w:rsidRPr="00826E13">
        <w:rPr>
          <w:color w:val="292929"/>
          <w:lang w:val="en-AU"/>
        </w:rPr>
        <w:t>. Leasehold improvement assets were also lower than budget due to increased depreciation expense from reducing the useful</w:t>
      </w:r>
      <w:r>
        <w:rPr>
          <w:color w:val="292929"/>
          <w:lang w:val="en-AU"/>
        </w:rPr>
        <w:t> </w:t>
      </w:r>
      <w:r w:rsidRPr="00826E13">
        <w:rPr>
          <w:color w:val="292929"/>
          <w:lang w:val="en-AU"/>
        </w:rPr>
        <w:t>life</w:t>
      </w:r>
      <w:r>
        <w:rPr>
          <w:color w:val="292929"/>
          <w:lang w:val="en-AU"/>
        </w:rPr>
        <w:t> </w:t>
      </w:r>
      <w:r w:rsidRPr="00826E13">
        <w:rPr>
          <w:color w:val="292929"/>
          <w:lang w:val="en-AU"/>
        </w:rPr>
        <w:t>consistent with the reassessment of the lease term. Cash was higher than budget primarily due to the current year surplus.</w:t>
      </w:r>
    </w:p>
    <w:p w14:paraId="15BD2188" w14:textId="77777777" w:rsidR="00826E13" w:rsidRDefault="00826E13" w:rsidP="00957DFA">
      <w:pPr>
        <w:pStyle w:val="Body-Financial"/>
        <w:rPr>
          <w:color w:val="292929"/>
          <w:lang w:val="en-AU"/>
        </w:rPr>
      </w:pPr>
      <w:r w:rsidRPr="00826E13">
        <w:rPr>
          <w:color w:val="292929"/>
          <w:lang w:val="en-AU"/>
        </w:rPr>
        <w:t xml:space="preserve">Total liabilities of $3.380m were $4.914m lower than the budgeted amount of $8.294m primarily due to lower lease liabilities due to IHPA reassessing (shortening) the end of the lease term in accordance with AASB 16 </w:t>
      </w:r>
      <w:r w:rsidRPr="00826E13">
        <w:rPr>
          <w:i/>
          <w:iCs/>
          <w:color w:val="292929"/>
          <w:lang w:val="en-AU"/>
        </w:rPr>
        <w:t>Leases</w:t>
      </w:r>
      <w:r w:rsidRPr="00826E13">
        <w:rPr>
          <w:color w:val="292929"/>
          <w:lang w:val="en-AU"/>
        </w:rPr>
        <w:t xml:space="preserve">. </w:t>
      </w:r>
    </w:p>
    <w:p w14:paraId="020CC50B" w14:textId="6764736A" w:rsidR="00300754" w:rsidRDefault="00826E13" w:rsidP="00957DFA">
      <w:pPr>
        <w:pStyle w:val="Body-Financial"/>
        <w:rPr>
          <w:color w:val="292929"/>
          <w:lang w:val="en-AU"/>
        </w:rPr>
      </w:pPr>
      <w:r w:rsidRPr="00826E13">
        <w:rPr>
          <w:color w:val="292929"/>
          <w:lang w:val="en-AU"/>
        </w:rPr>
        <w:t>Total equity of $15.8</w:t>
      </w:r>
      <w:r w:rsidR="00942010">
        <w:rPr>
          <w:color w:val="292929"/>
          <w:lang w:val="en-AU"/>
        </w:rPr>
        <w:t>36</w:t>
      </w:r>
      <w:r w:rsidRPr="00826E13">
        <w:rPr>
          <w:color w:val="292929"/>
          <w:lang w:val="en-AU"/>
        </w:rPr>
        <w:t>m was $2.437m higher than the budgeted amount of $13.399m primarily due to the current period surplus noting that the budget is derived on a break-even assumption.</w:t>
      </w:r>
    </w:p>
    <w:p w14:paraId="10FD053F" w14:textId="0AEB5AF3" w:rsidR="006F1958" w:rsidRDefault="006F1958" w:rsidP="00957DFA">
      <w:pPr>
        <w:pStyle w:val="Body-Financial"/>
        <w:sectPr w:rsidR="006F1958" w:rsidSect="00441579">
          <w:footerReference w:type="default" r:id="rId198"/>
          <w:pgSz w:w="9979" w:h="14175"/>
          <w:pgMar w:top="964" w:right="1049" w:bottom="851" w:left="1134" w:header="709" w:footer="709" w:gutter="0"/>
          <w:cols w:space="708"/>
          <w:docGrid w:linePitch="360"/>
        </w:sectPr>
      </w:pPr>
    </w:p>
    <w:p w14:paraId="51E4B181" w14:textId="77777777" w:rsidR="005E6AA1" w:rsidRDefault="005E6AA1" w:rsidP="005E6AA1">
      <w:pPr>
        <w:pStyle w:val="H3Financials"/>
        <w:spacing w:before="0" w:after="120"/>
      </w:pPr>
      <w:bookmarkStart w:id="154" w:name="_Toc83220559"/>
      <w:r w:rsidRPr="00974E28">
        <w:lastRenderedPageBreak/>
        <w:t xml:space="preserve">Statement of </w:t>
      </w:r>
      <w:r>
        <w:t>changes in equity</w:t>
      </w:r>
      <w:bookmarkEnd w:id="154"/>
      <w:r>
        <w:t xml:space="preserve"> </w:t>
      </w:r>
    </w:p>
    <w:p w14:paraId="4D7A7902" w14:textId="77777777" w:rsidR="005E6AA1" w:rsidRPr="00F73A32" w:rsidRDefault="005E6AA1" w:rsidP="005E6AA1">
      <w:pPr>
        <w:pStyle w:val="Body"/>
        <w:rPr>
          <w:i/>
          <w:iCs/>
        </w:rPr>
      </w:pPr>
      <w:r w:rsidRPr="00F71E0B">
        <w:rPr>
          <w:i/>
          <w:iCs/>
        </w:rPr>
        <w:t>for the period ended 30 June 202</w:t>
      </w:r>
      <w:r>
        <w:rPr>
          <w:i/>
          <w:iCs/>
        </w:rPr>
        <w:t>1</w:t>
      </w:r>
    </w:p>
    <w:tbl>
      <w:tblPr>
        <w:tblStyle w:val="IHPA"/>
        <w:tblW w:w="7423" w:type="dxa"/>
        <w:tblLayout w:type="fixed"/>
        <w:tblLook w:val="0020" w:firstRow="1" w:lastRow="0" w:firstColumn="0" w:lastColumn="0" w:noHBand="0" w:noVBand="0"/>
        <w:tblCaption w:val="Statement of changes in equity"/>
        <w:tblDescription w:val="Statement of changes in equity"/>
      </w:tblPr>
      <w:tblGrid>
        <w:gridCol w:w="3483"/>
        <w:gridCol w:w="985"/>
        <w:gridCol w:w="985"/>
        <w:gridCol w:w="985"/>
        <w:gridCol w:w="985"/>
      </w:tblGrid>
      <w:tr w:rsidR="005E6AA1" w:rsidRPr="00807DBD" w14:paraId="7986938A" w14:textId="77777777" w:rsidTr="006517A1">
        <w:trPr>
          <w:trHeight w:val="340"/>
        </w:trPr>
        <w:tc>
          <w:tcPr>
            <w:tcW w:w="3483" w:type="dxa"/>
          </w:tcPr>
          <w:p w14:paraId="6E8115B8" w14:textId="77777777" w:rsidR="005E6AA1" w:rsidRPr="00807DBD" w:rsidRDefault="005E6AA1" w:rsidP="00627FBA">
            <w:pPr>
              <w:autoSpaceDE w:val="0"/>
              <w:autoSpaceDN w:val="0"/>
              <w:adjustRightInd w:val="0"/>
              <w:spacing w:before="20" w:after="20"/>
              <w:rPr>
                <w:rFonts w:ascii="Futura PT Book" w:hAnsi="Futura PT Book"/>
                <w:color w:val="292929"/>
                <w:sz w:val="24"/>
                <w:szCs w:val="24"/>
              </w:rPr>
            </w:pPr>
          </w:p>
        </w:tc>
        <w:tc>
          <w:tcPr>
            <w:tcW w:w="985" w:type="dxa"/>
            <w:tcBorders>
              <w:bottom w:val="single" w:sz="12" w:space="0" w:color="auto"/>
              <w:right w:val="single" w:sz="18" w:space="0" w:color="FFFFFF" w:themeColor="background2"/>
            </w:tcBorders>
            <w:vAlign w:val="bottom"/>
          </w:tcPr>
          <w:p w14:paraId="692B256F"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3747FB40"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right w:val="single" w:sz="18" w:space="0" w:color="FFFFFF" w:themeColor="background2"/>
            </w:tcBorders>
            <w:vAlign w:val="bottom"/>
          </w:tcPr>
          <w:p w14:paraId="5F7E9D9D"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w:t>
            </w:r>
            <w:r>
              <w:rPr>
                <w:rFonts w:asciiTheme="majorHAnsi" w:hAnsiTheme="majorHAnsi" w:cs="Futura PT Heavy"/>
                <w:color w:val="292929"/>
                <w:sz w:val="16"/>
                <w:szCs w:val="16"/>
                <w:lang w:val="en-US"/>
              </w:rPr>
              <w:t>20</w:t>
            </w:r>
            <w:r w:rsidRPr="00807DBD">
              <w:rPr>
                <w:rFonts w:asciiTheme="majorHAnsi" w:hAnsiTheme="majorHAnsi" w:cs="Futura PT Heavy"/>
                <w:color w:val="292929"/>
                <w:sz w:val="16"/>
                <w:szCs w:val="16"/>
                <w:lang w:val="en-US"/>
              </w:rPr>
              <w:br/>
              <w:t>$’000</w:t>
            </w:r>
          </w:p>
        </w:tc>
        <w:tc>
          <w:tcPr>
            <w:tcW w:w="985" w:type="dxa"/>
            <w:tcBorders>
              <w:left w:val="single" w:sz="18" w:space="0" w:color="FFFFFF" w:themeColor="background2"/>
              <w:bottom w:val="single" w:sz="12" w:space="0" w:color="auto"/>
            </w:tcBorders>
            <w:vAlign w:val="bottom"/>
          </w:tcPr>
          <w:p w14:paraId="1771884C"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5E6AA1" w:rsidRPr="00807DBD" w14:paraId="276712EE" w14:textId="77777777" w:rsidTr="003F20C6">
        <w:trPr>
          <w:trHeight w:val="170"/>
        </w:trPr>
        <w:tc>
          <w:tcPr>
            <w:tcW w:w="3483" w:type="dxa"/>
          </w:tcPr>
          <w:p w14:paraId="3AD6FD5C"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CONTRIBUTED EQUITY</w:t>
            </w:r>
          </w:p>
        </w:tc>
        <w:tc>
          <w:tcPr>
            <w:tcW w:w="985" w:type="dxa"/>
            <w:tcBorders>
              <w:top w:val="single" w:sz="12" w:space="0" w:color="auto"/>
              <w:right w:val="single" w:sz="18" w:space="0" w:color="FFFFFF" w:themeColor="background2"/>
            </w:tcBorders>
          </w:tcPr>
          <w:p w14:paraId="64C27F5F"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149D4E42"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right w:val="single" w:sz="18" w:space="0" w:color="FFFFFF" w:themeColor="background2"/>
            </w:tcBorders>
          </w:tcPr>
          <w:p w14:paraId="71CFFF48"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12" w:space="0" w:color="auto"/>
              <w:left w:val="single" w:sz="18" w:space="0" w:color="FFFFFF" w:themeColor="background2"/>
            </w:tcBorders>
          </w:tcPr>
          <w:p w14:paraId="53816E08" w14:textId="77777777" w:rsidR="005E6AA1" w:rsidRPr="00807DBD" w:rsidRDefault="005E6AA1" w:rsidP="00627FBA">
            <w:pPr>
              <w:autoSpaceDE w:val="0"/>
              <w:autoSpaceDN w:val="0"/>
              <w:adjustRightInd w:val="0"/>
              <w:spacing w:before="20" w:after="20"/>
              <w:jc w:val="right"/>
              <w:rPr>
                <w:color w:val="292929"/>
                <w:sz w:val="14"/>
                <w:szCs w:val="14"/>
              </w:rPr>
            </w:pPr>
          </w:p>
        </w:tc>
      </w:tr>
      <w:tr w:rsidR="005E6AA1" w:rsidRPr="00807DBD" w14:paraId="31DA9E69" w14:textId="77777777" w:rsidTr="003F20C6">
        <w:trPr>
          <w:trHeight w:val="170"/>
        </w:trPr>
        <w:tc>
          <w:tcPr>
            <w:tcW w:w="3483" w:type="dxa"/>
          </w:tcPr>
          <w:p w14:paraId="384E0F20"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25A71039"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15262D22"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749E1D55"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18" w:space="0" w:color="FFFFFF" w:themeColor="background2"/>
            </w:tcBorders>
          </w:tcPr>
          <w:p w14:paraId="70D8379E"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688CCD2F" w14:textId="77777777" w:rsidTr="003F20C6">
        <w:trPr>
          <w:trHeight w:val="170"/>
        </w:trPr>
        <w:tc>
          <w:tcPr>
            <w:tcW w:w="3483" w:type="dxa"/>
          </w:tcPr>
          <w:p w14:paraId="2AFBFF48"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207D3E88"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bottom w:val="single" w:sz="2" w:space="0" w:color="auto"/>
              <w:right w:val="single" w:sz="18" w:space="0" w:color="FFFFFF" w:themeColor="background2"/>
            </w:tcBorders>
          </w:tcPr>
          <w:p w14:paraId="7FD4A4EB"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400 </w:t>
            </w:r>
          </w:p>
        </w:tc>
        <w:tc>
          <w:tcPr>
            <w:tcW w:w="985" w:type="dxa"/>
            <w:tcBorders>
              <w:left w:val="single" w:sz="18" w:space="0" w:color="FFFFFF" w:themeColor="background2"/>
              <w:bottom w:val="single" w:sz="2" w:space="0" w:color="auto"/>
              <w:right w:val="single" w:sz="18" w:space="0" w:color="FFFFFF" w:themeColor="background2"/>
            </w:tcBorders>
          </w:tcPr>
          <w:p w14:paraId="1BC7D072"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400 </w:t>
            </w:r>
          </w:p>
        </w:tc>
        <w:tc>
          <w:tcPr>
            <w:tcW w:w="985" w:type="dxa"/>
            <w:tcBorders>
              <w:left w:val="single" w:sz="18" w:space="0" w:color="FFFFFF" w:themeColor="background2"/>
              <w:bottom w:val="single" w:sz="2" w:space="0" w:color="auto"/>
            </w:tcBorders>
          </w:tcPr>
          <w:p w14:paraId="5B946FAB"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400 </w:t>
            </w:r>
          </w:p>
        </w:tc>
      </w:tr>
      <w:tr w:rsidR="005E6AA1" w:rsidRPr="00807DBD" w14:paraId="3D272CBC" w14:textId="77777777" w:rsidTr="003F20C6">
        <w:trPr>
          <w:trHeight w:val="170"/>
        </w:trPr>
        <w:tc>
          <w:tcPr>
            <w:tcW w:w="3483" w:type="dxa"/>
          </w:tcPr>
          <w:p w14:paraId="7CA86AA6"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641055B1"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61B45D03" w14:textId="77777777" w:rsidR="005E6AA1" w:rsidRPr="00807DBD" w:rsidRDefault="005E6AA1" w:rsidP="00627FBA">
            <w:pPr>
              <w:autoSpaceDE w:val="0"/>
              <w:autoSpaceDN w:val="0"/>
              <w:adjustRightInd w:val="0"/>
              <w:spacing w:before="20" w:after="20"/>
              <w:jc w:val="right"/>
              <w:rPr>
                <w:rFonts w:asciiTheme="majorHAnsi" w:hAnsiTheme="majorHAnsi"/>
                <w:color w:val="292929"/>
                <w:sz w:val="14"/>
                <w:szCs w:val="14"/>
              </w:rPr>
            </w:pPr>
            <w:r w:rsidRPr="00807DBD">
              <w:rPr>
                <w:rFonts w:asciiTheme="majorHAnsi" w:hAnsiTheme="majorHAnsi"/>
                <w:color w:val="292929"/>
                <w:sz w:val="14"/>
                <w:szCs w:val="14"/>
              </w:rPr>
              <w:t>400</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5F6123A4" w14:textId="77777777" w:rsidR="005E6AA1" w:rsidRPr="00807DBD" w:rsidRDefault="005E6AA1" w:rsidP="00627FBA">
            <w:pPr>
              <w:autoSpaceDE w:val="0"/>
              <w:autoSpaceDN w:val="0"/>
              <w:adjustRightInd w:val="0"/>
              <w:spacing w:before="20" w:after="20"/>
              <w:jc w:val="right"/>
              <w:rPr>
                <w:color w:val="292929"/>
                <w:sz w:val="14"/>
                <w:szCs w:val="14"/>
              </w:rPr>
            </w:pPr>
            <w:r w:rsidRPr="00807DBD">
              <w:rPr>
                <w:color w:val="292929"/>
                <w:sz w:val="14"/>
                <w:szCs w:val="14"/>
              </w:rPr>
              <w:t>400</w:t>
            </w:r>
          </w:p>
        </w:tc>
        <w:tc>
          <w:tcPr>
            <w:tcW w:w="985" w:type="dxa"/>
            <w:tcBorders>
              <w:top w:val="single" w:sz="2" w:space="0" w:color="auto"/>
              <w:left w:val="single" w:sz="18" w:space="0" w:color="FFFFFF" w:themeColor="background2"/>
              <w:bottom w:val="single" w:sz="2" w:space="0" w:color="auto"/>
            </w:tcBorders>
          </w:tcPr>
          <w:p w14:paraId="2CA12578" w14:textId="77777777" w:rsidR="005E6AA1" w:rsidRPr="00807DBD" w:rsidRDefault="005E6AA1" w:rsidP="00627FBA">
            <w:pPr>
              <w:autoSpaceDE w:val="0"/>
              <w:autoSpaceDN w:val="0"/>
              <w:adjustRightInd w:val="0"/>
              <w:spacing w:before="20" w:after="20"/>
              <w:jc w:val="right"/>
              <w:rPr>
                <w:color w:val="292929"/>
                <w:sz w:val="14"/>
                <w:szCs w:val="14"/>
              </w:rPr>
            </w:pPr>
            <w:r w:rsidRPr="00807DBD">
              <w:rPr>
                <w:color w:val="292929"/>
                <w:sz w:val="14"/>
                <w:szCs w:val="14"/>
              </w:rPr>
              <w:t>400</w:t>
            </w:r>
          </w:p>
        </w:tc>
      </w:tr>
      <w:tr w:rsidR="005E6AA1" w:rsidRPr="00807DBD" w14:paraId="30C0A41C" w14:textId="77777777" w:rsidTr="003F20C6">
        <w:trPr>
          <w:trHeight w:val="170"/>
        </w:trPr>
        <w:tc>
          <w:tcPr>
            <w:tcW w:w="3483" w:type="dxa"/>
          </w:tcPr>
          <w:p w14:paraId="22EBEE5B"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right w:val="single" w:sz="18" w:space="0" w:color="FFFFFF" w:themeColor="background2"/>
            </w:tcBorders>
          </w:tcPr>
          <w:p w14:paraId="5023EC87"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0D35DE39" w14:textId="77777777" w:rsidR="005E6AA1" w:rsidRPr="00807DBD" w:rsidRDefault="005E6AA1" w:rsidP="00627FBA">
            <w:pPr>
              <w:autoSpaceDE w:val="0"/>
              <w:autoSpaceDN w:val="0"/>
              <w:adjustRightInd w:val="0"/>
              <w:spacing w:before="20" w:after="20"/>
              <w:jc w:val="right"/>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669AE8C0"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tcBorders>
          </w:tcPr>
          <w:p w14:paraId="5FE008DB" w14:textId="77777777" w:rsidR="005E6AA1" w:rsidRPr="00807DBD" w:rsidRDefault="005E6AA1" w:rsidP="00627FBA">
            <w:pPr>
              <w:autoSpaceDE w:val="0"/>
              <w:autoSpaceDN w:val="0"/>
              <w:adjustRightInd w:val="0"/>
              <w:spacing w:before="20" w:after="20"/>
              <w:jc w:val="right"/>
              <w:rPr>
                <w:color w:val="292929"/>
                <w:sz w:val="14"/>
                <w:szCs w:val="14"/>
              </w:rPr>
            </w:pPr>
          </w:p>
        </w:tc>
      </w:tr>
      <w:tr w:rsidR="005E6AA1" w:rsidRPr="00807DBD" w14:paraId="7975AFA6" w14:textId="77777777" w:rsidTr="003F20C6">
        <w:trPr>
          <w:trHeight w:val="170"/>
        </w:trPr>
        <w:tc>
          <w:tcPr>
            <w:tcW w:w="3483" w:type="dxa"/>
          </w:tcPr>
          <w:p w14:paraId="696484E2"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ASSET REVALUATION RESERVE</w:t>
            </w:r>
          </w:p>
        </w:tc>
        <w:tc>
          <w:tcPr>
            <w:tcW w:w="985" w:type="dxa"/>
            <w:tcBorders>
              <w:right w:val="single" w:sz="18" w:space="0" w:color="FFFFFF" w:themeColor="background2"/>
            </w:tcBorders>
          </w:tcPr>
          <w:p w14:paraId="504AD394"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61A3A9CF"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5EB64A41" w14:textId="77777777" w:rsidR="005E6AA1" w:rsidRPr="00807DBD" w:rsidRDefault="005E6AA1" w:rsidP="00627FBA">
            <w:pPr>
              <w:suppressAutoHyphens/>
              <w:autoSpaceDE w:val="0"/>
              <w:autoSpaceDN w:val="0"/>
              <w:adjustRightInd w:val="0"/>
              <w:spacing w:before="20" w:after="20"/>
              <w:jc w:val="center"/>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18" w:space="0" w:color="FFFFFF" w:themeColor="background2"/>
            </w:tcBorders>
          </w:tcPr>
          <w:p w14:paraId="124B9A93" w14:textId="77777777" w:rsidR="005E6AA1" w:rsidRPr="00807DBD" w:rsidRDefault="005E6AA1" w:rsidP="00627FBA">
            <w:pPr>
              <w:suppressAutoHyphens/>
              <w:autoSpaceDE w:val="0"/>
              <w:autoSpaceDN w:val="0"/>
              <w:adjustRightInd w:val="0"/>
              <w:spacing w:before="20" w:after="20"/>
              <w:jc w:val="center"/>
              <w:textAlignment w:val="center"/>
              <w:rPr>
                <w:rFonts w:cs="Futura PT Book"/>
                <w:color w:val="292929"/>
                <w:sz w:val="14"/>
                <w:szCs w:val="14"/>
                <w:lang w:val="en-US"/>
              </w:rPr>
            </w:pPr>
            <w:r w:rsidRPr="00807DBD">
              <w:rPr>
                <w:color w:val="292929"/>
                <w:sz w:val="14"/>
                <w:szCs w:val="14"/>
              </w:rPr>
              <w:t xml:space="preserve"> </w:t>
            </w:r>
          </w:p>
        </w:tc>
      </w:tr>
      <w:tr w:rsidR="005E6AA1" w:rsidRPr="00807DBD" w14:paraId="124D574E" w14:textId="77777777" w:rsidTr="003F20C6">
        <w:trPr>
          <w:trHeight w:val="170"/>
        </w:trPr>
        <w:tc>
          <w:tcPr>
            <w:tcW w:w="3483" w:type="dxa"/>
          </w:tcPr>
          <w:p w14:paraId="32E060A0"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64E7B490"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2806DB5F"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2A1A83EF"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18" w:space="0" w:color="FFFFFF" w:themeColor="background2"/>
            </w:tcBorders>
          </w:tcPr>
          <w:p w14:paraId="5644390C"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54C25831" w14:textId="77777777" w:rsidTr="003F20C6">
        <w:trPr>
          <w:trHeight w:val="170"/>
        </w:trPr>
        <w:tc>
          <w:tcPr>
            <w:tcW w:w="3483" w:type="dxa"/>
          </w:tcPr>
          <w:p w14:paraId="3C1B0BED"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74A54C99"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0478910E" w14:textId="77777777" w:rsidR="005E6AA1" w:rsidRPr="000B6A9B"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w:t>
            </w:r>
            <w:r w:rsidRPr="000B6A9B">
              <w:rPr>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20618926"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74</w:t>
            </w:r>
            <w:r w:rsidRPr="00807DBD">
              <w:rPr>
                <w:color w:val="292929"/>
                <w:sz w:val="14"/>
                <w:szCs w:val="14"/>
              </w:rPr>
              <w:t xml:space="preserve"> </w:t>
            </w:r>
          </w:p>
        </w:tc>
        <w:tc>
          <w:tcPr>
            <w:tcW w:w="985" w:type="dxa"/>
            <w:tcBorders>
              <w:left w:val="single" w:sz="18" w:space="0" w:color="FFFFFF" w:themeColor="background2"/>
            </w:tcBorders>
          </w:tcPr>
          <w:p w14:paraId="58D74015"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w:t>
            </w:r>
            <w:r w:rsidRPr="00807DBD">
              <w:rPr>
                <w:color w:val="292929"/>
                <w:sz w:val="14"/>
                <w:szCs w:val="14"/>
              </w:rPr>
              <w:t xml:space="preserve"> </w:t>
            </w:r>
          </w:p>
        </w:tc>
      </w:tr>
      <w:tr w:rsidR="005E6AA1" w:rsidRPr="00807DBD" w14:paraId="08774DE2" w14:textId="77777777" w:rsidTr="003F20C6">
        <w:trPr>
          <w:trHeight w:val="170"/>
        </w:trPr>
        <w:tc>
          <w:tcPr>
            <w:tcW w:w="3483" w:type="dxa"/>
          </w:tcPr>
          <w:p w14:paraId="3EBE4597"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right w:val="single" w:sz="18" w:space="0" w:color="FFFFFF" w:themeColor="background2"/>
            </w:tcBorders>
          </w:tcPr>
          <w:p w14:paraId="24807A03"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6FD59BDB" w14:textId="77777777" w:rsidR="005E6AA1" w:rsidRPr="000B6A9B"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70C9076F"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6B2F164C"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74DB2F60" w14:textId="77777777" w:rsidTr="003F20C6">
        <w:trPr>
          <w:trHeight w:val="170"/>
        </w:trPr>
        <w:tc>
          <w:tcPr>
            <w:tcW w:w="3483" w:type="dxa"/>
          </w:tcPr>
          <w:p w14:paraId="63F39CB5"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Transfer to retained earnings</w:t>
            </w:r>
          </w:p>
        </w:tc>
        <w:tc>
          <w:tcPr>
            <w:tcW w:w="985" w:type="dxa"/>
            <w:tcBorders>
              <w:right w:val="single" w:sz="18" w:space="0" w:color="FFFFFF" w:themeColor="background2"/>
            </w:tcBorders>
          </w:tcPr>
          <w:p w14:paraId="13CFC225"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2457B89F" w14:textId="77777777" w:rsidR="005E6AA1" w:rsidRPr="000B6A9B" w:rsidRDefault="005E6AA1" w:rsidP="00627FBA">
            <w:pPr>
              <w:suppressAutoHyphens/>
              <w:autoSpaceDE w:val="0"/>
              <w:autoSpaceDN w:val="0"/>
              <w:adjustRightInd w:val="0"/>
              <w:spacing w:before="20" w:after="20"/>
              <w:jc w:val="right"/>
              <w:textAlignment w:val="center"/>
              <w:rPr>
                <w:color w:val="292929"/>
                <w:sz w:val="14"/>
                <w:szCs w:val="14"/>
              </w:rPr>
            </w:pPr>
            <w:r w:rsidRPr="000B6A9B">
              <w:rPr>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5452618F"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985" w:type="dxa"/>
            <w:tcBorders>
              <w:left w:val="single" w:sz="18" w:space="0" w:color="FFFFFF" w:themeColor="background2"/>
            </w:tcBorders>
          </w:tcPr>
          <w:p w14:paraId="777594D2"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r>
      <w:tr w:rsidR="005E6AA1" w:rsidRPr="00807DBD" w14:paraId="6F49CCE3" w14:textId="77777777" w:rsidTr="003F20C6">
        <w:trPr>
          <w:trHeight w:val="170"/>
        </w:trPr>
        <w:tc>
          <w:tcPr>
            <w:tcW w:w="3483" w:type="dxa"/>
          </w:tcPr>
          <w:p w14:paraId="17B57615"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From disposal of revalued assets</w:t>
            </w:r>
          </w:p>
        </w:tc>
        <w:tc>
          <w:tcPr>
            <w:tcW w:w="985" w:type="dxa"/>
            <w:tcBorders>
              <w:right w:val="single" w:sz="18" w:space="0" w:color="FFFFFF" w:themeColor="background2"/>
            </w:tcBorders>
          </w:tcPr>
          <w:p w14:paraId="277FAF04"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6869E672" w14:textId="77777777" w:rsidR="005E6AA1" w:rsidRPr="000B6A9B"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w:t>
            </w:r>
          </w:p>
        </w:tc>
        <w:tc>
          <w:tcPr>
            <w:tcW w:w="985" w:type="dxa"/>
            <w:tcBorders>
              <w:left w:val="single" w:sz="18" w:space="0" w:color="FFFFFF" w:themeColor="background2"/>
              <w:bottom w:val="single" w:sz="2" w:space="0" w:color="auto"/>
              <w:right w:val="single" w:sz="18" w:space="0" w:color="FFFFFF" w:themeColor="background2"/>
            </w:tcBorders>
          </w:tcPr>
          <w:p w14:paraId="41BA93E2"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w:t>
            </w:r>
            <w:r>
              <w:rPr>
                <w:color w:val="292929"/>
                <w:sz w:val="14"/>
                <w:szCs w:val="14"/>
              </w:rPr>
              <w:t>7</w:t>
            </w:r>
            <w:r w:rsidRPr="00807DBD">
              <w:rPr>
                <w:color w:val="292929"/>
                <w:sz w:val="14"/>
                <w:szCs w:val="14"/>
              </w:rPr>
              <w:t xml:space="preserve">4) </w:t>
            </w:r>
          </w:p>
        </w:tc>
        <w:tc>
          <w:tcPr>
            <w:tcW w:w="985" w:type="dxa"/>
            <w:tcBorders>
              <w:left w:val="single" w:sz="18" w:space="0" w:color="FFFFFF" w:themeColor="background2"/>
              <w:bottom w:val="single" w:sz="2" w:space="0" w:color="auto"/>
            </w:tcBorders>
          </w:tcPr>
          <w:p w14:paraId="2DC8113B"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r>
      <w:tr w:rsidR="005E6AA1" w:rsidRPr="00807DBD" w14:paraId="56C07830" w14:textId="77777777" w:rsidTr="003F20C6">
        <w:trPr>
          <w:trHeight w:val="170"/>
        </w:trPr>
        <w:tc>
          <w:tcPr>
            <w:tcW w:w="3483" w:type="dxa"/>
          </w:tcPr>
          <w:p w14:paraId="7D46131A" w14:textId="77777777" w:rsidR="005E6AA1" w:rsidRPr="00807DBD" w:rsidRDefault="005E6AA1" w:rsidP="00627FBA">
            <w:pPr>
              <w:autoSpaceDE w:val="0"/>
              <w:autoSpaceDN w:val="0"/>
              <w:adjustRightInd w:val="0"/>
              <w:spacing w:before="20" w:after="20"/>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0457C95B"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6D453BE" w14:textId="77777777" w:rsidR="005E6AA1" w:rsidRPr="000B6A9B" w:rsidRDefault="005E6AA1" w:rsidP="00627FBA">
            <w:pPr>
              <w:autoSpaceDE w:val="0"/>
              <w:autoSpaceDN w:val="0"/>
              <w:adjustRightInd w:val="0"/>
              <w:spacing w:before="20" w:after="20"/>
              <w:jc w:val="right"/>
              <w:rPr>
                <w:color w:val="292929"/>
                <w:sz w:val="14"/>
                <w:szCs w:val="14"/>
              </w:rPr>
            </w:pPr>
            <w:r w:rsidRPr="000B6A9B">
              <w:rPr>
                <w:color w:val="292929"/>
                <w:sz w:val="14"/>
                <w:szCs w:val="14"/>
              </w:rPr>
              <w:t>-</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A9D75E5" w14:textId="77777777" w:rsidR="005E6AA1" w:rsidRPr="00807DBD" w:rsidRDefault="005E6AA1" w:rsidP="00627FBA">
            <w:pPr>
              <w:autoSpaceDE w:val="0"/>
              <w:autoSpaceDN w:val="0"/>
              <w:adjustRightInd w:val="0"/>
              <w:spacing w:before="20" w:after="20"/>
              <w:jc w:val="right"/>
              <w:rPr>
                <w:color w:val="292929"/>
                <w:sz w:val="14"/>
                <w:szCs w:val="14"/>
              </w:rPr>
            </w:pPr>
            <w:r>
              <w:rPr>
                <w:color w:val="292929"/>
                <w:sz w:val="14"/>
                <w:szCs w:val="14"/>
              </w:rPr>
              <w:t>-</w:t>
            </w:r>
          </w:p>
        </w:tc>
        <w:tc>
          <w:tcPr>
            <w:tcW w:w="985" w:type="dxa"/>
            <w:tcBorders>
              <w:top w:val="single" w:sz="2" w:space="0" w:color="auto"/>
              <w:left w:val="single" w:sz="18" w:space="0" w:color="FFFFFF" w:themeColor="background2"/>
              <w:bottom w:val="single" w:sz="2" w:space="0" w:color="auto"/>
            </w:tcBorders>
          </w:tcPr>
          <w:p w14:paraId="55C08BCF" w14:textId="77777777" w:rsidR="005E6AA1" w:rsidRPr="00807DBD" w:rsidRDefault="005E6AA1" w:rsidP="00627FBA">
            <w:pPr>
              <w:autoSpaceDE w:val="0"/>
              <w:autoSpaceDN w:val="0"/>
              <w:adjustRightInd w:val="0"/>
              <w:spacing w:before="20" w:after="20"/>
              <w:jc w:val="right"/>
              <w:rPr>
                <w:color w:val="292929"/>
                <w:sz w:val="14"/>
                <w:szCs w:val="14"/>
              </w:rPr>
            </w:pPr>
            <w:r>
              <w:rPr>
                <w:color w:val="292929"/>
                <w:sz w:val="14"/>
                <w:szCs w:val="14"/>
              </w:rPr>
              <w:t>-</w:t>
            </w:r>
          </w:p>
        </w:tc>
      </w:tr>
      <w:tr w:rsidR="005E6AA1" w:rsidRPr="00807DBD" w14:paraId="0F804D22" w14:textId="77777777" w:rsidTr="003F20C6">
        <w:trPr>
          <w:trHeight w:val="170"/>
        </w:trPr>
        <w:tc>
          <w:tcPr>
            <w:tcW w:w="3483" w:type="dxa"/>
          </w:tcPr>
          <w:p w14:paraId="30CFAA2C"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p>
        </w:tc>
        <w:tc>
          <w:tcPr>
            <w:tcW w:w="985" w:type="dxa"/>
            <w:tcBorders>
              <w:right w:val="single" w:sz="18" w:space="0" w:color="FFFFFF" w:themeColor="background2"/>
            </w:tcBorders>
          </w:tcPr>
          <w:p w14:paraId="29C02092"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4AAE3890" w14:textId="77777777" w:rsidR="005E6AA1" w:rsidRPr="00807DBD" w:rsidRDefault="005E6AA1" w:rsidP="00627FBA">
            <w:pPr>
              <w:autoSpaceDE w:val="0"/>
              <w:autoSpaceDN w:val="0"/>
              <w:adjustRightInd w:val="0"/>
              <w:spacing w:before="20" w:after="20"/>
              <w:jc w:val="right"/>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18BCB6A5"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tcBorders>
          </w:tcPr>
          <w:p w14:paraId="1AB7929D" w14:textId="77777777" w:rsidR="005E6AA1" w:rsidRPr="00807DBD" w:rsidRDefault="005E6AA1" w:rsidP="00627FBA">
            <w:pPr>
              <w:autoSpaceDE w:val="0"/>
              <w:autoSpaceDN w:val="0"/>
              <w:adjustRightInd w:val="0"/>
              <w:spacing w:before="20" w:after="20"/>
              <w:jc w:val="right"/>
              <w:rPr>
                <w:color w:val="292929"/>
                <w:sz w:val="14"/>
                <w:szCs w:val="14"/>
              </w:rPr>
            </w:pPr>
          </w:p>
        </w:tc>
      </w:tr>
      <w:tr w:rsidR="005E6AA1" w:rsidRPr="00807DBD" w14:paraId="2D6B3A9E" w14:textId="77777777" w:rsidTr="003F20C6">
        <w:trPr>
          <w:trHeight w:val="170"/>
        </w:trPr>
        <w:tc>
          <w:tcPr>
            <w:tcW w:w="3483" w:type="dxa"/>
          </w:tcPr>
          <w:p w14:paraId="481BB864"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RETAINED EARNINGS</w:t>
            </w:r>
          </w:p>
        </w:tc>
        <w:tc>
          <w:tcPr>
            <w:tcW w:w="985" w:type="dxa"/>
            <w:tcBorders>
              <w:right w:val="single" w:sz="18" w:space="0" w:color="FFFFFF" w:themeColor="background2"/>
            </w:tcBorders>
          </w:tcPr>
          <w:p w14:paraId="6A7DA027"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7075F179"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77BDB214"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tcBorders>
          </w:tcPr>
          <w:p w14:paraId="4365A4AC"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6BBCA179" w14:textId="77777777" w:rsidTr="003F20C6">
        <w:trPr>
          <w:trHeight w:val="170"/>
        </w:trPr>
        <w:tc>
          <w:tcPr>
            <w:tcW w:w="3483" w:type="dxa"/>
          </w:tcPr>
          <w:p w14:paraId="05B49AF7"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7CA9A7DB"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13996A42"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7F8E1674"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18" w:space="0" w:color="FFFFFF" w:themeColor="background2"/>
            </w:tcBorders>
          </w:tcPr>
          <w:p w14:paraId="09004DFD"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261DED83" w14:textId="77777777" w:rsidTr="003F20C6">
        <w:trPr>
          <w:trHeight w:val="170"/>
        </w:trPr>
        <w:tc>
          <w:tcPr>
            <w:tcW w:w="3483" w:type="dxa"/>
          </w:tcPr>
          <w:p w14:paraId="3E8B927F"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0B7FEF93"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4616A149"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1</w:t>
            </w:r>
            <w:r>
              <w:rPr>
                <w:rFonts w:asciiTheme="majorHAnsi" w:hAnsiTheme="majorHAnsi"/>
                <w:color w:val="292929"/>
                <w:sz w:val="14"/>
                <w:szCs w:val="14"/>
              </w:rPr>
              <w:t>3</w:t>
            </w:r>
            <w:r w:rsidRPr="00807DBD">
              <w:rPr>
                <w:rFonts w:asciiTheme="majorHAnsi" w:hAnsiTheme="majorHAnsi"/>
                <w:color w:val="292929"/>
                <w:sz w:val="14"/>
                <w:szCs w:val="14"/>
              </w:rPr>
              <w:t>,</w:t>
            </w:r>
            <w:r>
              <w:rPr>
                <w:rFonts w:asciiTheme="majorHAnsi" w:hAnsiTheme="majorHAnsi"/>
                <w:color w:val="292929"/>
                <w:sz w:val="14"/>
                <w:szCs w:val="14"/>
              </w:rPr>
              <w:t>0</w:t>
            </w:r>
            <w:r w:rsidRPr="00807DBD">
              <w:rPr>
                <w:rFonts w:asciiTheme="majorHAnsi" w:hAnsiTheme="majorHAnsi"/>
                <w:color w:val="292929"/>
                <w:sz w:val="14"/>
                <w:szCs w:val="14"/>
              </w:rPr>
              <w:t xml:space="preserve">94 </w:t>
            </w:r>
          </w:p>
        </w:tc>
        <w:tc>
          <w:tcPr>
            <w:tcW w:w="985" w:type="dxa"/>
            <w:tcBorders>
              <w:left w:val="single" w:sz="18" w:space="0" w:color="FFFFFF" w:themeColor="background2"/>
              <w:right w:val="single" w:sz="18" w:space="0" w:color="FFFFFF" w:themeColor="background2"/>
            </w:tcBorders>
          </w:tcPr>
          <w:p w14:paraId="6D3640EA"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12,2</w:t>
            </w:r>
            <w:r>
              <w:rPr>
                <w:color w:val="292929"/>
                <w:sz w:val="14"/>
                <w:szCs w:val="14"/>
              </w:rPr>
              <w:t>94</w:t>
            </w:r>
            <w:r w:rsidRPr="00807DBD">
              <w:rPr>
                <w:color w:val="292929"/>
                <w:sz w:val="14"/>
                <w:szCs w:val="14"/>
              </w:rPr>
              <w:t xml:space="preserve"> </w:t>
            </w:r>
          </w:p>
        </w:tc>
        <w:tc>
          <w:tcPr>
            <w:tcW w:w="985" w:type="dxa"/>
            <w:tcBorders>
              <w:left w:val="single" w:sz="18" w:space="0" w:color="FFFFFF" w:themeColor="background2"/>
            </w:tcBorders>
          </w:tcPr>
          <w:p w14:paraId="55653137"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w:t>
            </w:r>
            <w:r>
              <w:rPr>
                <w:color w:val="292929"/>
                <w:sz w:val="14"/>
                <w:szCs w:val="14"/>
              </w:rPr>
              <w:t>3</w:t>
            </w:r>
            <w:r w:rsidRPr="00807DBD">
              <w:rPr>
                <w:color w:val="292929"/>
                <w:sz w:val="14"/>
                <w:szCs w:val="14"/>
              </w:rPr>
              <w:t>,</w:t>
            </w:r>
            <w:r>
              <w:rPr>
                <w:color w:val="292929"/>
                <w:sz w:val="14"/>
                <w:szCs w:val="14"/>
              </w:rPr>
              <w:t>0</w:t>
            </w:r>
            <w:r w:rsidRPr="00807DBD">
              <w:rPr>
                <w:color w:val="292929"/>
                <w:sz w:val="14"/>
                <w:szCs w:val="14"/>
              </w:rPr>
              <w:t xml:space="preserve">94 </w:t>
            </w:r>
          </w:p>
        </w:tc>
      </w:tr>
      <w:tr w:rsidR="005E6AA1" w:rsidRPr="00807DBD" w14:paraId="2D2A12D2" w14:textId="77777777" w:rsidTr="003F20C6">
        <w:trPr>
          <w:trHeight w:val="170"/>
        </w:trPr>
        <w:tc>
          <w:tcPr>
            <w:tcW w:w="3483" w:type="dxa"/>
          </w:tcPr>
          <w:p w14:paraId="652D8EF5" w14:textId="77777777" w:rsidR="005E6AA1" w:rsidRPr="00807DBD" w:rsidRDefault="005E6AA1" w:rsidP="00627FBA">
            <w:pPr>
              <w:autoSpaceDE w:val="0"/>
              <w:autoSpaceDN w:val="0"/>
              <w:adjustRightInd w:val="0"/>
              <w:spacing w:before="20" w:after="20"/>
              <w:rPr>
                <w:color w:val="292929"/>
                <w:sz w:val="14"/>
                <w:szCs w:val="14"/>
              </w:rPr>
            </w:pPr>
          </w:p>
        </w:tc>
        <w:tc>
          <w:tcPr>
            <w:tcW w:w="985" w:type="dxa"/>
            <w:tcBorders>
              <w:right w:val="single" w:sz="18" w:space="0" w:color="FFFFFF" w:themeColor="background2"/>
            </w:tcBorders>
          </w:tcPr>
          <w:p w14:paraId="1FD23B13"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F311B39" w14:textId="77777777" w:rsidR="005E6AA1" w:rsidRPr="00807DBD" w:rsidRDefault="005E6AA1" w:rsidP="00627FBA">
            <w:pPr>
              <w:autoSpaceDE w:val="0"/>
              <w:autoSpaceDN w:val="0"/>
              <w:adjustRightInd w:val="0"/>
              <w:spacing w:before="20" w:after="20"/>
              <w:jc w:val="right"/>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79EE32F2"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tcBorders>
          </w:tcPr>
          <w:p w14:paraId="42255491" w14:textId="77777777" w:rsidR="005E6AA1" w:rsidRPr="00807DBD" w:rsidRDefault="005E6AA1" w:rsidP="00627FBA">
            <w:pPr>
              <w:autoSpaceDE w:val="0"/>
              <w:autoSpaceDN w:val="0"/>
              <w:adjustRightInd w:val="0"/>
              <w:spacing w:before="20" w:after="20"/>
              <w:jc w:val="right"/>
              <w:rPr>
                <w:color w:val="292929"/>
                <w:sz w:val="14"/>
                <w:szCs w:val="14"/>
              </w:rPr>
            </w:pPr>
          </w:p>
        </w:tc>
      </w:tr>
      <w:tr w:rsidR="005E6AA1" w:rsidRPr="00807DBD" w14:paraId="2CFEAF8B" w14:textId="77777777" w:rsidTr="003F20C6">
        <w:trPr>
          <w:trHeight w:val="170"/>
        </w:trPr>
        <w:tc>
          <w:tcPr>
            <w:tcW w:w="3483" w:type="dxa"/>
          </w:tcPr>
          <w:p w14:paraId="4220DB74"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Adjustment for changes to accounting standards</w:t>
            </w:r>
          </w:p>
        </w:tc>
        <w:tc>
          <w:tcPr>
            <w:tcW w:w="985" w:type="dxa"/>
            <w:tcBorders>
              <w:right w:val="single" w:sz="18" w:space="0" w:color="FFFFFF" w:themeColor="background2"/>
            </w:tcBorders>
          </w:tcPr>
          <w:p w14:paraId="018FD0D4"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c>
          <w:tcPr>
            <w:tcW w:w="985" w:type="dxa"/>
            <w:tcBorders>
              <w:left w:val="single" w:sz="18" w:space="0" w:color="FFFFFF" w:themeColor="background2"/>
              <w:right w:val="single" w:sz="18" w:space="0" w:color="FFFFFF" w:themeColor="background2"/>
            </w:tcBorders>
          </w:tcPr>
          <w:p w14:paraId="054B06C6"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2A4F7E6C"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985" w:type="dxa"/>
            <w:tcBorders>
              <w:left w:val="single" w:sz="18" w:space="0" w:color="FFFFFF" w:themeColor="background2"/>
            </w:tcBorders>
          </w:tcPr>
          <w:p w14:paraId="46B1C5D1"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5E6AA1" w:rsidRPr="00807DBD" w14:paraId="144B5D95" w14:textId="77777777" w:rsidTr="003F20C6">
        <w:trPr>
          <w:trHeight w:val="170"/>
        </w:trPr>
        <w:tc>
          <w:tcPr>
            <w:tcW w:w="3483" w:type="dxa"/>
          </w:tcPr>
          <w:p w14:paraId="41A123BD"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Adjustment on initial application of AASB 16</w:t>
            </w:r>
          </w:p>
        </w:tc>
        <w:tc>
          <w:tcPr>
            <w:tcW w:w="985" w:type="dxa"/>
            <w:tcBorders>
              <w:right w:val="single" w:sz="18" w:space="0" w:color="FFFFFF" w:themeColor="background2"/>
            </w:tcBorders>
          </w:tcPr>
          <w:p w14:paraId="5DE4E4FF"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3131F496" w14:textId="77777777" w:rsidR="005E6AA1" w:rsidRPr="000B6A9B" w:rsidRDefault="005E6AA1" w:rsidP="00627FBA">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0B6A9B">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6480F22F" w14:textId="77777777" w:rsidR="005E6AA1" w:rsidRPr="00807DBD" w:rsidRDefault="005E6AA1" w:rsidP="00627FBA">
            <w:pPr>
              <w:suppressAutoHyphens/>
              <w:autoSpaceDE w:val="0"/>
              <w:autoSpaceDN w:val="0"/>
              <w:adjustRightInd w:val="0"/>
              <w:spacing w:before="20" w:after="20"/>
              <w:ind w:right="-57"/>
              <w:jc w:val="right"/>
              <w:textAlignment w:val="center"/>
              <w:rPr>
                <w:rFonts w:cs="Futura PT Book"/>
                <w:color w:val="292929"/>
                <w:sz w:val="14"/>
                <w:szCs w:val="14"/>
                <w:lang w:val="en-US"/>
              </w:rPr>
            </w:pPr>
            <w:r>
              <w:rPr>
                <w:color w:val="292929"/>
                <w:sz w:val="14"/>
                <w:szCs w:val="14"/>
              </w:rPr>
              <w:t>(123)</w:t>
            </w:r>
            <w:r w:rsidRPr="00807DBD">
              <w:rPr>
                <w:color w:val="292929"/>
                <w:sz w:val="14"/>
                <w:szCs w:val="14"/>
              </w:rPr>
              <w:t xml:space="preserve"> </w:t>
            </w:r>
          </w:p>
        </w:tc>
        <w:tc>
          <w:tcPr>
            <w:tcW w:w="985" w:type="dxa"/>
            <w:tcBorders>
              <w:left w:val="single" w:sz="18" w:space="0" w:color="FFFFFF" w:themeColor="background2"/>
            </w:tcBorders>
          </w:tcPr>
          <w:p w14:paraId="41D7F128"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rFonts w:cs="Futura PT Book"/>
                <w:color w:val="292929"/>
                <w:sz w:val="14"/>
                <w:szCs w:val="14"/>
                <w:lang w:val="en-US"/>
              </w:rPr>
              <w:t xml:space="preserve"> - </w:t>
            </w:r>
          </w:p>
        </w:tc>
      </w:tr>
      <w:tr w:rsidR="005E6AA1" w:rsidRPr="00807DBD" w14:paraId="477A0E76" w14:textId="77777777" w:rsidTr="003F20C6">
        <w:trPr>
          <w:trHeight w:val="170"/>
        </w:trPr>
        <w:tc>
          <w:tcPr>
            <w:tcW w:w="3483" w:type="dxa"/>
          </w:tcPr>
          <w:p w14:paraId="2A51CCA3"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1F2442D6"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4D24D95E"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19B3CBE2"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21A163B0"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26A6B4F1" w14:textId="77777777" w:rsidTr="003F20C6">
        <w:trPr>
          <w:trHeight w:val="170"/>
        </w:trPr>
        <w:tc>
          <w:tcPr>
            <w:tcW w:w="3483" w:type="dxa"/>
          </w:tcPr>
          <w:p w14:paraId="30898F33"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Transfer from asset revaluation reserve</w:t>
            </w:r>
          </w:p>
        </w:tc>
        <w:tc>
          <w:tcPr>
            <w:tcW w:w="985" w:type="dxa"/>
            <w:tcBorders>
              <w:right w:val="single" w:sz="18" w:space="0" w:color="FFFFFF" w:themeColor="background2"/>
            </w:tcBorders>
          </w:tcPr>
          <w:p w14:paraId="28475233"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53292A9E"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6D54E329"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6C9B8E15"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37990EA2" w14:textId="77777777" w:rsidTr="003F20C6">
        <w:trPr>
          <w:trHeight w:val="170"/>
        </w:trPr>
        <w:tc>
          <w:tcPr>
            <w:tcW w:w="3483" w:type="dxa"/>
          </w:tcPr>
          <w:p w14:paraId="64783806"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r w:rsidRPr="00807DBD">
              <w:rPr>
                <w:color w:val="292929"/>
                <w:sz w:val="14"/>
                <w:szCs w:val="14"/>
              </w:rPr>
              <w:t>From disposal of revalued assets</w:t>
            </w:r>
          </w:p>
        </w:tc>
        <w:tc>
          <w:tcPr>
            <w:tcW w:w="985" w:type="dxa"/>
            <w:tcBorders>
              <w:right w:val="single" w:sz="18" w:space="0" w:color="FFFFFF" w:themeColor="background2"/>
            </w:tcBorders>
          </w:tcPr>
          <w:p w14:paraId="730A1A0A"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6595E5FF"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42A544EC"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7</w:t>
            </w:r>
            <w:r w:rsidRPr="00807DBD">
              <w:rPr>
                <w:color w:val="292929"/>
                <w:sz w:val="14"/>
                <w:szCs w:val="14"/>
              </w:rPr>
              <w:t xml:space="preserve">4 </w:t>
            </w:r>
          </w:p>
        </w:tc>
        <w:tc>
          <w:tcPr>
            <w:tcW w:w="985" w:type="dxa"/>
            <w:tcBorders>
              <w:left w:val="single" w:sz="18" w:space="0" w:color="FFFFFF" w:themeColor="background2"/>
            </w:tcBorders>
          </w:tcPr>
          <w:p w14:paraId="5951F10B"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31532CDA" w14:textId="77777777" w:rsidTr="003F20C6">
        <w:trPr>
          <w:trHeight w:val="170"/>
        </w:trPr>
        <w:tc>
          <w:tcPr>
            <w:tcW w:w="3483" w:type="dxa"/>
          </w:tcPr>
          <w:p w14:paraId="05D33C50"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13BD8C47"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69BB30A5"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4D461444"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148444E1"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12A160BB" w14:textId="77777777" w:rsidTr="003F20C6">
        <w:trPr>
          <w:trHeight w:val="170"/>
        </w:trPr>
        <w:tc>
          <w:tcPr>
            <w:tcW w:w="3483" w:type="dxa"/>
          </w:tcPr>
          <w:p w14:paraId="5EEC7B1D"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Comprehensive income</w:t>
            </w:r>
          </w:p>
        </w:tc>
        <w:tc>
          <w:tcPr>
            <w:tcW w:w="985" w:type="dxa"/>
            <w:tcBorders>
              <w:right w:val="single" w:sz="18" w:space="0" w:color="FFFFFF" w:themeColor="background2"/>
            </w:tcBorders>
          </w:tcPr>
          <w:p w14:paraId="313BF229"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63C5D493"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377908C2"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985" w:type="dxa"/>
            <w:tcBorders>
              <w:left w:val="single" w:sz="18" w:space="0" w:color="FFFFFF" w:themeColor="background2"/>
            </w:tcBorders>
          </w:tcPr>
          <w:p w14:paraId="3951CFE5"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230EBC97" w14:textId="77777777" w:rsidTr="003F20C6">
        <w:trPr>
          <w:trHeight w:val="170"/>
        </w:trPr>
        <w:tc>
          <w:tcPr>
            <w:tcW w:w="3483" w:type="dxa"/>
          </w:tcPr>
          <w:p w14:paraId="5408A5EC"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r w:rsidRPr="000B6A9B">
              <w:rPr>
                <w:color w:val="292929"/>
                <w:sz w:val="14"/>
                <w:szCs w:val="14"/>
              </w:rPr>
              <w:t>Surplus / (deficit) for the period</w:t>
            </w:r>
          </w:p>
        </w:tc>
        <w:tc>
          <w:tcPr>
            <w:tcW w:w="985" w:type="dxa"/>
            <w:tcBorders>
              <w:right w:val="single" w:sz="18" w:space="0" w:color="FFFFFF" w:themeColor="background2"/>
            </w:tcBorders>
          </w:tcPr>
          <w:p w14:paraId="6AD22D37"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1C1D990F" w14:textId="2D95AE31"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w:t>
            </w:r>
            <w:r w:rsidR="0031408C">
              <w:rPr>
                <w:rFonts w:asciiTheme="majorHAnsi" w:hAnsiTheme="majorHAnsi"/>
                <w:color w:val="292929"/>
                <w:sz w:val="14"/>
                <w:szCs w:val="14"/>
              </w:rPr>
              <w:t>342</w:t>
            </w:r>
          </w:p>
        </w:tc>
        <w:tc>
          <w:tcPr>
            <w:tcW w:w="985" w:type="dxa"/>
            <w:tcBorders>
              <w:left w:val="single" w:sz="18" w:space="0" w:color="FFFFFF" w:themeColor="background2"/>
              <w:bottom w:val="single" w:sz="2" w:space="0" w:color="auto"/>
              <w:right w:val="single" w:sz="18" w:space="0" w:color="FFFFFF" w:themeColor="background2"/>
            </w:tcBorders>
          </w:tcPr>
          <w:p w14:paraId="36859484"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849</w:t>
            </w:r>
          </w:p>
        </w:tc>
        <w:tc>
          <w:tcPr>
            <w:tcW w:w="985" w:type="dxa"/>
            <w:tcBorders>
              <w:left w:val="single" w:sz="18" w:space="0" w:color="FFFFFF" w:themeColor="background2"/>
              <w:bottom w:val="single" w:sz="2" w:space="0" w:color="auto"/>
            </w:tcBorders>
          </w:tcPr>
          <w:p w14:paraId="3D9F4B0B"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(95)</w:t>
            </w:r>
          </w:p>
        </w:tc>
      </w:tr>
      <w:tr w:rsidR="005E6AA1" w:rsidRPr="00807DBD" w14:paraId="5413E661" w14:textId="77777777" w:rsidTr="003F20C6">
        <w:trPr>
          <w:trHeight w:val="170"/>
        </w:trPr>
        <w:tc>
          <w:tcPr>
            <w:tcW w:w="3483" w:type="dxa"/>
          </w:tcPr>
          <w:p w14:paraId="0765AD4C"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62B5F82D"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9FEBFB2" w14:textId="76EAE359"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1</w:t>
            </w:r>
            <w:r>
              <w:rPr>
                <w:rFonts w:asciiTheme="majorHAnsi" w:hAnsiTheme="majorHAnsi"/>
                <w:color w:val="292929"/>
                <w:sz w:val="14"/>
                <w:szCs w:val="14"/>
              </w:rPr>
              <w:t>5</w:t>
            </w:r>
            <w:r w:rsidRPr="00807DBD">
              <w:rPr>
                <w:rFonts w:asciiTheme="majorHAnsi" w:hAnsiTheme="majorHAnsi"/>
                <w:color w:val="292929"/>
                <w:sz w:val="14"/>
                <w:szCs w:val="14"/>
              </w:rPr>
              <w:t>,</w:t>
            </w:r>
            <w:r w:rsidR="0031408C">
              <w:rPr>
                <w:rFonts w:asciiTheme="majorHAnsi" w:hAnsiTheme="majorHAnsi"/>
                <w:color w:val="292929"/>
                <w:sz w:val="14"/>
                <w:szCs w:val="14"/>
              </w:rPr>
              <w:t>436</w:t>
            </w:r>
            <w:r w:rsidRPr="00807DBD">
              <w:rPr>
                <w:rFonts w:asciiTheme="majorHAnsi" w:hAnsiTheme="majorHAnsi"/>
                <w:color w:val="292929"/>
                <w:sz w:val="14"/>
                <w:szCs w:val="14"/>
              </w:rPr>
              <w:t xml:space="preserve"> </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3D0CF857"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Pr>
                <w:color w:val="292929"/>
                <w:sz w:val="14"/>
                <w:szCs w:val="14"/>
              </w:rPr>
              <w:t>3</w:t>
            </w:r>
            <w:r w:rsidRPr="00807DBD">
              <w:rPr>
                <w:color w:val="292929"/>
                <w:sz w:val="14"/>
                <w:szCs w:val="14"/>
              </w:rPr>
              <w:t>,</w:t>
            </w:r>
            <w:r>
              <w:rPr>
                <w:color w:val="292929"/>
                <w:sz w:val="14"/>
                <w:szCs w:val="14"/>
              </w:rPr>
              <w:t>0</w:t>
            </w:r>
            <w:r w:rsidRPr="00807DBD">
              <w:rPr>
                <w:color w:val="292929"/>
                <w:sz w:val="14"/>
                <w:szCs w:val="14"/>
              </w:rPr>
              <w:t xml:space="preserve">94 </w:t>
            </w:r>
          </w:p>
        </w:tc>
        <w:tc>
          <w:tcPr>
            <w:tcW w:w="985" w:type="dxa"/>
            <w:tcBorders>
              <w:top w:val="single" w:sz="2" w:space="0" w:color="auto"/>
              <w:left w:val="single" w:sz="18" w:space="0" w:color="FFFFFF" w:themeColor="background2"/>
              <w:bottom w:val="single" w:sz="2" w:space="0" w:color="auto"/>
            </w:tcBorders>
          </w:tcPr>
          <w:p w14:paraId="359FF201"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12,</w:t>
            </w:r>
            <w:r>
              <w:rPr>
                <w:color w:val="292929"/>
                <w:sz w:val="14"/>
                <w:szCs w:val="14"/>
              </w:rPr>
              <w:t>999</w:t>
            </w:r>
          </w:p>
        </w:tc>
      </w:tr>
      <w:tr w:rsidR="005E6AA1" w:rsidRPr="00807DBD" w14:paraId="27F0DF73" w14:textId="77777777" w:rsidTr="003F20C6">
        <w:trPr>
          <w:trHeight w:val="170"/>
        </w:trPr>
        <w:tc>
          <w:tcPr>
            <w:tcW w:w="3483" w:type="dxa"/>
          </w:tcPr>
          <w:p w14:paraId="1A7A0529"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5624BB47"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5A317446"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top w:val="single" w:sz="2" w:space="0" w:color="auto"/>
              <w:left w:val="single" w:sz="18" w:space="0" w:color="FFFFFF" w:themeColor="background2"/>
              <w:right w:val="single" w:sz="18" w:space="0" w:color="FFFFFF" w:themeColor="background2"/>
            </w:tcBorders>
          </w:tcPr>
          <w:p w14:paraId="36468755"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c>
          <w:tcPr>
            <w:tcW w:w="985" w:type="dxa"/>
            <w:tcBorders>
              <w:top w:val="single" w:sz="2" w:space="0" w:color="auto"/>
              <w:left w:val="single" w:sz="18" w:space="0" w:color="FFFFFF" w:themeColor="background2"/>
            </w:tcBorders>
          </w:tcPr>
          <w:p w14:paraId="4AC2A2EB"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7F107228" w14:textId="77777777" w:rsidTr="003F20C6">
        <w:trPr>
          <w:trHeight w:val="170"/>
        </w:trPr>
        <w:tc>
          <w:tcPr>
            <w:tcW w:w="3483" w:type="dxa"/>
          </w:tcPr>
          <w:p w14:paraId="5EB8FC97"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TOTAL EQUITY</w:t>
            </w:r>
          </w:p>
        </w:tc>
        <w:tc>
          <w:tcPr>
            <w:tcW w:w="985" w:type="dxa"/>
            <w:tcBorders>
              <w:right w:val="single" w:sz="18" w:space="0" w:color="FFFFFF" w:themeColor="background2"/>
            </w:tcBorders>
          </w:tcPr>
          <w:p w14:paraId="79BF276F"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3558D3D2"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2BC2FAEE"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7221358E"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2915CF79" w14:textId="77777777" w:rsidTr="003F20C6">
        <w:trPr>
          <w:trHeight w:val="170"/>
        </w:trPr>
        <w:tc>
          <w:tcPr>
            <w:tcW w:w="3483" w:type="dxa"/>
          </w:tcPr>
          <w:p w14:paraId="34F86630"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Opening balance</w:t>
            </w:r>
          </w:p>
        </w:tc>
        <w:tc>
          <w:tcPr>
            <w:tcW w:w="985" w:type="dxa"/>
            <w:tcBorders>
              <w:right w:val="single" w:sz="18" w:space="0" w:color="FFFFFF" w:themeColor="background2"/>
            </w:tcBorders>
          </w:tcPr>
          <w:p w14:paraId="38750A71"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7D1E6411"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11F1EA46"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985" w:type="dxa"/>
            <w:tcBorders>
              <w:left w:val="single" w:sz="18" w:space="0" w:color="FFFFFF" w:themeColor="background2"/>
            </w:tcBorders>
          </w:tcPr>
          <w:p w14:paraId="08B529EB"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6829E3AA" w14:textId="77777777" w:rsidTr="003F20C6">
        <w:trPr>
          <w:trHeight w:val="170"/>
        </w:trPr>
        <w:tc>
          <w:tcPr>
            <w:tcW w:w="3483" w:type="dxa"/>
          </w:tcPr>
          <w:p w14:paraId="44C52A27"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r w:rsidRPr="00807DBD">
              <w:rPr>
                <w:color w:val="292929"/>
                <w:sz w:val="14"/>
                <w:szCs w:val="14"/>
              </w:rPr>
              <w:t>Balance carried forward from previous period</w:t>
            </w:r>
          </w:p>
        </w:tc>
        <w:tc>
          <w:tcPr>
            <w:tcW w:w="985" w:type="dxa"/>
            <w:tcBorders>
              <w:right w:val="single" w:sz="18" w:space="0" w:color="FFFFFF" w:themeColor="background2"/>
            </w:tcBorders>
          </w:tcPr>
          <w:p w14:paraId="5AEEE1CC"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195941D4"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1</w:t>
            </w:r>
            <w:r>
              <w:rPr>
                <w:rFonts w:asciiTheme="majorHAnsi" w:hAnsiTheme="majorHAnsi"/>
                <w:color w:val="292929"/>
                <w:sz w:val="14"/>
                <w:szCs w:val="14"/>
              </w:rPr>
              <w:t>3</w:t>
            </w:r>
            <w:r w:rsidRPr="00807DBD">
              <w:rPr>
                <w:rFonts w:asciiTheme="majorHAnsi" w:hAnsiTheme="majorHAnsi"/>
                <w:color w:val="292929"/>
                <w:sz w:val="14"/>
                <w:szCs w:val="14"/>
              </w:rPr>
              <w:t>,</w:t>
            </w:r>
            <w:r>
              <w:rPr>
                <w:rFonts w:asciiTheme="majorHAnsi" w:hAnsiTheme="majorHAnsi"/>
                <w:color w:val="292929"/>
                <w:sz w:val="14"/>
                <w:szCs w:val="14"/>
              </w:rPr>
              <w:t>494</w:t>
            </w: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103F1904"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12,7</w:t>
            </w:r>
            <w:r>
              <w:rPr>
                <w:color w:val="292929"/>
                <w:sz w:val="14"/>
                <w:szCs w:val="14"/>
              </w:rPr>
              <w:t>68</w:t>
            </w:r>
            <w:r w:rsidRPr="00807DBD">
              <w:rPr>
                <w:color w:val="292929"/>
                <w:sz w:val="14"/>
                <w:szCs w:val="14"/>
              </w:rPr>
              <w:t xml:space="preserve"> </w:t>
            </w:r>
          </w:p>
        </w:tc>
        <w:tc>
          <w:tcPr>
            <w:tcW w:w="985" w:type="dxa"/>
            <w:tcBorders>
              <w:left w:val="single" w:sz="18" w:space="0" w:color="FFFFFF" w:themeColor="background2"/>
            </w:tcBorders>
          </w:tcPr>
          <w:p w14:paraId="5FAF6E5E"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1</w:t>
            </w:r>
            <w:r>
              <w:rPr>
                <w:color w:val="292929"/>
                <w:sz w:val="14"/>
                <w:szCs w:val="14"/>
              </w:rPr>
              <w:t>3</w:t>
            </w:r>
            <w:r w:rsidRPr="00807DBD">
              <w:rPr>
                <w:color w:val="292929"/>
                <w:sz w:val="14"/>
                <w:szCs w:val="14"/>
              </w:rPr>
              <w:t>,</w:t>
            </w:r>
            <w:r>
              <w:rPr>
                <w:color w:val="292929"/>
                <w:sz w:val="14"/>
                <w:szCs w:val="14"/>
              </w:rPr>
              <w:t>494</w:t>
            </w:r>
            <w:r w:rsidRPr="00807DBD">
              <w:rPr>
                <w:color w:val="292929"/>
                <w:sz w:val="14"/>
                <w:szCs w:val="14"/>
              </w:rPr>
              <w:t xml:space="preserve"> </w:t>
            </w:r>
          </w:p>
        </w:tc>
      </w:tr>
      <w:tr w:rsidR="005E6AA1" w:rsidRPr="00807DBD" w14:paraId="13B5C92B" w14:textId="77777777" w:rsidTr="003F20C6">
        <w:trPr>
          <w:trHeight w:val="170"/>
        </w:trPr>
        <w:tc>
          <w:tcPr>
            <w:tcW w:w="3483" w:type="dxa"/>
          </w:tcPr>
          <w:p w14:paraId="2A0FD098"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p>
        </w:tc>
        <w:tc>
          <w:tcPr>
            <w:tcW w:w="985" w:type="dxa"/>
            <w:tcBorders>
              <w:right w:val="single" w:sz="18" w:space="0" w:color="FFFFFF" w:themeColor="background2"/>
            </w:tcBorders>
          </w:tcPr>
          <w:p w14:paraId="3BC216E9"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1FF5AB42"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85" w:type="dxa"/>
            <w:tcBorders>
              <w:left w:val="single" w:sz="18" w:space="0" w:color="FFFFFF" w:themeColor="background2"/>
              <w:right w:val="single" w:sz="18" w:space="0" w:color="FFFFFF" w:themeColor="background2"/>
            </w:tcBorders>
          </w:tcPr>
          <w:p w14:paraId="2EB7C8D0"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c>
          <w:tcPr>
            <w:tcW w:w="985" w:type="dxa"/>
            <w:tcBorders>
              <w:left w:val="single" w:sz="18" w:space="0" w:color="FFFFFF" w:themeColor="background2"/>
            </w:tcBorders>
          </w:tcPr>
          <w:p w14:paraId="5B9F9220"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p>
        </w:tc>
      </w:tr>
      <w:tr w:rsidR="005E6AA1" w:rsidRPr="00807DBD" w14:paraId="0B08B9BD" w14:textId="77777777" w:rsidTr="003F20C6">
        <w:trPr>
          <w:trHeight w:val="170"/>
        </w:trPr>
        <w:tc>
          <w:tcPr>
            <w:tcW w:w="3483" w:type="dxa"/>
          </w:tcPr>
          <w:p w14:paraId="3FF32D8B"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Equity movements during the period</w:t>
            </w:r>
          </w:p>
        </w:tc>
        <w:tc>
          <w:tcPr>
            <w:tcW w:w="985" w:type="dxa"/>
            <w:tcBorders>
              <w:right w:val="single" w:sz="18" w:space="0" w:color="FFFFFF" w:themeColor="background2"/>
            </w:tcBorders>
          </w:tcPr>
          <w:p w14:paraId="6F270CCD"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48231679"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0521FF7F"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985" w:type="dxa"/>
            <w:tcBorders>
              <w:left w:val="single" w:sz="18" w:space="0" w:color="FFFFFF" w:themeColor="background2"/>
            </w:tcBorders>
          </w:tcPr>
          <w:p w14:paraId="04534EF5"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1AAD365C" w14:textId="77777777" w:rsidTr="003F20C6">
        <w:trPr>
          <w:trHeight w:val="170"/>
        </w:trPr>
        <w:tc>
          <w:tcPr>
            <w:tcW w:w="3483" w:type="dxa"/>
          </w:tcPr>
          <w:p w14:paraId="68CA4BFE"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r w:rsidRPr="00807DBD">
              <w:rPr>
                <w:color w:val="292929"/>
                <w:sz w:val="14"/>
                <w:szCs w:val="14"/>
              </w:rPr>
              <w:t>Adjustment on initial application of AASB 16</w:t>
            </w:r>
          </w:p>
        </w:tc>
        <w:tc>
          <w:tcPr>
            <w:tcW w:w="985" w:type="dxa"/>
            <w:tcBorders>
              <w:right w:val="single" w:sz="18" w:space="0" w:color="FFFFFF" w:themeColor="background2"/>
            </w:tcBorders>
          </w:tcPr>
          <w:p w14:paraId="33D2424A"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right w:val="single" w:sz="18" w:space="0" w:color="FFFFFF" w:themeColor="background2"/>
            </w:tcBorders>
          </w:tcPr>
          <w:p w14:paraId="2445E3C1" w14:textId="7777777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r w:rsidRPr="00807DBD">
              <w:rPr>
                <w:rFonts w:asciiTheme="majorHAnsi" w:hAnsiTheme="majorHAnsi"/>
                <w:color w:val="292929"/>
                <w:sz w:val="14"/>
                <w:szCs w:val="14"/>
              </w:rPr>
              <w:t xml:space="preserve"> </w:t>
            </w:r>
          </w:p>
        </w:tc>
        <w:tc>
          <w:tcPr>
            <w:tcW w:w="985" w:type="dxa"/>
            <w:tcBorders>
              <w:left w:val="single" w:sz="18" w:space="0" w:color="FFFFFF" w:themeColor="background2"/>
              <w:right w:val="single" w:sz="18" w:space="0" w:color="FFFFFF" w:themeColor="background2"/>
            </w:tcBorders>
          </w:tcPr>
          <w:p w14:paraId="283F38E8"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(123)</w:t>
            </w:r>
            <w:r w:rsidRPr="00807DBD">
              <w:rPr>
                <w:color w:val="292929"/>
                <w:sz w:val="14"/>
                <w:szCs w:val="14"/>
              </w:rPr>
              <w:t xml:space="preserve"> </w:t>
            </w:r>
          </w:p>
        </w:tc>
        <w:tc>
          <w:tcPr>
            <w:tcW w:w="985" w:type="dxa"/>
            <w:tcBorders>
              <w:left w:val="single" w:sz="18" w:space="0" w:color="FFFFFF" w:themeColor="background2"/>
            </w:tcBorders>
          </w:tcPr>
          <w:p w14:paraId="1C76F54C" w14:textId="77777777" w:rsidR="005E6AA1" w:rsidRPr="00807DBD" w:rsidRDefault="005E6AA1" w:rsidP="00627FBA">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689FACBC" w14:textId="77777777" w:rsidTr="003F20C6">
        <w:trPr>
          <w:trHeight w:val="170"/>
        </w:trPr>
        <w:tc>
          <w:tcPr>
            <w:tcW w:w="3483" w:type="dxa"/>
          </w:tcPr>
          <w:p w14:paraId="020B216C" w14:textId="77777777" w:rsidR="005E6AA1" w:rsidRPr="00807DBD" w:rsidRDefault="005E6AA1" w:rsidP="00627FBA">
            <w:pPr>
              <w:suppressAutoHyphens/>
              <w:autoSpaceDE w:val="0"/>
              <w:autoSpaceDN w:val="0"/>
              <w:adjustRightInd w:val="0"/>
              <w:spacing w:before="20" w:after="20"/>
              <w:textAlignment w:val="center"/>
              <w:rPr>
                <w:color w:val="292929"/>
                <w:sz w:val="14"/>
                <w:szCs w:val="14"/>
              </w:rPr>
            </w:pPr>
            <w:r w:rsidRPr="00807DBD">
              <w:rPr>
                <w:color w:val="292929"/>
                <w:sz w:val="14"/>
                <w:szCs w:val="14"/>
              </w:rPr>
              <w:t>Surplus for the period</w:t>
            </w:r>
          </w:p>
        </w:tc>
        <w:tc>
          <w:tcPr>
            <w:tcW w:w="985" w:type="dxa"/>
            <w:tcBorders>
              <w:right w:val="single" w:sz="18" w:space="0" w:color="FFFFFF" w:themeColor="background2"/>
            </w:tcBorders>
          </w:tcPr>
          <w:p w14:paraId="000DCFFB"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left w:val="single" w:sz="18" w:space="0" w:color="FFFFFF" w:themeColor="background2"/>
              <w:bottom w:val="single" w:sz="2" w:space="0" w:color="auto"/>
              <w:right w:val="single" w:sz="18" w:space="0" w:color="FFFFFF" w:themeColor="background2"/>
            </w:tcBorders>
          </w:tcPr>
          <w:p w14:paraId="2CF075F4" w14:textId="1800873D"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2,3</w:t>
            </w:r>
            <w:r w:rsidR="00BA7FE2">
              <w:rPr>
                <w:rFonts w:asciiTheme="majorHAnsi" w:hAnsiTheme="majorHAnsi"/>
                <w:color w:val="292929"/>
                <w:sz w:val="14"/>
                <w:szCs w:val="14"/>
              </w:rPr>
              <w:t>42</w:t>
            </w:r>
          </w:p>
        </w:tc>
        <w:tc>
          <w:tcPr>
            <w:tcW w:w="985" w:type="dxa"/>
            <w:tcBorders>
              <w:left w:val="single" w:sz="18" w:space="0" w:color="FFFFFF" w:themeColor="background2"/>
              <w:bottom w:val="single" w:sz="2" w:space="0" w:color="auto"/>
              <w:right w:val="single" w:sz="18" w:space="0" w:color="FFFFFF" w:themeColor="background2"/>
            </w:tcBorders>
          </w:tcPr>
          <w:p w14:paraId="1FE9CABC"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849</w:t>
            </w:r>
          </w:p>
        </w:tc>
        <w:tc>
          <w:tcPr>
            <w:tcW w:w="985" w:type="dxa"/>
            <w:tcBorders>
              <w:left w:val="single" w:sz="18" w:space="0" w:color="FFFFFF" w:themeColor="background2"/>
              <w:bottom w:val="single" w:sz="2" w:space="0" w:color="auto"/>
            </w:tcBorders>
          </w:tcPr>
          <w:p w14:paraId="67134089"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(95)</w:t>
            </w:r>
          </w:p>
        </w:tc>
      </w:tr>
      <w:tr w:rsidR="005E6AA1" w:rsidRPr="00807DBD" w14:paraId="7AA7B9E4" w14:textId="77777777" w:rsidTr="003F20C6">
        <w:trPr>
          <w:trHeight w:val="170"/>
        </w:trPr>
        <w:tc>
          <w:tcPr>
            <w:tcW w:w="3483" w:type="dxa"/>
          </w:tcPr>
          <w:p w14:paraId="50B28C1A" w14:textId="77777777" w:rsidR="005E6AA1" w:rsidRPr="00807DBD" w:rsidRDefault="005E6AA1" w:rsidP="00627FBA">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Closing balance as at 30 June</w:t>
            </w:r>
          </w:p>
        </w:tc>
        <w:tc>
          <w:tcPr>
            <w:tcW w:w="985" w:type="dxa"/>
            <w:tcBorders>
              <w:right w:val="single" w:sz="18" w:space="0" w:color="FFFFFF" w:themeColor="background2"/>
            </w:tcBorders>
          </w:tcPr>
          <w:p w14:paraId="6CB5992F" w14:textId="77777777" w:rsidR="005E6AA1" w:rsidRPr="00807DBD" w:rsidRDefault="005E6AA1" w:rsidP="00627FBA">
            <w:pPr>
              <w:autoSpaceDE w:val="0"/>
              <w:autoSpaceDN w:val="0"/>
              <w:adjustRightInd w:val="0"/>
              <w:spacing w:before="20" w:after="20"/>
              <w:jc w:val="right"/>
              <w:rPr>
                <w:color w:val="292929"/>
                <w:sz w:val="14"/>
                <w:szCs w:val="14"/>
              </w:rPr>
            </w:pP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0DC294D1" w14:textId="1CD81DE7" w:rsidR="005E6AA1" w:rsidRPr="00807DBD" w:rsidRDefault="005E6AA1" w:rsidP="00627FBA">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1</w:t>
            </w:r>
            <w:r>
              <w:rPr>
                <w:rFonts w:asciiTheme="majorHAnsi" w:hAnsiTheme="majorHAnsi"/>
                <w:color w:val="292929"/>
                <w:sz w:val="14"/>
                <w:szCs w:val="14"/>
              </w:rPr>
              <w:t>5</w:t>
            </w:r>
            <w:r w:rsidRPr="00807DBD">
              <w:rPr>
                <w:rFonts w:asciiTheme="majorHAnsi" w:hAnsiTheme="majorHAnsi"/>
                <w:color w:val="292929"/>
                <w:sz w:val="14"/>
                <w:szCs w:val="14"/>
              </w:rPr>
              <w:t>,</w:t>
            </w:r>
            <w:r>
              <w:rPr>
                <w:rFonts w:asciiTheme="majorHAnsi" w:hAnsiTheme="majorHAnsi"/>
                <w:color w:val="292929"/>
                <w:sz w:val="14"/>
                <w:szCs w:val="14"/>
              </w:rPr>
              <w:t>8</w:t>
            </w:r>
            <w:r w:rsidR="00BA7FE2">
              <w:rPr>
                <w:rFonts w:asciiTheme="majorHAnsi" w:hAnsiTheme="majorHAnsi"/>
                <w:color w:val="292929"/>
                <w:sz w:val="14"/>
                <w:szCs w:val="14"/>
              </w:rPr>
              <w:t>36</w:t>
            </w:r>
          </w:p>
        </w:tc>
        <w:tc>
          <w:tcPr>
            <w:tcW w:w="985" w:type="dxa"/>
            <w:tcBorders>
              <w:top w:val="single" w:sz="2" w:space="0" w:color="auto"/>
              <w:left w:val="single" w:sz="18" w:space="0" w:color="FFFFFF" w:themeColor="background2"/>
              <w:bottom w:val="single" w:sz="2" w:space="0" w:color="auto"/>
              <w:right w:val="single" w:sz="18" w:space="0" w:color="FFFFFF" w:themeColor="background2"/>
            </w:tcBorders>
          </w:tcPr>
          <w:p w14:paraId="7CD3C966"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Pr>
                <w:color w:val="292929"/>
                <w:sz w:val="14"/>
                <w:szCs w:val="14"/>
              </w:rPr>
              <w:t>13,494</w:t>
            </w:r>
          </w:p>
        </w:tc>
        <w:tc>
          <w:tcPr>
            <w:tcW w:w="985" w:type="dxa"/>
            <w:tcBorders>
              <w:top w:val="single" w:sz="2" w:space="0" w:color="auto"/>
              <w:left w:val="single" w:sz="18" w:space="0" w:color="FFFFFF" w:themeColor="background2"/>
              <w:bottom w:val="single" w:sz="2" w:space="0" w:color="auto"/>
            </w:tcBorders>
          </w:tcPr>
          <w:p w14:paraId="63E24617" w14:textId="77777777" w:rsidR="005E6AA1" w:rsidRPr="00807DBD" w:rsidRDefault="005E6AA1" w:rsidP="00627FBA">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Pr>
                <w:color w:val="292929"/>
                <w:sz w:val="14"/>
                <w:szCs w:val="14"/>
              </w:rPr>
              <w:t>3</w:t>
            </w:r>
            <w:r w:rsidRPr="00807DBD">
              <w:rPr>
                <w:color w:val="292929"/>
                <w:sz w:val="14"/>
                <w:szCs w:val="14"/>
              </w:rPr>
              <w:t>,</w:t>
            </w:r>
            <w:r>
              <w:rPr>
                <w:color w:val="292929"/>
                <w:sz w:val="14"/>
                <w:szCs w:val="14"/>
              </w:rPr>
              <w:t>399</w:t>
            </w:r>
          </w:p>
        </w:tc>
      </w:tr>
      <w:tr w:rsidR="005E6AA1" w:rsidRPr="004E22C5" w14:paraId="22658540" w14:textId="77777777" w:rsidTr="003F20C6">
        <w:trPr>
          <w:trHeight w:val="57"/>
        </w:trPr>
        <w:tc>
          <w:tcPr>
            <w:tcW w:w="3483" w:type="dxa"/>
          </w:tcPr>
          <w:p w14:paraId="0F93625B" w14:textId="77777777" w:rsidR="005E6AA1" w:rsidRPr="004E22C5" w:rsidRDefault="005E6AA1" w:rsidP="00627FBA">
            <w:pPr>
              <w:suppressAutoHyphens/>
              <w:autoSpaceDE w:val="0"/>
              <w:autoSpaceDN w:val="0"/>
              <w:adjustRightInd w:val="0"/>
              <w:spacing w:before="20" w:after="20"/>
              <w:textAlignment w:val="center"/>
              <w:rPr>
                <w:rFonts w:asciiTheme="majorHAnsi" w:hAnsiTheme="majorHAnsi"/>
                <w:color w:val="292929"/>
                <w:sz w:val="4"/>
                <w:szCs w:val="4"/>
              </w:rPr>
            </w:pPr>
          </w:p>
        </w:tc>
        <w:tc>
          <w:tcPr>
            <w:tcW w:w="985" w:type="dxa"/>
            <w:tcBorders>
              <w:right w:val="single" w:sz="18" w:space="0" w:color="FFFFFF" w:themeColor="background2"/>
            </w:tcBorders>
          </w:tcPr>
          <w:p w14:paraId="243100B9" w14:textId="77777777" w:rsidR="005E6AA1" w:rsidRPr="004E22C5" w:rsidRDefault="005E6AA1" w:rsidP="00627FBA">
            <w:pPr>
              <w:autoSpaceDE w:val="0"/>
              <w:autoSpaceDN w:val="0"/>
              <w:adjustRightInd w:val="0"/>
              <w:spacing w:before="20" w:after="20"/>
              <w:jc w:val="right"/>
              <w:rPr>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06F56D83" w14:textId="77777777" w:rsidR="005E6AA1" w:rsidRPr="004E22C5" w:rsidRDefault="005E6AA1" w:rsidP="00627FBA">
            <w:pPr>
              <w:suppressAutoHyphens/>
              <w:autoSpaceDE w:val="0"/>
              <w:autoSpaceDN w:val="0"/>
              <w:adjustRightInd w:val="0"/>
              <w:spacing w:before="20" w:after="20"/>
              <w:jc w:val="right"/>
              <w:textAlignment w:val="center"/>
              <w:rPr>
                <w:rFonts w:asciiTheme="majorHAnsi" w:hAnsiTheme="majorHAnsi"/>
                <w:color w:val="292929"/>
                <w:sz w:val="4"/>
                <w:szCs w:val="4"/>
              </w:rPr>
            </w:pPr>
          </w:p>
        </w:tc>
        <w:tc>
          <w:tcPr>
            <w:tcW w:w="985" w:type="dxa"/>
            <w:tcBorders>
              <w:top w:val="single" w:sz="2" w:space="0" w:color="auto"/>
              <w:left w:val="single" w:sz="18" w:space="0" w:color="FFFFFF" w:themeColor="background2"/>
              <w:right w:val="single" w:sz="18" w:space="0" w:color="FFFFFF" w:themeColor="background2"/>
            </w:tcBorders>
          </w:tcPr>
          <w:p w14:paraId="1076E5D4" w14:textId="77777777" w:rsidR="005E6AA1" w:rsidRPr="004E22C5" w:rsidRDefault="005E6AA1" w:rsidP="00627FBA">
            <w:pPr>
              <w:suppressAutoHyphens/>
              <w:autoSpaceDE w:val="0"/>
              <w:autoSpaceDN w:val="0"/>
              <w:adjustRightInd w:val="0"/>
              <w:spacing w:before="20" w:after="20"/>
              <w:jc w:val="right"/>
              <w:textAlignment w:val="center"/>
              <w:rPr>
                <w:color w:val="292929"/>
                <w:sz w:val="4"/>
                <w:szCs w:val="4"/>
              </w:rPr>
            </w:pPr>
          </w:p>
        </w:tc>
        <w:tc>
          <w:tcPr>
            <w:tcW w:w="985" w:type="dxa"/>
            <w:tcBorders>
              <w:top w:val="single" w:sz="2" w:space="0" w:color="auto"/>
              <w:left w:val="single" w:sz="18" w:space="0" w:color="FFFFFF" w:themeColor="background2"/>
            </w:tcBorders>
          </w:tcPr>
          <w:p w14:paraId="3C5BA213" w14:textId="77777777" w:rsidR="005E6AA1" w:rsidRPr="004E22C5" w:rsidRDefault="005E6AA1" w:rsidP="00627FBA">
            <w:pPr>
              <w:suppressAutoHyphens/>
              <w:autoSpaceDE w:val="0"/>
              <w:autoSpaceDN w:val="0"/>
              <w:adjustRightInd w:val="0"/>
              <w:spacing w:before="20" w:after="20"/>
              <w:jc w:val="right"/>
              <w:textAlignment w:val="center"/>
              <w:rPr>
                <w:color w:val="292929"/>
                <w:sz w:val="4"/>
                <w:szCs w:val="4"/>
              </w:rPr>
            </w:pPr>
          </w:p>
        </w:tc>
      </w:tr>
      <w:tr w:rsidR="005E6AA1" w:rsidRPr="00807DBD" w14:paraId="74B8F6FC" w14:textId="77777777" w:rsidTr="003F20C6">
        <w:trPr>
          <w:trHeight w:val="454"/>
        </w:trPr>
        <w:tc>
          <w:tcPr>
            <w:tcW w:w="7423" w:type="dxa"/>
            <w:gridSpan w:val="5"/>
          </w:tcPr>
          <w:p w14:paraId="2BB5B3A1" w14:textId="77777777" w:rsidR="005E6AA1" w:rsidRPr="00807DBD" w:rsidRDefault="005E6AA1" w:rsidP="00627FBA">
            <w:pPr>
              <w:suppressAutoHyphens/>
              <w:autoSpaceDE w:val="0"/>
              <w:autoSpaceDN w:val="0"/>
              <w:adjustRightInd w:val="0"/>
              <w:spacing w:before="20" w:after="20"/>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76E81708" w14:textId="77777777" w:rsidR="005E6AA1" w:rsidRPr="00AF083D" w:rsidRDefault="005E6AA1" w:rsidP="005E6AA1">
      <w:pPr>
        <w:pStyle w:val="H4"/>
        <w:spacing w:before="120" w:after="120"/>
        <w:rPr>
          <w:sz w:val="18"/>
        </w:rPr>
      </w:pPr>
      <w:r w:rsidRPr="00AF083D">
        <w:rPr>
          <w:sz w:val="18"/>
        </w:rPr>
        <w:t>Budget Variances Commentary</w:t>
      </w:r>
    </w:p>
    <w:p w14:paraId="40C886EA" w14:textId="77777777" w:rsidR="005E6AA1" w:rsidRPr="000B6A9B" w:rsidRDefault="005E6AA1" w:rsidP="005E6AA1">
      <w:pPr>
        <w:pStyle w:val="Body-Financial"/>
        <w:rPr>
          <w:b/>
          <w:bCs/>
        </w:rPr>
      </w:pPr>
      <w:r w:rsidRPr="000B6A9B">
        <w:rPr>
          <w:b/>
          <w:bCs/>
        </w:rPr>
        <w:t xml:space="preserve">Statement of Changes in Equity </w:t>
      </w:r>
    </w:p>
    <w:p w14:paraId="552A95F4" w14:textId="191C101D" w:rsidR="00CB3C3D" w:rsidRDefault="00BA7FE2" w:rsidP="005E6AA1">
      <w:pPr>
        <w:pStyle w:val="Body-Financial"/>
        <w:rPr>
          <w:lang w:val="en-AU"/>
        </w:rPr>
        <w:sectPr w:rsidR="00CB3C3D" w:rsidSect="00441579">
          <w:footerReference w:type="default" r:id="rId199"/>
          <w:pgSz w:w="9979" w:h="14175"/>
          <w:pgMar w:top="1134" w:right="1134" w:bottom="1134" w:left="1134" w:header="709" w:footer="709" w:gutter="0"/>
          <w:cols w:space="708"/>
          <w:docGrid w:linePitch="360"/>
        </w:sectPr>
      </w:pPr>
      <w:r w:rsidRPr="00BA7FE2">
        <w:rPr>
          <w:lang w:val="en-AU"/>
        </w:rPr>
        <w:t>Total equity of $15.836m was $2.437m higher than the budgeted amount of $13.399m primarily due to the current period surplus noting the budget is derived on a break-even assumption.</w:t>
      </w:r>
    </w:p>
    <w:p w14:paraId="24DE4EB3" w14:textId="77777777" w:rsidR="005E6AA1" w:rsidRDefault="005E6AA1" w:rsidP="005E6AA1">
      <w:pPr>
        <w:pStyle w:val="H3Financials"/>
      </w:pPr>
      <w:bookmarkStart w:id="155" w:name="_Toc83220560"/>
      <w:r>
        <w:lastRenderedPageBreak/>
        <w:t>Cash flow statement</w:t>
      </w:r>
      <w:bookmarkEnd w:id="155"/>
      <w:r>
        <w:t xml:space="preserve"> </w:t>
      </w:r>
    </w:p>
    <w:p w14:paraId="7F7DF753" w14:textId="77777777" w:rsidR="005E6AA1" w:rsidRPr="00F73A32" w:rsidRDefault="005E6AA1" w:rsidP="005E6AA1">
      <w:pPr>
        <w:pStyle w:val="Body"/>
        <w:rPr>
          <w:i/>
          <w:iCs/>
        </w:rPr>
      </w:pPr>
      <w:r w:rsidRPr="00F71E0B">
        <w:rPr>
          <w:i/>
          <w:iCs/>
        </w:rPr>
        <w:t>for the period ended 30 June 202</w:t>
      </w:r>
      <w:r>
        <w:rPr>
          <w:i/>
          <w:iCs/>
        </w:rPr>
        <w:t>1</w:t>
      </w:r>
    </w:p>
    <w:tbl>
      <w:tblPr>
        <w:tblStyle w:val="IHPA"/>
        <w:tblW w:w="7423" w:type="dxa"/>
        <w:tblLayout w:type="fixed"/>
        <w:tblCellMar>
          <w:left w:w="57" w:type="dxa"/>
          <w:right w:w="57" w:type="dxa"/>
        </w:tblCellMar>
        <w:tblLook w:val="0020" w:firstRow="1" w:lastRow="0" w:firstColumn="0" w:lastColumn="0" w:noHBand="0" w:noVBand="0"/>
        <w:tblCaption w:val="Cash flow statement"/>
        <w:tblDescription w:val="Cash flow statement"/>
      </w:tblPr>
      <w:tblGrid>
        <w:gridCol w:w="4253"/>
        <w:gridCol w:w="623"/>
        <w:gridCol w:w="794"/>
        <w:gridCol w:w="794"/>
        <w:gridCol w:w="850"/>
        <w:gridCol w:w="109"/>
      </w:tblGrid>
      <w:tr w:rsidR="005E6AA1" w:rsidRPr="00807DBD" w14:paraId="5C501823" w14:textId="77777777" w:rsidTr="006517A1">
        <w:trPr>
          <w:gridAfter w:val="1"/>
          <w:wAfter w:w="109" w:type="dxa"/>
          <w:trHeight w:val="340"/>
        </w:trPr>
        <w:tc>
          <w:tcPr>
            <w:tcW w:w="4253" w:type="dxa"/>
          </w:tcPr>
          <w:p w14:paraId="1E86243D" w14:textId="77777777" w:rsidR="005E6AA1" w:rsidRPr="00807DBD" w:rsidRDefault="005E6AA1" w:rsidP="003F20C6">
            <w:pPr>
              <w:autoSpaceDE w:val="0"/>
              <w:autoSpaceDN w:val="0"/>
              <w:adjustRightInd w:val="0"/>
              <w:spacing w:before="20" w:after="20"/>
              <w:rPr>
                <w:rFonts w:ascii="Futura PT Book" w:hAnsi="Futura PT Book"/>
                <w:color w:val="292929"/>
                <w:sz w:val="24"/>
                <w:szCs w:val="24"/>
              </w:rPr>
            </w:pPr>
          </w:p>
        </w:tc>
        <w:tc>
          <w:tcPr>
            <w:tcW w:w="623" w:type="dxa"/>
            <w:tcBorders>
              <w:bottom w:val="single" w:sz="12" w:space="0" w:color="auto"/>
              <w:right w:val="single" w:sz="18" w:space="0" w:color="FFFFFF" w:themeColor="background2"/>
            </w:tcBorders>
            <w:vAlign w:val="bottom"/>
          </w:tcPr>
          <w:p w14:paraId="1B290005"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Notes</w:t>
            </w:r>
          </w:p>
        </w:tc>
        <w:tc>
          <w:tcPr>
            <w:tcW w:w="794" w:type="dxa"/>
            <w:tcBorders>
              <w:left w:val="single" w:sz="18" w:space="0" w:color="FFFFFF" w:themeColor="background2"/>
              <w:bottom w:val="single" w:sz="12" w:space="0" w:color="auto"/>
              <w:right w:val="single" w:sz="18" w:space="0" w:color="FFFFFF" w:themeColor="background2"/>
            </w:tcBorders>
            <w:vAlign w:val="bottom"/>
          </w:tcPr>
          <w:p w14:paraId="0EF27AB7"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807DBD">
              <w:rPr>
                <w:rFonts w:asciiTheme="majorHAnsi" w:hAnsiTheme="majorHAnsi" w:cs="Futura PT Heavy"/>
                <w:color w:val="292929"/>
                <w:sz w:val="16"/>
                <w:szCs w:val="16"/>
                <w:lang w:val="en-US"/>
              </w:rPr>
              <w:br/>
              <w:t>$’000</w:t>
            </w:r>
          </w:p>
        </w:tc>
        <w:tc>
          <w:tcPr>
            <w:tcW w:w="794" w:type="dxa"/>
            <w:tcBorders>
              <w:left w:val="single" w:sz="18" w:space="0" w:color="FFFFFF" w:themeColor="background2"/>
              <w:bottom w:val="single" w:sz="12" w:space="0" w:color="auto"/>
              <w:right w:val="single" w:sz="18" w:space="0" w:color="FFFFFF" w:themeColor="background2"/>
            </w:tcBorders>
            <w:vAlign w:val="bottom"/>
          </w:tcPr>
          <w:p w14:paraId="075A691E"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20</w:t>
            </w:r>
            <w:r>
              <w:rPr>
                <w:rFonts w:asciiTheme="majorHAnsi" w:hAnsiTheme="majorHAnsi" w:cs="Futura PT Heavy"/>
                <w:color w:val="292929"/>
                <w:sz w:val="16"/>
                <w:szCs w:val="16"/>
                <w:lang w:val="en-US"/>
              </w:rPr>
              <w:t>20</w:t>
            </w:r>
            <w:r w:rsidRPr="00807DBD">
              <w:rPr>
                <w:rFonts w:asciiTheme="majorHAnsi" w:hAnsiTheme="majorHAnsi" w:cs="Futura PT Heavy"/>
                <w:color w:val="292929"/>
                <w:sz w:val="16"/>
                <w:szCs w:val="16"/>
                <w:lang w:val="en-US"/>
              </w:rPr>
              <w:br/>
              <w:t>$’000</w:t>
            </w:r>
          </w:p>
        </w:tc>
        <w:tc>
          <w:tcPr>
            <w:tcW w:w="850" w:type="dxa"/>
            <w:tcBorders>
              <w:left w:val="single" w:sz="18" w:space="0" w:color="FFFFFF" w:themeColor="background2"/>
              <w:bottom w:val="single" w:sz="12" w:space="0" w:color="auto"/>
            </w:tcBorders>
            <w:vAlign w:val="bottom"/>
          </w:tcPr>
          <w:p w14:paraId="327F64F0" w14:textId="77777777" w:rsidR="005E6AA1" w:rsidRPr="00807DBD" w:rsidRDefault="005E6AA1"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807DBD">
              <w:rPr>
                <w:rFonts w:asciiTheme="majorHAnsi" w:hAnsiTheme="majorHAnsi" w:cs="Futura PT Heavy"/>
                <w:color w:val="292929"/>
                <w:sz w:val="16"/>
                <w:szCs w:val="16"/>
                <w:lang w:val="en-US"/>
              </w:rPr>
              <w:t>Original Budget</w:t>
            </w:r>
            <w:r w:rsidRPr="00807DBD">
              <w:rPr>
                <w:rFonts w:asciiTheme="majorHAnsi" w:hAnsiTheme="majorHAnsi" w:cs="Futura PT Heavy"/>
                <w:color w:val="292929"/>
                <w:sz w:val="16"/>
                <w:szCs w:val="16"/>
                <w:lang w:val="en-US"/>
              </w:rPr>
              <w:br/>
              <w:t>$’000</w:t>
            </w:r>
          </w:p>
        </w:tc>
      </w:tr>
      <w:tr w:rsidR="005E6AA1" w:rsidRPr="00807DBD" w14:paraId="6C6E3B5C" w14:textId="77777777" w:rsidTr="003F20C6">
        <w:trPr>
          <w:gridAfter w:val="1"/>
          <w:wAfter w:w="109" w:type="dxa"/>
          <w:trHeight w:val="170"/>
        </w:trPr>
        <w:tc>
          <w:tcPr>
            <w:tcW w:w="4253" w:type="dxa"/>
          </w:tcPr>
          <w:p w14:paraId="07BAE576"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OPERATING ACTIVITIES</w:t>
            </w:r>
          </w:p>
        </w:tc>
        <w:tc>
          <w:tcPr>
            <w:tcW w:w="623" w:type="dxa"/>
            <w:tcBorders>
              <w:top w:val="single" w:sz="12" w:space="0" w:color="auto"/>
              <w:right w:val="single" w:sz="18" w:space="0" w:color="FFFFFF" w:themeColor="background2"/>
            </w:tcBorders>
          </w:tcPr>
          <w:p w14:paraId="2801A52D"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12" w:space="0" w:color="auto"/>
              <w:left w:val="single" w:sz="18" w:space="0" w:color="FFFFFF" w:themeColor="background2"/>
              <w:right w:val="single" w:sz="18" w:space="0" w:color="FFFFFF" w:themeColor="background2"/>
            </w:tcBorders>
          </w:tcPr>
          <w:p w14:paraId="622A89DC" w14:textId="77777777" w:rsidR="005E6AA1" w:rsidRPr="00807DBD" w:rsidRDefault="005E6AA1" w:rsidP="003F20C6">
            <w:pPr>
              <w:autoSpaceDE w:val="0"/>
              <w:autoSpaceDN w:val="0"/>
              <w:adjustRightInd w:val="0"/>
              <w:spacing w:before="20" w:after="20"/>
              <w:jc w:val="right"/>
              <w:rPr>
                <w:rFonts w:asciiTheme="majorHAnsi" w:hAnsiTheme="majorHAnsi"/>
                <w:color w:val="292929"/>
                <w:sz w:val="14"/>
                <w:szCs w:val="14"/>
              </w:rPr>
            </w:pPr>
          </w:p>
        </w:tc>
        <w:tc>
          <w:tcPr>
            <w:tcW w:w="794" w:type="dxa"/>
            <w:tcBorders>
              <w:top w:val="single" w:sz="12" w:space="0" w:color="auto"/>
              <w:left w:val="single" w:sz="18" w:space="0" w:color="FFFFFF" w:themeColor="background2"/>
              <w:right w:val="single" w:sz="18" w:space="0" w:color="FFFFFF" w:themeColor="background2"/>
            </w:tcBorders>
          </w:tcPr>
          <w:p w14:paraId="14F7A6F3" w14:textId="77777777" w:rsidR="005E6AA1" w:rsidRPr="00807DBD" w:rsidRDefault="005E6AA1" w:rsidP="003F20C6">
            <w:pPr>
              <w:autoSpaceDE w:val="0"/>
              <w:autoSpaceDN w:val="0"/>
              <w:adjustRightInd w:val="0"/>
              <w:spacing w:before="20" w:after="20"/>
              <w:jc w:val="right"/>
              <w:rPr>
                <w:color w:val="292929"/>
                <w:sz w:val="14"/>
                <w:szCs w:val="14"/>
              </w:rPr>
            </w:pPr>
          </w:p>
        </w:tc>
        <w:tc>
          <w:tcPr>
            <w:tcW w:w="850" w:type="dxa"/>
            <w:tcBorders>
              <w:top w:val="single" w:sz="12" w:space="0" w:color="auto"/>
              <w:left w:val="single" w:sz="18" w:space="0" w:color="FFFFFF" w:themeColor="background2"/>
            </w:tcBorders>
          </w:tcPr>
          <w:p w14:paraId="7BCC6C93" w14:textId="77777777" w:rsidR="005E6AA1" w:rsidRPr="00807DBD" w:rsidRDefault="005E6AA1" w:rsidP="003F20C6">
            <w:pPr>
              <w:autoSpaceDE w:val="0"/>
              <w:autoSpaceDN w:val="0"/>
              <w:adjustRightInd w:val="0"/>
              <w:spacing w:before="20" w:after="20"/>
              <w:jc w:val="right"/>
              <w:rPr>
                <w:color w:val="292929"/>
                <w:sz w:val="14"/>
                <w:szCs w:val="14"/>
              </w:rPr>
            </w:pPr>
          </w:p>
        </w:tc>
      </w:tr>
      <w:tr w:rsidR="005E6AA1" w:rsidRPr="00807DBD" w14:paraId="69291BAA" w14:textId="77777777" w:rsidTr="003F20C6">
        <w:trPr>
          <w:gridAfter w:val="1"/>
          <w:wAfter w:w="109" w:type="dxa"/>
          <w:trHeight w:val="170"/>
        </w:trPr>
        <w:tc>
          <w:tcPr>
            <w:tcW w:w="4253" w:type="dxa"/>
          </w:tcPr>
          <w:p w14:paraId="5BE83148"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received</w:t>
            </w:r>
          </w:p>
        </w:tc>
        <w:tc>
          <w:tcPr>
            <w:tcW w:w="623" w:type="dxa"/>
            <w:tcBorders>
              <w:right w:val="single" w:sz="18" w:space="0" w:color="FFFFFF" w:themeColor="background2"/>
            </w:tcBorders>
          </w:tcPr>
          <w:p w14:paraId="75B7708B"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19657916"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 xml:space="preserve"> </w:t>
            </w:r>
          </w:p>
        </w:tc>
        <w:tc>
          <w:tcPr>
            <w:tcW w:w="794" w:type="dxa"/>
            <w:tcBorders>
              <w:left w:val="single" w:sz="18" w:space="0" w:color="FFFFFF" w:themeColor="background2"/>
              <w:right w:val="single" w:sz="18" w:space="0" w:color="FFFFFF" w:themeColor="background2"/>
            </w:tcBorders>
          </w:tcPr>
          <w:p w14:paraId="64E30CBE"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850" w:type="dxa"/>
            <w:tcBorders>
              <w:left w:val="single" w:sz="18" w:space="0" w:color="FFFFFF" w:themeColor="background2"/>
            </w:tcBorders>
          </w:tcPr>
          <w:p w14:paraId="756CC75C"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02BCDD4D" w14:textId="77777777" w:rsidTr="003F20C6">
        <w:trPr>
          <w:gridAfter w:val="1"/>
          <w:wAfter w:w="109" w:type="dxa"/>
          <w:trHeight w:val="170"/>
        </w:trPr>
        <w:tc>
          <w:tcPr>
            <w:tcW w:w="4253" w:type="dxa"/>
          </w:tcPr>
          <w:p w14:paraId="691743B7"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 xml:space="preserve">Receipts from </w:t>
            </w:r>
            <w:r>
              <w:rPr>
                <w:color w:val="292929"/>
                <w:sz w:val="14"/>
                <w:szCs w:val="14"/>
              </w:rPr>
              <w:t>g</w:t>
            </w:r>
            <w:r w:rsidRPr="00807DBD">
              <w:rPr>
                <w:color w:val="292929"/>
                <w:sz w:val="14"/>
                <w:szCs w:val="14"/>
              </w:rPr>
              <w:t xml:space="preserve">overnment </w:t>
            </w:r>
          </w:p>
        </w:tc>
        <w:tc>
          <w:tcPr>
            <w:tcW w:w="623" w:type="dxa"/>
            <w:tcBorders>
              <w:right w:val="single" w:sz="18" w:space="0" w:color="FFFFFF" w:themeColor="background2"/>
            </w:tcBorders>
          </w:tcPr>
          <w:p w14:paraId="3C8DA018"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20437FAE" w14:textId="14F81B85" w:rsidR="005E6AA1" w:rsidRPr="00CB3C3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13,744</w:t>
            </w:r>
          </w:p>
        </w:tc>
        <w:tc>
          <w:tcPr>
            <w:tcW w:w="794" w:type="dxa"/>
            <w:tcBorders>
              <w:left w:val="single" w:sz="18" w:space="0" w:color="FFFFFF" w:themeColor="background2"/>
              <w:right w:val="single" w:sz="18" w:space="0" w:color="FFFFFF" w:themeColor="background2"/>
            </w:tcBorders>
          </w:tcPr>
          <w:p w14:paraId="5885EA36"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15,714 </w:t>
            </w:r>
          </w:p>
        </w:tc>
        <w:tc>
          <w:tcPr>
            <w:tcW w:w="850" w:type="dxa"/>
            <w:tcBorders>
              <w:left w:val="single" w:sz="18" w:space="0" w:color="FFFFFF" w:themeColor="background2"/>
            </w:tcBorders>
          </w:tcPr>
          <w:p w14:paraId="2476F5B5"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14,993 </w:t>
            </w:r>
          </w:p>
        </w:tc>
      </w:tr>
      <w:tr w:rsidR="005E6AA1" w:rsidRPr="00807DBD" w14:paraId="48202B3E" w14:textId="77777777" w:rsidTr="003F20C6">
        <w:trPr>
          <w:gridAfter w:val="1"/>
          <w:wAfter w:w="109" w:type="dxa"/>
          <w:trHeight w:val="170"/>
        </w:trPr>
        <w:tc>
          <w:tcPr>
            <w:tcW w:w="4253" w:type="dxa"/>
          </w:tcPr>
          <w:p w14:paraId="22827D76"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Sale of goods and rendering of services</w:t>
            </w:r>
          </w:p>
        </w:tc>
        <w:tc>
          <w:tcPr>
            <w:tcW w:w="623" w:type="dxa"/>
            <w:tcBorders>
              <w:right w:val="single" w:sz="18" w:space="0" w:color="FFFFFF" w:themeColor="background2"/>
            </w:tcBorders>
          </w:tcPr>
          <w:p w14:paraId="0313CAFA"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295E784B" w14:textId="3AD189DF" w:rsidR="005E6AA1" w:rsidRPr="00CB3C3D" w:rsidRDefault="00BA7FE2" w:rsidP="003F20C6">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sz w:val="14"/>
                <w:szCs w:val="14"/>
              </w:rPr>
              <w:t>215</w:t>
            </w:r>
          </w:p>
        </w:tc>
        <w:tc>
          <w:tcPr>
            <w:tcW w:w="794" w:type="dxa"/>
            <w:tcBorders>
              <w:left w:val="single" w:sz="18" w:space="0" w:color="FFFFFF" w:themeColor="background2"/>
              <w:right w:val="single" w:sz="18" w:space="0" w:color="FFFFFF" w:themeColor="background2"/>
            </w:tcBorders>
          </w:tcPr>
          <w:p w14:paraId="283993D1"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 xml:space="preserve">1,025 </w:t>
            </w:r>
          </w:p>
        </w:tc>
        <w:tc>
          <w:tcPr>
            <w:tcW w:w="850" w:type="dxa"/>
            <w:tcBorders>
              <w:left w:val="single" w:sz="18" w:space="0" w:color="FFFFFF" w:themeColor="background2"/>
            </w:tcBorders>
          </w:tcPr>
          <w:p w14:paraId="43E876BE"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 xml:space="preserve">750 </w:t>
            </w:r>
          </w:p>
        </w:tc>
      </w:tr>
      <w:tr w:rsidR="005E6AA1" w:rsidRPr="00807DBD" w14:paraId="4E68123E" w14:textId="77777777" w:rsidTr="003F20C6">
        <w:trPr>
          <w:gridAfter w:val="1"/>
          <w:wAfter w:w="109" w:type="dxa"/>
          <w:trHeight w:val="170"/>
        </w:trPr>
        <w:tc>
          <w:tcPr>
            <w:tcW w:w="4253" w:type="dxa"/>
          </w:tcPr>
          <w:p w14:paraId="1527C9A9"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Interest</w:t>
            </w:r>
          </w:p>
        </w:tc>
        <w:tc>
          <w:tcPr>
            <w:tcW w:w="623" w:type="dxa"/>
            <w:tcBorders>
              <w:right w:val="single" w:sz="18" w:space="0" w:color="FFFFFF" w:themeColor="background2"/>
            </w:tcBorders>
          </w:tcPr>
          <w:p w14:paraId="32700D98"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0FC658B6" w14:textId="1A1F769B" w:rsidR="005E6AA1" w:rsidRPr="00CB3C3D" w:rsidRDefault="005E6AA1" w:rsidP="003F20C6">
            <w:pPr>
              <w:autoSpaceDE w:val="0"/>
              <w:autoSpaceDN w:val="0"/>
              <w:adjustRightInd w:val="0"/>
              <w:spacing w:before="20" w:after="20"/>
              <w:jc w:val="right"/>
              <w:rPr>
                <w:rFonts w:asciiTheme="majorHAnsi" w:hAnsiTheme="majorHAnsi"/>
                <w:color w:val="292929"/>
                <w:sz w:val="14"/>
                <w:szCs w:val="14"/>
              </w:rPr>
            </w:pPr>
            <w:r w:rsidRPr="00CB3C3D">
              <w:rPr>
                <w:rFonts w:asciiTheme="majorHAnsi" w:hAnsiTheme="majorHAnsi" w:cs="Calibri"/>
                <w:sz w:val="14"/>
                <w:szCs w:val="14"/>
              </w:rPr>
              <w:t>5</w:t>
            </w:r>
          </w:p>
        </w:tc>
        <w:tc>
          <w:tcPr>
            <w:tcW w:w="794" w:type="dxa"/>
            <w:tcBorders>
              <w:left w:val="single" w:sz="18" w:space="0" w:color="FFFFFF" w:themeColor="background2"/>
              <w:right w:val="single" w:sz="18" w:space="0" w:color="FFFFFF" w:themeColor="background2"/>
            </w:tcBorders>
          </w:tcPr>
          <w:p w14:paraId="47460573"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 xml:space="preserve">67 </w:t>
            </w:r>
          </w:p>
        </w:tc>
        <w:tc>
          <w:tcPr>
            <w:tcW w:w="850" w:type="dxa"/>
            <w:tcBorders>
              <w:left w:val="single" w:sz="18" w:space="0" w:color="FFFFFF" w:themeColor="background2"/>
            </w:tcBorders>
          </w:tcPr>
          <w:p w14:paraId="644BE39E"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 xml:space="preserve">20 </w:t>
            </w:r>
          </w:p>
        </w:tc>
      </w:tr>
      <w:tr w:rsidR="005E6AA1" w:rsidRPr="00807DBD" w14:paraId="62E7952F" w14:textId="77777777" w:rsidTr="003F20C6">
        <w:trPr>
          <w:gridAfter w:val="1"/>
          <w:wAfter w:w="109" w:type="dxa"/>
          <w:trHeight w:val="170"/>
        </w:trPr>
        <w:tc>
          <w:tcPr>
            <w:tcW w:w="4253" w:type="dxa"/>
          </w:tcPr>
          <w:p w14:paraId="0990B94E"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Net GST received</w:t>
            </w:r>
          </w:p>
        </w:tc>
        <w:tc>
          <w:tcPr>
            <w:tcW w:w="623" w:type="dxa"/>
            <w:tcBorders>
              <w:right w:val="single" w:sz="18" w:space="0" w:color="FFFFFF" w:themeColor="background2"/>
            </w:tcBorders>
          </w:tcPr>
          <w:p w14:paraId="1021A494"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bottom w:val="single" w:sz="2" w:space="0" w:color="auto"/>
              <w:right w:val="single" w:sz="18" w:space="0" w:color="FFFFFF" w:themeColor="background2"/>
            </w:tcBorders>
          </w:tcPr>
          <w:p w14:paraId="75B380ED" w14:textId="70F73F47" w:rsidR="005E6AA1" w:rsidRPr="00CB3C3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1,02</w:t>
            </w:r>
            <w:r w:rsidR="00BA7FE2">
              <w:rPr>
                <w:rFonts w:asciiTheme="majorHAnsi" w:hAnsiTheme="majorHAnsi" w:cs="Calibri"/>
                <w:sz w:val="14"/>
                <w:szCs w:val="14"/>
              </w:rPr>
              <w:t>1</w:t>
            </w:r>
          </w:p>
        </w:tc>
        <w:tc>
          <w:tcPr>
            <w:tcW w:w="794" w:type="dxa"/>
            <w:tcBorders>
              <w:left w:val="single" w:sz="18" w:space="0" w:color="FFFFFF" w:themeColor="background2"/>
              <w:bottom w:val="single" w:sz="2" w:space="0" w:color="auto"/>
              <w:right w:val="single" w:sz="18" w:space="0" w:color="FFFFFF" w:themeColor="background2"/>
            </w:tcBorders>
          </w:tcPr>
          <w:p w14:paraId="02660906"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1,681 </w:t>
            </w:r>
          </w:p>
        </w:tc>
        <w:tc>
          <w:tcPr>
            <w:tcW w:w="850" w:type="dxa"/>
            <w:tcBorders>
              <w:left w:val="single" w:sz="18" w:space="0" w:color="FFFFFF" w:themeColor="background2"/>
              <w:bottom w:val="single" w:sz="2" w:space="0" w:color="auto"/>
            </w:tcBorders>
          </w:tcPr>
          <w:p w14:paraId="1F74E7A6"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1,315 </w:t>
            </w:r>
          </w:p>
        </w:tc>
      </w:tr>
      <w:tr w:rsidR="005E6AA1" w:rsidRPr="00807DBD" w14:paraId="3D37943D" w14:textId="77777777" w:rsidTr="003F20C6">
        <w:trPr>
          <w:gridAfter w:val="1"/>
          <w:wAfter w:w="109" w:type="dxa"/>
          <w:trHeight w:val="170"/>
        </w:trPr>
        <w:tc>
          <w:tcPr>
            <w:tcW w:w="4253" w:type="dxa"/>
          </w:tcPr>
          <w:p w14:paraId="695320A9"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cash received</w:t>
            </w:r>
          </w:p>
        </w:tc>
        <w:tc>
          <w:tcPr>
            <w:tcW w:w="623" w:type="dxa"/>
            <w:tcBorders>
              <w:right w:val="single" w:sz="18" w:space="0" w:color="FFFFFF" w:themeColor="background2"/>
            </w:tcBorders>
          </w:tcPr>
          <w:p w14:paraId="3518E583"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7299E92" w14:textId="68F7CFD8" w:rsidR="005E6AA1" w:rsidRPr="00CB3C3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14,</w:t>
            </w:r>
            <w:r w:rsidR="00BA7FE2">
              <w:rPr>
                <w:rFonts w:asciiTheme="majorHAnsi" w:hAnsiTheme="majorHAnsi" w:cs="Calibri"/>
                <w:sz w:val="14"/>
                <w:szCs w:val="14"/>
              </w:rPr>
              <w:t>985</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2B5018F"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18,487 </w:t>
            </w:r>
          </w:p>
        </w:tc>
        <w:tc>
          <w:tcPr>
            <w:tcW w:w="850" w:type="dxa"/>
            <w:tcBorders>
              <w:top w:val="single" w:sz="2" w:space="0" w:color="auto"/>
              <w:left w:val="single" w:sz="18" w:space="0" w:color="FFFFFF" w:themeColor="background2"/>
              <w:bottom w:val="single" w:sz="2" w:space="0" w:color="auto"/>
            </w:tcBorders>
          </w:tcPr>
          <w:p w14:paraId="65099F77"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17,078 </w:t>
            </w:r>
          </w:p>
        </w:tc>
      </w:tr>
      <w:tr w:rsidR="005E6AA1" w:rsidRPr="00807DBD" w14:paraId="0B3C1270" w14:textId="77777777" w:rsidTr="003F20C6">
        <w:trPr>
          <w:gridAfter w:val="1"/>
          <w:wAfter w:w="109" w:type="dxa"/>
          <w:trHeight w:val="170"/>
        </w:trPr>
        <w:tc>
          <w:tcPr>
            <w:tcW w:w="4253" w:type="dxa"/>
          </w:tcPr>
          <w:p w14:paraId="183EB33E"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p>
        </w:tc>
        <w:tc>
          <w:tcPr>
            <w:tcW w:w="623" w:type="dxa"/>
            <w:tcBorders>
              <w:right w:val="single" w:sz="18" w:space="0" w:color="FFFFFF" w:themeColor="background2"/>
            </w:tcBorders>
          </w:tcPr>
          <w:p w14:paraId="386F0526"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1625626B"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794" w:type="dxa"/>
            <w:tcBorders>
              <w:top w:val="single" w:sz="2" w:space="0" w:color="auto"/>
              <w:left w:val="single" w:sz="18" w:space="0" w:color="FFFFFF" w:themeColor="background2"/>
              <w:right w:val="single" w:sz="18" w:space="0" w:color="FFFFFF" w:themeColor="background2"/>
            </w:tcBorders>
          </w:tcPr>
          <w:p w14:paraId="333D4DA8"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c>
          <w:tcPr>
            <w:tcW w:w="850" w:type="dxa"/>
            <w:tcBorders>
              <w:top w:val="single" w:sz="2" w:space="0" w:color="auto"/>
              <w:left w:val="single" w:sz="18" w:space="0" w:color="FFFFFF" w:themeColor="background2"/>
            </w:tcBorders>
          </w:tcPr>
          <w:p w14:paraId="51D8F501"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06DEDDA2" w14:textId="77777777" w:rsidTr="003F20C6">
        <w:trPr>
          <w:gridAfter w:val="1"/>
          <w:wAfter w:w="109" w:type="dxa"/>
          <w:trHeight w:val="170"/>
        </w:trPr>
        <w:tc>
          <w:tcPr>
            <w:tcW w:w="4253" w:type="dxa"/>
          </w:tcPr>
          <w:p w14:paraId="1A9C1BD2"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used</w:t>
            </w:r>
          </w:p>
        </w:tc>
        <w:tc>
          <w:tcPr>
            <w:tcW w:w="623" w:type="dxa"/>
            <w:tcBorders>
              <w:right w:val="single" w:sz="18" w:space="0" w:color="FFFFFF" w:themeColor="background2"/>
            </w:tcBorders>
          </w:tcPr>
          <w:p w14:paraId="71E4058D"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53B5F040" w14:textId="47F69883"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left w:val="single" w:sz="18" w:space="0" w:color="FFFFFF" w:themeColor="background2"/>
              <w:right w:val="single" w:sz="18" w:space="0" w:color="FFFFFF" w:themeColor="background2"/>
            </w:tcBorders>
          </w:tcPr>
          <w:p w14:paraId="05CEB52C"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850" w:type="dxa"/>
            <w:tcBorders>
              <w:left w:val="single" w:sz="18" w:space="0" w:color="FFFFFF" w:themeColor="background2"/>
            </w:tcBorders>
          </w:tcPr>
          <w:p w14:paraId="66091E5E"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r>
      <w:tr w:rsidR="005E6AA1" w:rsidRPr="00807DBD" w14:paraId="38290DB5" w14:textId="77777777" w:rsidTr="003F20C6">
        <w:trPr>
          <w:gridAfter w:val="1"/>
          <w:wAfter w:w="109" w:type="dxa"/>
          <w:trHeight w:val="170"/>
        </w:trPr>
        <w:tc>
          <w:tcPr>
            <w:tcW w:w="4253" w:type="dxa"/>
          </w:tcPr>
          <w:p w14:paraId="2EE94F64"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Employees</w:t>
            </w:r>
          </w:p>
        </w:tc>
        <w:tc>
          <w:tcPr>
            <w:tcW w:w="623" w:type="dxa"/>
            <w:tcBorders>
              <w:right w:val="single" w:sz="18" w:space="0" w:color="FFFFFF" w:themeColor="background2"/>
            </w:tcBorders>
          </w:tcPr>
          <w:p w14:paraId="47978A5E"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1BA4063A" w14:textId="34B24DC9" w:rsidR="005E6AA1" w:rsidRPr="00CB3C3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sidRPr="00CB3C3D">
              <w:rPr>
                <w:rFonts w:asciiTheme="majorHAnsi" w:hAnsiTheme="majorHAnsi" w:cs="Calibri"/>
                <w:sz w:val="14"/>
                <w:szCs w:val="14"/>
              </w:rPr>
              <w:t>(</w:t>
            </w:r>
            <w:r w:rsidR="00BA7FE2">
              <w:rPr>
                <w:rFonts w:asciiTheme="majorHAnsi" w:hAnsiTheme="majorHAnsi" w:cs="Calibri"/>
                <w:sz w:val="14"/>
                <w:szCs w:val="14"/>
              </w:rPr>
              <w:t>823</w:t>
            </w:r>
            <w:r w:rsidRPr="00CB3C3D">
              <w:rPr>
                <w:rFonts w:asciiTheme="majorHAnsi" w:hAnsiTheme="majorHAnsi" w:cs="Calibri"/>
                <w:sz w:val="14"/>
                <w:szCs w:val="14"/>
              </w:rPr>
              <w:t>)</w:t>
            </w:r>
          </w:p>
        </w:tc>
        <w:tc>
          <w:tcPr>
            <w:tcW w:w="794" w:type="dxa"/>
            <w:tcBorders>
              <w:left w:val="single" w:sz="18" w:space="0" w:color="FFFFFF" w:themeColor="background2"/>
              <w:right w:val="single" w:sz="18" w:space="0" w:color="FFFFFF" w:themeColor="background2"/>
            </w:tcBorders>
          </w:tcPr>
          <w:p w14:paraId="7E8F9CE2" w14:textId="77777777" w:rsidR="005E6AA1" w:rsidRPr="00CB3C3D" w:rsidRDefault="005E6AA1" w:rsidP="003F20C6">
            <w:pPr>
              <w:suppressAutoHyphens/>
              <w:autoSpaceDE w:val="0"/>
              <w:autoSpaceDN w:val="0"/>
              <w:adjustRightInd w:val="0"/>
              <w:spacing w:before="20" w:after="20"/>
              <w:jc w:val="right"/>
              <w:textAlignment w:val="center"/>
              <w:rPr>
                <w:color w:val="292929"/>
                <w:sz w:val="14"/>
                <w:szCs w:val="14"/>
              </w:rPr>
            </w:pPr>
            <w:r w:rsidRPr="00CB3C3D">
              <w:rPr>
                <w:rFonts w:cs="Calibri"/>
                <w:sz w:val="14"/>
                <w:szCs w:val="14"/>
              </w:rPr>
              <w:t>(835)</w:t>
            </w:r>
          </w:p>
        </w:tc>
        <w:tc>
          <w:tcPr>
            <w:tcW w:w="850" w:type="dxa"/>
            <w:tcBorders>
              <w:left w:val="single" w:sz="18" w:space="0" w:color="FFFFFF" w:themeColor="background2"/>
            </w:tcBorders>
          </w:tcPr>
          <w:p w14:paraId="668284AF" w14:textId="77777777" w:rsidR="005E6AA1" w:rsidRPr="00CB3C3D" w:rsidRDefault="005E6AA1" w:rsidP="003F20C6">
            <w:pPr>
              <w:suppressAutoHyphens/>
              <w:autoSpaceDE w:val="0"/>
              <w:autoSpaceDN w:val="0"/>
              <w:adjustRightInd w:val="0"/>
              <w:spacing w:before="20" w:after="20"/>
              <w:jc w:val="right"/>
              <w:textAlignment w:val="center"/>
              <w:rPr>
                <w:color w:val="292929"/>
                <w:sz w:val="14"/>
                <w:szCs w:val="14"/>
              </w:rPr>
            </w:pPr>
            <w:r w:rsidRPr="00CB3C3D">
              <w:rPr>
                <w:rFonts w:cs="Calibri"/>
                <w:sz w:val="14"/>
                <w:szCs w:val="14"/>
              </w:rPr>
              <w:t>(840)</w:t>
            </w:r>
          </w:p>
        </w:tc>
      </w:tr>
      <w:tr w:rsidR="005E6AA1" w:rsidRPr="00807DBD" w14:paraId="362E66DF" w14:textId="77777777" w:rsidTr="003F20C6">
        <w:trPr>
          <w:gridAfter w:val="1"/>
          <w:wAfter w:w="109" w:type="dxa"/>
          <w:trHeight w:val="170"/>
        </w:trPr>
        <w:tc>
          <w:tcPr>
            <w:tcW w:w="4253" w:type="dxa"/>
          </w:tcPr>
          <w:p w14:paraId="19FFB452" w14:textId="77777777" w:rsidR="005E6AA1" w:rsidRPr="00807DBD" w:rsidRDefault="005E6AA1" w:rsidP="003F20C6">
            <w:pPr>
              <w:autoSpaceDE w:val="0"/>
              <w:autoSpaceDN w:val="0"/>
              <w:adjustRightInd w:val="0"/>
              <w:spacing w:before="20" w:after="20"/>
              <w:rPr>
                <w:color w:val="292929"/>
                <w:sz w:val="14"/>
                <w:szCs w:val="14"/>
              </w:rPr>
            </w:pPr>
            <w:r w:rsidRPr="00807DBD">
              <w:rPr>
                <w:color w:val="292929"/>
                <w:sz w:val="14"/>
                <w:szCs w:val="14"/>
              </w:rPr>
              <w:t>Suppliers</w:t>
            </w:r>
          </w:p>
        </w:tc>
        <w:tc>
          <w:tcPr>
            <w:tcW w:w="623" w:type="dxa"/>
            <w:tcBorders>
              <w:right w:val="single" w:sz="18" w:space="0" w:color="FFFFFF" w:themeColor="background2"/>
            </w:tcBorders>
          </w:tcPr>
          <w:p w14:paraId="01B55FEC"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262D81B4" w14:textId="63F70F38" w:rsidR="005E6AA1" w:rsidRPr="00CB3C3D" w:rsidRDefault="005E6AA1" w:rsidP="003F20C6">
            <w:pPr>
              <w:autoSpaceDE w:val="0"/>
              <w:autoSpaceDN w:val="0"/>
              <w:adjustRightInd w:val="0"/>
              <w:spacing w:before="20" w:after="20"/>
              <w:jc w:val="right"/>
              <w:rPr>
                <w:rFonts w:asciiTheme="majorHAnsi" w:hAnsiTheme="majorHAnsi"/>
                <w:color w:val="292929"/>
                <w:sz w:val="14"/>
                <w:szCs w:val="14"/>
              </w:rPr>
            </w:pPr>
            <w:r w:rsidRPr="00CB3C3D">
              <w:rPr>
                <w:rFonts w:asciiTheme="majorHAnsi" w:hAnsiTheme="majorHAnsi" w:cs="Calibri"/>
                <w:sz w:val="14"/>
                <w:szCs w:val="14"/>
              </w:rPr>
              <w:t>(11,</w:t>
            </w:r>
            <w:r w:rsidR="00BA7FE2">
              <w:rPr>
                <w:rFonts w:asciiTheme="majorHAnsi" w:hAnsiTheme="majorHAnsi" w:cs="Calibri"/>
                <w:sz w:val="14"/>
                <w:szCs w:val="14"/>
              </w:rPr>
              <w:t>284</w:t>
            </w:r>
            <w:r w:rsidRPr="00CB3C3D">
              <w:rPr>
                <w:rFonts w:asciiTheme="majorHAnsi" w:hAnsiTheme="majorHAnsi" w:cs="Calibri"/>
                <w:sz w:val="14"/>
                <w:szCs w:val="14"/>
              </w:rPr>
              <w:t>)</w:t>
            </w:r>
          </w:p>
        </w:tc>
        <w:tc>
          <w:tcPr>
            <w:tcW w:w="794" w:type="dxa"/>
            <w:tcBorders>
              <w:left w:val="single" w:sz="18" w:space="0" w:color="FFFFFF" w:themeColor="background2"/>
              <w:right w:val="single" w:sz="18" w:space="0" w:color="FFFFFF" w:themeColor="background2"/>
            </w:tcBorders>
          </w:tcPr>
          <w:p w14:paraId="3AD5AD3C"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(14,988)</w:t>
            </w:r>
          </w:p>
        </w:tc>
        <w:tc>
          <w:tcPr>
            <w:tcW w:w="850" w:type="dxa"/>
            <w:tcBorders>
              <w:left w:val="single" w:sz="18" w:space="0" w:color="FFFFFF" w:themeColor="background2"/>
            </w:tcBorders>
          </w:tcPr>
          <w:p w14:paraId="3263B548"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(15,252)</w:t>
            </w:r>
          </w:p>
        </w:tc>
      </w:tr>
      <w:tr w:rsidR="005E6AA1" w:rsidRPr="00807DBD" w14:paraId="59EBD902" w14:textId="77777777" w:rsidTr="003F20C6">
        <w:trPr>
          <w:gridAfter w:val="1"/>
          <w:wAfter w:w="109" w:type="dxa"/>
          <w:trHeight w:val="170"/>
        </w:trPr>
        <w:tc>
          <w:tcPr>
            <w:tcW w:w="4253" w:type="dxa"/>
          </w:tcPr>
          <w:p w14:paraId="2D2D3914"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color w:val="292929"/>
                <w:sz w:val="14"/>
                <w:szCs w:val="14"/>
              </w:rPr>
              <w:t>Interest payments on lease liabilities</w:t>
            </w:r>
          </w:p>
        </w:tc>
        <w:tc>
          <w:tcPr>
            <w:tcW w:w="623" w:type="dxa"/>
            <w:tcBorders>
              <w:right w:val="single" w:sz="18" w:space="0" w:color="FFFFFF" w:themeColor="background2"/>
            </w:tcBorders>
          </w:tcPr>
          <w:p w14:paraId="3AF3735B"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289D41A7" w14:textId="77777777" w:rsidR="005E6AA1" w:rsidRPr="00CB3C3D" w:rsidRDefault="005E6AA1" w:rsidP="003F20C6">
            <w:pPr>
              <w:autoSpaceDE w:val="0"/>
              <w:autoSpaceDN w:val="0"/>
              <w:adjustRightInd w:val="0"/>
              <w:spacing w:before="20" w:after="20"/>
              <w:jc w:val="right"/>
              <w:rPr>
                <w:rFonts w:asciiTheme="majorHAnsi" w:hAnsiTheme="majorHAnsi"/>
                <w:color w:val="292929"/>
                <w:sz w:val="14"/>
                <w:szCs w:val="14"/>
              </w:rPr>
            </w:pPr>
            <w:r w:rsidRPr="00CB3C3D">
              <w:rPr>
                <w:rFonts w:asciiTheme="majorHAnsi" w:hAnsiTheme="majorHAnsi" w:cs="Calibri"/>
                <w:sz w:val="14"/>
                <w:szCs w:val="14"/>
              </w:rPr>
              <w:t>(63)</w:t>
            </w:r>
          </w:p>
        </w:tc>
        <w:tc>
          <w:tcPr>
            <w:tcW w:w="794" w:type="dxa"/>
            <w:tcBorders>
              <w:left w:val="single" w:sz="18" w:space="0" w:color="FFFFFF" w:themeColor="background2"/>
              <w:bottom w:val="single" w:sz="2" w:space="0" w:color="auto"/>
              <w:right w:val="single" w:sz="18" w:space="0" w:color="FFFFFF" w:themeColor="background2"/>
            </w:tcBorders>
          </w:tcPr>
          <w:p w14:paraId="33EC641B"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(75)</w:t>
            </w:r>
          </w:p>
        </w:tc>
        <w:tc>
          <w:tcPr>
            <w:tcW w:w="850" w:type="dxa"/>
            <w:tcBorders>
              <w:left w:val="single" w:sz="18" w:space="0" w:color="FFFFFF" w:themeColor="background2"/>
              <w:bottom w:val="single" w:sz="2" w:space="0" w:color="auto"/>
            </w:tcBorders>
          </w:tcPr>
          <w:p w14:paraId="0EC941BE" w14:textId="77777777" w:rsidR="005E6AA1" w:rsidRPr="00CB3C3D" w:rsidRDefault="005E6AA1" w:rsidP="003F20C6">
            <w:pPr>
              <w:autoSpaceDE w:val="0"/>
              <w:autoSpaceDN w:val="0"/>
              <w:adjustRightInd w:val="0"/>
              <w:spacing w:before="20" w:after="20"/>
              <w:jc w:val="right"/>
              <w:rPr>
                <w:color w:val="292929"/>
                <w:sz w:val="14"/>
                <w:szCs w:val="14"/>
              </w:rPr>
            </w:pPr>
            <w:r w:rsidRPr="00CB3C3D">
              <w:rPr>
                <w:rFonts w:cs="Calibri"/>
                <w:sz w:val="14"/>
                <w:szCs w:val="14"/>
              </w:rPr>
              <w:t>(68)</w:t>
            </w:r>
          </w:p>
        </w:tc>
      </w:tr>
      <w:tr w:rsidR="005E6AA1" w:rsidRPr="00807DBD" w14:paraId="3CD915B8" w14:textId="77777777" w:rsidTr="003F20C6">
        <w:trPr>
          <w:gridAfter w:val="1"/>
          <w:wAfter w:w="109" w:type="dxa"/>
          <w:trHeight w:val="170"/>
        </w:trPr>
        <w:tc>
          <w:tcPr>
            <w:tcW w:w="4253" w:type="dxa"/>
          </w:tcPr>
          <w:p w14:paraId="47F10A67"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Total cash used</w:t>
            </w:r>
          </w:p>
        </w:tc>
        <w:tc>
          <w:tcPr>
            <w:tcW w:w="623" w:type="dxa"/>
            <w:tcBorders>
              <w:right w:val="single" w:sz="18" w:space="0" w:color="FFFFFF" w:themeColor="background2"/>
            </w:tcBorders>
          </w:tcPr>
          <w:p w14:paraId="0528E1BF"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C690514" w14:textId="25A5FE9C" w:rsidR="005E6AA1" w:rsidRPr="00CB3C3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(12,</w:t>
            </w:r>
            <w:r w:rsidR="00BA7FE2">
              <w:rPr>
                <w:rFonts w:asciiTheme="majorHAnsi" w:hAnsiTheme="majorHAnsi" w:cs="Calibri"/>
                <w:sz w:val="14"/>
                <w:szCs w:val="14"/>
              </w:rPr>
              <w:t>170</w:t>
            </w:r>
            <w:r w:rsidRPr="00CB3C3D">
              <w:rPr>
                <w:rFonts w:asciiTheme="majorHAnsi" w:hAnsiTheme="majorHAnsi" w:cs="Calibri"/>
                <w:sz w:val="14"/>
                <w:szCs w:val="14"/>
              </w:rPr>
              <w:t>)</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3F47595"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(15,898)</w:t>
            </w:r>
          </w:p>
        </w:tc>
        <w:tc>
          <w:tcPr>
            <w:tcW w:w="850" w:type="dxa"/>
            <w:tcBorders>
              <w:top w:val="single" w:sz="2" w:space="0" w:color="auto"/>
              <w:left w:val="single" w:sz="18" w:space="0" w:color="FFFFFF" w:themeColor="background2"/>
              <w:bottom w:val="single" w:sz="2" w:space="0" w:color="auto"/>
            </w:tcBorders>
          </w:tcPr>
          <w:p w14:paraId="444F9A23"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(16,160)</w:t>
            </w:r>
          </w:p>
        </w:tc>
      </w:tr>
      <w:tr w:rsidR="005E6AA1" w:rsidRPr="00807DBD" w14:paraId="430AE788" w14:textId="77777777" w:rsidTr="003F20C6">
        <w:trPr>
          <w:gridAfter w:val="1"/>
          <w:wAfter w:w="109" w:type="dxa"/>
          <w:trHeight w:val="170"/>
        </w:trPr>
        <w:tc>
          <w:tcPr>
            <w:tcW w:w="4253" w:type="dxa"/>
          </w:tcPr>
          <w:p w14:paraId="6F2307FC"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Net cash from /(used by) operating activities</w:t>
            </w:r>
          </w:p>
        </w:tc>
        <w:tc>
          <w:tcPr>
            <w:tcW w:w="623" w:type="dxa"/>
            <w:tcBorders>
              <w:right w:val="single" w:sz="18" w:space="0" w:color="FFFFFF" w:themeColor="background2"/>
            </w:tcBorders>
          </w:tcPr>
          <w:p w14:paraId="2DF64E14"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5D1E0EBC" w14:textId="47CB3715" w:rsidR="005E6AA1" w:rsidRPr="00CB3C3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CB3C3D">
              <w:rPr>
                <w:rFonts w:asciiTheme="majorHAnsi" w:hAnsiTheme="majorHAnsi" w:cs="Calibri"/>
                <w:sz w:val="14"/>
                <w:szCs w:val="14"/>
              </w:rPr>
              <w:t>2,</w:t>
            </w:r>
            <w:r w:rsidR="00BA7FE2">
              <w:rPr>
                <w:rFonts w:asciiTheme="majorHAnsi" w:hAnsiTheme="majorHAnsi" w:cs="Calibri"/>
                <w:sz w:val="14"/>
                <w:szCs w:val="14"/>
              </w:rPr>
              <w:t>815</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65282859"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2,589 </w:t>
            </w:r>
          </w:p>
        </w:tc>
        <w:tc>
          <w:tcPr>
            <w:tcW w:w="850" w:type="dxa"/>
            <w:tcBorders>
              <w:top w:val="single" w:sz="2" w:space="0" w:color="auto"/>
              <w:left w:val="single" w:sz="18" w:space="0" w:color="FFFFFF" w:themeColor="background2"/>
              <w:bottom w:val="single" w:sz="2" w:space="0" w:color="auto"/>
            </w:tcBorders>
          </w:tcPr>
          <w:p w14:paraId="50A0C74E" w14:textId="77777777" w:rsidR="005E6AA1" w:rsidRPr="00CB3C3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CB3C3D">
              <w:rPr>
                <w:rFonts w:cs="Calibri"/>
                <w:sz w:val="14"/>
                <w:szCs w:val="14"/>
              </w:rPr>
              <w:t xml:space="preserve">918 </w:t>
            </w:r>
          </w:p>
        </w:tc>
      </w:tr>
      <w:tr w:rsidR="005E6AA1" w:rsidRPr="00807DBD" w14:paraId="5A99B95F" w14:textId="77777777" w:rsidTr="003F20C6">
        <w:trPr>
          <w:gridAfter w:val="1"/>
          <w:wAfter w:w="109" w:type="dxa"/>
          <w:trHeight w:val="170"/>
        </w:trPr>
        <w:tc>
          <w:tcPr>
            <w:tcW w:w="4253" w:type="dxa"/>
          </w:tcPr>
          <w:p w14:paraId="14613156" w14:textId="77777777" w:rsidR="005E6AA1" w:rsidRPr="00807DBD" w:rsidRDefault="005E6AA1" w:rsidP="003F20C6">
            <w:pPr>
              <w:autoSpaceDE w:val="0"/>
              <w:autoSpaceDN w:val="0"/>
              <w:adjustRightInd w:val="0"/>
              <w:spacing w:before="20" w:after="20"/>
              <w:rPr>
                <w:color w:val="292929"/>
                <w:sz w:val="14"/>
                <w:szCs w:val="14"/>
              </w:rPr>
            </w:pPr>
          </w:p>
        </w:tc>
        <w:tc>
          <w:tcPr>
            <w:tcW w:w="623" w:type="dxa"/>
            <w:tcBorders>
              <w:right w:val="single" w:sz="18" w:space="0" w:color="FFFFFF" w:themeColor="background2"/>
            </w:tcBorders>
          </w:tcPr>
          <w:p w14:paraId="6FAE7D6A"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140E4F29" w14:textId="77777777" w:rsidR="005E6AA1" w:rsidRPr="00807DBD" w:rsidRDefault="005E6AA1" w:rsidP="003F20C6">
            <w:pPr>
              <w:autoSpaceDE w:val="0"/>
              <w:autoSpaceDN w:val="0"/>
              <w:adjustRightInd w:val="0"/>
              <w:spacing w:before="20" w:after="20"/>
              <w:jc w:val="right"/>
              <w:rPr>
                <w:rFonts w:asciiTheme="majorHAnsi" w:hAnsiTheme="majorHAnsi"/>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03FF90EB" w14:textId="77777777" w:rsidR="005E6AA1" w:rsidRPr="00807DBD" w:rsidRDefault="005E6AA1" w:rsidP="003F20C6">
            <w:pPr>
              <w:autoSpaceDE w:val="0"/>
              <w:autoSpaceDN w:val="0"/>
              <w:adjustRightInd w:val="0"/>
              <w:spacing w:before="20" w:after="20"/>
              <w:jc w:val="right"/>
              <w:rPr>
                <w:color w:val="292929"/>
                <w:sz w:val="14"/>
                <w:szCs w:val="14"/>
              </w:rPr>
            </w:pPr>
          </w:p>
        </w:tc>
        <w:tc>
          <w:tcPr>
            <w:tcW w:w="850" w:type="dxa"/>
            <w:tcBorders>
              <w:top w:val="single" w:sz="2" w:space="0" w:color="auto"/>
              <w:left w:val="single" w:sz="18" w:space="0" w:color="FFFFFF" w:themeColor="background2"/>
            </w:tcBorders>
          </w:tcPr>
          <w:p w14:paraId="7E67439C" w14:textId="77777777" w:rsidR="005E6AA1" w:rsidRPr="00807DBD" w:rsidRDefault="005E6AA1" w:rsidP="003F20C6">
            <w:pPr>
              <w:autoSpaceDE w:val="0"/>
              <w:autoSpaceDN w:val="0"/>
              <w:adjustRightInd w:val="0"/>
              <w:spacing w:before="20" w:after="20"/>
              <w:jc w:val="right"/>
              <w:rPr>
                <w:color w:val="292929"/>
                <w:sz w:val="14"/>
                <w:szCs w:val="14"/>
              </w:rPr>
            </w:pPr>
          </w:p>
        </w:tc>
      </w:tr>
      <w:tr w:rsidR="005E6AA1" w:rsidRPr="00807DBD" w14:paraId="57A1431D" w14:textId="77777777" w:rsidTr="003F20C6">
        <w:trPr>
          <w:gridAfter w:val="1"/>
          <w:wAfter w:w="109" w:type="dxa"/>
          <w:trHeight w:val="170"/>
        </w:trPr>
        <w:tc>
          <w:tcPr>
            <w:tcW w:w="4253" w:type="dxa"/>
          </w:tcPr>
          <w:p w14:paraId="56695B89"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INVESTING ACTIVITIES</w:t>
            </w:r>
          </w:p>
        </w:tc>
        <w:tc>
          <w:tcPr>
            <w:tcW w:w="623" w:type="dxa"/>
            <w:tcBorders>
              <w:right w:val="single" w:sz="18" w:space="0" w:color="FFFFFF" w:themeColor="background2"/>
            </w:tcBorders>
          </w:tcPr>
          <w:p w14:paraId="22E9716F"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70B180EB" w14:textId="5E5B349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64ABB027"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850" w:type="dxa"/>
            <w:tcBorders>
              <w:left w:val="single" w:sz="18" w:space="0" w:color="FFFFFF" w:themeColor="background2"/>
            </w:tcBorders>
          </w:tcPr>
          <w:p w14:paraId="2991C0E1"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5E6AA1" w:rsidRPr="00807DBD" w14:paraId="541B61F6" w14:textId="77777777" w:rsidTr="003F20C6">
        <w:trPr>
          <w:gridAfter w:val="1"/>
          <w:wAfter w:w="109" w:type="dxa"/>
          <w:trHeight w:val="170"/>
        </w:trPr>
        <w:tc>
          <w:tcPr>
            <w:tcW w:w="4253" w:type="dxa"/>
          </w:tcPr>
          <w:p w14:paraId="6098A565"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807DBD">
              <w:rPr>
                <w:rFonts w:asciiTheme="majorHAnsi" w:hAnsiTheme="majorHAnsi"/>
                <w:color w:val="292929"/>
                <w:sz w:val="14"/>
                <w:szCs w:val="14"/>
              </w:rPr>
              <w:t>Cash used</w:t>
            </w:r>
          </w:p>
        </w:tc>
        <w:tc>
          <w:tcPr>
            <w:tcW w:w="623" w:type="dxa"/>
            <w:tcBorders>
              <w:right w:val="single" w:sz="18" w:space="0" w:color="FFFFFF" w:themeColor="background2"/>
            </w:tcBorders>
          </w:tcPr>
          <w:p w14:paraId="5B0E092D"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4482FC5B"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794" w:type="dxa"/>
            <w:tcBorders>
              <w:left w:val="single" w:sz="18" w:space="0" w:color="FFFFFF" w:themeColor="background2"/>
              <w:right w:val="single" w:sz="18" w:space="0" w:color="FFFFFF" w:themeColor="background2"/>
            </w:tcBorders>
          </w:tcPr>
          <w:p w14:paraId="7018164F"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c>
          <w:tcPr>
            <w:tcW w:w="850" w:type="dxa"/>
            <w:tcBorders>
              <w:left w:val="single" w:sz="18" w:space="0" w:color="FFFFFF" w:themeColor="background2"/>
            </w:tcBorders>
          </w:tcPr>
          <w:p w14:paraId="671CBA13"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rFonts w:cs="Futura PT Book"/>
                <w:color w:val="292929"/>
                <w:sz w:val="14"/>
                <w:szCs w:val="14"/>
                <w:lang w:val="en-US"/>
              </w:rPr>
              <w:t xml:space="preserve">  </w:t>
            </w:r>
          </w:p>
        </w:tc>
      </w:tr>
      <w:tr w:rsidR="005E6AA1" w:rsidRPr="00807DBD" w14:paraId="2CBDA31D" w14:textId="77777777" w:rsidTr="003F20C6">
        <w:trPr>
          <w:gridAfter w:val="1"/>
          <w:wAfter w:w="109" w:type="dxa"/>
          <w:trHeight w:val="170"/>
        </w:trPr>
        <w:tc>
          <w:tcPr>
            <w:tcW w:w="4253" w:type="dxa"/>
          </w:tcPr>
          <w:p w14:paraId="398A0C42" w14:textId="77777777" w:rsidR="005E6AA1" w:rsidRPr="00807DBD" w:rsidRDefault="005E6AA1" w:rsidP="003F20C6">
            <w:pPr>
              <w:suppressAutoHyphens/>
              <w:autoSpaceDE w:val="0"/>
              <w:autoSpaceDN w:val="0"/>
              <w:adjustRightInd w:val="0"/>
              <w:spacing w:before="20" w:after="20"/>
              <w:textAlignment w:val="center"/>
              <w:rPr>
                <w:color w:val="292929"/>
                <w:sz w:val="14"/>
                <w:szCs w:val="14"/>
              </w:rPr>
            </w:pPr>
            <w:r w:rsidRPr="00807DBD">
              <w:rPr>
                <w:color w:val="292929"/>
                <w:sz w:val="14"/>
                <w:szCs w:val="14"/>
              </w:rPr>
              <w:t>Purchase of computer software</w:t>
            </w:r>
          </w:p>
        </w:tc>
        <w:tc>
          <w:tcPr>
            <w:tcW w:w="623" w:type="dxa"/>
            <w:tcBorders>
              <w:right w:val="single" w:sz="18" w:space="0" w:color="FFFFFF" w:themeColor="background2"/>
            </w:tcBorders>
          </w:tcPr>
          <w:p w14:paraId="00051D6B"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5F463263" w14:textId="5A0CE99C" w:rsidR="005E6AA1" w:rsidRPr="005E6AA1" w:rsidRDefault="00BA7FE2"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p>
        </w:tc>
        <w:tc>
          <w:tcPr>
            <w:tcW w:w="794" w:type="dxa"/>
            <w:tcBorders>
              <w:left w:val="single" w:sz="18" w:space="0" w:color="FFFFFF" w:themeColor="background2"/>
              <w:right w:val="single" w:sz="18" w:space="0" w:color="FFFFFF" w:themeColor="background2"/>
            </w:tcBorders>
          </w:tcPr>
          <w:p w14:paraId="2307F9BA" w14:textId="77777777" w:rsidR="005E6AA1" w:rsidRPr="005E6AA1" w:rsidRDefault="005E6AA1" w:rsidP="003F20C6">
            <w:pPr>
              <w:suppressAutoHyphens/>
              <w:autoSpaceDE w:val="0"/>
              <w:autoSpaceDN w:val="0"/>
              <w:adjustRightInd w:val="0"/>
              <w:spacing w:before="20" w:after="20"/>
              <w:jc w:val="right"/>
              <w:textAlignment w:val="center"/>
              <w:rPr>
                <w:color w:val="292929"/>
                <w:sz w:val="14"/>
                <w:szCs w:val="14"/>
              </w:rPr>
            </w:pPr>
            <w:r w:rsidRPr="005E6AA1">
              <w:rPr>
                <w:color w:val="292929"/>
                <w:sz w:val="14"/>
                <w:szCs w:val="14"/>
              </w:rPr>
              <w:t>-</w:t>
            </w:r>
          </w:p>
        </w:tc>
        <w:tc>
          <w:tcPr>
            <w:tcW w:w="850" w:type="dxa"/>
            <w:tcBorders>
              <w:left w:val="single" w:sz="18" w:space="0" w:color="FFFFFF" w:themeColor="background2"/>
            </w:tcBorders>
          </w:tcPr>
          <w:p w14:paraId="04041C48" w14:textId="77777777" w:rsidR="005E6AA1" w:rsidRPr="005E6AA1"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 xml:space="preserve"> (10) </w:t>
            </w:r>
          </w:p>
        </w:tc>
      </w:tr>
      <w:tr w:rsidR="005E6AA1" w:rsidRPr="00807DBD" w14:paraId="47B9E836" w14:textId="77777777" w:rsidTr="003F20C6">
        <w:trPr>
          <w:gridAfter w:val="1"/>
          <w:wAfter w:w="109" w:type="dxa"/>
          <w:trHeight w:val="170"/>
        </w:trPr>
        <w:tc>
          <w:tcPr>
            <w:tcW w:w="4253" w:type="dxa"/>
          </w:tcPr>
          <w:p w14:paraId="022768C7" w14:textId="77777777" w:rsidR="005E6AA1" w:rsidRPr="00807DBD" w:rsidRDefault="005E6AA1" w:rsidP="003F20C6">
            <w:pPr>
              <w:suppressAutoHyphens/>
              <w:autoSpaceDE w:val="0"/>
              <w:autoSpaceDN w:val="0"/>
              <w:adjustRightInd w:val="0"/>
              <w:spacing w:before="20" w:after="20"/>
              <w:textAlignment w:val="center"/>
              <w:rPr>
                <w:color w:val="292929"/>
                <w:sz w:val="14"/>
                <w:szCs w:val="14"/>
              </w:rPr>
            </w:pPr>
            <w:r w:rsidRPr="00807DBD">
              <w:rPr>
                <w:color w:val="292929"/>
                <w:sz w:val="14"/>
                <w:szCs w:val="14"/>
              </w:rPr>
              <w:t>Purchase of leasehold improvements</w:t>
            </w:r>
          </w:p>
        </w:tc>
        <w:tc>
          <w:tcPr>
            <w:tcW w:w="623" w:type="dxa"/>
            <w:tcBorders>
              <w:right w:val="single" w:sz="18" w:space="0" w:color="FFFFFF" w:themeColor="background2"/>
            </w:tcBorders>
          </w:tcPr>
          <w:p w14:paraId="3CEB5A95"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2BFEDA21" w14:textId="77777777" w:rsidR="005E6AA1" w:rsidRPr="005E6AA1"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sidRPr="005E6AA1">
              <w:rPr>
                <w:rFonts w:asciiTheme="majorHAnsi" w:hAnsiTheme="majorHAnsi"/>
                <w:color w:val="292929"/>
                <w:sz w:val="14"/>
                <w:szCs w:val="14"/>
              </w:rPr>
              <w:t>-</w:t>
            </w:r>
          </w:p>
        </w:tc>
        <w:tc>
          <w:tcPr>
            <w:tcW w:w="794" w:type="dxa"/>
            <w:tcBorders>
              <w:left w:val="single" w:sz="18" w:space="0" w:color="FFFFFF" w:themeColor="background2"/>
              <w:bottom w:val="single" w:sz="2" w:space="0" w:color="auto"/>
              <w:right w:val="single" w:sz="18" w:space="0" w:color="FFFFFF" w:themeColor="background2"/>
            </w:tcBorders>
          </w:tcPr>
          <w:p w14:paraId="6B02DFDB" w14:textId="77777777" w:rsidR="005E6AA1" w:rsidRPr="005E6AA1" w:rsidRDefault="005E6AA1" w:rsidP="003F20C6">
            <w:pPr>
              <w:suppressAutoHyphens/>
              <w:autoSpaceDE w:val="0"/>
              <w:autoSpaceDN w:val="0"/>
              <w:adjustRightInd w:val="0"/>
              <w:spacing w:before="20" w:after="20"/>
              <w:jc w:val="right"/>
              <w:textAlignment w:val="center"/>
              <w:rPr>
                <w:color w:val="292929"/>
                <w:sz w:val="14"/>
                <w:szCs w:val="14"/>
              </w:rPr>
            </w:pPr>
            <w:r w:rsidRPr="005E6AA1">
              <w:rPr>
                <w:color w:val="292929"/>
                <w:sz w:val="14"/>
                <w:szCs w:val="14"/>
              </w:rPr>
              <w:t>(1,728)</w:t>
            </w:r>
          </w:p>
        </w:tc>
        <w:tc>
          <w:tcPr>
            <w:tcW w:w="850" w:type="dxa"/>
            <w:tcBorders>
              <w:left w:val="single" w:sz="18" w:space="0" w:color="FFFFFF" w:themeColor="background2"/>
              <w:bottom w:val="single" w:sz="2" w:space="0" w:color="auto"/>
            </w:tcBorders>
          </w:tcPr>
          <w:p w14:paraId="6852B36A" w14:textId="77777777" w:rsidR="005E6AA1" w:rsidRPr="005E6AA1"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(50)</w:t>
            </w:r>
          </w:p>
        </w:tc>
      </w:tr>
      <w:tr w:rsidR="005E6AA1" w:rsidRPr="00807DBD" w14:paraId="10CDB7EF" w14:textId="77777777" w:rsidTr="003F20C6">
        <w:trPr>
          <w:gridAfter w:val="1"/>
          <w:wAfter w:w="109" w:type="dxa"/>
          <w:trHeight w:val="170"/>
        </w:trPr>
        <w:tc>
          <w:tcPr>
            <w:tcW w:w="4253" w:type="dxa"/>
          </w:tcPr>
          <w:p w14:paraId="420E3F60"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Total cash used</w:t>
            </w:r>
          </w:p>
        </w:tc>
        <w:tc>
          <w:tcPr>
            <w:tcW w:w="623" w:type="dxa"/>
            <w:tcBorders>
              <w:right w:val="single" w:sz="18" w:space="0" w:color="FFFFFF" w:themeColor="background2"/>
            </w:tcBorders>
          </w:tcPr>
          <w:p w14:paraId="37A224F6"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6270B819" w14:textId="3C6ADC5D" w:rsidR="005E6AA1" w:rsidRPr="005E6AA1" w:rsidRDefault="00BA7FE2"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95382E8" w14:textId="77777777" w:rsidR="005E6AA1" w:rsidRPr="005E6AA1" w:rsidRDefault="005E6AA1" w:rsidP="003F20C6">
            <w:pPr>
              <w:suppressAutoHyphens/>
              <w:autoSpaceDE w:val="0"/>
              <w:autoSpaceDN w:val="0"/>
              <w:adjustRightInd w:val="0"/>
              <w:spacing w:before="20" w:after="20"/>
              <w:jc w:val="right"/>
              <w:textAlignment w:val="center"/>
              <w:rPr>
                <w:color w:val="292929"/>
                <w:sz w:val="14"/>
                <w:szCs w:val="14"/>
              </w:rPr>
            </w:pPr>
            <w:r w:rsidRPr="005E6AA1">
              <w:rPr>
                <w:color w:val="292929"/>
                <w:sz w:val="14"/>
                <w:szCs w:val="14"/>
              </w:rPr>
              <w:t>(1,728)</w:t>
            </w:r>
          </w:p>
        </w:tc>
        <w:tc>
          <w:tcPr>
            <w:tcW w:w="850" w:type="dxa"/>
            <w:tcBorders>
              <w:top w:val="single" w:sz="2" w:space="0" w:color="auto"/>
              <w:left w:val="single" w:sz="18" w:space="0" w:color="FFFFFF" w:themeColor="background2"/>
              <w:bottom w:val="single" w:sz="2" w:space="0" w:color="auto"/>
            </w:tcBorders>
          </w:tcPr>
          <w:p w14:paraId="33D1C05E" w14:textId="77777777" w:rsidR="005E6AA1" w:rsidRPr="005E6AA1"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(60)</w:t>
            </w:r>
          </w:p>
        </w:tc>
      </w:tr>
      <w:tr w:rsidR="005E6AA1" w:rsidRPr="00807DBD" w14:paraId="6FEF5853" w14:textId="77777777" w:rsidTr="003F20C6">
        <w:trPr>
          <w:gridAfter w:val="1"/>
          <w:wAfter w:w="109" w:type="dxa"/>
          <w:trHeight w:val="170"/>
        </w:trPr>
        <w:tc>
          <w:tcPr>
            <w:tcW w:w="4253" w:type="dxa"/>
          </w:tcPr>
          <w:p w14:paraId="3F1600E0"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Net cash from /(used by) investing activities</w:t>
            </w:r>
          </w:p>
        </w:tc>
        <w:tc>
          <w:tcPr>
            <w:tcW w:w="623" w:type="dxa"/>
            <w:tcBorders>
              <w:right w:val="single" w:sz="18" w:space="0" w:color="FFFFFF" w:themeColor="background2"/>
            </w:tcBorders>
          </w:tcPr>
          <w:p w14:paraId="4A2C5BEE"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22CF8909" w14:textId="6A94BBB1" w:rsidR="005E6AA1" w:rsidRPr="005E6AA1" w:rsidRDefault="00BA7FE2"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EC8F45E" w14:textId="77777777" w:rsidR="005E6AA1" w:rsidRPr="005E6AA1" w:rsidRDefault="005E6AA1" w:rsidP="003F20C6">
            <w:pPr>
              <w:suppressAutoHyphens/>
              <w:autoSpaceDE w:val="0"/>
              <w:autoSpaceDN w:val="0"/>
              <w:adjustRightInd w:val="0"/>
              <w:spacing w:before="20" w:after="20"/>
              <w:jc w:val="right"/>
              <w:textAlignment w:val="center"/>
              <w:rPr>
                <w:color w:val="292929"/>
                <w:sz w:val="14"/>
                <w:szCs w:val="14"/>
              </w:rPr>
            </w:pPr>
            <w:r w:rsidRPr="005E6AA1">
              <w:rPr>
                <w:color w:val="292929"/>
                <w:sz w:val="14"/>
                <w:szCs w:val="14"/>
              </w:rPr>
              <w:t>(1,728)</w:t>
            </w:r>
          </w:p>
        </w:tc>
        <w:tc>
          <w:tcPr>
            <w:tcW w:w="850" w:type="dxa"/>
            <w:tcBorders>
              <w:top w:val="single" w:sz="2" w:space="0" w:color="auto"/>
              <w:left w:val="single" w:sz="18" w:space="0" w:color="FFFFFF" w:themeColor="background2"/>
              <w:bottom w:val="single" w:sz="2" w:space="0" w:color="auto"/>
            </w:tcBorders>
          </w:tcPr>
          <w:p w14:paraId="4E53624F" w14:textId="77777777" w:rsidR="005E6AA1" w:rsidRPr="005E6AA1"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5E6AA1">
              <w:rPr>
                <w:color w:val="292929"/>
                <w:sz w:val="14"/>
                <w:szCs w:val="14"/>
              </w:rPr>
              <w:t>(60)</w:t>
            </w:r>
          </w:p>
        </w:tc>
      </w:tr>
      <w:tr w:rsidR="005E6AA1" w:rsidRPr="00807DBD" w14:paraId="192C0ED0" w14:textId="77777777" w:rsidTr="003F20C6">
        <w:trPr>
          <w:gridAfter w:val="1"/>
          <w:wAfter w:w="109" w:type="dxa"/>
          <w:trHeight w:val="170"/>
        </w:trPr>
        <w:tc>
          <w:tcPr>
            <w:tcW w:w="4253" w:type="dxa"/>
          </w:tcPr>
          <w:p w14:paraId="4C1C4A02" w14:textId="77777777" w:rsidR="005E6AA1" w:rsidRPr="00807DBD" w:rsidRDefault="005E6AA1" w:rsidP="003F20C6">
            <w:pPr>
              <w:suppressAutoHyphens/>
              <w:autoSpaceDE w:val="0"/>
              <w:autoSpaceDN w:val="0"/>
              <w:adjustRightInd w:val="0"/>
              <w:spacing w:before="20" w:after="20"/>
              <w:textAlignment w:val="center"/>
              <w:rPr>
                <w:color w:val="292929"/>
                <w:sz w:val="14"/>
                <w:szCs w:val="14"/>
              </w:rPr>
            </w:pPr>
          </w:p>
        </w:tc>
        <w:tc>
          <w:tcPr>
            <w:tcW w:w="623" w:type="dxa"/>
            <w:tcBorders>
              <w:right w:val="single" w:sz="18" w:space="0" w:color="FFFFFF" w:themeColor="background2"/>
            </w:tcBorders>
          </w:tcPr>
          <w:p w14:paraId="74501141"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3EB2E559"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 xml:space="preserve"> </w:t>
            </w:r>
          </w:p>
        </w:tc>
        <w:tc>
          <w:tcPr>
            <w:tcW w:w="794" w:type="dxa"/>
            <w:tcBorders>
              <w:top w:val="single" w:sz="2" w:space="0" w:color="auto"/>
              <w:left w:val="single" w:sz="18" w:space="0" w:color="FFFFFF" w:themeColor="background2"/>
              <w:right w:val="single" w:sz="18" w:space="0" w:color="FFFFFF" w:themeColor="background2"/>
            </w:tcBorders>
          </w:tcPr>
          <w:p w14:paraId="70154F30"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 xml:space="preserve"> </w:t>
            </w:r>
          </w:p>
        </w:tc>
        <w:tc>
          <w:tcPr>
            <w:tcW w:w="850" w:type="dxa"/>
            <w:tcBorders>
              <w:top w:val="single" w:sz="2" w:space="0" w:color="auto"/>
              <w:left w:val="single" w:sz="18" w:space="0" w:color="FFFFFF" w:themeColor="background2"/>
            </w:tcBorders>
          </w:tcPr>
          <w:p w14:paraId="7C8BC5B1"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p>
        </w:tc>
      </w:tr>
      <w:tr w:rsidR="005E6AA1" w:rsidRPr="00807DBD" w14:paraId="793E54D4" w14:textId="77777777" w:rsidTr="003F20C6">
        <w:trPr>
          <w:gridAfter w:val="1"/>
          <w:wAfter w:w="109" w:type="dxa"/>
          <w:trHeight w:val="170"/>
        </w:trPr>
        <w:tc>
          <w:tcPr>
            <w:tcW w:w="4253" w:type="dxa"/>
          </w:tcPr>
          <w:p w14:paraId="4A41109D"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FINANCING ACTIVITIES</w:t>
            </w:r>
          </w:p>
        </w:tc>
        <w:tc>
          <w:tcPr>
            <w:tcW w:w="623" w:type="dxa"/>
            <w:tcBorders>
              <w:right w:val="single" w:sz="18" w:space="0" w:color="FFFFFF" w:themeColor="background2"/>
            </w:tcBorders>
          </w:tcPr>
          <w:p w14:paraId="3D2722B7"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216B8B7E"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left w:val="single" w:sz="18" w:space="0" w:color="FFFFFF" w:themeColor="background2"/>
              <w:right w:val="single" w:sz="18" w:space="0" w:color="FFFFFF" w:themeColor="background2"/>
            </w:tcBorders>
          </w:tcPr>
          <w:p w14:paraId="35D31F6A"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p>
        </w:tc>
        <w:tc>
          <w:tcPr>
            <w:tcW w:w="850" w:type="dxa"/>
            <w:tcBorders>
              <w:left w:val="single" w:sz="18" w:space="0" w:color="FFFFFF" w:themeColor="background2"/>
            </w:tcBorders>
          </w:tcPr>
          <w:p w14:paraId="7F68F9A6"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74121607" w14:textId="77777777" w:rsidTr="003F20C6">
        <w:trPr>
          <w:gridAfter w:val="1"/>
          <w:wAfter w:w="109" w:type="dxa"/>
          <w:trHeight w:val="170"/>
        </w:trPr>
        <w:tc>
          <w:tcPr>
            <w:tcW w:w="4253" w:type="dxa"/>
          </w:tcPr>
          <w:p w14:paraId="67494F36"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Cash used</w:t>
            </w:r>
          </w:p>
        </w:tc>
        <w:tc>
          <w:tcPr>
            <w:tcW w:w="623" w:type="dxa"/>
            <w:tcBorders>
              <w:right w:val="single" w:sz="18" w:space="0" w:color="FFFFFF" w:themeColor="background2"/>
            </w:tcBorders>
          </w:tcPr>
          <w:p w14:paraId="0270B0C0"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right w:val="single" w:sz="18" w:space="0" w:color="FFFFFF" w:themeColor="background2"/>
            </w:tcBorders>
          </w:tcPr>
          <w:p w14:paraId="383958F8"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left w:val="single" w:sz="18" w:space="0" w:color="FFFFFF" w:themeColor="background2"/>
              <w:right w:val="single" w:sz="18" w:space="0" w:color="FFFFFF" w:themeColor="background2"/>
            </w:tcBorders>
          </w:tcPr>
          <w:p w14:paraId="0B16E3D0" w14:textId="77777777" w:rsidR="005E6AA1" w:rsidRPr="00807DBD" w:rsidRDefault="005E6AA1" w:rsidP="003F20C6">
            <w:pPr>
              <w:suppressAutoHyphens/>
              <w:autoSpaceDE w:val="0"/>
              <w:autoSpaceDN w:val="0"/>
              <w:adjustRightInd w:val="0"/>
              <w:spacing w:before="20" w:after="20"/>
              <w:jc w:val="center"/>
              <w:textAlignment w:val="center"/>
              <w:rPr>
                <w:color w:val="292929"/>
                <w:sz w:val="14"/>
                <w:szCs w:val="14"/>
              </w:rPr>
            </w:pPr>
            <w:r w:rsidRPr="00807DBD">
              <w:rPr>
                <w:color w:val="292929"/>
                <w:sz w:val="14"/>
                <w:szCs w:val="14"/>
              </w:rPr>
              <w:t xml:space="preserve"> </w:t>
            </w:r>
          </w:p>
        </w:tc>
        <w:tc>
          <w:tcPr>
            <w:tcW w:w="850" w:type="dxa"/>
            <w:tcBorders>
              <w:left w:val="single" w:sz="18" w:space="0" w:color="FFFFFF" w:themeColor="background2"/>
            </w:tcBorders>
          </w:tcPr>
          <w:p w14:paraId="082E5225"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p>
        </w:tc>
      </w:tr>
      <w:tr w:rsidR="005E6AA1" w:rsidRPr="00807DBD" w14:paraId="3C0859CC" w14:textId="77777777" w:rsidTr="003F20C6">
        <w:trPr>
          <w:gridAfter w:val="1"/>
          <w:wAfter w:w="109" w:type="dxa"/>
          <w:trHeight w:val="170"/>
        </w:trPr>
        <w:tc>
          <w:tcPr>
            <w:tcW w:w="4253" w:type="dxa"/>
          </w:tcPr>
          <w:p w14:paraId="74E3FA68" w14:textId="77777777" w:rsidR="005E6AA1" w:rsidRPr="00807DBD" w:rsidRDefault="005E6AA1" w:rsidP="003F20C6">
            <w:pPr>
              <w:suppressAutoHyphens/>
              <w:autoSpaceDE w:val="0"/>
              <w:autoSpaceDN w:val="0"/>
              <w:adjustRightInd w:val="0"/>
              <w:spacing w:before="20" w:after="20"/>
              <w:textAlignment w:val="center"/>
              <w:rPr>
                <w:color w:val="292929"/>
                <w:sz w:val="14"/>
                <w:szCs w:val="14"/>
              </w:rPr>
            </w:pPr>
            <w:r w:rsidRPr="00807DBD">
              <w:rPr>
                <w:color w:val="292929"/>
                <w:sz w:val="14"/>
                <w:szCs w:val="14"/>
              </w:rPr>
              <w:t>Principal payments of lease liabilities</w:t>
            </w:r>
          </w:p>
        </w:tc>
        <w:tc>
          <w:tcPr>
            <w:tcW w:w="623" w:type="dxa"/>
            <w:tcBorders>
              <w:right w:val="single" w:sz="18" w:space="0" w:color="FFFFFF" w:themeColor="background2"/>
            </w:tcBorders>
          </w:tcPr>
          <w:p w14:paraId="690A6F53"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505DB39E"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r w:rsidRPr="00807DBD">
              <w:rPr>
                <w:rFonts w:asciiTheme="majorHAnsi" w:hAnsiTheme="majorHAnsi"/>
                <w:color w:val="292929"/>
                <w:sz w:val="14"/>
                <w:szCs w:val="14"/>
              </w:rPr>
              <w:t>6</w:t>
            </w:r>
            <w:r>
              <w:rPr>
                <w:rFonts w:asciiTheme="majorHAnsi" w:hAnsiTheme="majorHAnsi"/>
                <w:color w:val="292929"/>
                <w:sz w:val="14"/>
                <w:szCs w:val="14"/>
              </w:rPr>
              <w:t>83)</w:t>
            </w:r>
            <w:r w:rsidRPr="00807DBD">
              <w:rPr>
                <w:rFonts w:asciiTheme="majorHAnsi" w:hAnsiTheme="majorHAnsi"/>
                <w:color w:val="292929"/>
                <w:sz w:val="14"/>
                <w:szCs w:val="14"/>
              </w:rPr>
              <w:t xml:space="preserve"> </w:t>
            </w:r>
          </w:p>
        </w:tc>
        <w:tc>
          <w:tcPr>
            <w:tcW w:w="794" w:type="dxa"/>
            <w:tcBorders>
              <w:left w:val="single" w:sz="18" w:space="0" w:color="FFFFFF" w:themeColor="background2"/>
              <w:bottom w:val="single" w:sz="2" w:space="0" w:color="auto"/>
              <w:right w:val="single" w:sz="18" w:space="0" w:color="FFFFFF" w:themeColor="background2"/>
            </w:tcBorders>
          </w:tcPr>
          <w:p w14:paraId="35C0A6E4"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Pr>
                <w:color w:val="292929"/>
                <w:sz w:val="14"/>
                <w:szCs w:val="14"/>
              </w:rPr>
              <w:t>(638)</w:t>
            </w:r>
          </w:p>
        </w:tc>
        <w:tc>
          <w:tcPr>
            <w:tcW w:w="850" w:type="dxa"/>
            <w:tcBorders>
              <w:left w:val="single" w:sz="18" w:space="0" w:color="FFFFFF" w:themeColor="background2"/>
              <w:bottom w:val="single" w:sz="2" w:space="0" w:color="auto"/>
            </w:tcBorders>
          </w:tcPr>
          <w:p w14:paraId="3ACF4149"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(677)</w:t>
            </w:r>
          </w:p>
        </w:tc>
      </w:tr>
      <w:tr w:rsidR="005E6AA1" w:rsidRPr="00807DBD" w14:paraId="59C00446" w14:textId="77777777" w:rsidTr="003F20C6">
        <w:trPr>
          <w:gridAfter w:val="1"/>
          <w:wAfter w:w="109" w:type="dxa"/>
          <w:trHeight w:val="170"/>
        </w:trPr>
        <w:tc>
          <w:tcPr>
            <w:tcW w:w="4253" w:type="dxa"/>
          </w:tcPr>
          <w:p w14:paraId="2769BD81"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Total cash used</w:t>
            </w:r>
          </w:p>
        </w:tc>
        <w:tc>
          <w:tcPr>
            <w:tcW w:w="623" w:type="dxa"/>
            <w:tcBorders>
              <w:right w:val="single" w:sz="18" w:space="0" w:color="FFFFFF" w:themeColor="background2"/>
            </w:tcBorders>
          </w:tcPr>
          <w:p w14:paraId="1E97C1E7"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EF66BB2"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w:t>
            </w:r>
            <w:r w:rsidRPr="00807DBD">
              <w:rPr>
                <w:rFonts w:asciiTheme="majorHAnsi" w:hAnsiTheme="majorHAnsi"/>
                <w:color w:val="292929"/>
                <w:sz w:val="14"/>
                <w:szCs w:val="14"/>
              </w:rPr>
              <w:t>6</w:t>
            </w:r>
            <w:r>
              <w:rPr>
                <w:rFonts w:asciiTheme="majorHAnsi" w:hAnsiTheme="majorHAnsi"/>
                <w:color w:val="292929"/>
                <w:sz w:val="14"/>
                <w:szCs w:val="14"/>
              </w:rPr>
              <w:t>83)</w:t>
            </w:r>
            <w:r w:rsidRPr="00807DBD">
              <w:rPr>
                <w:rFonts w:asciiTheme="majorHAnsi" w:hAnsiTheme="majorHAnsi"/>
                <w:color w:val="292929"/>
                <w:sz w:val="14"/>
                <w:szCs w:val="14"/>
              </w:rPr>
              <w:t xml:space="preserve"> </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0E8E6F06"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Pr>
                <w:color w:val="292929"/>
                <w:sz w:val="14"/>
                <w:szCs w:val="14"/>
              </w:rPr>
              <w:t>(638)</w:t>
            </w:r>
          </w:p>
        </w:tc>
        <w:tc>
          <w:tcPr>
            <w:tcW w:w="850" w:type="dxa"/>
            <w:tcBorders>
              <w:top w:val="single" w:sz="2" w:space="0" w:color="auto"/>
              <w:left w:val="single" w:sz="18" w:space="0" w:color="FFFFFF" w:themeColor="background2"/>
              <w:bottom w:val="single" w:sz="2" w:space="0" w:color="auto"/>
            </w:tcBorders>
          </w:tcPr>
          <w:p w14:paraId="0945E71D"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Pr>
                <w:rFonts w:cs="Futura PT Book"/>
                <w:color w:val="292929"/>
                <w:sz w:val="14"/>
                <w:szCs w:val="14"/>
                <w:lang w:val="en-US"/>
              </w:rPr>
              <w:t>(677)</w:t>
            </w:r>
          </w:p>
        </w:tc>
      </w:tr>
      <w:tr w:rsidR="005E6AA1" w:rsidRPr="00807DBD" w14:paraId="3A2C72E1" w14:textId="77777777" w:rsidTr="003F20C6">
        <w:trPr>
          <w:gridAfter w:val="1"/>
          <w:wAfter w:w="109" w:type="dxa"/>
          <w:trHeight w:val="170"/>
        </w:trPr>
        <w:tc>
          <w:tcPr>
            <w:tcW w:w="4253" w:type="dxa"/>
          </w:tcPr>
          <w:p w14:paraId="3670C8DF"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Net cash from/(used by) financing activities</w:t>
            </w:r>
          </w:p>
        </w:tc>
        <w:tc>
          <w:tcPr>
            <w:tcW w:w="623" w:type="dxa"/>
            <w:tcBorders>
              <w:right w:val="single" w:sz="18" w:space="0" w:color="FFFFFF" w:themeColor="background2"/>
            </w:tcBorders>
          </w:tcPr>
          <w:p w14:paraId="1FD6EBE1"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323DA8D"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sidRPr="00807DBD">
              <w:rPr>
                <w:rFonts w:asciiTheme="majorHAnsi" w:hAnsiTheme="majorHAnsi"/>
                <w:color w:val="292929"/>
                <w:sz w:val="14"/>
                <w:szCs w:val="14"/>
              </w:rPr>
              <w:t>(6</w:t>
            </w:r>
            <w:r>
              <w:rPr>
                <w:rFonts w:asciiTheme="majorHAnsi" w:hAnsiTheme="majorHAnsi"/>
                <w:color w:val="292929"/>
                <w:sz w:val="14"/>
                <w:szCs w:val="14"/>
              </w:rPr>
              <w:t>83</w:t>
            </w:r>
            <w:r w:rsidRPr="00807DBD">
              <w:rPr>
                <w:rFonts w:asciiTheme="majorHAnsi" w:hAnsiTheme="majorHAnsi"/>
                <w:color w:val="292929"/>
                <w:sz w:val="14"/>
                <w:szCs w:val="14"/>
              </w:rPr>
              <w:t>)</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61841575"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Pr>
                <w:color w:val="292929"/>
                <w:sz w:val="14"/>
                <w:szCs w:val="14"/>
              </w:rPr>
              <w:t>(638)</w:t>
            </w:r>
            <w:r w:rsidRPr="00807DBD">
              <w:rPr>
                <w:color w:val="292929"/>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23381939"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sidRPr="00807DBD">
              <w:rPr>
                <w:color w:val="292929"/>
                <w:sz w:val="14"/>
                <w:szCs w:val="14"/>
              </w:rPr>
              <w:t xml:space="preserve"> </w:t>
            </w:r>
            <w:r>
              <w:rPr>
                <w:color w:val="292929"/>
                <w:sz w:val="14"/>
                <w:szCs w:val="14"/>
              </w:rPr>
              <w:t>(677)</w:t>
            </w:r>
          </w:p>
        </w:tc>
      </w:tr>
      <w:tr w:rsidR="005E6AA1" w:rsidRPr="00807DBD" w14:paraId="56B8430F" w14:textId="77777777" w:rsidTr="003F20C6">
        <w:trPr>
          <w:gridAfter w:val="1"/>
          <w:wAfter w:w="109" w:type="dxa"/>
          <w:trHeight w:val="170"/>
        </w:trPr>
        <w:tc>
          <w:tcPr>
            <w:tcW w:w="4253" w:type="dxa"/>
          </w:tcPr>
          <w:p w14:paraId="563FED0A" w14:textId="77777777" w:rsidR="005E6AA1" w:rsidRPr="00807DBD" w:rsidRDefault="005E6AA1" w:rsidP="003F20C6">
            <w:pPr>
              <w:suppressAutoHyphens/>
              <w:autoSpaceDE w:val="0"/>
              <w:autoSpaceDN w:val="0"/>
              <w:adjustRightInd w:val="0"/>
              <w:spacing w:before="20" w:after="20"/>
              <w:textAlignment w:val="center"/>
              <w:rPr>
                <w:color w:val="292929"/>
                <w:sz w:val="14"/>
                <w:szCs w:val="14"/>
              </w:rPr>
            </w:pPr>
          </w:p>
        </w:tc>
        <w:tc>
          <w:tcPr>
            <w:tcW w:w="623" w:type="dxa"/>
            <w:tcBorders>
              <w:right w:val="single" w:sz="18" w:space="0" w:color="FFFFFF" w:themeColor="background2"/>
            </w:tcBorders>
          </w:tcPr>
          <w:p w14:paraId="6D758786"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50DD194A" w14:textId="77777777" w:rsidR="005E6AA1" w:rsidRPr="00807DBD"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794" w:type="dxa"/>
            <w:tcBorders>
              <w:top w:val="single" w:sz="2" w:space="0" w:color="auto"/>
              <w:left w:val="single" w:sz="18" w:space="0" w:color="FFFFFF" w:themeColor="background2"/>
              <w:right w:val="single" w:sz="18" w:space="0" w:color="FFFFFF" w:themeColor="background2"/>
            </w:tcBorders>
          </w:tcPr>
          <w:p w14:paraId="4D1FFE3B"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p>
        </w:tc>
        <w:tc>
          <w:tcPr>
            <w:tcW w:w="850" w:type="dxa"/>
            <w:tcBorders>
              <w:top w:val="single" w:sz="2" w:space="0" w:color="auto"/>
              <w:left w:val="single" w:sz="18" w:space="0" w:color="FFFFFF" w:themeColor="background2"/>
            </w:tcBorders>
          </w:tcPr>
          <w:p w14:paraId="5F68E8CF"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p>
        </w:tc>
      </w:tr>
      <w:tr w:rsidR="005E6AA1" w:rsidRPr="00807DBD" w14:paraId="57560231" w14:textId="77777777" w:rsidTr="003F20C6">
        <w:trPr>
          <w:gridAfter w:val="1"/>
          <w:wAfter w:w="109" w:type="dxa"/>
          <w:trHeight w:val="170"/>
        </w:trPr>
        <w:tc>
          <w:tcPr>
            <w:tcW w:w="4253" w:type="dxa"/>
          </w:tcPr>
          <w:p w14:paraId="75F18BEF"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Net increase in cash held</w:t>
            </w:r>
          </w:p>
        </w:tc>
        <w:tc>
          <w:tcPr>
            <w:tcW w:w="623" w:type="dxa"/>
            <w:tcBorders>
              <w:right w:val="single" w:sz="18" w:space="0" w:color="FFFFFF" w:themeColor="background2"/>
            </w:tcBorders>
          </w:tcPr>
          <w:p w14:paraId="4E9248D5"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left w:val="single" w:sz="18" w:space="0" w:color="FFFFFF" w:themeColor="background2"/>
              <w:bottom w:val="single" w:sz="2" w:space="0" w:color="auto"/>
              <w:right w:val="single" w:sz="18" w:space="0" w:color="FFFFFF" w:themeColor="background2"/>
            </w:tcBorders>
          </w:tcPr>
          <w:p w14:paraId="5D00FAB4" w14:textId="3D6ADC3C" w:rsidR="005E6AA1" w:rsidRPr="005E6AA1" w:rsidRDefault="00BA7FE2"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2,132</w:t>
            </w:r>
          </w:p>
        </w:tc>
        <w:tc>
          <w:tcPr>
            <w:tcW w:w="794" w:type="dxa"/>
            <w:tcBorders>
              <w:left w:val="single" w:sz="18" w:space="0" w:color="FFFFFF" w:themeColor="background2"/>
              <w:bottom w:val="single" w:sz="2" w:space="0" w:color="auto"/>
              <w:right w:val="single" w:sz="18" w:space="0" w:color="FFFFFF" w:themeColor="background2"/>
            </w:tcBorders>
          </w:tcPr>
          <w:p w14:paraId="099EB7BE"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Pr>
                <w:color w:val="292929"/>
                <w:sz w:val="14"/>
                <w:szCs w:val="14"/>
              </w:rPr>
              <w:t>223</w:t>
            </w:r>
            <w:r w:rsidRPr="00807DBD">
              <w:rPr>
                <w:color w:val="292929"/>
                <w:sz w:val="14"/>
                <w:szCs w:val="14"/>
              </w:rPr>
              <w:t xml:space="preserve"> </w:t>
            </w:r>
          </w:p>
        </w:tc>
        <w:tc>
          <w:tcPr>
            <w:tcW w:w="850" w:type="dxa"/>
            <w:tcBorders>
              <w:left w:val="single" w:sz="18" w:space="0" w:color="FFFFFF" w:themeColor="background2"/>
              <w:bottom w:val="single" w:sz="2" w:space="0" w:color="auto"/>
            </w:tcBorders>
          </w:tcPr>
          <w:p w14:paraId="28FB9A2A" w14:textId="77777777" w:rsidR="005E6AA1" w:rsidRPr="00807DBD" w:rsidRDefault="005E6AA1" w:rsidP="003F20C6">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181</w:t>
            </w:r>
          </w:p>
        </w:tc>
      </w:tr>
      <w:tr w:rsidR="005E6AA1" w:rsidRPr="00807DBD" w14:paraId="7016FACE" w14:textId="77777777" w:rsidTr="003F20C6">
        <w:trPr>
          <w:gridAfter w:val="1"/>
          <w:wAfter w:w="109" w:type="dxa"/>
          <w:trHeight w:val="170"/>
        </w:trPr>
        <w:tc>
          <w:tcPr>
            <w:tcW w:w="4253" w:type="dxa"/>
          </w:tcPr>
          <w:p w14:paraId="199EEFD7" w14:textId="77777777" w:rsidR="005E6AA1" w:rsidRPr="00807DBD" w:rsidRDefault="005E6AA1" w:rsidP="003F20C6">
            <w:pPr>
              <w:suppressAutoHyphens/>
              <w:autoSpaceDE w:val="0"/>
              <w:autoSpaceDN w:val="0"/>
              <w:adjustRightInd w:val="0"/>
              <w:spacing w:before="20" w:after="20"/>
              <w:textAlignment w:val="center"/>
              <w:rPr>
                <w:color w:val="292929"/>
                <w:sz w:val="14"/>
                <w:szCs w:val="14"/>
              </w:rPr>
            </w:pPr>
            <w:r w:rsidRPr="00807DBD">
              <w:rPr>
                <w:color w:val="292929"/>
                <w:sz w:val="14"/>
                <w:szCs w:val="14"/>
              </w:rPr>
              <w:t>Cash and cash equivalents at the beginning of the reporting period</w:t>
            </w:r>
          </w:p>
        </w:tc>
        <w:tc>
          <w:tcPr>
            <w:tcW w:w="623" w:type="dxa"/>
            <w:tcBorders>
              <w:right w:val="single" w:sz="18" w:space="0" w:color="FFFFFF" w:themeColor="background2"/>
            </w:tcBorders>
          </w:tcPr>
          <w:p w14:paraId="0163BD03" w14:textId="77777777" w:rsidR="005E6AA1" w:rsidRPr="00807DBD" w:rsidRDefault="005E6AA1" w:rsidP="003F20C6">
            <w:pPr>
              <w:autoSpaceDE w:val="0"/>
              <w:autoSpaceDN w:val="0"/>
              <w:adjustRightInd w:val="0"/>
              <w:spacing w:before="20" w:after="20"/>
              <w:jc w:val="right"/>
              <w:rPr>
                <w:color w:val="292929"/>
                <w:sz w:val="14"/>
                <w:szCs w:val="14"/>
              </w:rPr>
            </w:pP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6A56CE84" w14:textId="77777777" w:rsidR="005E6AA1" w:rsidRPr="005E6AA1" w:rsidRDefault="005E6AA1"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sidRPr="005E6AA1">
              <w:rPr>
                <w:rFonts w:asciiTheme="majorHAnsi" w:hAnsiTheme="majorHAnsi"/>
                <w:color w:val="292929"/>
                <w:sz w:val="14"/>
                <w:szCs w:val="14"/>
              </w:rPr>
              <w:t xml:space="preserve">14,119 </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1F3D8129"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13,</w:t>
            </w:r>
            <w:r>
              <w:rPr>
                <w:color w:val="292929"/>
                <w:sz w:val="14"/>
                <w:szCs w:val="14"/>
              </w:rPr>
              <w:t>896</w:t>
            </w:r>
            <w:r w:rsidRPr="00807DBD">
              <w:rPr>
                <w:color w:val="292929"/>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1590D3B8"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Pr>
                <w:color w:val="292929"/>
                <w:sz w:val="14"/>
                <w:szCs w:val="14"/>
              </w:rPr>
              <w:t>4</w:t>
            </w:r>
            <w:r w:rsidRPr="00807DBD">
              <w:rPr>
                <w:color w:val="292929"/>
                <w:sz w:val="14"/>
                <w:szCs w:val="14"/>
              </w:rPr>
              <w:t>,</w:t>
            </w:r>
            <w:r>
              <w:rPr>
                <w:color w:val="292929"/>
                <w:sz w:val="14"/>
                <w:szCs w:val="14"/>
              </w:rPr>
              <w:t>119</w:t>
            </w:r>
            <w:r w:rsidRPr="00807DBD">
              <w:rPr>
                <w:color w:val="292929"/>
                <w:sz w:val="14"/>
                <w:szCs w:val="14"/>
              </w:rPr>
              <w:t xml:space="preserve"> </w:t>
            </w:r>
          </w:p>
        </w:tc>
      </w:tr>
      <w:tr w:rsidR="005E6AA1" w:rsidRPr="00807DBD" w14:paraId="56E27393" w14:textId="77777777" w:rsidTr="003F20C6">
        <w:trPr>
          <w:gridAfter w:val="1"/>
          <w:wAfter w:w="109" w:type="dxa"/>
          <w:trHeight w:val="170"/>
        </w:trPr>
        <w:tc>
          <w:tcPr>
            <w:tcW w:w="4253" w:type="dxa"/>
          </w:tcPr>
          <w:p w14:paraId="3CA09D2F" w14:textId="77777777" w:rsidR="005E6AA1" w:rsidRPr="00807DBD" w:rsidRDefault="005E6AA1" w:rsidP="003F20C6">
            <w:pPr>
              <w:suppressAutoHyphens/>
              <w:autoSpaceDE w:val="0"/>
              <w:autoSpaceDN w:val="0"/>
              <w:adjustRightInd w:val="0"/>
              <w:spacing w:before="20" w:after="20"/>
              <w:textAlignment w:val="center"/>
              <w:rPr>
                <w:rFonts w:asciiTheme="majorHAnsi" w:hAnsiTheme="majorHAnsi"/>
                <w:color w:val="292929"/>
                <w:sz w:val="14"/>
                <w:szCs w:val="14"/>
              </w:rPr>
            </w:pPr>
            <w:r w:rsidRPr="00807DBD">
              <w:rPr>
                <w:rFonts w:asciiTheme="majorHAnsi" w:hAnsiTheme="majorHAnsi"/>
                <w:color w:val="292929"/>
                <w:sz w:val="14"/>
                <w:szCs w:val="14"/>
              </w:rPr>
              <w:t>Cash and cash equivalents at the end of the reporting period</w:t>
            </w:r>
          </w:p>
        </w:tc>
        <w:tc>
          <w:tcPr>
            <w:tcW w:w="623" w:type="dxa"/>
            <w:tcBorders>
              <w:right w:val="single" w:sz="18" w:space="0" w:color="FFFFFF" w:themeColor="background2"/>
            </w:tcBorders>
          </w:tcPr>
          <w:p w14:paraId="78BAE0B9" w14:textId="77777777" w:rsidR="005E6AA1" w:rsidRPr="00807DBD" w:rsidRDefault="005E6AA1" w:rsidP="003F20C6">
            <w:pPr>
              <w:autoSpaceDE w:val="0"/>
              <w:autoSpaceDN w:val="0"/>
              <w:adjustRightInd w:val="0"/>
              <w:spacing w:before="20" w:after="20"/>
              <w:jc w:val="right"/>
              <w:rPr>
                <w:color w:val="292929"/>
                <w:sz w:val="14"/>
                <w:szCs w:val="14"/>
              </w:rPr>
            </w:pPr>
            <w:r w:rsidRPr="00807DBD">
              <w:rPr>
                <w:color w:val="292929"/>
                <w:sz w:val="14"/>
                <w:szCs w:val="14"/>
              </w:rPr>
              <w:t>2.1A</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344C1271" w14:textId="1074EE2E" w:rsidR="005E6AA1" w:rsidRPr="005E6AA1" w:rsidRDefault="00BA7FE2" w:rsidP="003F20C6">
            <w:pPr>
              <w:suppressAutoHyphens/>
              <w:autoSpaceDE w:val="0"/>
              <w:autoSpaceDN w:val="0"/>
              <w:adjustRightInd w:val="0"/>
              <w:spacing w:before="20" w:after="20"/>
              <w:jc w:val="right"/>
              <w:textAlignment w:val="center"/>
              <w:rPr>
                <w:rFonts w:asciiTheme="majorHAnsi" w:hAnsiTheme="majorHAnsi"/>
                <w:color w:val="292929"/>
                <w:sz w:val="14"/>
                <w:szCs w:val="14"/>
              </w:rPr>
            </w:pPr>
            <w:r>
              <w:rPr>
                <w:rFonts w:asciiTheme="majorHAnsi" w:hAnsiTheme="majorHAnsi"/>
                <w:color w:val="292929"/>
                <w:sz w:val="14"/>
                <w:szCs w:val="14"/>
              </w:rPr>
              <w:t>16,251</w:t>
            </w:r>
          </w:p>
        </w:tc>
        <w:tc>
          <w:tcPr>
            <w:tcW w:w="794" w:type="dxa"/>
            <w:tcBorders>
              <w:top w:val="single" w:sz="2" w:space="0" w:color="auto"/>
              <w:left w:val="single" w:sz="18" w:space="0" w:color="FFFFFF" w:themeColor="background2"/>
              <w:bottom w:val="single" w:sz="2" w:space="0" w:color="auto"/>
              <w:right w:val="single" w:sz="18" w:space="0" w:color="FFFFFF" w:themeColor="background2"/>
            </w:tcBorders>
          </w:tcPr>
          <w:p w14:paraId="656C4EFE"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Pr>
                <w:color w:val="292929"/>
                <w:sz w:val="14"/>
                <w:szCs w:val="14"/>
              </w:rPr>
              <w:t>4,119</w:t>
            </w:r>
            <w:r w:rsidRPr="00807DBD">
              <w:rPr>
                <w:color w:val="292929"/>
                <w:sz w:val="14"/>
                <w:szCs w:val="14"/>
              </w:rPr>
              <w:t xml:space="preserve"> </w:t>
            </w:r>
          </w:p>
        </w:tc>
        <w:tc>
          <w:tcPr>
            <w:tcW w:w="850" w:type="dxa"/>
            <w:tcBorders>
              <w:top w:val="single" w:sz="2" w:space="0" w:color="auto"/>
              <w:left w:val="single" w:sz="18" w:space="0" w:color="FFFFFF" w:themeColor="background2"/>
              <w:bottom w:val="single" w:sz="2" w:space="0" w:color="auto"/>
            </w:tcBorders>
          </w:tcPr>
          <w:p w14:paraId="071F4D3B" w14:textId="77777777" w:rsidR="005E6AA1" w:rsidRPr="00807DBD" w:rsidRDefault="005E6AA1" w:rsidP="003F20C6">
            <w:pPr>
              <w:suppressAutoHyphens/>
              <w:autoSpaceDE w:val="0"/>
              <w:autoSpaceDN w:val="0"/>
              <w:adjustRightInd w:val="0"/>
              <w:spacing w:before="20" w:after="20"/>
              <w:jc w:val="right"/>
              <w:textAlignment w:val="center"/>
              <w:rPr>
                <w:color w:val="292929"/>
                <w:sz w:val="14"/>
                <w:szCs w:val="14"/>
              </w:rPr>
            </w:pPr>
            <w:r w:rsidRPr="00807DBD">
              <w:rPr>
                <w:color w:val="292929"/>
                <w:sz w:val="14"/>
                <w:szCs w:val="14"/>
              </w:rPr>
              <w:t>1</w:t>
            </w:r>
            <w:r>
              <w:rPr>
                <w:color w:val="292929"/>
                <w:sz w:val="14"/>
                <w:szCs w:val="14"/>
              </w:rPr>
              <w:t>4</w:t>
            </w:r>
            <w:r w:rsidRPr="00807DBD">
              <w:rPr>
                <w:color w:val="292929"/>
                <w:sz w:val="14"/>
                <w:szCs w:val="14"/>
              </w:rPr>
              <w:t>,</w:t>
            </w:r>
            <w:r>
              <w:rPr>
                <w:color w:val="292929"/>
                <w:sz w:val="14"/>
                <w:szCs w:val="14"/>
              </w:rPr>
              <w:t>300</w:t>
            </w:r>
            <w:r w:rsidRPr="00807DBD">
              <w:rPr>
                <w:color w:val="292929"/>
                <w:sz w:val="14"/>
                <w:szCs w:val="14"/>
              </w:rPr>
              <w:t xml:space="preserve"> </w:t>
            </w:r>
          </w:p>
        </w:tc>
      </w:tr>
      <w:tr w:rsidR="005E6AA1" w:rsidRPr="00744A0F" w14:paraId="17809855" w14:textId="77777777" w:rsidTr="003F20C6">
        <w:trPr>
          <w:gridAfter w:val="1"/>
          <w:wAfter w:w="109" w:type="dxa"/>
          <w:trHeight w:val="57"/>
        </w:trPr>
        <w:tc>
          <w:tcPr>
            <w:tcW w:w="4253" w:type="dxa"/>
          </w:tcPr>
          <w:p w14:paraId="4878AF82" w14:textId="77777777" w:rsidR="005E6AA1" w:rsidRPr="00744A0F" w:rsidRDefault="005E6AA1" w:rsidP="003F20C6">
            <w:pPr>
              <w:suppressAutoHyphens/>
              <w:autoSpaceDE w:val="0"/>
              <w:autoSpaceDN w:val="0"/>
              <w:adjustRightInd w:val="0"/>
              <w:spacing w:before="20" w:after="20"/>
              <w:textAlignment w:val="center"/>
              <w:rPr>
                <w:rFonts w:asciiTheme="majorHAnsi" w:hAnsiTheme="majorHAnsi"/>
                <w:color w:val="292929"/>
                <w:sz w:val="4"/>
                <w:szCs w:val="4"/>
              </w:rPr>
            </w:pPr>
          </w:p>
        </w:tc>
        <w:tc>
          <w:tcPr>
            <w:tcW w:w="623" w:type="dxa"/>
            <w:tcBorders>
              <w:right w:val="single" w:sz="18" w:space="0" w:color="FFFFFF" w:themeColor="background2"/>
            </w:tcBorders>
          </w:tcPr>
          <w:p w14:paraId="58F1F7A6" w14:textId="77777777" w:rsidR="005E6AA1" w:rsidRPr="00744A0F" w:rsidRDefault="005E6AA1" w:rsidP="003F20C6">
            <w:pPr>
              <w:autoSpaceDE w:val="0"/>
              <w:autoSpaceDN w:val="0"/>
              <w:adjustRightInd w:val="0"/>
              <w:spacing w:before="20" w:after="20"/>
              <w:jc w:val="right"/>
              <w:rPr>
                <w:color w:val="292929"/>
                <w:sz w:val="4"/>
                <w:szCs w:val="4"/>
              </w:rPr>
            </w:pPr>
          </w:p>
        </w:tc>
        <w:tc>
          <w:tcPr>
            <w:tcW w:w="794" w:type="dxa"/>
            <w:tcBorders>
              <w:top w:val="single" w:sz="2" w:space="0" w:color="auto"/>
              <w:left w:val="single" w:sz="18" w:space="0" w:color="FFFFFF" w:themeColor="background2"/>
              <w:right w:val="single" w:sz="18" w:space="0" w:color="FFFFFF" w:themeColor="background2"/>
            </w:tcBorders>
          </w:tcPr>
          <w:p w14:paraId="55B68AF2" w14:textId="77777777" w:rsidR="005E6AA1" w:rsidRPr="00744A0F" w:rsidRDefault="005E6AA1" w:rsidP="003F20C6">
            <w:pPr>
              <w:suppressAutoHyphens/>
              <w:autoSpaceDE w:val="0"/>
              <w:autoSpaceDN w:val="0"/>
              <w:adjustRightInd w:val="0"/>
              <w:spacing w:before="20" w:after="20"/>
              <w:jc w:val="right"/>
              <w:textAlignment w:val="center"/>
              <w:rPr>
                <w:rFonts w:asciiTheme="majorHAnsi" w:hAnsiTheme="majorHAnsi"/>
                <w:color w:val="292929"/>
                <w:sz w:val="4"/>
                <w:szCs w:val="4"/>
              </w:rPr>
            </w:pPr>
          </w:p>
        </w:tc>
        <w:tc>
          <w:tcPr>
            <w:tcW w:w="794" w:type="dxa"/>
            <w:tcBorders>
              <w:top w:val="single" w:sz="2" w:space="0" w:color="auto"/>
              <w:left w:val="single" w:sz="18" w:space="0" w:color="FFFFFF" w:themeColor="background2"/>
              <w:right w:val="single" w:sz="18" w:space="0" w:color="FFFFFF" w:themeColor="background2"/>
            </w:tcBorders>
          </w:tcPr>
          <w:p w14:paraId="56FD587A" w14:textId="77777777" w:rsidR="005E6AA1" w:rsidRPr="00744A0F" w:rsidRDefault="005E6AA1" w:rsidP="003F20C6">
            <w:pPr>
              <w:suppressAutoHyphens/>
              <w:autoSpaceDE w:val="0"/>
              <w:autoSpaceDN w:val="0"/>
              <w:adjustRightInd w:val="0"/>
              <w:spacing w:before="20" w:after="20"/>
              <w:jc w:val="right"/>
              <w:textAlignment w:val="center"/>
              <w:rPr>
                <w:color w:val="292929"/>
                <w:sz w:val="4"/>
                <w:szCs w:val="4"/>
              </w:rPr>
            </w:pPr>
          </w:p>
        </w:tc>
        <w:tc>
          <w:tcPr>
            <w:tcW w:w="850" w:type="dxa"/>
            <w:tcBorders>
              <w:top w:val="single" w:sz="2" w:space="0" w:color="auto"/>
              <w:left w:val="single" w:sz="18" w:space="0" w:color="FFFFFF" w:themeColor="background2"/>
            </w:tcBorders>
          </w:tcPr>
          <w:p w14:paraId="5038361B" w14:textId="77777777" w:rsidR="005E6AA1" w:rsidRPr="00744A0F" w:rsidRDefault="005E6AA1" w:rsidP="003F20C6">
            <w:pPr>
              <w:suppressAutoHyphens/>
              <w:autoSpaceDE w:val="0"/>
              <w:autoSpaceDN w:val="0"/>
              <w:adjustRightInd w:val="0"/>
              <w:spacing w:before="20" w:after="20"/>
              <w:jc w:val="right"/>
              <w:textAlignment w:val="center"/>
              <w:rPr>
                <w:color w:val="292929"/>
                <w:sz w:val="4"/>
                <w:szCs w:val="4"/>
              </w:rPr>
            </w:pPr>
          </w:p>
        </w:tc>
      </w:tr>
      <w:tr w:rsidR="005E6AA1" w:rsidRPr="00807DBD" w14:paraId="05B1A209" w14:textId="77777777" w:rsidTr="003F20C6">
        <w:trPr>
          <w:trHeight w:val="300"/>
        </w:trPr>
        <w:tc>
          <w:tcPr>
            <w:tcW w:w="7423" w:type="dxa"/>
            <w:gridSpan w:val="6"/>
          </w:tcPr>
          <w:p w14:paraId="3B60A548" w14:textId="77777777" w:rsidR="005E6AA1" w:rsidRPr="00807DBD" w:rsidRDefault="005E6AA1" w:rsidP="003F20C6">
            <w:pPr>
              <w:suppressAutoHyphens/>
              <w:autoSpaceDE w:val="0"/>
              <w:autoSpaceDN w:val="0"/>
              <w:adjustRightInd w:val="0"/>
              <w:spacing w:before="20" w:after="20"/>
              <w:textAlignment w:val="center"/>
              <w:rPr>
                <w:rFonts w:cs="Futura PT Book"/>
                <w:color w:val="292929"/>
                <w:sz w:val="14"/>
                <w:szCs w:val="14"/>
                <w:lang w:val="en-US"/>
              </w:rPr>
            </w:pPr>
            <w:r w:rsidRPr="00807DBD">
              <w:rPr>
                <w:rFonts w:cs="Futura PT Book"/>
                <w:color w:val="292929"/>
                <w:sz w:val="14"/>
                <w:szCs w:val="14"/>
                <w:lang w:val="en-US"/>
              </w:rPr>
              <w:t>The above statement should be read in conjunction with the accompanying notes.</w:t>
            </w:r>
          </w:p>
        </w:tc>
      </w:tr>
    </w:tbl>
    <w:p w14:paraId="0AA1F5CF" w14:textId="77777777" w:rsidR="005E6AA1" w:rsidRPr="00DD1691" w:rsidRDefault="005E6AA1" w:rsidP="005E6AA1">
      <w:pPr>
        <w:pStyle w:val="H4"/>
        <w:rPr>
          <w:sz w:val="18"/>
        </w:rPr>
      </w:pPr>
      <w:r w:rsidRPr="00DD1691">
        <w:rPr>
          <w:sz w:val="18"/>
        </w:rPr>
        <w:t>Budget Variances Commentary</w:t>
      </w:r>
    </w:p>
    <w:p w14:paraId="025FC511" w14:textId="77777777" w:rsidR="005E6AA1" w:rsidRPr="00CB3C3D" w:rsidRDefault="005E6AA1" w:rsidP="005E6AA1">
      <w:pPr>
        <w:pStyle w:val="Body-Financial"/>
        <w:rPr>
          <w:b/>
          <w:bCs/>
        </w:rPr>
      </w:pPr>
      <w:r w:rsidRPr="00CB3C3D">
        <w:rPr>
          <w:b/>
          <w:bCs/>
        </w:rPr>
        <w:t>Statement of Changes in Cash Flow</w:t>
      </w:r>
    </w:p>
    <w:p w14:paraId="2F17DFDD" w14:textId="1E0CD393" w:rsidR="005E6AA1" w:rsidRPr="00A96E15" w:rsidRDefault="00BA7FE2" w:rsidP="005E6AA1">
      <w:pPr>
        <w:pStyle w:val="Body-Financial"/>
      </w:pPr>
      <w:r w:rsidRPr="00BA7FE2">
        <w:rPr>
          <w:lang w:val="en-AU"/>
        </w:rPr>
        <w:t>The closing cash balance of $16.251m was $1.951m higher than the budgeted amount of $14.300m primarily due to the current period surplus, noting the budget is derived on a break-even assumption.</w:t>
      </w:r>
    </w:p>
    <w:p w14:paraId="5CA8D8EE" w14:textId="6F29779A" w:rsidR="00A96E15" w:rsidRPr="00A96E15" w:rsidRDefault="00A96E15" w:rsidP="00A96E15">
      <w:pPr>
        <w:pStyle w:val="Body-Financial"/>
      </w:pPr>
    </w:p>
    <w:p w14:paraId="12C2B29E" w14:textId="77777777" w:rsidR="00F51327" w:rsidRDefault="00F51327" w:rsidP="00A96E15">
      <w:pPr>
        <w:pStyle w:val="Body-Financial"/>
        <w:sectPr w:rsidR="00F51327" w:rsidSect="00441579">
          <w:footerReference w:type="default" r:id="rId200"/>
          <w:pgSz w:w="9979" w:h="14175"/>
          <w:pgMar w:top="1134" w:right="1134" w:bottom="1134" w:left="1134" w:header="709" w:footer="709" w:gutter="0"/>
          <w:cols w:space="708"/>
          <w:docGrid w:linePitch="360"/>
        </w:sectPr>
      </w:pPr>
    </w:p>
    <w:p w14:paraId="6A1BCC07" w14:textId="77777777" w:rsidR="00F65F41" w:rsidRDefault="00F65F41" w:rsidP="00441579">
      <w:pPr>
        <w:pStyle w:val="H2Financials"/>
        <w:spacing w:after="240"/>
        <w:sectPr w:rsidR="00F65F41" w:rsidSect="00441579">
          <w:footerReference w:type="default" r:id="rId201"/>
          <w:pgSz w:w="9979" w:h="14175"/>
          <w:pgMar w:top="1134" w:right="1134" w:bottom="1134" w:left="1134" w:header="709" w:footer="709" w:gutter="0"/>
          <w:cols w:space="708"/>
          <w:docGrid w:linePitch="360"/>
        </w:sectPr>
      </w:pPr>
      <w:bookmarkStart w:id="156" w:name="_Toc76744239"/>
      <w:bookmarkStart w:id="157" w:name="_Toc83220561"/>
      <w:r>
        <w:lastRenderedPageBreak/>
        <w:t>Overview</w:t>
      </w:r>
      <w:bookmarkEnd w:id="156"/>
      <w:bookmarkEnd w:id="157"/>
    </w:p>
    <w:p w14:paraId="14CC516B" w14:textId="77777777" w:rsidR="00DA35CE" w:rsidRPr="0015771D" w:rsidRDefault="00DA35CE" w:rsidP="00DA35CE">
      <w:pPr>
        <w:pStyle w:val="H3"/>
        <w:rPr>
          <w:color w:val="292929"/>
        </w:rPr>
      </w:pPr>
      <w:bookmarkStart w:id="158" w:name="_Toc48575876"/>
      <w:bookmarkStart w:id="159" w:name="_Toc48576197"/>
      <w:bookmarkStart w:id="160" w:name="_Toc48828399"/>
      <w:r w:rsidRPr="0015771D">
        <w:rPr>
          <w:color w:val="292929"/>
        </w:rPr>
        <w:t>Objectives of the Independent Hospital Pricing Authority</w:t>
      </w:r>
      <w:bookmarkEnd w:id="158"/>
      <w:bookmarkEnd w:id="159"/>
      <w:bookmarkEnd w:id="160"/>
    </w:p>
    <w:p w14:paraId="0DCFA1A9" w14:textId="77777777" w:rsidR="006A05CA" w:rsidRDefault="006A05CA" w:rsidP="00DA35CE">
      <w:pPr>
        <w:pStyle w:val="Body"/>
      </w:pPr>
      <w:r w:rsidRPr="006A05CA">
        <w:t xml:space="preserve">The Independent Hospital Pricing Authority (IHPA) is a corporate Commonwealth entity under the </w:t>
      </w:r>
      <w:r w:rsidRPr="006A05CA">
        <w:rPr>
          <w:i/>
          <w:iCs/>
        </w:rPr>
        <w:t>Public Governance, Performance and Accountability Act 2013</w:t>
      </w:r>
      <w:r w:rsidRPr="006A05CA">
        <w:t xml:space="preserve"> (PGPA Act).</w:t>
      </w:r>
    </w:p>
    <w:p w14:paraId="55461A82" w14:textId="2F669785" w:rsidR="00DA35CE" w:rsidRDefault="00DA35CE" w:rsidP="00DA35CE">
      <w:pPr>
        <w:pStyle w:val="Body"/>
      </w:pPr>
      <w:r w:rsidRPr="00243F7B">
        <w:t xml:space="preserve">IHPA's role and functions are set out in the </w:t>
      </w:r>
      <w:r w:rsidRPr="00477B01">
        <w:rPr>
          <w:i/>
          <w:iCs/>
        </w:rPr>
        <w:t>National Health Reform Act 2011</w:t>
      </w:r>
      <w:r w:rsidRPr="00243F7B">
        <w:t>.</w:t>
      </w:r>
    </w:p>
    <w:p w14:paraId="7D73DF30" w14:textId="77777777" w:rsidR="00DA35CE" w:rsidRDefault="00DA35CE" w:rsidP="00DA35CE">
      <w:pPr>
        <w:pStyle w:val="Body"/>
      </w:pPr>
      <w:r>
        <w:t>IHPA’s functions include to:</w:t>
      </w:r>
    </w:p>
    <w:p w14:paraId="58118773" w14:textId="030AAAC2" w:rsidR="006A05CA" w:rsidRDefault="00741536" w:rsidP="00DA35CE">
      <w:pPr>
        <w:pStyle w:val="Bullets"/>
      </w:pPr>
      <w:r w:rsidRPr="00741536">
        <w:t>determine the national efficient price and</w:t>
      </w:r>
      <w:r>
        <w:t> </w:t>
      </w:r>
      <w:r w:rsidRPr="00741536">
        <w:t>national efficient cost for public hospital</w:t>
      </w:r>
      <w:r>
        <w:t> </w:t>
      </w:r>
      <w:r w:rsidRPr="00741536">
        <w:t>services</w:t>
      </w:r>
    </w:p>
    <w:p w14:paraId="5EF39703" w14:textId="4E20BA23" w:rsidR="00DA35CE" w:rsidRDefault="00741536" w:rsidP="00DA35CE">
      <w:pPr>
        <w:pStyle w:val="Bullets"/>
      </w:pPr>
      <w:r w:rsidRPr="00741536">
        <w:t>develop national classifications for activity</w:t>
      </w:r>
      <w:r>
        <w:t> </w:t>
      </w:r>
      <w:r w:rsidRPr="00741536">
        <w:t>based funding</w:t>
      </w:r>
    </w:p>
    <w:p w14:paraId="41F54839" w14:textId="6FF74A44" w:rsidR="00DA35CE" w:rsidRDefault="00741536" w:rsidP="00741536">
      <w:pPr>
        <w:pStyle w:val="Bulletslast"/>
      </w:pPr>
      <w:r w:rsidRPr="00741536">
        <w:t>resolve disputes on cost-shifting and cross</w:t>
      </w:r>
      <w:r>
        <w:noBreakHyphen/>
      </w:r>
      <w:r w:rsidRPr="00741536">
        <w:t>border issues.</w:t>
      </w:r>
    </w:p>
    <w:p w14:paraId="79E08F64" w14:textId="22F53643" w:rsidR="00DA35CE" w:rsidRDefault="00741536" w:rsidP="00DA35CE">
      <w:pPr>
        <w:pStyle w:val="Body"/>
      </w:pPr>
      <w:r w:rsidRPr="00741536">
        <w:t>IHPA is structured to meet the following outcome: promote improved efficiency in, and access to, public hospital services primarily through setting the national efficient price and levels of block funding for hospital activities.</w:t>
      </w:r>
    </w:p>
    <w:p w14:paraId="36E9E39E" w14:textId="222A65D7" w:rsidR="00DA35CE" w:rsidRDefault="00741536" w:rsidP="00DA35CE">
      <w:pPr>
        <w:pStyle w:val="Body"/>
        <w:rPr>
          <w:bCs/>
        </w:rPr>
      </w:pPr>
      <w:r w:rsidRPr="00741536">
        <w:t>The continued existence of the entity in its present form, and with its present programs, is dependent on government policy and on continuing funding by Parliament for the entity's administration and</w:t>
      </w:r>
      <w:r>
        <w:t> </w:t>
      </w:r>
      <w:r w:rsidRPr="00741536">
        <w:t>programs.</w:t>
      </w:r>
    </w:p>
    <w:p w14:paraId="2138E352" w14:textId="77777777" w:rsidR="00DA35CE" w:rsidRDefault="00F65F41" w:rsidP="00DA35CE">
      <w:pPr>
        <w:pStyle w:val="H3"/>
        <w:spacing w:before="0"/>
      </w:pPr>
      <w:r>
        <w:br w:type="column"/>
      </w:r>
      <w:bookmarkStart w:id="161" w:name="_Toc48575877"/>
      <w:bookmarkStart w:id="162" w:name="_Toc48576198"/>
      <w:bookmarkStart w:id="163" w:name="_Toc48828400"/>
      <w:r w:rsidR="00DA35CE" w:rsidRPr="0015771D">
        <w:rPr>
          <w:color w:val="292929"/>
        </w:rPr>
        <w:t>The basis of preparation</w:t>
      </w:r>
      <w:bookmarkEnd w:id="161"/>
      <w:bookmarkEnd w:id="162"/>
      <w:bookmarkEnd w:id="163"/>
    </w:p>
    <w:p w14:paraId="1E758CD8" w14:textId="567583A3" w:rsidR="00DA35CE" w:rsidRDefault="006A05CA" w:rsidP="00DA35CE">
      <w:pPr>
        <w:pStyle w:val="Body"/>
      </w:pPr>
      <w:r w:rsidRPr="006A05CA">
        <w:t>The financial statements are general purpose financial statements and are required by section 42 of the PGPA Act.</w:t>
      </w:r>
    </w:p>
    <w:p w14:paraId="1EA8FBF5" w14:textId="58AEDC73" w:rsidR="00DA35CE" w:rsidRDefault="006A05CA" w:rsidP="00DA35CE">
      <w:pPr>
        <w:pStyle w:val="Body"/>
      </w:pPr>
      <w:r w:rsidRPr="006A05CA">
        <w:t>The financial statements have been prepared in accordance with the:</w:t>
      </w:r>
    </w:p>
    <w:p w14:paraId="53D6B667" w14:textId="2FEA3E1E" w:rsidR="00DA35CE" w:rsidRDefault="006A05CA" w:rsidP="00DA35CE">
      <w:pPr>
        <w:pStyle w:val="AlphabetListL2"/>
        <w:numPr>
          <w:ilvl w:val="0"/>
          <w:numId w:val="15"/>
        </w:numPr>
      </w:pPr>
      <w:r w:rsidRPr="006A05CA">
        <w:t>Public Governance, Performance and Accountability (Financial Reporting) Rule 2015 (FRR)</w:t>
      </w:r>
    </w:p>
    <w:p w14:paraId="6F20636F" w14:textId="244162FD" w:rsidR="00DA35CE" w:rsidRDefault="006A05CA" w:rsidP="00DA35CE">
      <w:pPr>
        <w:pStyle w:val="AlphabetListL2"/>
        <w:numPr>
          <w:ilvl w:val="0"/>
          <w:numId w:val="15"/>
        </w:numPr>
      </w:pPr>
      <w:r w:rsidRPr="006A05CA">
        <w:t xml:space="preserve">Australian Accounting Standards and Interpretations </w:t>
      </w:r>
      <w:r w:rsidR="00741536">
        <w:t>—</w:t>
      </w:r>
      <w:r w:rsidRPr="006A05CA">
        <w:t xml:space="preserve"> Reduced Disclosure Requirements issued by the Australian Accounting Standards Board (AASB) that apply for the reporting period.</w:t>
      </w:r>
    </w:p>
    <w:p w14:paraId="4893873E" w14:textId="03064351" w:rsidR="00DA35CE" w:rsidRDefault="00741536" w:rsidP="00DA35CE">
      <w:pPr>
        <w:pStyle w:val="Body"/>
        <w:ind w:right="-185"/>
      </w:pPr>
      <w:r w:rsidRPr="00741536">
        <w:t>The financial statements have been prepared on</w:t>
      </w:r>
      <w:r>
        <w:t> </w:t>
      </w:r>
      <w:r w:rsidRPr="00741536">
        <w:t>an</w:t>
      </w:r>
      <w:r>
        <w:t> </w:t>
      </w:r>
      <w:r w:rsidRPr="00741536">
        <w:t>accrual basis and in accordance with the historical cost convention, except for certain assets and liabilities at fair value. Except where stated, no</w:t>
      </w:r>
      <w:r>
        <w:t> </w:t>
      </w:r>
      <w:r w:rsidRPr="00741536">
        <w:t>allowance is made for the effect of changing prices on the results or the financial position. The</w:t>
      </w:r>
      <w:r>
        <w:t> </w:t>
      </w:r>
      <w:r w:rsidRPr="00741536">
        <w:t>financial statements are presented in Australian dollars and values are rounded to the nearest thousand dollars, unless otherwise specified.</w:t>
      </w:r>
    </w:p>
    <w:p w14:paraId="5EB84158" w14:textId="77777777" w:rsidR="00DA35CE" w:rsidRPr="0015771D" w:rsidRDefault="00DA35CE" w:rsidP="00DA35CE">
      <w:pPr>
        <w:pStyle w:val="H3"/>
        <w:rPr>
          <w:color w:val="292929"/>
        </w:rPr>
      </w:pPr>
      <w:bookmarkStart w:id="164" w:name="_Toc48575878"/>
      <w:bookmarkStart w:id="165" w:name="_Toc48576199"/>
      <w:bookmarkStart w:id="166" w:name="_Toc48828401"/>
      <w:r w:rsidRPr="0015771D">
        <w:rPr>
          <w:color w:val="292929"/>
        </w:rPr>
        <w:t>Significant changes affecting IHPA during 2020–21</w:t>
      </w:r>
      <w:bookmarkEnd w:id="164"/>
      <w:bookmarkEnd w:id="165"/>
      <w:bookmarkEnd w:id="166"/>
    </w:p>
    <w:p w14:paraId="5DAFB56B" w14:textId="77777777" w:rsidR="00DA35CE" w:rsidRDefault="00DA35CE" w:rsidP="00DA35CE">
      <w:pPr>
        <w:pStyle w:val="Body"/>
      </w:pPr>
      <w:r w:rsidRPr="004843D3">
        <w:t>No significant changes affecting IHPA have occurred in this reporting period.</w:t>
      </w:r>
    </w:p>
    <w:p w14:paraId="38CFABA7" w14:textId="77777777" w:rsidR="00DA35CE" w:rsidRPr="0015771D" w:rsidRDefault="00DA35CE" w:rsidP="00DA35CE">
      <w:pPr>
        <w:pStyle w:val="H3"/>
        <w:rPr>
          <w:color w:val="292929"/>
        </w:rPr>
      </w:pPr>
      <w:r w:rsidRPr="0015771D">
        <w:rPr>
          <w:color w:val="292929"/>
        </w:rPr>
        <w:t>COVID-19 pandemic impacts</w:t>
      </w:r>
    </w:p>
    <w:p w14:paraId="11F90115" w14:textId="7B024105" w:rsidR="00DA35CE" w:rsidRDefault="00741536" w:rsidP="00DA35CE">
      <w:pPr>
        <w:pStyle w:val="Body"/>
        <w:ind w:right="-43"/>
      </w:pPr>
      <w:r w:rsidRPr="00741536">
        <w:t>Due to state and territory hospital resources being reassigned to manage the COVID-19 pandemic, some forecast expenditure relating to the non</w:t>
      </w:r>
      <w:r>
        <w:noBreakHyphen/>
      </w:r>
      <w:r w:rsidRPr="00741536">
        <w:t>admitted costing study has been deferred until</w:t>
      </w:r>
      <w:r>
        <w:t> </w:t>
      </w:r>
      <w:r w:rsidRPr="00741536">
        <w:t>such time resources become available. There</w:t>
      </w:r>
      <w:r>
        <w:t> </w:t>
      </w:r>
      <w:r w:rsidRPr="00741536">
        <w:t>were no other financial impacts from the</w:t>
      </w:r>
      <w:r>
        <w:t> </w:t>
      </w:r>
      <w:r w:rsidRPr="00741536">
        <w:t>pandemic.</w:t>
      </w:r>
    </w:p>
    <w:p w14:paraId="25E5C7AD" w14:textId="77777777" w:rsidR="00DA35CE" w:rsidRPr="0015771D" w:rsidRDefault="00DA35CE" w:rsidP="00DA35CE">
      <w:pPr>
        <w:pStyle w:val="H3"/>
        <w:rPr>
          <w:color w:val="292929"/>
        </w:rPr>
      </w:pPr>
      <w:bookmarkStart w:id="167" w:name="_Toc48575879"/>
      <w:bookmarkStart w:id="168" w:name="_Toc48576200"/>
      <w:bookmarkStart w:id="169" w:name="_Toc48828402"/>
      <w:bookmarkStart w:id="170" w:name="_Toc48575882"/>
      <w:bookmarkStart w:id="171" w:name="_Toc48576203"/>
      <w:bookmarkStart w:id="172" w:name="_Toc48828405"/>
      <w:r w:rsidRPr="0015771D">
        <w:rPr>
          <w:color w:val="292929"/>
        </w:rPr>
        <w:lastRenderedPageBreak/>
        <w:t>New Accounting Standards</w:t>
      </w:r>
      <w:bookmarkEnd w:id="167"/>
      <w:bookmarkEnd w:id="168"/>
      <w:bookmarkEnd w:id="169"/>
    </w:p>
    <w:p w14:paraId="7B2A022C" w14:textId="77777777" w:rsidR="00DA35CE" w:rsidRPr="004843D3" w:rsidRDefault="00DA35CE" w:rsidP="00DA35CE">
      <w:pPr>
        <w:pStyle w:val="Body"/>
        <w:rPr>
          <w:i/>
          <w:iCs/>
        </w:rPr>
      </w:pPr>
      <w:r w:rsidRPr="004843D3">
        <w:rPr>
          <w:i/>
          <w:iCs/>
        </w:rPr>
        <w:t>Adoption of new Australian Accounting Standard</w:t>
      </w:r>
      <w:r>
        <w:rPr>
          <w:i/>
          <w:iCs/>
        </w:rPr>
        <w:t> </w:t>
      </w:r>
      <w:r w:rsidRPr="004843D3">
        <w:rPr>
          <w:i/>
          <w:iCs/>
        </w:rPr>
        <w:t>requirements</w:t>
      </w:r>
    </w:p>
    <w:p w14:paraId="15A25962" w14:textId="338AE71C" w:rsidR="00DA35CE" w:rsidRDefault="00741536" w:rsidP="00DA35CE">
      <w:pPr>
        <w:pStyle w:val="Body"/>
      </w:pPr>
      <w:r w:rsidRPr="00741536">
        <w:t>IHPA has adopted all new, revised and amending standards and interpretations that were issued by the Australian Accounting Standards Board (AASB) prior to the sign-off date and which are applicable to the current reporting period.</w:t>
      </w:r>
      <w:r w:rsidR="00B828B2" w:rsidRPr="00B828B2">
        <w:t xml:space="preserve"> </w:t>
      </w:r>
    </w:p>
    <w:p w14:paraId="104BC0C6" w14:textId="21E9C5D9" w:rsidR="00DA35CE" w:rsidRDefault="00741536" w:rsidP="00DA35CE">
      <w:pPr>
        <w:pStyle w:val="Body"/>
      </w:pPr>
      <w:r w:rsidRPr="00741536">
        <w:t>The following new, revised and amending standards and interpretations were issued by the</w:t>
      </w:r>
      <w:r>
        <w:t> </w:t>
      </w:r>
      <w:r w:rsidRPr="00741536">
        <w:t>AASB prior to the signing of the statement by</w:t>
      </w:r>
      <w:r>
        <w:t> </w:t>
      </w:r>
      <w:r w:rsidRPr="00741536">
        <w:t>the</w:t>
      </w:r>
      <w:r>
        <w:t> </w:t>
      </w:r>
      <w:r w:rsidRPr="00741536">
        <w:t>Chief Executive Officer and Chief Financial</w:t>
      </w:r>
      <w:r>
        <w:t> </w:t>
      </w:r>
      <w:r w:rsidRPr="00741536">
        <w:t>Officer</w:t>
      </w:r>
      <w:r w:rsidR="00B828B2" w:rsidRPr="00B828B2">
        <w:t>:</w:t>
      </w:r>
    </w:p>
    <w:tbl>
      <w:tblPr>
        <w:tblStyle w:val="IHPA"/>
        <w:tblW w:w="3552" w:type="dxa"/>
        <w:tblLayout w:type="fixed"/>
        <w:tblLook w:val="0020" w:firstRow="1" w:lastRow="0" w:firstColumn="0" w:lastColumn="0" w:noHBand="0" w:noVBand="0"/>
        <w:tblCaption w:val="Revised and amending standards table"/>
        <w:tblDescription w:val="Revised and amending standards table"/>
      </w:tblPr>
      <w:tblGrid>
        <w:gridCol w:w="1851"/>
        <w:gridCol w:w="1701"/>
      </w:tblGrid>
      <w:tr w:rsidR="00DA35CE" w:rsidRPr="000E09C5" w14:paraId="7687CB82" w14:textId="77777777" w:rsidTr="006517A1">
        <w:trPr>
          <w:trHeight w:val="20"/>
        </w:trPr>
        <w:tc>
          <w:tcPr>
            <w:tcW w:w="1851" w:type="dxa"/>
            <w:tcBorders>
              <w:bottom w:val="single" w:sz="12" w:space="0" w:color="auto"/>
              <w:right w:val="single" w:sz="18" w:space="0" w:color="FFFFFF" w:themeColor="background2"/>
            </w:tcBorders>
            <w:vAlign w:val="bottom"/>
          </w:tcPr>
          <w:p w14:paraId="452F19F0" w14:textId="77777777" w:rsidR="00DA35CE" w:rsidRPr="000E09C5" w:rsidRDefault="00DA35CE" w:rsidP="006517A1">
            <w:pPr>
              <w:pStyle w:val="Body"/>
              <w:spacing w:before="120" w:after="40"/>
              <w:rPr>
                <w:rFonts w:asciiTheme="majorHAnsi" w:hAnsiTheme="majorHAnsi" w:cs="Futura PT Book"/>
                <w:color w:val="292929"/>
                <w:sz w:val="16"/>
                <w:szCs w:val="16"/>
                <w:lang w:val="en-US"/>
              </w:rPr>
            </w:pPr>
            <w:r>
              <w:br w:type="column"/>
            </w:r>
            <w:r>
              <w:br w:type="column"/>
            </w:r>
            <w:r>
              <w:br w:type="column"/>
            </w:r>
            <w:r w:rsidRPr="000E09C5">
              <w:rPr>
                <w:rFonts w:asciiTheme="majorHAnsi" w:hAnsiTheme="majorHAnsi"/>
                <w:color w:val="292929"/>
                <w:sz w:val="16"/>
                <w:szCs w:val="16"/>
                <w:lang w:val="en-US"/>
              </w:rPr>
              <w:t>New standard</w:t>
            </w:r>
          </w:p>
        </w:tc>
        <w:tc>
          <w:tcPr>
            <w:tcW w:w="1701" w:type="dxa"/>
            <w:tcBorders>
              <w:left w:val="single" w:sz="18" w:space="0" w:color="FFFFFF" w:themeColor="background2"/>
              <w:bottom w:val="single" w:sz="12" w:space="0" w:color="auto"/>
            </w:tcBorders>
            <w:vAlign w:val="bottom"/>
          </w:tcPr>
          <w:p w14:paraId="3B02D3E5" w14:textId="77777777" w:rsidR="00DA35CE" w:rsidRPr="000E09C5" w:rsidRDefault="00DA35CE" w:rsidP="006517A1">
            <w:pPr>
              <w:pStyle w:val="Body"/>
              <w:spacing w:before="120" w:after="40"/>
              <w:rPr>
                <w:rFonts w:asciiTheme="majorHAnsi" w:hAnsiTheme="majorHAnsi" w:cs="Futura PT Book"/>
                <w:color w:val="292929"/>
                <w:sz w:val="16"/>
                <w:szCs w:val="16"/>
                <w:lang w:val="en-US"/>
              </w:rPr>
            </w:pPr>
            <w:r w:rsidRPr="000E09C5">
              <w:rPr>
                <w:rFonts w:asciiTheme="majorHAnsi" w:hAnsiTheme="majorHAnsi"/>
                <w:color w:val="292929"/>
                <w:sz w:val="16"/>
                <w:szCs w:val="16"/>
                <w:lang w:val="en-US"/>
              </w:rPr>
              <w:t>Expected impact</w:t>
            </w:r>
          </w:p>
        </w:tc>
      </w:tr>
      <w:tr w:rsidR="00DA35CE" w:rsidRPr="00FD57EB" w14:paraId="209633FD" w14:textId="77777777" w:rsidTr="007808A0">
        <w:trPr>
          <w:trHeight w:val="20"/>
        </w:trPr>
        <w:tc>
          <w:tcPr>
            <w:tcW w:w="1851" w:type="dxa"/>
            <w:tcBorders>
              <w:top w:val="single" w:sz="12" w:space="0" w:color="auto"/>
              <w:bottom w:val="single" w:sz="2" w:space="0" w:color="D9D9D9" w:themeColor="background2" w:themeShade="D9"/>
              <w:right w:val="single" w:sz="18" w:space="0" w:color="FFFFFF" w:themeColor="background2"/>
            </w:tcBorders>
          </w:tcPr>
          <w:p w14:paraId="529739D4" w14:textId="43AA836D" w:rsidR="00DA35CE" w:rsidRPr="00FD57EB" w:rsidRDefault="00DA35CE" w:rsidP="003F20C6">
            <w:pPr>
              <w:pStyle w:val="Body"/>
              <w:spacing w:before="120" w:after="120"/>
              <w:rPr>
                <w:rFonts w:ascii="Futura PT Book" w:hAnsi="Futura PT Book" w:cs="Futura PT Book"/>
                <w:color w:val="000000"/>
                <w:sz w:val="16"/>
                <w:szCs w:val="16"/>
                <w:lang w:val="en-US"/>
              </w:rPr>
            </w:pPr>
            <w:r w:rsidRPr="00156309">
              <w:rPr>
                <w:sz w:val="16"/>
                <w:szCs w:val="16"/>
              </w:rPr>
              <w:t>AASB 1059 Service</w:t>
            </w:r>
            <w:r w:rsidR="00B828B2">
              <w:rPr>
                <w:sz w:val="16"/>
                <w:szCs w:val="16"/>
              </w:rPr>
              <w:t> </w:t>
            </w:r>
            <w:r w:rsidRPr="00156309">
              <w:rPr>
                <w:sz w:val="16"/>
                <w:szCs w:val="16"/>
              </w:rPr>
              <w:t>Concession Arrangements: Grantors</w:t>
            </w:r>
          </w:p>
        </w:tc>
        <w:tc>
          <w:tcPr>
            <w:tcW w:w="1701" w:type="dxa"/>
            <w:tcBorders>
              <w:top w:val="single" w:sz="12" w:space="0" w:color="auto"/>
              <w:left w:val="single" w:sz="18" w:space="0" w:color="FFFFFF" w:themeColor="background2"/>
              <w:bottom w:val="single" w:sz="2" w:space="0" w:color="D9D9D9" w:themeColor="background2" w:themeShade="D9"/>
            </w:tcBorders>
          </w:tcPr>
          <w:p w14:paraId="0E9260BF" w14:textId="77777777" w:rsidR="00DA35CE" w:rsidRPr="00FD57EB" w:rsidRDefault="00DA35CE" w:rsidP="003F20C6">
            <w:pPr>
              <w:pStyle w:val="Body"/>
              <w:spacing w:before="120" w:after="120"/>
              <w:rPr>
                <w:rFonts w:ascii="Futura PT Book" w:hAnsi="Futura PT Book" w:cs="Futura PT Book"/>
                <w:color w:val="000000"/>
                <w:sz w:val="16"/>
                <w:szCs w:val="16"/>
                <w:lang w:val="en-US"/>
              </w:rPr>
            </w:pPr>
            <w:r w:rsidRPr="00FD57EB">
              <w:rPr>
                <w:sz w:val="16"/>
                <w:szCs w:val="16"/>
              </w:rPr>
              <w:t>No impact</w:t>
            </w:r>
          </w:p>
        </w:tc>
      </w:tr>
    </w:tbl>
    <w:p w14:paraId="3D553805" w14:textId="77777777" w:rsidR="00DA35CE" w:rsidRDefault="00DA35CE" w:rsidP="00DA35CE">
      <w:pPr>
        <w:pStyle w:val="Body"/>
      </w:pPr>
    </w:p>
    <w:p w14:paraId="0952D9C2" w14:textId="56202B9F" w:rsidR="00DA35CE" w:rsidRDefault="00B828B2" w:rsidP="00DA35CE">
      <w:pPr>
        <w:pStyle w:val="Body"/>
      </w:pPr>
      <w:r w:rsidRPr="00B828B2">
        <w:t>All other new, revised and amending standards or interpretations that have been issued by the AASB prior to sign-off date that are applicable to future reporting period(s) are not expected to have a future material financial impact on IHPA's financial</w:t>
      </w:r>
      <w:r>
        <w:t> </w:t>
      </w:r>
      <w:r w:rsidRPr="00B828B2">
        <w:t>statements.</w:t>
      </w:r>
    </w:p>
    <w:p w14:paraId="22C9FB22" w14:textId="77777777" w:rsidR="00DA35CE" w:rsidRDefault="007D3740" w:rsidP="00DA35CE">
      <w:pPr>
        <w:pStyle w:val="H3"/>
      </w:pPr>
      <w:r>
        <w:br w:type="column"/>
      </w:r>
      <w:bookmarkEnd w:id="170"/>
      <w:bookmarkEnd w:id="171"/>
      <w:bookmarkEnd w:id="172"/>
      <w:r w:rsidR="00DA35CE" w:rsidRPr="0015771D">
        <w:rPr>
          <w:color w:val="292929"/>
        </w:rPr>
        <w:t>Significant accounting judgements and estimates</w:t>
      </w:r>
    </w:p>
    <w:p w14:paraId="732F9B4D" w14:textId="21A1FF05" w:rsidR="00B828B2" w:rsidRDefault="006B3FA3" w:rsidP="00B828B2">
      <w:pPr>
        <w:pStyle w:val="Body"/>
      </w:pPr>
      <w:bookmarkStart w:id="173" w:name="_Toc48575883"/>
      <w:bookmarkStart w:id="174" w:name="_Toc48576204"/>
      <w:bookmarkStart w:id="175" w:name="_Toc48828406"/>
      <w:r w:rsidRPr="006B3FA3">
        <w:t xml:space="preserve">For the purposes of estimating the lease liability and the right-of-use asset in accordance with AASB 16 </w:t>
      </w:r>
      <w:r w:rsidRPr="006B3FA3">
        <w:rPr>
          <w:i/>
          <w:iCs/>
        </w:rPr>
        <w:t>Leases</w:t>
      </w:r>
      <w:r w:rsidRPr="006B3FA3">
        <w:t>, IHPA has reassessed the end</w:t>
      </w:r>
      <w:r>
        <w:t> </w:t>
      </w:r>
      <w:r w:rsidRPr="006B3FA3">
        <w:t>of</w:t>
      </w:r>
      <w:r>
        <w:t> </w:t>
      </w:r>
      <w:r w:rsidRPr="006B3FA3">
        <w:t>the lease term from 31 May 2028 to</w:t>
      </w:r>
      <w:r>
        <w:t> </w:t>
      </w:r>
      <w:r w:rsidRPr="006B3FA3">
        <w:t>31</w:t>
      </w:r>
      <w:r>
        <w:t> </w:t>
      </w:r>
      <w:r w:rsidRPr="006B3FA3">
        <w:t>May</w:t>
      </w:r>
      <w:r>
        <w:t> </w:t>
      </w:r>
      <w:r w:rsidRPr="006B3FA3">
        <w:t>2023. Refer to Note 2.4 ‘Interest</w:t>
      </w:r>
      <w:r>
        <w:t> </w:t>
      </w:r>
      <w:r w:rsidRPr="006B3FA3">
        <w:t>bearing liabilities’ for further details.</w:t>
      </w:r>
    </w:p>
    <w:p w14:paraId="39B41521" w14:textId="55264ED9" w:rsidR="00DA35CE" w:rsidRPr="00156309" w:rsidRDefault="00B828B2" w:rsidP="00B828B2">
      <w:pPr>
        <w:pStyle w:val="Body"/>
        <w:rPr>
          <w:bCs/>
        </w:rPr>
      </w:pPr>
      <w:r>
        <w:t>I</w:t>
      </w:r>
      <w:r w:rsidR="006B3FA3" w:rsidRPr="006B3FA3">
        <w:t>HPA has determined that no other accounting assumptions and estimates have a significant risk of causing a material adjustment to carrying amounts of assets and liabilities within the next accounting period.</w:t>
      </w:r>
    </w:p>
    <w:p w14:paraId="7F0A30F2" w14:textId="77777777" w:rsidR="00DA35CE" w:rsidRPr="0015771D" w:rsidRDefault="00DA35CE" w:rsidP="00DA35CE">
      <w:pPr>
        <w:pStyle w:val="H3"/>
        <w:rPr>
          <w:color w:val="292929"/>
        </w:rPr>
      </w:pPr>
      <w:r w:rsidRPr="0015771D">
        <w:rPr>
          <w:color w:val="292929"/>
        </w:rPr>
        <w:t>Comparative figures</w:t>
      </w:r>
      <w:bookmarkEnd w:id="173"/>
      <w:bookmarkEnd w:id="174"/>
      <w:bookmarkEnd w:id="175"/>
    </w:p>
    <w:p w14:paraId="4504B8E9" w14:textId="288B6F45" w:rsidR="00DA35CE" w:rsidRDefault="00B828B2" w:rsidP="00DA35CE">
      <w:pPr>
        <w:pStyle w:val="Body"/>
      </w:pPr>
      <w:r w:rsidRPr="00B828B2">
        <w:t>Comparative figures have been adjusted, where</w:t>
      </w:r>
      <w:r>
        <w:t> </w:t>
      </w:r>
      <w:r w:rsidRPr="00B828B2">
        <w:t>required, to conform to changes in presentation of the financial statements.</w:t>
      </w:r>
    </w:p>
    <w:p w14:paraId="6136AC5E" w14:textId="77777777" w:rsidR="00DA35CE" w:rsidRPr="0015771D" w:rsidRDefault="00DA35CE" w:rsidP="00DA35CE">
      <w:pPr>
        <w:pStyle w:val="H3"/>
        <w:rPr>
          <w:color w:val="292929"/>
        </w:rPr>
      </w:pPr>
      <w:bookmarkStart w:id="176" w:name="_Toc48575884"/>
      <w:bookmarkStart w:id="177" w:name="_Toc48576205"/>
      <w:bookmarkStart w:id="178" w:name="_Toc48828407"/>
      <w:r w:rsidRPr="0015771D">
        <w:rPr>
          <w:color w:val="292929"/>
        </w:rPr>
        <w:t>Taxation</w:t>
      </w:r>
      <w:bookmarkEnd w:id="176"/>
      <w:bookmarkEnd w:id="177"/>
      <w:bookmarkEnd w:id="178"/>
    </w:p>
    <w:p w14:paraId="097F774E" w14:textId="4BFEADA8" w:rsidR="00DA35CE" w:rsidRDefault="006B3FA3" w:rsidP="00DA35CE">
      <w:pPr>
        <w:pStyle w:val="Body"/>
      </w:pPr>
      <w:r w:rsidRPr="006B3FA3">
        <w:t>IHPA is exempt from all forms of taxation, except</w:t>
      </w:r>
      <w:r>
        <w:t> </w:t>
      </w:r>
      <w:r w:rsidRPr="006B3FA3">
        <w:t>Fringe Benefits Tax (FBT) and the Goods and Services Tax (GST). Revenues, expenses, assets</w:t>
      </w:r>
      <w:r>
        <w:t> </w:t>
      </w:r>
      <w:r w:rsidRPr="006B3FA3">
        <w:t xml:space="preserve">and liabilities are </w:t>
      </w:r>
      <w:proofErr w:type="spellStart"/>
      <w:r w:rsidRPr="006B3FA3">
        <w:t>recognised</w:t>
      </w:r>
      <w:proofErr w:type="spellEnd"/>
      <w:r w:rsidRPr="006B3FA3">
        <w:t xml:space="preserve"> net of GST, except</w:t>
      </w:r>
      <w:r>
        <w:t> </w:t>
      </w:r>
      <w:r w:rsidRPr="006B3FA3">
        <w:t>where the amount of GST incurred is not recoverable from the Australian Taxation Office.</w:t>
      </w:r>
    </w:p>
    <w:p w14:paraId="7A10A70D" w14:textId="77777777" w:rsidR="00DA35CE" w:rsidRPr="0015771D" w:rsidRDefault="00DA35CE" w:rsidP="00DA35CE">
      <w:pPr>
        <w:pStyle w:val="H3"/>
        <w:rPr>
          <w:color w:val="292929"/>
        </w:rPr>
      </w:pPr>
      <w:bookmarkStart w:id="179" w:name="_Toc48575885"/>
      <w:bookmarkStart w:id="180" w:name="_Toc48576206"/>
      <w:bookmarkStart w:id="181" w:name="_Toc48828408"/>
      <w:r w:rsidRPr="0015771D">
        <w:rPr>
          <w:color w:val="292929"/>
        </w:rPr>
        <w:t>Events after the reporting period</w:t>
      </w:r>
      <w:bookmarkEnd w:id="179"/>
      <w:bookmarkEnd w:id="180"/>
      <w:bookmarkEnd w:id="181"/>
    </w:p>
    <w:p w14:paraId="54C31CA1" w14:textId="31BDB2F1" w:rsidR="00156309" w:rsidRDefault="00B828B2" w:rsidP="00DA35CE">
      <w:pPr>
        <w:pStyle w:val="Body"/>
      </w:pPr>
      <w:r w:rsidRPr="00B828B2">
        <w:t>No events have occurred since the reporting date</w:t>
      </w:r>
      <w:r>
        <w:t> </w:t>
      </w:r>
      <w:r w:rsidRPr="00B828B2">
        <w:t>which have had a material impact on the financial</w:t>
      </w:r>
      <w:r>
        <w:t> </w:t>
      </w:r>
      <w:r w:rsidRPr="00B828B2">
        <w:t>statements.</w:t>
      </w:r>
    </w:p>
    <w:p w14:paraId="3BAB2C9D" w14:textId="77777777" w:rsidR="006F7325" w:rsidRDefault="006F7325" w:rsidP="00156309">
      <w:pPr>
        <w:pStyle w:val="Body"/>
        <w:sectPr w:rsidR="006F7325" w:rsidSect="00441579">
          <w:footerReference w:type="default" r:id="rId202"/>
          <w:type w:val="continuous"/>
          <w:pgSz w:w="9979" w:h="14175"/>
          <w:pgMar w:top="1134" w:right="1134" w:bottom="1134" w:left="1134" w:header="709" w:footer="709" w:gutter="0"/>
          <w:cols w:num="2" w:space="708"/>
          <w:docGrid w:linePitch="360"/>
        </w:sectPr>
      </w:pPr>
    </w:p>
    <w:p w14:paraId="13D6055B" w14:textId="77777777" w:rsidR="00441466" w:rsidRPr="00B61E00" w:rsidRDefault="00441466" w:rsidP="00441579">
      <w:pPr>
        <w:pStyle w:val="H2Financials"/>
      </w:pPr>
      <w:bookmarkStart w:id="182" w:name="_Toc83220562"/>
      <w:r w:rsidRPr="00B61E00">
        <w:lastRenderedPageBreak/>
        <w:t>Notes to the financial statements</w:t>
      </w:r>
      <w:bookmarkEnd w:id="182"/>
    </w:p>
    <w:p w14:paraId="149834CD" w14:textId="77777777" w:rsidR="00441466" w:rsidRPr="00B61E00" w:rsidRDefault="00441466" w:rsidP="00441466">
      <w:pPr>
        <w:pStyle w:val="H3Financials"/>
        <w:rPr>
          <w:color w:val="292929"/>
        </w:rPr>
      </w:pPr>
      <w:bookmarkStart w:id="183" w:name="_Toc83220563"/>
      <w:r w:rsidRPr="00B61E00">
        <w:rPr>
          <w:color w:val="292929"/>
        </w:rPr>
        <w:t>Financial performance</w:t>
      </w:r>
      <w:bookmarkEnd w:id="183"/>
    </w:p>
    <w:p w14:paraId="2E2E4D8D" w14:textId="218BC50C" w:rsidR="00441466" w:rsidRPr="00B61E00" w:rsidRDefault="00441466" w:rsidP="00441466">
      <w:pPr>
        <w:pStyle w:val="Body"/>
        <w:rPr>
          <w:color w:val="292929"/>
        </w:rPr>
      </w:pPr>
      <w:r w:rsidRPr="00B61E00">
        <w:rPr>
          <w:color w:val="292929"/>
        </w:rPr>
        <w:t>This section analyses the financial performance of IHPA for the year ended 30 June 2021.</w:t>
      </w:r>
    </w:p>
    <w:p w14:paraId="4161F316" w14:textId="77777777" w:rsidR="00441466" w:rsidRPr="00B61E00" w:rsidRDefault="00441466" w:rsidP="00441466">
      <w:pPr>
        <w:pStyle w:val="H4Financials"/>
        <w:rPr>
          <w:color w:val="292929"/>
        </w:rPr>
      </w:pPr>
      <w:bookmarkStart w:id="184" w:name="_Toc83220564"/>
      <w:r w:rsidRPr="00B61E00">
        <w:rPr>
          <w:color w:val="292929"/>
        </w:rPr>
        <w:t>Note 1.1 Expenses</w:t>
      </w:r>
      <w:bookmarkEnd w:id="184"/>
    </w:p>
    <w:tbl>
      <w:tblPr>
        <w:tblStyle w:val="IHPA"/>
        <w:tblW w:w="7096" w:type="dxa"/>
        <w:tblLayout w:type="fixed"/>
        <w:tblLook w:val="0020" w:firstRow="1" w:lastRow="0" w:firstColumn="0" w:lastColumn="0" w:noHBand="0" w:noVBand="0"/>
        <w:tblCaption w:val="Note 1.1A"/>
        <w:tblDescription w:val="Employee Benefits"/>
      </w:tblPr>
      <w:tblGrid>
        <w:gridCol w:w="5111"/>
        <w:gridCol w:w="992"/>
        <w:gridCol w:w="993"/>
      </w:tblGrid>
      <w:tr w:rsidR="00B61E00" w:rsidRPr="00B61E00" w14:paraId="1E540FF7" w14:textId="77777777" w:rsidTr="0089226E">
        <w:trPr>
          <w:trHeight w:val="340"/>
        </w:trPr>
        <w:tc>
          <w:tcPr>
            <w:tcW w:w="5111" w:type="dxa"/>
          </w:tcPr>
          <w:p w14:paraId="65B77D2A" w14:textId="77777777" w:rsidR="00441466" w:rsidRPr="00B61E00" w:rsidRDefault="00441466" w:rsidP="00015447">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4B499CDB" w14:textId="1DDD7557" w:rsidR="00441466" w:rsidRPr="00B61E00" w:rsidRDefault="00441466" w:rsidP="00015447">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2021</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62136D46" w14:textId="08FEF888" w:rsidR="00441466" w:rsidRPr="00B61E00" w:rsidRDefault="00441466" w:rsidP="00015447">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2020</w:t>
            </w:r>
            <w:r w:rsidRPr="00B61E00">
              <w:rPr>
                <w:rFonts w:asciiTheme="majorHAnsi" w:hAnsiTheme="majorHAnsi" w:cs="Futura PT Heavy"/>
                <w:color w:val="292929"/>
                <w:sz w:val="16"/>
                <w:szCs w:val="16"/>
                <w:lang w:val="en-US"/>
              </w:rPr>
              <w:br/>
              <w:t>$’000</w:t>
            </w:r>
          </w:p>
        </w:tc>
      </w:tr>
      <w:tr w:rsidR="00B61E00" w:rsidRPr="00B61E00" w14:paraId="3F6B1731" w14:textId="77777777" w:rsidTr="0089226E">
        <w:trPr>
          <w:trHeight w:val="170"/>
        </w:trPr>
        <w:tc>
          <w:tcPr>
            <w:tcW w:w="5111" w:type="dxa"/>
          </w:tcPr>
          <w:p w14:paraId="19F54209" w14:textId="77777777" w:rsidR="00441466" w:rsidRPr="00B61E00" w:rsidRDefault="00441466" w:rsidP="00015447">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bookmarkStart w:id="185" w:name="_Hlk48559090"/>
            <w:r w:rsidRPr="00B61E00">
              <w:rPr>
                <w:rFonts w:asciiTheme="majorHAnsi" w:hAnsiTheme="majorHAnsi"/>
                <w:color w:val="292929"/>
                <w:sz w:val="14"/>
                <w:szCs w:val="14"/>
              </w:rPr>
              <w:t>Note 1.1A: Employee Benefits</w:t>
            </w:r>
          </w:p>
        </w:tc>
        <w:tc>
          <w:tcPr>
            <w:tcW w:w="992" w:type="dxa"/>
            <w:tcBorders>
              <w:top w:val="single" w:sz="12" w:space="0" w:color="auto"/>
              <w:right w:val="single" w:sz="18" w:space="0" w:color="FFFFFF" w:themeColor="background2"/>
            </w:tcBorders>
          </w:tcPr>
          <w:p w14:paraId="70F31BCC" w14:textId="77777777" w:rsidR="00441466" w:rsidRPr="00B61E00" w:rsidRDefault="00441466" w:rsidP="00015447">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397E5AB8" w14:textId="77777777" w:rsidR="00441466" w:rsidRPr="00B61E00" w:rsidRDefault="00441466" w:rsidP="00015447">
            <w:pPr>
              <w:autoSpaceDE w:val="0"/>
              <w:autoSpaceDN w:val="0"/>
              <w:adjustRightInd w:val="0"/>
              <w:spacing w:before="20" w:after="20"/>
              <w:jc w:val="right"/>
              <w:rPr>
                <w:color w:val="292929"/>
                <w:sz w:val="14"/>
                <w:szCs w:val="14"/>
              </w:rPr>
            </w:pPr>
          </w:p>
        </w:tc>
      </w:tr>
      <w:bookmarkEnd w:id="185"/>
      <w:tr w:rsidR="00267E1C" w:rsidRPr="00B61E00" w14:paraId="7EACA3AA" w14:textId="77777777" w:rsidTr="0089226E">
        <w:trPr>
          <w:trHeight w:val="170"/>
        </w:trPr>
        <w:tc>
          <w:tcPr>
            <w:tcW w:w="5111" w:type="dxa"/>
          </w:tcPr>
          <w:p w14:paraId="0A657E2F" w14:textId="77777777" w:rsidR="00267E1C" w:rsidRPr="00B61E00" w:rsidRDefault="00267E1C" w:rsidP="00015447">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Wages and salaries</w:t>
            </w:r>
          </w:p>
        </w:tc>
        <w:tc>
          <w:tcPr>
            <w:tcW w:w="992" w:type="dxa"/>
            <w:tcBorders>
              <w:right w:val="single" w:sz="18" w:space="0" w:color="FFFFFF" w:themeColor="background2"/>
            </w:tcBorders>
          </w:tcPr>
          <w:p w14:paraId="72A67A35" w14:textId="29D1F779" w:rsidR="00267E1C" w:rsidRPr="00B61E00" w:rsidRDefault="006B3FA3" w:rsidP="00015447">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524</w:t>
            </w:r>
          </w:p>
        </w:tc>
        <w:tc>
          <w:tcPr>
            <w:tcW w:w="993" w:type="dxa"/>
            <w:tcBorders>
              <w:left w:val="single" w:sz="18" w:space="0" w:color="FFFFFF" w:themeColor="background2"/>
            </w:tcBorders>
          </w:tcPr>
          <w:p w14:paraId="77AB38BD" w14:textId="170F7F20" w:rsidR="00267E1C" w:rsidRPr="00B61E00" w:rsidRDefault="00267E1C" w:rsidP="00015447">
            <w:pPr>
              <w:suppressAutoHyphens/>
              <w:autoSpaceDE w:val="0"/>
              <w:autoSpaceDN w:val="0"/>
              <w:adjustRightInd w:val="0"/>
              <w:spacing w:before="20" w:after="20"/>
              <w:jc w:val="right"/>
              <w:textAlignment w:val="center"/>
              <w:rPr>
                <w:rFonts w:cs="Futura PT Book"/>
                <w:color w:val="292929"/>
                <w:sz w:val="14"/>
                <w:szCs w:val="14"/>
                <w:lang w:val="en-US"/>
              </w:rPr>
            </w:pPr>
            <w:r w:rsidRPr="00B61E00">
              <w:rPr>
                <w:color w:val="292929"/>
                <w:sz w:val="14"/>
                <w:szCs w:val="14"/>
              </w:rPr>
              <w:t xml:space="preserve">527 </w:t>
            </w:r>
          </w:p>
        </w:tc>
      </w:tr>
      <w:tr w:rsidR="00267E1C" w:rsidRPr="00B61E00" w14:paraId="7B6CAECA" w14:textId="77777777" w:rsidTr="0089226E">
        <w:trPr>
          <w:trHeight w:val="170"/>
        </w:trPr>
        <w:tc>
          <w:tcPr>
            <w:tcW w:w="5111" w:type="dxa"/>
          </w:tcPr>
          <w:p w14:paraId="400FBE73" w14:textId="77777777" w:rsidR="00267E1C" w:rsidRPr="00B61E00" w:rsidRDefault="00267E1C" w:rsidP="00015447">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Superannuation</w:t>
            </w:r>
          </w:p>
        </w:tc>
        <w:tc>
          <w:tcPr>
            <w:tcW w:w="992" w:type="dxa"/>
            <w:tcBorders>
              <w:right w:val="single" w:sz="18" w:space="0" w:color="FFFFFF" w:themeColor="background2"/>
            </w:tcBorders>
          </w:tcPr>
          <w:p w14:paraId="370A07D6" w14:textId="77777777" w:rsidR="00267E1C" w:rsidRPr="00B61E00" w:rsidRDefault="00267E1C" w:rsidP="00015447">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93" w:type="dxa"/>
            <w:tcBorders>
              <w:left w:val="single" w:sz="18" w:space="0" w:color="FFFFFF" w:themeColor="background2"/>
            </w:tcBorders>
          </w:tcPr>
          <w:p w14:paraId="16DB7037" w14:textId="77777777" w:rsidR="00267E1C" w:rsidRPr="00B61E00" w:rsidRDefault="00267E1C" w:rsidP="00015447">
            <w:pPr>
              <w:suppressAutoHyphens/>
              <w:autoSpaceDE w:val="0"/>
              <w:autoSpaceDN w:val="0"/>
              <w:adjustRightInd w:val="0"/>
              <w:spacing w:before="20" w:after="20"/>
              <w:jc w:val="right"/>
              <w:textAlignment w:val="center"/>
              <w:rPr>
                <w:rFonts w:cs="Futura PT Book"/>
                <w:color w:val="292929"/>
                <w:sz w:val="14"/>
                <w:szCs w:val="14"/>
                <w:lang w:val="en-US"/>
              </w:rPr>
            </w:pPr>
          </w:p>
        </w:tc>
      </w:tr>
      <w:tr w:rsidR="00267E1C" w:rsidRPr="00B61E00" w14:paraId="15EFF1E7" w14:textId="77777777" w:rsidTr="0089226E">
        <w:trPr>
          <w:trHeight w:val="170"/>
        </w:trPr>
        <w:tc>
          <w:tcPr>
            <w:tcW w:w="5111" w:type="dxa"/>
          </w:tcPr>
          <w:p w14:paraId="137A8029" w14:textId="77777777" w:rsidR="00267E1C" w:rsidRPr="00B61E00" w:rsidRDefault="00267E1C" w:rsidP="00015447">
            <w:pPr>
              <w:suppressAutoHyphens/>
              <w:autoSpaceDE w:val="0"/>
              <w:autoSpaceDN w:val="0"/>
              <w:adjustRightInd w:val="0"/>
              <w:spacing w:before="20" w:after="20"/>
              <w:ind w:left="113"/>
              <w:textAlignment w:val="center"/>
              <w:rPr>
                <w:rFonts w:cs="Futura PT Book"/>
                <w:color w:val="292929"/>
                <w:sz w:val="14"/>
                <w:szCs w:val="14"/>
                <w:lang w:val="en-US"/>
              </w:rPr>
            </w:pPr>
            <w:r w:rsidRPr="00B61E00">
              <w:rPr>
                <w:color w:val="292929"/>
                <w:sz w:val="14"/>
                <w:szCs w:val="14"/>
              </w:rPr>
              <w:t>Defined contribution plans</w:t>
            </w:r>
          </w:p>
        </w:tc>
        <w:tc>
          <w:tcPr>
            <w:tcW w:w="992" w:type="dxa"/>
            <w:tcBorders>
              <w:right w:val="single" w:sz="18" w:space="0" w:color="FFFFFF" w:themeColor="background2"/>
            </w:tcBorders>
          </w:tcPr>
          <w:p w14:paraId="5D935346" w14:textId="55FFD372" w:rsidR="00267E1C" w:rsidRPr="00B61E00" w:rsidRDefault="00267E1C" w:rsidP="00015447">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56</w:t>
            </w:r>
          </w:p>
        </w:tc>
        <w:tc>
          <w:tcPr>
            <w:tcW w:w="993" w:type="dxa"/>
            <w:tcBorders>
              <w:left w:val="single" w:sz="18" w:space="0" w:color="FFFFFF" w:themeColor="background2"/>
            </w:tcBorders>
          </w:tcPr>
          <w:p w14:paraId="77EE8EFA" w14:textId="37A11276" w:rsidR="00267E1C" w:rsidRPr="00B61E00" w:rsidRDefault="00267E1C" w:rsidP="00015447">
            <w:pPr>
              <w:autoSpaceDE w:val="0"/>
              <w:autoSpaceDN w:val="0"/>
              <w:adjustRightInd w:val="0"/>
              <w:spacing w:before="20" w:after="20"/>
              <w:jc w:val="right"/>
              <w:rPr>
                <w:color w:val="292929"/>
                <w:sz w:val="14"/>
                <w:szCs w:val="14"/>
              </w:rPr>
            </w:pPr>
            <w:r w:rsidRPr="00B61E00">
              <w:rPr>
                <w:color w:val="292929"/>
                <w:sz w:val="14"/>
                <w:szCs w:val="14"/>
              </w:rPr>
              <w:t xml:space="preserve">61 </w:t>
            </w:r>
          </w:p>
        </w:tc>
      </w:tr>
      <w:tr w:rsidR="00267E1C" w:rsidRPr="00B61E00" w14:paraId="76281F38" w14:textId="77777777" w:rsidTr="0089226E">
        <w:trPr>
          <w:trHeight w:val="170"/>
        </w:trPr>
        <w:tc>
          <w:tcPr>
            <w:tcW w:w="5111" w:type="dxa"/>
          </w:tcPr>
          <w:p w14:paraId="311FDFBE" w14:textId="77777777" w:rsidR="00267E1C" w:rsidRPr="00B61E00" w:rsidRDefault="00267E1C" w:rsidP="00015447">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Leave and other entitlements</w:t>
            </w:r>
          </w:p>
        </w:tc>
        <w:tc>
          <w:tcPr>
            <w:tcW w:w="992" w:type="dxa"/>
            <w:tcBorders>
              <w:right w:val="single" w:sz="18" w:space="0" w:color="FFFFFF" w:themeColor="background2"/>
            </w:tcBorders>
          </w:tcPr>
          <w:p w14:paraId="2ED75809" w14:textId="7F146AC1" w:rsidR="00267E1C" w:rsidRPr="00B61E00" w:rsidRDefault="00267E1C" w:rsidP="00015447">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25</w:t>
            </w:r>
            <w:r>
              <w:rPr>
                <w:rFonts w:asciiTheme="majorHAnsi" w:hAnsiTheme="majorHAnsi"/>
                <w:color w:val="292929"/>
                <w:sz w:val="14"/>
                <w:szCs w:val="14"/>
              </w:rPr>
              <w:t>6</w:t>
            </w:r>
          </w:p>
        </w:tc>
        <w:tc>
          <w:tcPr>
            <w:tcW w:w="993" w:type="dxa"/>
            <w:tcBorders>
              <w:left w:val="single" w:sz="18" w:space="0" w:color="FFFFFF" w:themeColor="background2"/>
            </w:tcBorders>
          </w:tcPr>
          <w:p w14:paraId="16592D36" w14:textId="23655700" w:rsidR="00267E1C" w:rsidRPr="00B61E00" w:rsidRDefault="00267E1C" w:rsidP="00015447">
            <w:pPr>
              <w:autoSpaceDE w:val="0"/>
              <w:autoSpaceDN w:val="0"/>
              <w:adjustRightInd w:val="0"/>
              <w:spacing w:before="20" w:after="20"/>
              <w:jc w:val="right"/>
              <w:rPr>
                <w:color w:val="292929"/>
                <w:sz w:val="14"/>
                <w:szCs w:val="14"/>
              </w:rPr>
            </w:pPr>
            <w:r w:rsidRPr="00B61E00">
              <w:rPr>
                <w:color w:val="292929"/>
                <w:sz w:val="14"/>
                <w:szCs w:val="14"/>
              </w:rPr>
              <w:t xml:space="preserve">267 </w:t>
            </w:r>
          </w:p>
        </w:tc>
      </w:tr>
      <w:tr w:rsidR="00267E1C" w:rsidRPr="00B61E00" w14:paraId="4C120911" w14:textId="77777777" w:rsidTr="0089226E">
        <w:trPr>
          <w:trHeight w:val="170"/>
        </w:trPr>
        <w:tc>
          <w:tcPr>
            <w:tcW w:w="5111" w:type="dxa"/>
          </w:tcPr>
          <w:p w14:paraId="7C42A6CB" w14:textId="77777777" w:rsidR="00267E1C" w:rsidRPr="00B61E00" w:rsidRDefault="00267E1C" w:rsidP="00015447">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Wages and salaries for staff provided by Department of Health</w:t>
            </w:r>
          </w:p>
        </w:tc>
        <w:tc>
          <w:tcPr>
            <w:tcW w:w="992" w:type="dxa"/>
            <w:tcBorders>
              <w:bottom w:val="single" w:sz="2" w:space="0" w:color="auto"/>
              <w:right w:val="single" w:sz="18" w:space="0" w:color="FFFFFF" w:themeColor="background2"/>
            </w:tcBorders>
          </w:tcPr>
          <w:p w14:paraId="2405B8E7" w14:textId="5878F4B4" w:rsidR="00267E1C" w:rsidRPr="00B61E00" w:rsidRDefault="00267E1C" w:rsidP="00015447">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B61E00">
              <w:rPr>
                <w:rFonts w:asciiTheme="majorHAnsi" w:hAnsiTheme="majorHAnsi" w:cs="Futura PT Book"/>
                <w:color w:val="292929"/>
                <w:sz w:val="14"/>
                <w:szCs w:val="14"/>
                <w:lang w:val="en-US"/>
              </w:rPr>
              <w:t>6,</w:t>
            </w:r>
            <w:r>
              <w:rPr>
                <w:rFonts w:asciiTheme="majorHAnsi" w:hAnsiTheme="majorHAnsi" w:cs="Futura PT Book"/>
                <w:color w:val="292929"/>
                <w:sz w:val="14"/>
                <w:szCs w:val="14"/>
                <w:lang w:val="en-US"/>
              </w:rPr>
              <w:t>928</w:t>
            </w:r>
          </w:p>
        </w:tc>
        <w:tc>
          <w:tcPr>
            <w:tcW w:w="993" w:type="dxa"/>
            <w:tcBorders>
              <w:left w:val="single" w:sz="18" w:space="0" w:color="FFFFFF" w:themeColor="background2"/>
              <w:bottom w:val="single" w:sz="2" w:space="0" w:color="auto"/>
            </w:tcBorders>
          </w:tcPr>
          <w:p w14:paraId="0A9332D7" w14:textId="32D545C5" w:rsidR="00267E1C" w:rsidRPr="00B61E00" w:rsidRDefault="00267E1C" w:rsidP="00015447">
            <w:pPr>
              <w:suppressAutoHyphens/>
              <w:autoSpaceDE w:val="0"/>
              <w:autoSpaceDN w:val="0"/>
              <w:adjustRightInd w:val="0"/>
              <w:spacing w:before="20" w:after="20"/>
              <w:jc w:val="right"/>
              <w:textAlignment w:val="center"/>
              <w:rPr>
                <w:rFonts w:cs="Futura PT Book"/>
                <w:color w:val="292929"/>
                <w:sz w:val="14"/>
                <w:szCs w:val="14"/>
                <w:lang w:val="en-US"/>
              </w:rPr>
            </w:pPr>
            <w:r w:rsidRPr="00B61E00">
              <w:rPr>
                <w:color w:val="292929"/>
                <w:sz w:val="14"/>
                <w:szCs w:val="14"/>
              </w:rPr>
              <w:t>7,128</w:t>
            </w:r>
          </w:p>
        </w:tc>
      </w:tr>
      <w:tr w:rsidR="00267E1C" w:rsidRPr="00B61E00" w14:paraId="2400218A" w14:textId="77777777" w:rsidTr="0089226E">
        <w:trPr>
          <w:trHeight w:val="170"/>
        </w:trPr>
        <w:tc>
          <w:tcPr>
            <w:tcW w:w="5111" w:type="dxa"/>
          </w:tcPr>
          <w:p w14:paraId="6AF2BC65" w14:textId="77777777" w:rsidR="00267E1C" w:rsidRPr="00B61E00" w:rsidRDefault="00267E1C" w:rsidP="00015447">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Total employee benefits</w:t>
            </w:r>
          </w:p>
        </w:tc>
        <w:tc>
          <w:tcPr>
            <w:tcW w:w="992" w:type="dxa"/>
            <w:tcBorders>
              <w:top w:val="single" w:sz="2" w:space="0" w:color="auto"/>
              <w:bottom w:val="single" w:sz="2" w:space="0" w:color="auto"/>
              <w:right w:val="single" w:sz="18" w:space="0" w:color="FFFFFF" w:themeColor="background2"/>
            </w:tcBorders>
          </w:tcPr>
          <w:p w14:paraId="7D326C1E" w14:textId="39AF2EA7" w:rsidR="00267E1C" w:rsidRPr="00B61E00" w:rsidRDefault="00267E1C" w:rsidP="00015447">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7,</w:t>
            </w:r>
            <w:r w:rsidR="006B3FA3">
              <w:rPr>
                <w:rFonts w:asciiTheme="majorHAnsi" w:hAnsiTheme="majorHAnsi"/>
                <w:color w:val="292929"/>
                <w:sz w:val="14"/>
                <w:szCs w:val="14"/>
              </w:rPr>
              <w:t>764</w:t>
            </w:r>
          </w:p>
        </w:tc>
        <w:tc>
          <w:tcPr>
            <w:tcW w:w="993" w:type="dxa"/>
            <w:tcBorders>
              <w:top w:val="single" w:sz="2" w:space="0" w:color="auto"/>
              <w:left w:val="single" w:sz="18" w:space="0" w:color="FFFFFF" w:themeColor="background2"/>
              <w:bottom w:val="single" w:sz="2" w:space="0" w:color="auto"/>
            </w:tcBorders>
          </w:tcPr>
          <w:p w14:paraId="126ABDCD" w14:textId="184F1079" w:rsidR="00267E1C" w:rsidRPr="00B61E00" w:rsidRDefault="00267E1C" w:rsidP="00015447">
            <w:pPr>
              <w:suppressAutoHyphens/>
              <w:autoSpaceDE w:val="0"/>
              <w:autoSpaceDN w:val="0"/>
              <w:adjustRightInd w:val="0"/>
              <w:spacing w:before="20" w:after="20"/>
              <w:jc w:val="right"/>
              <w:textAlignment w:val="center"/>
              <w:rPr>
                <w:rFonts w:cs="Futura PT Book"/>
                <w:color w:val="292929"/>
                <w:sz w:val="14"/>
                <w:szCs w:val="14"/>
                <w:lang w:val="en-US"/>
              </w:rPr>
            </w:pPr>
            <w:r w:rsidRPr="00B61E00">
              <w:rPr>
                <w:color w:val="292929"/>
                <w:sz w:val="14"/>
                <w:szCs w:val="14"/>
              </w:rPr>
              <w:t xml:space="preserve">7,983 </w:t>
            </w:r>
          </w:p>
        </w:tc>
      </w:tr>
      <w:tr w:rsidR="00B61E00" w:rsidRPr="00B61E00" w14:paraId="46408413" w14:textId="77777777" w:rsidTr="0089226E">
        <w:trPr>
          <w:trHeight w:val="57"/>
        </w:trPr>
        <w:tc>
          <w:tcPr>
            <w:tcW w:w="5111" w:type="dxa"/>
          </w:tcPr>
          <w:p w14:paraId="34136A39" w14:textId="77777777" w:rsidR="00441466" w:rsidRPr="00B61E00" w:rsidRDefault="00441466" w:rsidP="00015447">
            <w:pPr>
              <w:suppressAutoHyphens/>
              <w:autoSpaceDE w:val="0"/>
              <w:autoSpaceDN w:val="0"/>
              <w:adjustRightInd w:val="0"/>
              <w:spacing w:before="20" w:after="20"/>
              <w:textAlignment w:val="center"/>
              <w:rPr>
                <w:rFonts w:asciiTheme="majorHAnsi" w:hAnsiTheme="majorHAnsi"/>
                <w:color w:val="292929"/>
                <w:sz w:val="4"/>
                <w:szCs w:val="4"/>
              </w:rPr>
            </w:pPr>
          </w:p>
        </w:tc>
        <w:tc>
          <w:tcPr>
            <w:tcW w:w="992" w:type="dxa"/>
            <w:tcBorders>
              <w:top w:val="single" w:sz="2" w:space="0" w:color="auto"/>
              <w:right w:val="single" w:sz="18" w:space="0" w:color="FFFFFF" w:themeColor="background2"/>
            </w:tcBorders>
          </w:tcPr>
          <w:p w14:paraId="67DEE44C" w14:textId="77777777" w:rsidR="00441466" w:rsidRPr="00B61E00" w:rsidRDefault="00441466" w:rsidP="00015447">
            <w:pPr>
              <w:autoSpaceDE w:val="0"/>
              <w:autoSpaceDN w:val="0"/>
              <w:adjustRightInd w:val="0"/>
              <w:spacing w:before="20" w:after="20"/>
              <w:jc w:val="right"/>
              <w:rPr>
                <w:rFonts w:asciiTheme="majorHAnsi" w:hAnsiTheme="majorHAnsi"/>
                <w:color w:val="292929"/>
                <w:sz w:val="4"/>
                <w:szCs w:val="4"/>
              </w:rPr>
            </w:pPr>
          </w:p>
        </w:tc>
        <w:tc>
          <w:tcPr>
            <w:tcW w:w="993" w:type="dxa"/>
            <w:tcBorders>
              <w:top w:val="single" w:sz="2" w:space="0" w:color="auto"/>
              <w:left w:val="single" w:sz="18" w:space="0" w:color="FFFFFF" w:themeColor="background2"/>
            </w:tcBorders>
          </w:tcPr>
          <w:p w14:paraId="6CE91E69" w14:textId="77777777" w:rsidR="00441466" w:rsidRPr="00B61E00" w:rsidRDefault="00441466" w:rsidP="00015447">
            <w:pPr>
              <w:suppressAutoHyphens/>
              <w:autoSpaceDE w:val="0"/>
              <w:autoSpaceDN w:val="0"/>
              <w:adjustRightInd w:val="0"/>
              <w:spacing w:before="20" w:after="20"/>
              <w:jc w:val="right"/>
              <w:textAlignment w:val="center"/>
              <w:rPr>
                <w:color w:val="292929"/>
                <w:sz w:val="4"/>
                <w:szCs w:val="4"/>
              </w:rPr>
            </w:pPr>
          </w:p>
        </w:tc>
      </w:tr>
    </w:tbl>
    <w:p w14:paraId="3417B654" w14:textId="77777777" w:rsidR="00441466" w:rsidRPr="00B61E00" w:rsidRDefault="00441466" w:rsidP="00441466">
      <w:pPr>
        <w:pStyle w:val="Body"/>
        <w:rPr>
          <w:color w:val="292929"/>
        </w:rPr>
      </w:pPr>
    </w:p>
    <w:tbl>
      <w:tblPr>
        <w:tblStyle w:val="TableGrid1"/>
        <w:tblW w:w="4993" w:type="pct"/>
        <w:tblCellMar>
          <w:top w:w="57" w:type="dxa"/>
          <w:bottom w:w="57" w:type="dxa"/>
        </w:tblCellMar>
        <w:tblLook w:val="04A0" w:firstRow="1" w:lastRow="0" w:firstColumn="1" w:lastColumn="0" w:noHBand="0" w:noVBand="1"/>
        <w:tblCaption w:val="Note 1.1A"/>
        <w:tblDescription w:val="Accounting policy"/>
      </w:tblPr>
      <w:tblGrid>
        <w:gridCol w:w="7690"/>
      </w:tblGrid>
      <w:tr w:rsidR="00B61E00" w:rsidRPr="00B61E00" w14:paraId="3BA94699" w14:textId="77777777" w:rsidTr="005C2759">
        <w:trPr>
          <w:trHeight w:val="907"/>
          <w:tblHeader/>
        </w:trPr>
        <w:tc>
          <w:tcPr>
            <w:tcW w:w="5000" w:type="pct"/>
          </w:tcPr>
          <w:p w14:paraId="5EE9CAEB" w14:textId="77777777" w:rsidR="00441466" w:rsidRPr="00B61E00" w:rsidRDefault="00441466" w:rsidP="006544B5">
            <w:pPr>
              <w:pStyle w:val="Body"/>
              <w:spacing w:after="120" w:line="288" w:lineRule="auto"/>
              <w:rPr>
                <w:rFonts w:asciiTheme="majorHAnsi" w:hAnsiTheme="majorHAnsi"/>
                <w:color w:val="292929"/>
              </w:rPr>
            </w:pPr>
            <w:bookmarkStart w:id="186" w:name="_Hlk48554702"/>
            <w:r w:rsidRPr="00B61E00">
              <w:rPr>
                <w:rFonts w:asciiTheme="majorHAnsi" w:hAnsiTheme="majorHAnsi"/>
                <w:color w:val="292929"/>
              </w:rPr>
              <w:t>Accounting Policy</w:t>
            </w:r>
          </w:p>
          <w:p w14:paraId="4A1A8A4A" w14:textId="77777777" w:rsidR="00441466" w:rsidRPr="00B61E00" w:rsidRDefault="00441466" w:rsidP="006544B5">
            <w:pPr>
              <w:pStyle w:val="Body"/>
              <w:spacing w:after="120" w:line="288" w:lineRule="auto"/>
              <w:rPr>
                <w:b/>
                <w:bCs/>
                <w:color w:val="292929"/>
              </w:rPr>
            </w:pPr>
            <w:r w:rsidRPr="00B61E00">
              <w:rPr>
                <w:b/>
                <w:bCs/>
                <w:color w:val="292929"/>
              </w:rPr>
              <w:t>Employee benefits</w:t>
            </w:r>
          </w:p>
          <w:p w14:paraId="77380874" w14:textId="77777777" w:rsidR="00441466" w:rsidRPr="00B61E00" w:rsidRDefault="00441466" w:rsidP="006544B5">
            <w:pPr>
              <w:pStyle w:val="Body"/>
              <w:spacing w:line="288" w:lineRule="auto"/>
              <w:rPr>
                <w:color w:val="292929"/>
              </w:rPr>
            </w:pPr>
            <w:r w:rsidRPr="00B61E00">
              <w:rPr>
                <w:color w:val="292929"/>
              </w:rPr>
              <w:t>Accounting policies for employee benefits is contained in the People and Relationships section.</w:t>
            </w:r>
          </w:p>
        </w:tc>
      </w:tr>
      <w:bookmarkEnd w:id="186"/>
    </w:tbl>
    <w:p w14:paraId="05733292" w14:textId="5B943207" w:rsidR="006F7325" w:rsidRPr="00B61E00" w:rsidRDefault="006F7325" w:rsidP="00156309">
      <w:pPr>
        <w:pStyle w:val="Body"/>
        <w:rPr>
          <w:color w:val="292929"/>
        </w:rPr>
      </w:pPr>
    </w:p>
    <w:p w14:paraId="35C792B5" w14:textId="77777777" w:rsidR="00022E20" w:rsidRDefault="00022E20" w:rsidP="00156309">
      <w:pPr>
        <w:pStyle w:val="Body"/>
        <w:rPr>
          <w:color w:val="292929"/>
        </w:rPr>
        <w:sectPr w:rsidR="00022E20" w:rsidSect="00441579">
          <w:footerReference w:type="default" r:id="rId203"/>
          <w:pgSz w:w="9979" w:h="14175"/>
          <w:pgMar w:top="1134" w:right="1134" w:bottom="1134" w:left="1134" w:header="709" w:footer="709" w:gutter="0"/>
          <w:cols w:space="708"/>
          <w:docGrid w:linePitch="360"/>
        </w:sectPr>
      </w:pPr>
    </w:p>
    <w:tbl>
      <w:tblPr>
        <w:tblStyle w:val="IHPA"/>
        <w:tblW w:w="7096" w:type="dxa"/>
        <w:tblLayout w:type="fixed"/>
        <w:tblLook w:val="0020" w:firstRow="1" w:lastRow="0" w:firstColumn="0" w:lastColumn="0" w:noHBand="0" w:noVBand="0"/>
        <w:tblCaption w:val="Note 1.1B"/>
        <w:tblDescription w:val="Suppliers"/>
      </w:tblPr>
      <w:tblGrid>
        <w:gridCol w:w="5111"/>
        <w:gridCol w:w="992"/>
        <w:gridCol w:w="993"/>
      </w:tblGrid>
      <w:tr w:rsidR="00B61E00" w:rsidRPr="00B61E00" w14:paraId="1AF1E92F" w14:textId="77777777" w:rsidTr="0089226E">
        <w:trPr>
          <w:trHeight w:val="340"/>
        </w:trPr>
        <w:tc>
          <w:tcPr>
            <w:tcW w:w="5111" w:type="dxa"/>
          </w:tcPr>
          <w:p w14:paraId="19A91EC9" w14:textId="77777777" w:rsidR="00441466" w:rsidRPr="00B61E00" w:rsidRDefault="00441466" w:rsidP="0089226E">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080ED173" w14:textId="1CDA2CB8" w:rsidR="00441466" w:rsidRPr="00B61E00" w:rsidRDefault="00441466" w:rsidP="0089226E">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2021</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3B85E6BE" w14:textId="27B4E37D" w:rsidR="00441466" w:rsidRPr="00B61E00" w:rsidRDefault="00441466" w:rsidP="0089226E">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2020</w:t>
            </w:r>
            <w:r w:rsidRPr="00B61E00">
              <w:rPr>
                <w:rFonts w:asciiTheme="majorHAnsi" w:hAnsiTheme="majorHAnsi" w:cs="Futura PT Heavy"/>
                <w:color w:val="292929"/>
                <w:sz w:val="16"/>
                <w:szCs w:val="16"/>
                <w:lang w:val="en-US"/>
              </w:rPr>
              <w:br/>
              <w:t>$’000</w:t>
            </w:r>
          </w:p>
        </w:tc>
      </w:tr>
      <w:tr w:rsidR="00B61E00" w:rsidRPr="00B61E00" w14:paraId="13233029" w14:textId="77777777" w:rsidTr="0089226E">
        <w:trPr>
          <w:trHeight w:val="170"/>
        </w:trPr>
        <w:tc>
          <w:tcPr>
            <w:tcW w:w="5111" w:type="dxa"/>
          </w:tcPr>
          <w:p w14:paraId="4D8B619A" w14:textId="77777777" w:rsidR="00441466" w:rsidRPr="00B61E00" w:rsidRDefault="00441466" w:rsidP="0089226E">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Note 1.1B: Suppliers</w:t>
            </w:r>
          </w:p>
        </w:tc>
        <w:tc>
          <w:tcPr>
            <w:tcW w:w="992" w:type="dxa"/>
            <w:tcBorders>
              <w:top w:val="single" w:sz="12" w:space="0" w:color="auto"/>
              <w:right w:val="single" w:sz="18" w:space="0" w:color="FFFFFF" w:themeColor="background2"/>
            </w:tcBorders>
          </w:tcPr>
          <w:p w14:paraId="772C2D41" w14:textId="77777777" w:rsidR="00441466" w:rsidRPr="00B61E00" w:rsidRDefault="00441466"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74D10E6C" w14:textId="77777777" w:rsidR="00441466" w:rsidRPr="00B61E00" w:rsidRDefault="00441466" w:rsidP="0089226E">
            <w:pPr>
              <w:autoSpaceDE w:val="0"/>
              <w:autoSpaceDN w:val="0"/>
              <w:adjustRightInd w:val="0"/>
              <w:spacing w:before="20" w:after="20"/>
              <w:jc w:val="right"/>
              <w:rPr>
                <w:color w:val="292929"/>
                <w:sz w:val="14"/>
                <w:szCs w:val="14"/>
              </w:rPr>
            </w:pPr>
          </w:p>
        </w:tc>
      </w:tr>
      <w:tr w:rsidR="00B61E00" w:rsidRPr="00B61E00" w14:paraId="7FED728A" w14:textId="77777777" w:rsidTr="0089226E">
        <w:trPr>
          <w:trHeight w:val="170"/>
        </w:trPr>
        <w:tc>
          <w:tcPr>
            <w:tcW w:w="5111" w:type="dxa"/>
          </w:tcPr>
          <w:p w14:paraId="47FB502A" w14:textId="77777777" w:rsidR="00441466" w:rsidRPr="00B61E00" w:rsidRDefault="00441466" w:rsidP="0089226E">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Goods and services supplied or rendered</w:t>
            </w:r>
          </w:p>
        </w:tc>
        <w:tc>
          <w:tcPr>
            <w:tcW w:w="992" w:type="dxa"/>
            <w:tcBorders>
              <w:right w:val="single" w:sz="18" w:space="0" w:color="FFFFFF" w:themeColor="background2"/>
            </w:tcBorders>
          </w:tcPr>
          <w:p w14:paraId="0F3F28BD" w14:textId="77777777" w:rsidR="00441466" w:rsidRPr="00B61E00" w:rsidRDefault="00441466"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left w:val="single" w:sz="18" w:space="0" w:color="FFFFFF" w:themeColor="background2"/>
            </w:tcBorders>
          </w:tcPr>
          <w:p w14:paraId="050A8719" w14:textId="77777777" w:rsidR="00441466" w:rsidRPr="00B61E00" w:rsidRDefault="00441466" w:rsidP="0089226E">
            <w:pPr>
              <w:autoSpaceDE w:val="0"/>
              <w:autoSpaceDN w:val="0"/>
              <w:adjustRightInd w:val="0"/>
              <w:spacing w:before="20" w:after="20"/>
              <w:jc w:val="right"/>
              <w:rPr>
                <w:color w:val="292929"/>
                <w:sz w:val="14"/>
                <w:szCs w:val="14"/>
              </w:rPr>
            </w:pPr>
          </w:p>
        </w:tc>
      </w:tr>
      <w:tr w:rsidR="00267E1C" w:rsidRPr="00B61E00" w14:paraId="20071818" w14:textId="77777777" w:rsidTr="0089226E">
        <w:trPr>
          <w:trHeight w:val="170"/>
        </w:trPr>
        <w:tc>
          <w:tcPr>
            <w:tcW w:w="5111" w:type="dxa"/>
          </w:tcPr>
          <w:p w14:paraId="53501BA2" w14:textId="77777777" w:rsidR="00267E1C" w:rsidRPr="00B61E00" w:rsidRDefault="00267E1C"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Consultants</w:t>
            </w:r>
          </w:p>
        </w:tc>
        <w:tc>
          <w:tcPr>
            <w:tcW w:w="992" w:type="dxa"/>
            <w:tcBorders>
              <w:right w:val="single" w:sz="18" w:space="0" w:color="FFFFFF" w:themeColor="background2"/>
            </w:tcBorders>
          </w:tcPr>
          <w:p w14:paraId="4340E74C" w14:textId="30844EFF" w:rsidR="00267E1C" w:rsidRPr="00B61E00" w:rsidRDefault="00267E1C" w:rsidP="0089226E">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B61E00">
              <w:rPr>
                <w:rFonts w:asciiTheme="majorHAnsi" w:hAnsiTheme="majorHAnsi" w:cs="Calibri"/>
                <w:color w:val="292929"/>
                <w:sz w:val="14"/>
                <w:szCs w:val="14"/>
              </w:rPr>
              <w:t>2,79</w:t>
            </w:r>
            <w:r>
              <w:rPr>
                <w:rFonts w:asciiTheme="majorHAnsi" w:hAnsiTheme="majorHAnsi" w:cs="Calibri"/>
                <w:color w:val="292929"/>
                <w:sz w:val="14"/>
                <w:szCs w:val="14"/>
              </w:rPr>
              <w:t>3</w:t>
            </w:r>
            <w:r w:rsidRPr="00B61E00">
              <w:rPr>
                <w:rFonts w:asciiTheme="majorHAnsi" w:hAnsiTheme="majorHAnsi" w:cs="Calibri"/>
                <w:color w:val="292929"/>
                <w:sz w:val="14"/>
                <w:szCs w:val="14"/>
              </w:rPr>
              <w:t xml:space="preserve"> </w:t>
            </w:r>
          </w:p>
        </w:tc>
        <w:tc>
          <w:tcPr>
            <w:tcW w:w="993" w:type="dxa"/>
            <w:tcBorders>
              <w:left w:val="single" w:sz="18" w:space="0" w:color="FFFFFF" w:themeColor="background2"/>
            </w:tcBorders>
          </w:tcPr>
          <w:p w14:paraId="2BF63975" w14:textId="08102D2B" w:rsidR="00267E1C" w:rsidRPr="00B61E00" w:rsidRDefault="00267E1C" w:rsidP="0089226E">
            <w:pPr>
              <w:suppressAutoHyphens/>
              <w:autoSpaceDE w:val="0"/>
              <w:autoSpaceDN w:val="0"/>
              <w:adjustRightInd w:val="0"/>
              <w:spacing w:before="20" w:after="20"/>
              <w:jc w:val="right"/>
              <w:textAlignment w:val="center"/>
              <w:rPr>
                <w:rFonts w:cs="Futura PT Book"/>
                <w:color w:val="292929"/>
                <w:sz w:val="14"/>
                <w:szCs w:val="14"/>
                <w:lang w:val="en-US"/>
              </w:rPr>
            </w:pPr>
            <w:r w:rsidRPr="00B61E00">
              <w:rPr>
                <w:rFonts w:cs="Calibri"/>
                <w:color w:val="292929"/>
                <w:sz w:val="14"/>
                <w:szCs w:val="14"/>
              </w:rPr>
              <w:t xml:space="preserve">4,244 </w:t>
            </w:r>
          </w:p>
        </w:tc>
      </w:tr>
      <w:tr w:rsidR="00267E1C" w:rsidRPr="00B61E00" w14:paraId="39CB2F3B" w14:textId="77777777" w:rsidTr="0089226E">
        <w:trPr>
          <w:trHeight w:val="170"/>
        </w:trPr>
        <w:tc>
          <w:tcPr>
            <w:tcW w:w="5111" w:type="dxa"/>
          </w:tcPr>
          <w:p w14:paraId="4B341B59" w14:textId="77777777" w:rsidR="00267E1C" w:rsidRPr="00B61E00" w:rsidRDefault="00267E1C"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Contractors</w:t>
            </w:r>
          </w:p>
        </w:tc>
        <w:tc>
          <w:tcPr>
            <w:tcW w:w="992" w:type="dxa"/>
            <w:tcBorders>
              <w:right w:val="single" w:sz="18" w:space="0" w:color="FFFFFF" w:themeColor="background2"/>
            </w:tcBorders>
          </w:tcPr>
          <w:p w14:paraId="2909FBE0" w14:textId="231303E0" w:rsidR="00267E1C" w:rsidRPr="00B61E00" w:rsidRDefault="00267E1C" w:rsidP="0089226E">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Calibri"/>
                <w:color w:val="292929"/>
                <w:sz w:val="14"/>
                <w:szCs w:val="14"/>
              </w:rPr>
              <w:t>1</w:t>
            </w:r>
            <w:r w:rsidRPr="00B61E00">
              <w:rPr>
                <w:rFonts w:asciiTheme="majorHAnsi" w:hAnsiTheme="majorHAnsi" w:cs="Calibri"/>
                <w:color w:val="292929"/>
                <w:sz w:val="14"/>
                <w:szCs w:val="14"/>
              </w:rPr>
              <w:t>,</w:t>
            </w:r>
            <w:r>
              <w:rPr>
                <w:rFonts w:asciiTheme="majorHAnsi" w:hAnsiTheme="majorHAnsi" w:cs="Calibri"/>
                <w:color w:val="292929"/>
                <w:sz w:val="14"/>
                <w:szCs w:val="14"/>
              </w:rPr>
              <w:t>999</w:t>
            </w:r>
            <w:r w:rsidRPr="00B61E00">
              <w:rPr>
                <w:rFonts w:asciiTheme="majorHAnsi" w:hAnsiTheme="majorHAnsi" w:cs="Calibri"/>
                <w:color w:val="292929"/>
                <w:sz w:val="14"/>
                <w:szCs w:val="14"/>
              </w:rPr>
              <w:t xml:space="preserve"> </w:t>
            </w:r>
          </w:p>
        </w:tc>
        <w:tc>
          <w:tcPr>
            <w:tcW w:w="993" w:type="dxa"/>
            <w:tcBorders>
              <w:left w:val="single" w:sz="18" w:space="0" w:color="FFFFFF" w:themeColor="background2"/>
            </w:tcBorders>
          </w:tcPr>
          <w:p w14:paraId="7F109258" w14:textId="2AF8F7B2" w:rsidR="00267E1C" w:rsidRPr="00B61E00" w:rsidRDefault="00267E1C" w:rsidP="0089226E">
            <w:pPr>
              <w:suppressAutoHyphens/>
              <w:autoSpaceDE w:val="0"/>
              <w:autoSpaceDN w:val="0"/>
              <w:adjustRightInd w:val="0"/>
              <w:spacing w:before="20" w:after="20"/>
              <w:jc w:val="right"/>
              <w:textAlignment w:val="center"/>
              <w:rPr>
                <w:rFonts w:cs="Futura PT Book"/>
                <w:color w:val="292929"/>
                <w:sz w:val="14"/>
                <w:szCs w:val="14"/>
                <w:lang w:val="en-US"/>
              </w:rPr>
            </w:pPr>
            <w:r w:rsidRPr="00B61E00">
              <w:rPr>
                <w:rFonts w:cs="Calibri"/>
                <w:color w:val="292929"/>
                <w:sz w:val="14"/>
                <w:szCs w:val="14"/>
              </w:rPr>
              <w:t xml:space="preserve">3,955 </w:t>
            </w:r>
          </w:p>
        </w:tc>
      </w:tr>
      <w:tr w:rsidR="00267E1C" w:rsidRPr="00B61E00" w14:paraId="4AB7FCF3" w14:textId="77777777" w:rsidTr="0089226E">
        <w:trPr>
          <w:trHeight w:val="170"/>
        </w:trPr>
        <w:tc>
          <w:tcPr>
            <w:tcW w:w="5111" w:type="dxa"/>
          </w:tcPr>
          <w:p w14:paraId="42DFCE9D" w14:textId="77777777" w:rsidR="00267E1C" w:rsidRPr="00B61E00" w:rsidRDefault="00267E1C"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IT services</w:t>
            </w:r>
          </w:p>
        </w:tc>
        <w:tc>
          <w:tcPr>
            <w:tcW w:w="992" w:type="dxa"/>
            <w:tcBorders>
              <w:right w:val="single" w:sz="18" w:space="0" w:color="FFFFFF" w:themeColor="background2"/>
            </w:tcBorders>
          </w:tcPr>
          <w:p w14:paraId="1F063142" w14:textId="6A9113A8"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3,</w:t>
            </w:r>
            <w:r w:rsidR="006B3FA3">
              <w:rPr>
                <w:rFonts w:asciiTheme="majorHAnsi" w:hAnsiTheme="majorHAnsi" w:cs="Calibri"/>
                <w:color w:val="292929"/>
                <w:sz w:val="14"/>
                <w:szCs w:val="14"/>
              </w:rPr>
              <w:t>908</w:t>
            </w:r>
            <w:r w:rsidRPr="00B61E00">
              <w:rPr>
                <w:rFonts w:asciiTheme="majorHAnsi" w:hAnsiTheme="majorHAnsi" w:cs="Calibri"/>
                <w:color w:val="292929"/>
                <w:sz w:val="14"/>
                <w:szCs w:val="14"/>
              </w:rPr>
              <w:t xml:space="preserve"> </w:t>
            </w:r>
          </w:p>
        </w:tc>
        <w:tc>
          <w:tcPr>
            <w:tcW w:w="993" w:type="dxa"/>
            <w:tcBorders>
              <w:left w:val="single" w:sz="18" w:space="0" w:color="FFFFFF" w:themeColor="background2"/>
            </w:tcBorders>
          </w:tcPr>
          <w:p w14:paraId="4B9C6ABF" w14:textId="3489DB3B" w:rsidR="00267E1C" w:rsidRPr="00B61E00" w:rsidRDefault="00267E1C" w:rsidP="0089226E">
            <w:pPr>
              <w:autoSpaceDE w:val="0"/>
              <w:autoSpaceDN w:val="0"/>
              <w:adjustRightInd w:val="0"/>
              <w:spacing w:before="20" w:after="20"/>
              <w:jc w:val="right"/>
              <w:rPr>
                <w:color w:val="292929"/>
                <w:sz w:val="14"/>
                <w:szCs w:val="14"/>
              </w:rPr>
            </w:pPr>
            <w:r w:rsidRPr="00B61E00">
              <w:rPr>
                <w:rFonts w:cs="Calibri"/>
                <w:color w:val="292929"/>
                <w:sz w:val="14"/>
                <w:szCs w:val="14"/>
              </w:rPr>
              <w:t xml:space="preserve">3,764 </w:t>
            </w:r>
          </w:p>
        </w:tc>
      </w:tr>
      <w:tr w:rsidR="00267E1C" w:rsidRPr="00B61E00" w14:paraId="3350188A" w14:textId="77777777" w:rsidTr="0089226E">
        <w:trPr>
          <w:trHeight w:val="170"/>
        </w:trPr>
        <w:tc>
          <w:tcPr>
            <w:tcW w:w="5111" w:type="dxa"/>
          </w:tcPr>
          <w:p w14:paraId="0F6FCEC5" w14:textId="77777777" w:rsidR="00267E1C" w:rsidRPr="00B61E00" w:rsidRDefault="00267E1C"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Travel</w:t>
            </w:r>
          </w:p>
        </w:tc>
        <w:tc>
          <w:tcPr>
            <w:tcW w:w="992" w:type="dxa"/>
            <w:tcBorders>
              <w:right w:val="single" w:sz="18" w:space="0" w:color="FFFFFF" w:themeColor="background2"/>
            </w:tcBorders>
          </w:tcPr>
          <w:p w14:paraId="4F5C22E6" w14:textId="15055C4C"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53</w:t>
            </w:r>
            <w:r w:rsidRPr="00B61E00">
              <w:rPr>
                <w:rFonts w:asciiTheme="majorHAnsi" w:hAnsiTheme="majorHAnsi" w:cs="Calibri"/>
                <w:color w:val="292929"/>
                <w:sz w:val="14"/>
                <w:szCs w:val="14"/>
              </w:rPr>
              <w:t xml:space="preserve"> </w:t>
            </w:r>
          </w:p>
        </w:tc>
        <w:tc>
          <w:tcPr>
            <w:tcW w:w="993" w:type="dxa"/>
            <w:tcBorders>
              <w:left w:val="single" w:sz="18" w:space="0" w:color="FFFFFF" w:themeColor="background2"/>
            </w:tcBorders>
          </w:tcPr>
          <w:p w14:paraId="1CB3A866" w14:textId="200B384A" w:rsidR="00267E1C" w:rsidRPr="00B61E00" w:rsidRDefault="00267E1C" w:rsidP="0089226E">
            <w:pPr>
              <w:autoSpaceDE w:val="0"/>
              <w:autoSpaceDN w:val="0"/>
              <w:adjustRightInd w:val="0"/>
              <w:spacing w:before="20" w:after="20"/>
              <w:jc w:val="right"/>
              <w:rPr>
                <w:color w:val="292929"/>
                <w:sz w:val="14"/>
                <w:szCs w:val="14"/>
              </w:rPr>
            </w:pPr>
            <w:r w:rsidRPr="00B61E00">
              <w:rPr>
                <w:rFonts w:cs="Calibri"/>
                <w:color w:val="292929"/>
                <w:sz w:val="14"/>
                <w:szCs w:val="14"/>
              </w:rPr>
              <w:t xml:space="preserve">211 </w:t>
            </w:r>
          </w:p>
        </w:tc>
      </w:tr>
      <w:tr w:rsidR="00267E1C" w:rsidRPr="00B61E00" w14:paraId="353B5940" w14:textId="77777777" w:rsidTr="0089226E">
        <w:trPr>
          <w:trHeight w:val="170"/>
        </w:trPr>
        <w:tc>
          <w:tcPr>
            <w:tcW w:w="5111" w:type="dxa"/>
          </w:tcPr>
          <w:p w14:paraId="22CA248D" w14:textId="77777777" w:rsidR="00267E1C" w:rsidRPr="00B61E00" w:rsidRDefault="00267E1C"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Training</w:t>
            </w:r>
          </w:p>
        </w:tc>
        <w:tc>
          <w:tcPr>
            <w:tcW w:w="992" w:type="dxa"/>
            <w:tcBorders>
              <w:right w:val="single" w:sz="18" w:space="0" w:color="FFFFFF" w:themeColor="background2"/>
            </w:tcBorders>
          </w:tcPr>
          <w:p w14:paraId="3FE8F476" w14:textId="33DC355A" w:rsidR="00267E1C" w:rsidRPr="00B61E00" w:rsidRDefault="00267E1C" w:rsidP="0089226E">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B61E00">
              <w:rPr>
                <w:rFonts w:asciiTheme="majorHAnsi" w:hAnsiTheme="majorHAnsi" w:cs="Calibri"/>
                <w:color w:val="292929"/>
                <w:sz w:val="14"/>
                <w:szCs w:val="14"/>
              </w:rPr>
              <w:t xml:space="preserve">132 </w:t>
            </w:r>
          </w:p>
        </w:tc>
        <w:tc>
          <w:tcPr>
            <w:tcW w:w="993" w:type="dxa"/>
            <w:tcBorders>
              <w:left w:val="single" w:sz="18" w:space="0" w:color="FFFFFF" w:themeColor="background2"/>
            </w:tcBorders>
          </w:tcPr>
          <w:p w14:paraId="66F73865" w14:textId="33A826FE" w:rsidR="00267E1C" w:rsidRPr="00B61E00" w:rsidRDefault="00267E1C" w:rsidP="0089226E">
            <w:pPr>
              <w:suppressAutoHyphens/>
              <w:autoSpaceDE w:val="0"/>
              <w:autoSpaceDN w:val="0"/>
              <w:adjustRightInd w:val="0"/>
              <w:spacing w:before="20" w:after="20"/>
              <w:jc w:val="right"/>
              <w:textAlignment w:val="center"/>
              <w:rPr>
                <w:rFonts w:cs="Futura PT Book"/>
                <w:color w:val="292929"/>
                <w:sz w:val="14"/>
                <w:szCs w:val="14"/>
                <w:lang w:val="en-US"/>
              </w:rPr>
            </w:pPr>
            <w:r w:rsidRPr="00B61E00">
              <w:rPr>
                <w:rFonts w:cs="Calibri"/>
                <w:color w:val="292929"/>
                <w:sz w:val="14"/>
                <w:szCs w:val="14"/>
              </w:rPr>
              <w:t xml:space="preserve">168 </w:t>
            </w:r>
          </w:p>
        </w:tc>
      </w:tr>
      <w:tr w:rsidR="00267E1C" w:rsidRPr="00B61E00" w14:paraId="2B5C09FA" w14:textId="77777777" w:rsidTr="0089226E">
        <w:trPr>
          <w:trHeight w:val="170"/>
        </w:trPr>
        <w:tc>
          <w:tcPr>
            <w:tcW w:w="5111" w:type="dxa"/>
          </w:tcPr>
          <w:p w14:paraId="40DBCEEE" w14:textId="77777777" w:rsidR="00267E1C" w:rsidRPr="00B61E00" w:rsidRDefault="00267E1C"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Publishing materials</w:t>
            </w:r>
          </w:p>
        </w:tc>
        <w:tc>
          <w:tcPr>
            <w:tcW w:w="992" w:type="dxa"/>
            <w:tcBorders>
              <w:right w:val="single" w:sz="18" w:space="0" w:color="FFFFFF" w:themeColor="background2"/>
            </w:tcBorders>
          </w:tcPr>
          <w:p w14:paraId="4B9E62C4" w14:textId="1751CE5E"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s="Calibri"/>
                <w:color w:val="292929"/>
                <w:sz w:val="14"/>
                <w:szCs w:val="14"/>
              </w:rPr>
              <w:t xml:space="preserve">202 </w:t>
            </w:r>
          </w:p>
        </w:tc>
        <w:tc>
          <w:tcPr>
            <w:tcW w:w="993" w:type="dxa"/>
            <w:tcBorders>
              <w:left w:val="single" w:sz="18" w:space="0" w:color="FFFFFF" w:themeColor="background2"/>
            </w:tcBorders>
          </w:tcPr>
          <w:p w14:paraId="163FDF09" w14:textId="72CA99BD" w:rsidR="00267E1C" w:rsidRPr="00B61E00" w:rsidRDefault="006B3FA3" w:rsidP="0089226E">
            <w:pPr>
              <w:suppressAutoHyphens/>
              <w:autoSpaceDE w:val="0"/>
              <w:autoSpaceDN w:val="0"/>
              <w:adjustRightInd w:val="0"/>
              <w:spacing w:before="20" w:after="20"/>
              <w:jc w:val="right"/>
              <w:textAlignment w:val="center"/>
              <w:rPr>
                <w:rFonts w:cs="Futura PT Book"/>
                <w:color w:val="292929"/>
                <w:sz w:val="14"/>
                <w:szCs w:val="14"/>
                <w:lang w:val="en-US"/>
              </w:rPr>
            </w:pPr>
            <w:r>
              <w:rPr>
                <w:rFonts w:cs="Calibri"/>
                <w:color w:val="292929"/>
                <w:sz w:val="14"/>
                <w:szCs w:val="14"/>
              </w:rPr>
              <w:t>293</w:t>
            </w:r>
            <w:r w:rsidR="00267E1C" w:rsidRPr="00B61E00">
              <w:rPr>
                <w:rFonts w:cs="Calibri"/>
                <w:color w:val="292929"/>
                <w:sz w:val="14"/>
                <w:szCs w:val="14"/>
              </w:rPr>
              <w:t xml:space="preserve"> </w:t>
            </w:r>
          </w:p>
        </w:tc>
      </w:tr>
      <w:tr w:rsidR="00267E1C" w:rsidRPr="00B61E00" w14:paraId="51D23B38" w14:textId="77777777" w:rsidTr="0089226E">
        <w:trPr>
          <w:trHeight w:val="170"/>
        </w:trPr>
        <w:tc>
          <w:tcPr>
            <w:tcW w:w="5111" w:type="dxa"/>
          </w:tcPr>
          <w:p w14:paraId="04F78E05" w14:textId="77777777" w:rsidR="00267E1C" w:rsidRPr="00B61E00" w:rsidRDefault="00267E1C" w:rsidP="0089226E">
            <w:pPr>
              <w:suppressAutoHyphens/>
              <w:autoSpaceDE w:val="0"/>
              <w:autoSpaceDN w:val="0"/>
              <w:adjustRightInd w:val="0"/>
              <w:spacing w:before="20" w:after="20"/>
              <w:textAlignment w:val="center"/>
              <w:rPr>
                <w:color w:val="292929"/>
                <w:sz w:val="14"/>
                <w:szCs w:val="14"/>
              </w:rPr>
            </w:pPr>
            <w:r w:rsidRPr="00B61E00">
              <w:rPr>
                <w:color w:val="292929"/>
                <w:sz w:val="14"/>
                <w:szCs w:val="14"/>
              </w:rPr>
              <w:t>Legal and audit expenses</w:t>
            </w:r>
          </w:p>
        </w:tc>
        <w:tc>
          <w:tcPr>
            <w:tcW w:w="992" w:type="dxa"/>
            <w:tcBorders>
              <w:right w:val="single" w:sz="18" w:space="0" w:color="FFFFFF" w:themeColor="background2"/>
            </w:tcBorders>
          </w:tcPr>
          <w:p w14:paraId="28101342" w14:textId="3EE122A6"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s="Calibri"/>
                <w:color w:val="292929"/>
                <w:sz w:val="14"/>
                <w:szCs w:val="14"/>
              </w:rPr>
              <w:t>1</w:t>
            </w:r>
            <w:r>
              <w:rPr>
                <w:rFonts w:asciiTheme="majorHAnsi" w:hAnsiTheme="majorHAnsi" w:cs="Calibri"/>
                <w:color w:val="292929"/>
                <w:sz w:val="14"/>
                <w:szCs w:val="14"/>
              </w:rPr>
              <w:t>79</w:t>
            </w:r>
            <w:r w:rsidRPr="00B61E00">
              <w:rPr>
                <w:rFonts w:asciiTheme="majorHAnsi" w:hAnsiTheme="majorHAnsi" w:cs="Calibri"/>
                <w:color w:val="292929"/>
                <w:sz w:val="14"/>
                <w:szCs w:val="14"/>
              </w:rPr>
              <w:t xml:space="preserve"> </w:t>
            </w:r>
          </w:p>
        </w:tc>
        <w:tc>
          <w:tcPr>
            <w:tcW w:w="993" w:type="dxa"/>
            <w:tcBorders>
              <w:left w:val="single" w:sz="18" w:space="0" w:color="FFFFFF" w:themeColor="background2"/>
            </w:tcBorders>
          </w:tcPr>
          <w:p w14:paraId="0BBFA2B9" w14:textId="01EABC04"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rFonts w:cs="Calibri"/>
                <w:color w:val="292929"/>
                <w:sz w:val="14"/>
                <w:szCs w:val="14"/>
              </w:rPr>
              <w:t xml:space="preserve">179 </w:t>
            </w:r>
          </w:p>
        </w:tc>
      </w:tr>
      <w:tr w:rsidR="00267E1C" w:rsidRPr="00B61E00" w14:paraId="26AFB51D" w14:textId="77777777" w:rsidTr="0089226E">
        <w:trPr>
          <w:trHeight w:val="170"/>
        </w:trPr>
        <w:tc>
          <w:tcPr>
            <w:tcW w:w="5111" w:type="dxa"/>
          </w:tcPr>
          <w:p w14:paraId="0936AD09" w14:textId="77777777" w:rsidR="00267E1C" w:rsidRPr="00B61E00" w:rsidRDefault="00267E1C" w:rsidP="0089226E">
            <w:pPr>
              <w:suppressAutoHyphens/>
              <w:autoSpaceDE w:val="0"/>
              <w:autoSpaceDN w:val="0"/>
              <w:adjustRightInd w:val="0"/>
              <w:spacing w:before="20" w:after="20"/>
              <w:textAlignment w:val="center"/>
              <w:rPr>
                <w:color w:val="292929"/>
                <w:sz w:val="14"/>
                <w:szCs w:val="14"/>
              </w:rPr>
            </w:pPr>
            <w:r w:rsidRPr="00B61E00">
              <w:rPr>
                <w:color w:val="292929"/>
                <w:sz w:val="14"/>
                <w:szCs w:val="14"/>
              </w:rPr>
              <w:t>Conferences and seminars</w:t>
            </w:r>
          </w:p>
        </w:tc>
        <w:tc>
          <w:tcPr>
            <w:tcW w:w="992" w:type="dxa"/>
            <w:tcBorders>
              <w:right w:val="single" w:sz="18" w:space="0" w:color="FFFFFF" w:themeColor="background2"/>
            </w:tcBorders>
          </w:tcPr>
          <w:p w14:paraId="1198F602" w14:textId="7C4F5E25"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s="Calibri"/>
                <w:color w:val="292929"/>
                <w:sz w:val="14"/>
                <w:szCs w:val="14"/>
              </w:rPr>
              <w:t xml:space="preserve">132 </w:t>
            </w:r>
          </w:p>
        </w:tc>
        <w:tc>
          <w:tcPr>
            <w:tcW w:w="993" w:type="dxa"/>
            <w:tcBorders>
              <w:left w:val="single" w:sz="18" w:space="0" w:color="FFFFFF" w:themeColor="background2"/>
            </w:tcBorders>
          </w:tcPr>
          <w:p w14:paraId="342265FF" w14:textId="5A6E6122" w:rsidR="00267E1C" w:rsidRPr="00B61E00" w:rsidRDefault="006B3FA3" w:rsidP="0089226E">
            <w:pPr>
              <w:suppressAutoHyphens/>
              <w:autoSpaceDE w:val="0"/>
              <w:autoSpaceDN w:val="0"/>
              <w:adjustRightInd w:val="0"/>
              <w:spacing w:before="20" w:after="20"/>
              <w:jc w:val="right"/>
              <w:textAlignment w:val="center"/>
              <w:rPr>
                <w:color w:val="292929"/>
                <w:sz w:val="14"/>
                <w:szCs w:val="14"/>
              </w:rPr>
            </w:pPr>
            <w:r>
              <w:rPr>
                <w:rFonts w:cs="Calibri"/>
                <w:color w:val="292929"/>
                <w:sz w:val="14"/>
                <w:szCs w:val="14"/>
              </w:rPr>
              <w:t>40</w:t>
            </w:r>
            <w:r w:rsidR="00267E1C" w:rsidRPr="00B61E00">
              <w:rPr>
                <w:rFonts w:cs="Calibri"/>
                <w:color w:val="292929"/>
                <w:sz w:val="14"/>
                <w:szCs w:val="14"/>
              </w:rPr>
              <w:t xml:space="preserve"> </w:t>
            </w:r>
          </w:p>
        </w:tc>
      </w:tr>
      <w:tr w:rsidR="00267E1C" w:rsidRPr="00B61E00" w14:paraId="033E896B" w14:textId="77777777" w:rsidTr="0089226E">
        <w:trPr>
          <w:trHeight w:val="170"/>
        </w:trPr>
        <w:tc>
          <w:tcPr>
            <w:tcW w:w="5111" w:type="dxa"/>
          </w:tcPr>
          <w:p w14:paraId="3DC3EC55" w14:textId="77777777" w:rsidR="00267E1C" w:rsidRPr="00B61E00" w:rsidRDefault="00267E1C" w:rsidP="0089226E">
            <w:pPr>
              <w:suppressAutoHyphens/>
              <w:autoSpaceDE w:val="0"/>
              <w:autoSpaceDN w:val="0"/>
              <w:adjustRightInd w:val="0"/>
              <w:spacing w:before="20" w:after="20"/>
              <w:textAlignment w:val="center"/>
              <w:rPr>
                <w:color w:val="292929"/>
                <w:sz w:val="14"/>
                <w:szCs w:val="14"/>
              </w:rPr>
            </w:pPr>
            <w:r w:rsidRPr="00B61E00">
              <w:rPr>
                <w:color w:val="292929"/>
                <w:sz w:val="14"/>
                <w:szCs w:val="14"/>
              </w:rPr>
              <w:t>Other</w:t>
            </w:r>
          </w:p>
        </w:tc>
        <w:tc>
          <w:tcPr>
            <w:tcW w:w="992" w:type="dxa"/>
            <w:tcBorders>
              <w:bottom w:val="single" w:sz="2" w:space="0" w:color="auto"/>
              <w:right w:val="single" w:sz="18" w:space="0" w:color="FFFFFF" w:themeColor="background2"/>
            </w:tcBorders>
          </w:tcPr>
          <w:p w14:paraId="204E47B5" w14:textId="6E69FF26" w:rsidR="00267E1C" w:rsidRPr="00B61E00" w:rsidRDefault="006B3FA3" w:rsidP="0089226E">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400</w:t>
            </w:r>
            <w:r w:rsidR="00267E1C" w:rsidRPr="00B61E00">
              <w:rPr>
                <w:rFonts w:asciiTheme="majorHAnsi" w:hAnsiTheme="majorHAnsi" w:cs="Calibri"/>
                <w:color w:val="292929"/>
                <w:sz w:val="14"/>
                <w:szCs w:val="14"/>
              </w:rPr>
              <w:t xml:space="preserve"> </w:t>
            </w:r>
          </w:p>
        </w:tc>
        <w:tc>
          <w:tcPr>
            <w:tcW w:w="993" w:type="dxa"/>
            <w:tcBorders>
              <w:left w:val="single" w:sz="18" w:space="0" w:color="FFFFFF" w:themeColor="background2"/>
              <w:bottom w:val="single" w:sz="2" w:space="0" w:color="auto"/>
            </w:tcBorders>
          </w:tcPr>
          <w:p w14:paraId="7621A186" w14:textId="1951EAE0"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rFonts w:cs="Calibri"/>
                <w:color w:val="292929"/>
                <w:sz w:val="14"/>
                <w:szCs w:val="14"/>
              </w:rPr>
              <w:t xml:space="preserve">367 </w:t>
            </w:r>
          </w:p>
        </w:tc>
      </w:tr>
      <w:tr w:rsidR="00267E1C" w:rsidRPr="00B61E00" w14:paraId="6D675E36" w14:textId="77777777" w:rsidTr="0089226E">
        <w:trPr>
          <w:trHeight w:val="170"/>
        </w:trPr>
        <w:tc>
          <w:tcPr>
            <w:tcW w:w="5111" w:type="dxa"/>
          </w:tcPr>
          <w:p w14:paraId="112A8B8A"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goods and services supplied or rendered</w:t>
            </w:r>
          </w:p>
        </w:tc>
        <w:tc>
          <w:tcPr>
            <w:tcW w:w="992" w:type="dxa"/>
            <w:tcBorders>
              <w:top w:val="single" w:sz="2" w:space="0" w:color="auto"/>
              <w:bottom w:val="single" w:sz="2" w:space="0" w:color="auto"/>
              <w:right w:val="single" w:sz="18" w:space="0" w:color="FFFFFF" w:themeColor="background2"/>
            </w:tcBorders>
          </w:tcPr>
          <w:p w14:paraId="2837F36B" w14:textId="671CA95F"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Pr>
                <w:rFonts w:asciiTheme="majorHAnsi" w:hAnsiTheme="majorHAnsi" w:cs="Calibri"/>
                <w:color w:val="292929"/>
                <w:sz w:val="14"/>
                <w:szCs w:val="14"/>
              </w:rPr>
              <w:t>9</w:t>
            </w:r>
            <w:r w:rsidRPr="00B61E00">
              <w:rPr>
                <w:rFonts w:asciiTheme="majorHAnsi" w:hAnsiTheme="majorHAnsi" w:cs="Calibri"/>
                <w:color w:val="292929"/>
                <w:sz w:val="14"/>
                <w:szCs w:val="14"/>
              </w:rPr>
              <w:t>,</w:t>
            </w:r>
            <w:r>
              <w:rPr>
                <w:rFonts w:asciiTheme="majorHAnsi" w:hAnsiTheme="majorHAnsi" w:cs="Calibri"/>
                <w:color w:val="292929"/>
                <w:sz w:val="14"/>
                <w:szCs w:val="14"/>
              </w:rPr>
              <w:t>79</w:t>
            </w:r>
            <w:r w:rsidR="006B3FA3">
              <w:rPr>
                <w:rFonts w:asciiTheme="majorHAnsi" w:hAnsiTheme="majorHAnsi" w:cs="Calibri"/>
                <w:color w:val="292929"/>
                <w:sz w:val="14"/>
                <w:szCs w:val="14"/>
              </w:rPr>
              <w:t>8</w:t>
            </w:r>
            <w:r w:rsidRPr="00B61E00">
              <w:rPr>
                <w:rFonts w:asciiTheme="majorHAnsi" w:hAnsiTheme="majorHAnsi" w:cs="Calibri"/>
                <w:color w:val="292929"/>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058228E4" w14:textId="19D4191B"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rFonts w:cs="Calibri"/>
                <w:color w:val="292929"/>
                <w:sz w:val="14"/>
                <w:szCs w:val="14"/>
              </w:rPr>
              <w:t xml:space="preserve">13,221 </w:t>
            </w:r>
          </w:p>
        </w:tc>
      </w:tr>
      <w:tr w:rsidR="00267E1C" w:rsidRPr="00B61E00" w14:paraId="5D5A2E4E" w14:textId="77777777" w:rsidTr="0089226E">
        <w:trPr>
          <w:trHeight w:val="170"/>
        </w:trPr>
        <w:tc>
          <w:tcPr>
            <w:tcW w:w="5111" w:type="dxa"/>
          </w:tcPr>
          <w:p w14:paraId="31961DFA"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6708CA12" w14:textId="77777777"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573D14F7" w14:textId="77777777"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p>
        </w:tc>
      </w:tr>
      <w:tr w:rsidR="00267E1C" w:rsidRPr="00B61E00" w14:paraId="2C7A79A0" w14:textId="77777777" w:rsidTr="0089226E">
        <w:trPr>
          <w:trHeight w:val="170"/>
        </w:trPr>
        <w:tc>
          <w:tcPr>
            <w:tcW w:w="5111" w:type="dxa"/>
          </w:tcPr>
          <w:p w14:paraId="67AF59B9"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color w:val="292929"/>
                <w:sz w:val="14"/>
                <w:szCs w:val="14"/>
              </w:rPr>
              <w:t>Goods supplied</w:t>
            </w:r>
          </w:p>
        </w:tc>
        <w:tc>
          <w:tcPr>
            <w:tcW w:w="992" w:type="dxa"/>
            <w:tcBorders>
              <w:right w:val="single" w:sz="18" w:space="0" w:color="FFFFFF" w:themeColor="background2"/>
            </w:tcBorders>
          </w:tcPr>
          <w:p w14:paraId="4D1203EB" w14:textId="72473D65"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 xml:space="preserve">277 </w:t>
            </w:r>
          </w:p>
        </w:tc>
        <w:tc>
          <w:tcPr>
            <w:tcW w:w="993" w:type="dxa"/>
            <w:tcBorders>
              <w:left w:val="single" w:sz="18" w:space="0" w:color="FFFFFF" w:themeColor="background2"/>
            </w:tcBorders>
          </w:tcPr>
          <w:p w14:paraId="472D35EC" w14:textId="2C6A001E" w:rsidR="00267E1C" w:rsidRPr="00B61E00" w:rsidRDefault="006B3FA3" w:rsidP="0089226E">
            <w:pPr>
              <w:suppressAutoHyphens/>
              <w:autoSpaceDE w:val="0"/>
              <w:autoSpaceDN w:val="0"/>
              <w:adjustRightInd w:val="0"/>
              <w:spacing w:before="20" w:after="20"/>
              <w:jc w:val="right"/>
              <w:textAlignment w:val="center"/>
              <w:rPr>
                <w:color w:val="292929"/>
                <w:sz w:val="14"/>
                <w:szCs w:val="14"/>
              </w:rPr>
            </w:pPr>
            <w:r>
              <w:rPr>
                <w:color w:val="292929"/>
                <w:sz w:val="14"/>
                <w:szCs w:val="14"/>
              </w:rPr>
              <w:t>425</w:t>
            </w:r>
            <w:r w:rsidR="00267E1C" w:rsidRPr="00B61E00">
              <w:rPr>
                <w:color w:val="292929"/>
                <w:sz w:val="14"/>
                <w:szCs w:val="14"/>
              </w:rPr>
              <w:t xml:space="preserve"> </w:t>
            </w:r>
          </w:p>
        </w:tc>
      </w:tr>
      <w:tr w:rsidR="00267E1C" w:rsidRPr="00B61E00" w14:paraId="37828ABF" w14:textId="77777777" w:rsidTr="0089226E">
        <w:trPr>
          <w:trHeight w:val="170"/>
        </w:trPr>
        <w:tc>
          <w:tcPr>
            <w:tcW w:w="5111" w:type="dxa"/>
          </w:tcPr>
          <w:p w14:paraId="7198AF43"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color w:val="292929"/>
                <w:sz w:val="14"/>
                <w:szCs w:val="14"/>
              </w:rPr>
              <w:t xml:space="preserve">Services rendered </w:t>
            </w:r>
          </w:p>
        </w:tc>
        <w:tc>
          <w:tcPr>
            <w:tcW w:w="992" w:type="dxa"/>
            <w:tcBorders>
              <w:bottom w:val="single" w:sz="2" w:space="0" w:color="auto"/>
              <w:right w:val="single" w:sz="18" w:space="0" w:color="FFFFFF" w:themeColor="background2"/>
            </w:tcBorders>
          </w:tcPr>
          <w:p w14:paraId="098889C4" w14:textId="79532AE2"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9,</w:t>
            </w:r>
            <w:r>
              <w:rPr>
                <w:rFonts w:asciiTheme="majorHAnsi" w:hAnsiTheme="majorHAnsi"/>
                <w:color w:val="292929"/>
                <w:sz w:val="14"/>
                <w:szCs w:val="14"/>
              </w:rPr>
              <w:t>52</w:t>
            </w:r>
            <w:r w:rsidR="006B3FA3">
              <w:rPr>
                <w:rFonts w:asciiTheme="majorHAnsi" w:hAnsiTheme="majorHAnsi"/>
                <w:color w:val="292929"/>
                <w:sz w:val="14"/>
                <w:szCs w:val="14"/>
              </w:rPr>
              <w:t>1</w:t>
            </w:r>
            <w:r w:rsidRPr="00B61E00">
              <w:rPr>
                <w:rFonts w:asciiTheme="majorHAnsi" w:hAnsiTheme="majorHAnsi"/>
                <w:color w:val="292929"/>
                <w:sz w:val="14"/>
                <w:szCs w:val="14"/>
              </w:rPr>
              <w:t xml:space="preserve"> </w:t>
            </w:r>
          </w:p>
        </w:tc>
        <w:tc>
          <w:tcPr>
            <w:tcW w:w="993" w:type="dxa"/>
            <w:tcBorders>
              <w:left w:val="single" w:sz="18" w:space="0" w:color="FFFFFF" w:themeColor="background2"/>
              <w:bottom w:val="single" w:sz="2" w:space="0" w:color="auto"/>
            </w:tcBorders>
          </w:tcPr>
          <w:p w14:paraId="5619D162" w14:textId="0DE8EAE8"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color w:val="292929"/>
                <w:sz w:val="14"/>
                <w:szCs w:val="14"/>
              </w:rPr>
              <w:t>12,</w:t>
            </w:r>
            <w:r w:rsidR="006B3FA3">
              <w:rPr>
                <w:color w:val="292929"/>
                <w:sz w:val="14"/>
                <w:szCs w:val="14"/>
              </w:rPr>
              <w:t>796</w:t>
            </w:r>
            <w:r w:rsidRPr="00B61E00">
              <w:rPr>
                <w:color w:val="292929"/>
                <w:sz w:val="14"/>
                <w:szCs w:val="14"/>
              </w:rPr>
              <w:t xml:space="preserve"> </w:t>
            </w:r>
          </w:p>
        </w:tc>
      </w:tr>
      <w:tr w:rsidR="00267E1C" w:rsidRPr="00B61E00" w14:paraId="126274F4" w14:textId="77777777" w:rsidTr="0089226E">
        <w:trPr>
          <w:trHeight w:val="170"/>
        </w:trPr>
        <w:tc>
          <w:tcPr>
            <w:tcW w:w="5111" w:type="dxa"/>
          </w:tcPr>
          <w:p w14:paraId="26119BAD"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goods and services supplied or rendered</w:t>
            </w:r>
          </w:p>
        </w:tc>
        <w:tc>
          <w:tcPr>
            <w:tcW w:w="992" w:type="dxa"/>
            <w:tcBorders>
              <w:top w:val="single" w:sz="2" w:space="0" w:color="auto"/>
              <w:bottom w:val="single" w:sz="2" w:space="0" w:color="auto"/>
              <w:right w:val="single" w:sz="18" w:space="0" w:color="FFFFFF" w:themeColor="background2"/>
            </w:tcBorders>
          </w:tcPr>
          <w:p w14:paraId="0C8E10F8" w14:textId="6ACF0B35"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9</w:t>
            </w:r>
            <w:r w:rsidRPr="00B61E00">
              <w:rPr>
                <w:rFonts w:asciiTheme="majorHAnsi" w:hAnsiTheme="majorHAnsi"/>
                <w:color w:val="292929"/>
                <w:sz w:val="14"/>
                <w:szCs w:val="14"/>
              </w:rPr>
              <w:t>,</w:t>
            </w:r>
            <w:r>
              <w:rPr>
                <w:rFonts w:asciiTheme="majorHAnsi" w:hAnsiTheme="majorHAnsi"/>
                <w:color w:val="292929"/>
                <w:sz w:val="14"/>
                <w:szCs w:val="14"/>
              </w:rPr>
              <w:t>79</w:t>
            </w:r>
            <w:r w:rsidR="006B3FA3">
              <w:rPr>
                <w:rFonts w:asciiTheme="majorHAnsi" w:hAnsiTheme="majorHAnsi"/>
                <w:color w:val="292929"/>
                <w:sz w:val="14"/>
                <w:szCs w:val="14"/>
              </w:rPr>
              <w:t>8</w:t>
            </w:r>
            <w:r w:rsidRPr="00B61E00">
              <w:rPr>
                <w:rFonts w:asciiTheme="majorHAnsi" w:hAnsiTheme="majorHAnsi"/>
                <w:color w:val="292929"/>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412DBAC2" w14:textId="236FF589"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color w:val="292929"/>
                <w:sz w:val="14"/>
                <w:szCs w:val="14"/>
              </w:rPr>
              <w:t xml:space="preserve">13,221 </w:t>
            </w:r>
          </w:p>
        </w:tc>
      </w:tr>
      <w:tr w:rsidR="00267E1C" w:rsidRPr="00B61E00" w14:paraId="11A6DCC8" w14:textId="77777777" w:rsidTr="0089226E">
        <w:trPr>
          <w:trHeight w:val="170"/>
        </w:trPr>
        <w:tc>
          <w:tcPr>
            <w:tcW w:w="5111" w:type="dxa"/>
          </w:tcPr>
          <w:p w14:paraId="662D6B43"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7778D323" w14:textId="77777777"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7148D1D5" w14:textId="77777777"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p>
        </w:tc>
      </w:tr>
      <w:tr w:rsidR="00267E1C" w:rsidRPr="00B61E00" w14:paraId="764A8048" w14:textId="77777777" w:rsidTr="0089226E">
        <w:trPr>
          <w:trHeight w:val="170"/>
        </w:trPr>
        <w:tc>
          <w:tcPr>
            <w:tcW w:w="5111" w:type="dxa"/>
          </w:tcPr>
          <w:p w14:paraId="497096A2"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Other suppliers</w:t>
            </w:r>
          </w:p>
        </w:tc>
        <w:tc>
          <w:tcPr>
            <w:tcW w:w="992" w:type="dxa"/>
            <w:tcBorders>
              <w:right w:val="single" w:sz="18" w:space="0" w:color="FFFFFF" w:themeColor="background2"/>
            </w:tcBorders>
          </w:tcPr>
          <w:p w14:paraId="7F4FA49B" w14:textId="77777777"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left w:val="single" w:sz="18" w:space="0" w:color="FFFFFF" w:themeColor="background2"/>
            </w:tcBorders>
          </w:tcPr>
          <w:p w14:paraId="2D6AD3C2" w14:textId="77777777"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p>
        </w:tc>
      </w:tr>
      <w:tr w:rsidR="00267E1C" w:rsidRPr="00B61E00" w14:paraId="193ACD2F" w14:textId="77777777" w:rsidTr="0089226E">
        <w:trPr>
          <w:trHeight w:val="170"/>
        </w:trPr>
        <w:tc>
          <w:tcPr>
            <w:tcW w:w="5111" w:type="dxa"/>
          </w:tcPr>
          <w:p w14:paraId="012D70C3"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color w:val="292929"/>
                <w:sz w:val="14"/>
                <w:szCs w:val="14"/>
              </w:rPr>
              <w:t>Workers’ compensation expenses</w:t>
            </w:r>
          </w:p>
        </w:tc>
        <w:tc>
          <w:tcPr>
            <w:tcW w:w="992" w:type="dxa"/>
            <w:tcBorders>
              <w:bottom w:val="single" w:sz="2" w:space="0" w:color="auto"/>
              <w:right w:val="single" w:sz="18" w:space="0" w:color="FFFFFF" w:themeColor="background2"/>
            </w:tcBorders>
          </w:tcPr>
          <w:p w14:paraId="474B93EC" w14:textId="2DACCC4A"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 xml:space="preserve">2 </w:t>
            </w:r>
          </w:p>
        </w:tc>
        <w:tc>
          <w:tcPr>
            <w:tcW w:w="993" w:type="dxa"/>
            <w:tcBorders>
              <w:left w:val="single" w:sz="18" w:space="0" w:color="FFFFFF" w:themeColor="background2"/>
              <w:bottom w:val="single" w:sz="2" w:space="0" w:color="auto"/>
            </w:tcBorders>
          </w:tcPr>
          <w:p w14:paraId="3976AF96" w14:textId="2102A691" w:rsidR="00267E1C" w:rsidRPr="00B61E00" w:rsidRDefault="00267E1C" w:rsidP="0089226E">
            <w:pPr>
              <w:tabs>
                <w:tab w:val="center" w:pos="383"/>
                <w:tab w:val="right" w:pos="767"/>
              </w:tabs>
              <w:suppressAutoHyphens/>
              <w:autoSpaceDE w:val="0"/>
              <w:autoSpaceDN w:val="0"/>
              <w:adjustRightInd w:val="0"/>
              <w:spacing w:before="20" w:after="20"/>
              <w:textAlignment w:val="center"/>
              <w:rPr>
                <w:color w:val="292929"/>
                <w:sz w:val="14"/>
                <w:szCs w:val="14"/>
              </w:rPr>
            </w:pPr>
            <w:r w:rsidRPr="00B61E00">
              <w:rPr>
                <w:color w:val="292929"/>
                <w:sz w:val="14"/>
                <w:szCs w:val="14"/>
              </w:rPr>
              <w:tab/>
            </w:r>
            <w:r w:rsidRPr="00B61E00">
              <w:rPr>
                <w:color w:val="292929"/>
                <w:sz w:val="14"/>
                <w:szCs w:val="14"/>
              </w:rPr>
              <w:tab/>
              <w:t xml:space="preserve">3 </w:t>
            </w:r>
          </w:p>
        </w:tc>
      </w:tr>
      <w:tr w:rsidR="00267E1C" w:rsidRPr="00B61E00" w14:paraId="7058C24F" w14:textId="77777777" w:rsidTr="0089226E">
        <w:trPr>
          <w:trHeight w:val="170"/>
        </w:trPr>
        <w:tc>
          <w:tcPr>
            <w:tcW w:w="5111" w:type="dxa"/>
          </w:tcPr>
          <w:p w14:paraId="7FDE46AF"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other suppliers</w:t>
            </w:r>
          </w:p>
        </w:tc>
        <w:tc>
          <w:tcPr>
            <w:tcW w:w="992" w:type="dxa"/>
            <w:tcBorders>
              <w:top w:val="single" w:sz="2" w:space="0" w:color="auto"/>
              <w:bottom w:val="single" w:sz="2" w:space="0" w:color="auto"/>
              <w:right w:val="single" w:sz="18" w:space="0" w:color="FFFFFF" w:themeColor="background2"/>
            </w:tcBorders>
          </w:tcPr>
          <w:p w14:paraId="0D4A93C6" w14:textId="4E4E4189"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 xml:space="preserve">2 </w:t>
            </w:r>
          </w:p>
        </w:tc>
        <w:tc>
          <w:tcPr>
            <w:tcW w:w="993" w:type="dxa"/>
            <w:tcBorders>
              <w:top w:val="single" w:sz="2" w:space="0" w:color="auto"/>
              <w:left w:val="single" w:sz="18" w:space="0" w:color="FFFFFF" w:themeColor="background2"/>
              <w:bottom w:val="single" w:sz="2" w:space="0" w:color="auto"/>
            </w:tcBorders>
          </w:tcPr>
          <w:p w14:paraId="0113D180" w14:textId="2BD07012"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color w:val="292929"/>
                <w:sz w:val="14"/>
                <w:szCs w:val="14"/>
              </w:rPr>
              <w:t xml:space="preserve">3 </w:t>
            </w:r>
          </w:p>
        </w:tc>
      </w:tr>
      <w:tr w:rsidR="00267E1C" w:rsidRPr="00B61E00" w14:paraId="44CFCE7E" w14:textId="77777777" w:rsidTr="0089226E">
        <w:trPr>
          <w:trHeight w:val="170"/>
        </w:trPr>
        <w:tc>
          <w:tcPr>
            <w:tcW w:w="5111" w:type="dxa"/>
          </w:tcPr>
          <w:p w14:paraId="1823545A" w14:textId="77777777" w:rsidR="00267E1C" w:rsidRPr="00B61E00" w:rsidRDefault="00267E1C" w:rsidP="0089226E">
            <w:pPr>
              <w:suppressAutoHyphens/>
              <w:autoSpaceDE w:val="0"/>
              <w:autoSpaceDN w:val="0"/>
              <w:adjustRightInd w:val="0"/>
              <w:spacing w:before="20" w:after="20"/>
              <w:textAlignment w:val="center"/>
              <w:rPr>
                <w:rFonts w:asciiTheme="majorHAnsi" w:hAnsiTheme="majorHAnsi"/>
                <w:color w:val="292929"/>
                <w:sz w:val="14"/>
                <w:szCs w:val="14"/>
              </w:rPr>
            </w:pPr>
            <w:r w:rsidRPr="00B61E00">
              <w:rPr>
                <w:rFonts w:asciiTheme="majorHAnsi" w:hAnsiTheme="majorHAnsi"/>
                <w:color w:val="292929"/>
                <w:sz w:val="14"/>
                <w:szCs w:val="14"/>
              </w:rPr>
              <w:t>Total suppliers</w:t>
            </w:r>
          </w:p>
        </w:tc>
        <w:tc>
          <w:tcPr>
            <w:tcW w:w="992" w:type="dxa"/>
            <w:tcBorders>
              <w:top w:val="single" w:sz="2" w:space="0" w:color="auto"/>
              <w:bottom w:val="single" w:sz="2" w:space="0" w:color="auto"/>
              <w:right w:val="single" w:sz="18" w:space="0" w:color="FFFFFF" w:themeColor="background2"/>
            </w:tcBorders>
          </w:tcPr>
          <w:p w14:paraId="1E67C542" w14:textId="34783B74" w:rsidR="00267E1C" w:rsidRPr="00B61E00" w:rsidRDefault="00267E1C" w:rsidP="0089226E">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9</w:t>
            </w:r>
            <w:r w:rsidRPr="00B61E00">
              <w:rPr>
                <w:rFonts w:asciiTheme="majorHAnsi" w:hAnsiTheme="majorHAnsi"/>
                <w:color w:val="292929"/>
                <w:sz w:val="14"/>
                <w:szCs w:val="14"/>
              </w:rPr>
              <w:t>,</w:t>
            </w:r>
            <w:r>
              <w:rPr>
                <w:rFonts w:asciiTheme="majorHAnsi" w:hAnsiTheme="majorHAnsi"/>
                <w:color w:val="292929"/>
                <w:sz w:val="14"/>
                <w:szCs w:val="14"/>
              </w:rPr>
              <w:t>8</w:t>
            </w:r>
            <w:r w:rsidR="006B5964">
              <w:rPr>
                <w:rFonts w:asciiTheme="majorHAnsi" w:hAnsiTheme="majorHAnsi"/>
                <w:color w:val="292929"/>
                <w:sz w:val="14"/>
                <w:szCs w:val="14"/>
              </w:rPr>
              <w:t>0</w:t>
            </w:r>
            <w:r>
              <w:rPr>
                <w:rFonts w:asciiTheme="majorHAnsi" w:hAnsiTheme="majorHAnsi"/>
                <w:color w:val="292929"/>
                <w:sz w:val="14"/>
                <w:szCs w:val="14"/>
              </w:rPr>
              <w:t>0</w:t>
            </w:r>
            <w:r w:rsidRPr="00B61E00">
              <w:rPr>
                <w:rFonts w:asciiTheme="majorHAnsi" w:hAnsiTheme="majorHAnsi"/>
                <w:color w:val="292929"/>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0E07302C" w14:textId="0BFEF571" w:rsidR="00267E1C" w:rsidRPr="00B61E00" w:rsidRDefault="00267E1C" w:rsidP="0089226E">
            <w:pPr>
              <w:suppressAutoHyphens/>
              <w:autoSpaceDE w:val="0"/>
              <w:autoSpaceDN w:val="0"/>
              <w:adjustRightInd w:val="0"/>
              <w:spacing w:before="20" w:after="20"/>
              <w:jc w:val="right"/>
              <w:textAlignment w:val="center"/>
              <w:rPr>
                <w:color w:val="292929"/>
                <w:sz w:val="14"/>
                <w:szCs w:val="14"/>
              </w:rPr>
            </w:pPr>
            <w:r w:rsidRPr="00B61E00">
              <w:rPr>
                <w:color w:val="292929"/>
                <w:sz w:val="14"/>
                <w:szCs w:val="14"/>
              </w:rPr>
              <w:t xml:space="preserve">13,224 </w:t>
            </w:r>
          </w:p>
        </w:tc>
      </w:tr>
      <w:tr w:rsidR="00B61E00" w:rsidRPr="00B61E00" w14:paraId="2FB163A1" w14:textId="77777777" w:rsidTr="0089226E">
        <w:trPr>
          <w:trHeight w:val="170"/>
        </w:trPr>
        <w:tc>
          <w:tcPr>
            <w:tcW w:w="5111" w:type="dxa"/>
          </w:tcPr>
          <w:p w14:paraId="73318EB0" w14:textId="77777777" w:rsidR="00441466" w:rsidRPr="00B61E00" w:rsidRDefault="00441466" w:rsidP="0089226E">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4F3BEAC0" w14:textId="77777777" w:rsidR="00441466" w:rsidRPr="00B61E00" w:rsidRDefault="00441466"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48A9A87B" w14:textId="77777777" w:rsidR="00441466" w:rsidRPr="00B61E00" w:rsidRDefault="00441466" w:rsidP="0089226E">
            <w:pPr>
              <w:suppressAutoHyphens/>
              <w:autoSpaceDE w:val="0"/>
              <w:autoSpaceDN w:val="0"/>
              <w:adjustRightInd w:val="0"/>
              <w:spacing w:before="20" w:after="20"/>
              <w:jc w:val="right"/>
              <w:textAlignment w:val="center"/>
              <w:rPr>
                <w:color w:val="292929"/>
                <w:sz w:val="14"/>
                <w:szCs w:val="14"/>
              </w:rPr>
            </w:pPr>
          </w:p>
        </w:tc>
      </w:tr>
    </w:tbl>
    <w:p w14:paraId="650AEACF" w14:textId="7173ECFE" w:rsidR="00441466" w:rsidRPr="00B61E00" w:rsidRDefault="00441466" w:rsidP="00156309">
      <w:pPr>
        <w:pStyle w:val="Body"/>
        <w:rPr>
          <w:color w:val="292929"/>
        </w:rPr>
      </w:pPr>
    </w:p>
    <w:tbl>
      <w:tblPr>
        <w:tblStyle w:val="IHPA"/>
        <w:tblW w:w="7096" w:type="dxa"/>
        <w:tblLayout w:type="fixed"/>
        <w:tblLook w:val="0020" w:firstRow="1" w:lastRow="0" w:firstColumn="0" w:lastColumn="0" w:noHBand="0" w:noVBand="0"/>
      </w:tblPr>
      <w:tblGrid>
        <w:gridCol w:w="5111"/>
        <w:gridCol w:w="992"/>
        <w:gridCol w:w="993"/>
      </w:tblGrid>
      <w:tr w:rsidR="00B61E00" w:rsidRPr="00B61E00" w14:paraId="6587FD3F" w14:textId="77777777" w:rsidTr="009250C5">
        <w:trPr>
          <w:trHeight w:val="340"/>
        </w:trPr>
        <w:tc>
          <w:tcPr>
            <w:tcW w:w="5111" w:type="dxa"/>
          </w:tcPr>
          <w:p w14:paraId="4C6F0B89" w14:textId="77777777" w:rsidR="00E10529" w:rsidRPr="00B61E00" w:rsidRDefault="00E10529" w:rsidP="0089226E">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5B1A60AF" w14:textId="7DF0967D" w:rsidR="00E10529" w:rsidRPr="00B61E00" w:rsidRDefault="00E10529" w:rsidP="0089226E">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2021</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1DFBF237" w14:textId="3ACBEF15" w:rsidR="00E10529" w:rsidRPr="00B61E00" w:rsidRDefault="00E10529" w:rsidP="0089226E">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2020</w:t>
            </w:r>
            <w:r w:rsidRPr="00B61E00">
              <w:rPr>
                <w:rFonts w:asciiTheme="majorHAnsi" w:hAnsiTheme="majorHAnsi" w:cs="Futura PT Heavy"/>
                <w:color w:val="292929"/>
                <w:sz w:val="16"/>
                <w:szCs w:val="16"/>
                <w:lang w:val="en-US"/>
              </w:rPr>
              <w:br/>
              <w:t>$’000</w:t>
            </w:r>
          </w:p>
        </w:tc>
      </w:tr>
      <w:tr w:rsidR="00B61E00" w:rsidRPr="00B61E00" w14:paraId="7C05F7A2" w14:textId="77777777" w:rsidTr="009250C5">
        <w:trPr>
          <w:trHeight w:val="170"/>
        </w:trPr>
        <w:tc>
          <w:tcPr>
            <w:tcW w:w="5111" w:type="dxa"/>
          </w:tcPr>
          <w:p w14:paraId="2D0B4EDA" w14:textId="77777777" w:rsidR="00E10529" w:rsidRPr="00B61E00" w:rsidRDefault="00E10529" w:rsidP="0089226E">
            <w:pPr>
              <w:suppressAutoHyphens/>
              <w:autoSpaceDE w:val="0"/>
              <w:autoSpaceDN w:val="0"/>
              <w:adjustRightInd w:val="0"/>
              <w:spacing w:before="20" w:after="20"/>
              <w:textAlignment w:val="center"/>
              <w:rPr>
                <w:color w:val="292929"/>
                <w:sz w:val="14"/>
                <w:szCs w:val="14"/>
              </w:rPr>
            </w:pPr>
            <w:r w:rsidRPr="00B61E00">
              <w:rPr>
                <w:rFonts w:asciiTheme="majorHAnsi" w:hAnsiTheme="majorHAnsi"/>
                <w:color w:val="292929"/>
                <w:sz w:val="14"/>
                <w:szCs w:val="14"/>
              </w:rPr>
              <w:t>Note 1.1C: Finance Costs</w:t>
            </w:r>
          </w:p>
        </w:tc>
        <w:tc>
          <w:tcPr>
            <w:tcW w:w="992" w:type="dxa"/>
            <w:tcBorders>
              <w:top w:val="single" w:sz="12" w:space="0" w:color="auto"/>
              <w:right w:val="single" w:sz="18" w:space="0" w:color="FFFFFF" w:themeColor="background2"/>
            </w:tcBorders>
          </w:tcPr>
          <w:p w14:paraId="25DCC96E" w14:textId="77777777" w:rsidR="00E10529" w:rsidRPr="00B61E00" w:rsidRDefault="00E10529" w:rsidP="0089226E">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22283856" w14:textId="77777777" w:rsidR="00E10529" w:rsidRPr="00B61E00" w:rsidRDefault="00E10529" w:rsidP="0089226E">
            <w:pPr>
              <w:autoSpaceDE w:val="0"/>
              <w:autoSpaceDN w:val="0"/>
              <w:adjustRightInd w:val="0"/>
              <w:spacing w:before="20" w:after="20"/>
              <w:jc w:val="right"/>
              <w:rPr>
                <w:color w:val="292929"/>
                <w:sz w:val="14"/>
                <w:szCs w:val="14"/>
              </w:rPr>
            </w:pPr>
          </w:p>
        </w:tc>
      </w:tr>
      <w:tr w:rsidR="00B61E00" w:rsidRPr="00B61E00" w14:paraId="3A42C1B8" w14:textId="77777777" w:rsidTr="009250C5">
        <w:trPr>
          <w:trHeight w:val="170"/>
        </w:trPr>
        <w:tc>
          <w:tcPr>
            <w:tcW w:w="5111" w:type="dxa"/>
          </w:tcPr>
          <w:p w14:paraId="0BF9EB21" w14:textId="77777777" w:rsidR="00E10529" w:rsidRPr="00B61E00" w:rsidRDefault="00E10529" w:rsidP="0089226E">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Interest on lease liabilities (office space lease)</w:t>
            </w:r>
          </w:p>
        </w:tc>
        <w:tc>
          <w:tcPr>
            <w:tcW w:w="992" w:type="dxa"/>
            <w:tcBorders>
              <w:bottom w:val="single" w:sz="2" w:space="0" w:color="auto"/>
              <w:right w:val="single" w:sz="18" w:space="0" w:color="FFFFFF" w:themeColor="background2"/>
            </w:tcBorders>
          </w:tcPr>
          <w:p w14:paraId="0DBE0C69" w14:textId="2C2B915E" w:rsidR="00E10529" w:rsidRPr="00B61E00" w:rsidRDefault="00E10529" w:rsidP="0089226E">
            <w:pPr>
              <w:autoSpaceDE w:val="0"/>
              <w:autoSpaceDN w:val="0"/>
              <w:adjustRightInd w:val="0"/>
              <w:spacing w:before="20" w:after="20"/>
              <w:jc w:val="right"/>
              <w:rPr>
                <w:rFonts w:asciiTheme="majorHAnsi" w:hAnsiTheme="majorHAnsi"/>
                <w:color w:val="292929"/>
                <w:sz w:val="14"/>
                <w:szCs w:val="14"/>
              </w:rPr>
            </w:pPr>
            <w:r w:rsidRPr="00B61E00">
              <w:rPr>
                <w:rFonts w:asciiTheme="majorHAnsi" w:hAnsiTheme="majorHAnsi"/>
                <w:color w:val="292929"/>
                <w:sz w:val="14"/>
                <w:szCs w:val="14"/>
              </w:rPr>
              <w:t>63</w:t>
            </w:r>
          </w:p>
        </w:tc>
        <w:tc>
          <w:tcPr>
            <w:tcW w:w="993" w:type="dxa"/>
            <w:tcBorders>
              <w:left w:val="single" w:sz="18" w:space="0" w:color="FFFFFF" w:themeColor="background2"/>
              <w:bottom w:val="single" w:sz="2" w:space="0" w:color="auto"/>
            </w:tcBorders>
          </w:tcPr>
          <w:p w14:paraId="4EEECD31" w14:textId="7B4C1AC6" w:rsidR="00E10529" w:rsidRPr="00B61E00" w:rsidRDefault="00E10529" w:rsidP="0089226E">
            <w:pPr>
              <w:autoSpaceDE w:val="0"/>
              <w:autoSpaceDN w:val="0"/>
              <w:adjustRightInd w:val="0"/>
              <w:spacing w:before="20" w:after="20"/>
              <w:jc w:val="right"/>
              <w:rPr>
                <w:color w:val="292929"/>
                <w:sz w:val="14"/>
                <w:szCs w:val="14"/>
              </w:rPr>
            </w:pPr>
            <w:r w:rsidRPr="00B61E00">
              <w:rPr>
                <w:color w:val="292929"/>
                <w:sz w:val="14"/>
                <w:szCs w:val="14"/>
              </w:rPr>
              <w:t>75</w:t>
            </w:r>
          </w:p>
        </w:tc>
      </w:tr>
      <w:tr w:rsidR="00B61E00" w:rsidRPr="00B61E00" w14:paraId="036CB83E" w14:textId="77777777" w:rsidTr="009250C5">
        <w:trPr>
          <w:trHeight w:val="170"/>
        </w:trPr>
        <w:tc>
          <w:tcPr>
            <w:tcW w:w="5111" w:type="dxa"/>
          </w:tcPr>
          <w:p w14:paraId="2E0E7F6B" w14:textId="77777777" w:rsidR="00E10529" w:rsidRPr="00B61E00" w:rsidRDefault="00E10529" w:rsidP="0089226E">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Total finance costs</w:t>
            </w:r>
          </w:p>
        </w:tc>
        <w:tc>
          <w:tcPr>
            <w:tcW w:w="992" w:type="dxa"/>
            <w:tcBorders>
              <w:top w:val="single" w:sz="2" w:space="0" w:color="auto"/>
              <w:bottom w:val="single" w:sz="2" w:space="0" w:color="auto"/>
              <w:right w:val="single" w:sz="18" w:space="0" w:color="FFFFFF" w:themeColor="background2"/>
            </w:tcBorders>
          </w:tcPr>
          <w:p w14:paraId="7D3B01F6" w14:textId="18C3E8DF" w:rsidR="00E10529" w:rsidRPr="00B61E00" w:rsidRDefault="00E10529" w:rsidP="0089226E">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 xml:space="preserve">63 </w:t>
            </w:r>
          </w:p>
        </w:tc>
        <w:tc>
          <w:tcPr>
            <w:tcW w:w="993" w:type="dxa"/>
            <w:tcBorders>
              <w:top w:val="single" w:sz="2" w:space="0" w:color="auto"/>
              <w:left w:val="single" w:sz="18" w:space="0" w:color="FFFFFF" w:themeColor="background2"/>
              <w:bottom w:val="single" w:sz="2" w:space="0" w:color="auto"/>
            </w:tcBorders>
          </w:tcPr>
          <w:p w14:paraId="5BC72F41" w14:textId="43124E58" w:rsidR="00E10529" w:rsidRPr="00B61E00" w:rsidRDefault="00E10529" w:rsidP="0089226E">
            <w:pPr>
              <w:suppressAutoHyphens/>
              <w:autoSpaceDE w:val="0"/>
              <w:autoSpaceDN w:val="0"/>
              <w:adjustRightInd w:val="0"/>
              <w:spacing w:before="20" w:after="20"/>
              <w:jc w:val="right"/>
              <w:textAlignment w:val="center"/>
              <w:rPr>
                <w:rFonts w:cs="Futura PT Book"/>
                <w:color w:val="292929"/>
                <w:sz w:val="14"/>
                <w:szCs w:val="14"/>
                <w:lang w:val="en-US"/>
              </w:rPr>
            </w:pPr>
            <w:r w:rsidRPr="00B61E00">
              <w:rPr>
                <w:color w:val="292929"/>
                <w:sz w:val="14"/>
                <w:szCs w:val="14"/>
              </w:rPr>
              <w:t xml:space="preserve">75 </w:t>
            </w:r>
          </w:p>
        </w:tc>
      </w:tr>
      <w:tr w:rsidR="00B61E00" w:rsidRPr="00B61E00" w14:paraId="50BDCF3E" w14:textId="77777777" w:rsidTr="009250C5">
        <w:trPr>
          <w:trHeight w:val="170"/>
        </w:trPr>
        <w:tc>
          <w:tcPr>
            <w:tcW w:w="5111" w:type="dxa"/>
          </w:tcPr>
          <w:p w14:paraId="7CE4DE03" w14:textId="77777777" w:rsidR="00E10529" w:rsidRPr="00B61E00" w:rsidRDefault="00E10529" w:rsidP="0089226E">
            <w:pPr>
              <w:suppressAutoHyphens/>
              <w:autoSpaceDE w:val="0"/>
              <w:autoSpaceDN w:val="0"/>
              <w:adjustRightInd w:val="0"/>
              <w:spacing w:before="20" w:after="20"/>
              <w:textAlignment w:val="center"/>
              <w:rPr>
                <w:rFonts w:asciiTheme="majorHAnsi" w:hAnsiTheme="majorHAnsi"/>
                <w:color w:val="292929"/>
                <w:sz w:val="14"/>
                <w:szCs w:val="14"/>
              </w:rPr>
            </w:pPr>
          </w:p>
        </w:tc>
        <w:tc>
          <w:tcPr>
            <w:tcW w:w="992" w:type="dxa"/>
            <w:tcBorders>
              <w:top w:val="single" w:sz="2" w:space="0" w:color="auto"/>
              <w:right w:val="single" w:sz="18" w:space="0" w:color="FFFFFF" w:themeColor="background2"/>
            </w:tcBorders>
          </w:tcPr>
          <w:p w14:paraId="732621D5" w14:textId="77777777" w:rsidR="00E10529" w:rsidRPr="00B61E00" w:rsidRDefault="00E10529" w:rsidP="0089226E">
            <w:pPr>
              <w:suppressAutoHyphens/>
              <w:autoSpaceDE w:val="0"/>
              <w:autoSpaceDN w:val="0"/>
              <w:adjustRightInd w:val="0"/>
              <w:spacing w:before="20" w:after="20"/>
              <w:jc w:val="right"/>
              <w:textAlignment w:val="center"/>
              <w:rPr>
                <w:rFonts w:asciiTheme="majorHAnsi" w:hAnsiTheme="majorHAnsi"/>
                <w:color w:val="292929"/>
                <w:sz w:val="14"/>
                <w:szCs w:val="14"/>
              </w:rPr>
            </w:pPr>
          </w:p>
        </w:tc>
        <w:tc>
          <w:tcPr>
            <w:tcW w:w="993" w:type="dxa"/>
            <w:tcBorders>
              <w:top w:val="single" w:sz="2" w:space="0" w:color="auto"/>
              <w:left w:val="single" w:sz="18" w:space="0" w:color="FFFFFF" w:themeColor="background2"/>
            </w:tcBorders>
          </w:tcPr>
          <w:p w14:paraId="18ECD541" w14:textId="77777777" w:rsidR="00E10529" w:rsidRPr="00B61E00" w:rsidRDefault="00E10529" w:rsidP="0089226E">
            <w:pPr>
              <w:suppressAutoHyphens/>
              <w:autoSpaceDE w:val="0"/>
              <w:autoSpaceDN w:val="0"/>
              <w:adjustRightInd w:val="0"/>
              <w:spacing w:before="20" w:after="20"/>
              <w:jc w:val="right"/>
              <w:textAlignment w:val="center"/>
              <w:rPr>
                <w:color w:val="292929"/>
                <w:sz w:val="14"/>
                <w:szCs w:val="14"/>
              </w:rPr>
            </w:pPr>
          </w:p>
        </w:tc>
      </w:tr>
      <w:tr w:rsidR="00B61E00" w:rsidRPr="00B61E00" w14:paraId="32AEC417" w14:textId="77777777" w:rsidTr="009250C5">
        <w:trPr>
          <w:trHeight w:val="170"/>
        </w:trPr>
        <w:tc>
          <w:tcPr>
            <w:tcW w:w="7096" w:type="dxa"/>
            <w:gridSpan w:val="3"/>
          </w:tcPr>
          <w:p w14:paraId="1CC452F2" w14:textId="4A423C48" w:rsidR="00E10529" w:rsidRPr="00B61E00" w:rsidRDefault="00E10529" w:rsidP="0089226E">
            <w:pPr>
              <w:suppressAutoHyphens/>
              <w:autoSpaceDE w:val="0"/>
              <w:autoSpaceDN w:val="0"/>
              <w:adjustRightInd w:val="0"/>
              <w:spacing w:before="20" w:after="20"/>
              <w:textAlignment w:val="center"/>
              <w:rPr>
                <w:color w:val="292929"/>
                <w:sz w:val="14"/>
                <w:szCs w:val="14"/>
              </w:rPr>
            </w:pPr>
            <w:r w:rsidRPr="00B61E00">
              <w:rPr>
                <w:color w:val="292929"/>
                <w:sz w:val="14"/>
                <w:szCs w:val="14"/>
              </w:rPr>
              <w:t>The above lease disclosures should be read in conjunction with the accompanying notes 2.4A.</w:t>
            </w:r>
          </w:p>
        </w:tc>
      </w:tr>
    </w:tbl>
    <w:p w14:paraId="0757C00B" w14:textId="6A0F6AF9" w:rsidR="00E10529" w:rsidRPr="00B61E00" w:rsidRDefault="00E10529" w:rsidP="00156309">
      <w:pPr>
        <w:pStyle w:val="Body"/>
        <w:rPr>
          <w:color w:val="292929"/>
        </w:rPr>
      </w:pPr>
    </w:p>
    <w:p w14:paraId="5E2DA625" w14:textId="77777777" w:rsidR="00E10529" w:rsidRPr="00B61E00" w:rsidRDefault="00E10529" w:rsidP="00156309">
      <w:pPr>
        <w:pStyle w:val="Body"/>
        <w:rPr>
          <w:color w:val="292929"/>
        </w:rPr>
        <w:sectPr w:rsidR="00E10529" w:rsidRPr="00B61E00" w:rsidSect="00441579">
          <w:footerReference w:type="default" r:id="rId204"/>
          <w:pgSz w:w="9979" w:h="14175"/>
          <w:pgMar w:top="1134" w:right="1134" w:bottom="1134" w:left="1134" w:header="709" w:footer="709" w:gutter="0"/>
          <w:cols w:space="708"/>
          <w:docGrid w:linePitch="360"/>
        </w:sectPr>
      </w:pPr>
    </w:p>
    <w:p w14:paraId="141329D7" w14:textId="77777777" w:rsidR="00B61E00" w:rsidRPr="00B61E00" w:rsidRDefault="00B61E00" w:rsidP="00B61E00">
      <w:pPr>
        <w:pStyle w:val="H4Financials"/>
        <w:rPr>
          <w:color w:val="292929"/>
        </w:rPr>
      </w:pPr>
      <w:bookmarkStart w:id="187" w:name="_Toc83220565"/>
      <w:r w:rsidRPr="00B61E00">
        <w:rPr>
          <w:color w:val="292929"/>
        </w:rPr>
        <w:lastRenderedPageBreak/>
        <w:t>Note 1.2 Own-source revenue and gains</w:t>
      </w:r>
      <w:bookmarkEnd w:id="187"/>
    </w:p>
    <w:tbl>
      <w:tblPr>
        <w:tblStyle w:val="IHPA"/>
        <w:tblW w:w="7096" w:type="dxa"/>
        <w:tblLayout w:type="fixed"/>
        <w:tblLook w:val="0020" w:firstRow="1" w:lastRow="0" w:firstColumn="0" w:lastColumn="0" w:noHBand="0" w:noVBand="0"/>
        <w:tblCaption w:val="Note 1.2A"/>
        <w:tblDescription w:val="Revenue from contracts with customers"/>
      </w:tblPr>
      <w:tblGrid>
        <w:gridCol w:w="5111"/>
        <w:gridCol w:w="992"/>
        <w:gridCol w:w="993"/>
      </w:tblGrid>
      <w:tr w:rsidR="00B61E00" w:rsidRPr="00B61E00" w14:paraId="19CE6B24" w14:textId="77777777" w:rsidTr="007F6398">
        <w:trPr>
          <w:trHeight w:val="340"/>
        </w:trPr>
        <w:tc>
          <w:tcPr>
            <w:tcW w:w="5111" w:type="dxa"/>
          </w:tcPr>
          <w:p w14:paraId="3E38C677" w14:textId="77777777" w:rsidR="00B61E00" w:rsidRPr="00B61E00" w:rsidRDefault="00B61E00" w:rsidP="009250C5">
            <w:pPr>
              <w:autoSpaceDE w:val="0"/>
              <w:autoSpaceDN w:val="0"/>
              <w:adjustRightInd w:val="0"/>
              <w:spacing w:before="20" w:after="20"/>
              <w:rPr>
                <w:rFonts w:ascii="Futura PT Book" w:hAnsi="Futura PT Book"/>
                <w:color w:val="292929"/>
                <w:sz w:val="24"/>
                <w:szCs w:val="24"/>
              </w:rPr>
            </w:pPr>
          </w:p>
        </w:tc>
        <w:tc>
          <w:tcPr>
            <w:tcW w:w="992" w:type="dxa"/>
            <w:tcBorders>
              <w:bottom w:val="single" w:sz="12" w:space="0" w:color="auto"/>
              <w:right w:val="single" w:sz="18" w:space="0" w:color="FFFFFF" w:themeColor="background2"/>
            </w:tcBorders>
          </w:tcPr>
          <w:p w14:paraId="2322A743" w14:textId="5910368C" w:rsidR="00B61E00" w:rsidRPr="00B61E00" w:rsidRDefault="00B61E00" w:rsidP="009250C5">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202</w:t>
            </w:r>
            <w:r>
              <w:rPr>
                <w:rFonts w:asciiTheme="majorHAnsi" w:hAnsiTheme="majorHAnsi" w:cs="Futura PT Heavy"/>
                <w:color w:val="292929"/>
                <w:sz w:val="16"/>
                <w:szCs w:val="16"/>
                <w:lang w:val="en-US"/>
              </w:rPr>
              <w:t>1</w:t>
            </w:r>
            <w:r w:rsidRPr="00B61E00">
              <w:rPr>
                <w:rFonts w:asciiTheme="majorHAnsi" w:hAnsiTheme="majorHAnsi" w:cs="Futura PT Heavy"/>
                <w:color w:val="292929"/>
                <w:sz w:val="16"/>
                <w:szCs w:val="16"/>
                <w:lang w:val="en-US"/>
              </w:rPr>
              <w:br/>
              <w:t>$’000</w:t>
            </w:r>
          </w:p>
        </w:tc>
        <w:tc>
          <w:tcPr>
            <w:tcW w:w="993" w:type="dxa"/>
            <w:tcBorders>
              <w:left w:val="single" w:sz="18" w:space="0" w:color="FFFFFF" w:themeColor="background2"/>
              <w:bottom w:val="single" w:sz="12" w:space="0" w:color="auto"/>
            </w:tcBorders>
          </w:tcPr>
          <w:p w14:paraId="03777BA0" w14:textId="683E2B15" w:rsidR="00B61E00" w:rsidRPr="00B61E00" w:rsidRDefault="00B61E00" w:rsidP="009250C5">
            <w:pPr>
              <w:suppressAutoHyphens/>
              <w:autoSpaceDE w:val="0"/>
              <w:autoSpaceDN w:val="0"/>
              <w:adjustRightInd w:val="0"/>
              <w:spacing w:before="20" w:after="20" w:line="180" w:lineRule="atLeast"/>
              <w:jc w:val="right"/>
              <w:textAlignment w:val="center"/>
              <w:rPr>
                <w:rFonts w:asciiTheme="majorHAnsi" w:hAnsiTheme="majorHAnsi" w:cs="Futura PT Heavy"/>
                <w:color w:val="292929"/>
                <w:sz w:val="16"/>
                <w:szCs w:val="16"/>
                <w:lang w:val="en-US"/>
              </w:rPr>
            </w:pPr>
            <w:r w:rsidRPr="00B61E00">
              <w:rPr>
                <w:rFonts w:asciiTheme="majorHAnsi" w:hAnsiTheme="majorHAnsi" w:cs="Futura PT Heavy"/>
                <w:color w:val="292929"/>
                <w:sz w:val="16"/>
                <w:szCs w:val="16"/>
                <w:lang w:val="en-US"/>
              </w:rPr>
              <w:t>20</w:t>
            </w:r>
            <w:r>
              <w:rPr>
                <w:rFonts w:asciiTheme="majorHAnsi" w:hAnsiTheme="majorHAnsi" w:cs="Futura PT Heavy"/>
                <w:color w:val="292929"/>
                <w:sz w:val="16"/>
                <w:szCs w:val="16"/>
                <w:lang w:val="en-US"/>
              </w:rPr>
              <w:t>20</w:t>
            </w:r>
            <w:r w:rsidRPr="00B61E00">
              <w:rPr>
                <w:rFonts w:asciiTheme="majorHAnsi" w:hAnsiTheme="majorHAnsi" w:cs="Futura PT Heavy"/>
                <w:color w:val="292929"/>
                <w:sz w:val="16"/>
                <w:szCs w:val="16"/>
                <w:lang w:val="en-US"/>
              </w:rPr>
              <w:br/>
              <w:t>$’000</w:t>
            </w:r>
          </w:p>
        </w:tc>
      </w:tr>
      <w:tr w:rsidR="00B61E00" w:rsidRPr="00B61E00" w14:paraId="0F331403" w14:textId="77777777" w:rsidTr="007F6398">
        <w:trPr>
          <w:trHeight w:val="170"/>
        </w:trPr>
        <w:tc>
          <w:tcPr>
            <w:tcW w:w="5111" w:type="dxa"/>
          </w:tcPr>
          <w:p w14:paraId="1EF0F888" w14:textId="77777777" w:rsidR="00B61E00" w:rsidRPr="00B61E00" w:rsidRDefault="00B61E00" w:rsidP="009250C5">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OWN-SOURCE REVENUE</w:t>
            </w:r>
          </w:p>
        </w:tc>
        <w:tc>
          <w:tcPr>
            <w:tcW w:w="992" w:type="dxa"/>
            <w:tcBorders>
              <w:top w:val="single" w:sz="12" w:space="0" w:color="auto"/>
              <w:right w:val="single" w:sz="18" w:space="0" w:color="FFFFFF" w:themeColor="background2"/>
            </w:tcBorders>
          </w:tcPr>
          <w:p w14:paraId="1D7B3294" w14:textId="77777777" w:rsidR="00B61E00" w:rsidRPr="00B61E00" w:rsidRDefault="00B61E00" w:rsidP="009250C5">
            <w:pPr>
              <w:autoSpaceDE w:val="0"/>
              <w:autoSpaceDN w:val="0"/>
              <w:adjustRightInd w:val="0"/>
              <w:spacing w:before="20" w:after="20"/>
              <w:jc w:val="right"/>
              <w:rPr>
                <w:rFonts w:asciiTheme="majorHAnsi" w:hAnsiTheme="majorHAnsi"/>
                <w:color w:val="292929"/>
                <w:sz w:val="14"/>
                <w:szCs w:val="14"/>
              </w:rPr>
            </w:pPr>
          </w:p>
        </w:tc>
        <w:tc>
          <w:tcPr>
            <w:tcW w:w="993" w:type="dxa"/>
            <w:tcBorders>
              <w:top w:val="single" w:sz="12" w:space="0" w:color="auto"/>
              <w:left w:val="single" w:sz="18" w:space="0" w:color="FFFFFF" w:themeColor="background2"/>
            </w:tcBorders>
          </w:tcPr>
          <w:p w14:paraId="1A5021F2" w14:textId="77777777" w:rsidR="00B61E00" w:rsidRPr="00B61E00" w:rsidRDefault="00B61E00" w:rsidP="009250C5">
            <w:pPr>
              <w:autoSpaceDE w:val="0"/>
              <w:autoSpaceDN w:val="0"/>
              <w:adjustRightInd w:val="0"/>
              <w:spacing w:before="20" w:after="20"/>
              <w:jc w:val="right"/>
              <w:rPr>
                <w:color w:val="292929"/>
                <w:sz w:val="14"/>
                <w:szCs w:val="14"/>
              </w:rPr>
            </w:pPr>
          </w:p>
        </w:tc>
      </w:tr>
      <w:tr w:rsidR="00B61E00" w:rsidRPr="00B61E00" w14:paraId="14E51635" w14:textId="77777777" w:rsidTr="007F6398">
        <w:trPr>
          <w:trHeight w:val="170"/>
        </w:trPr>
        <w:tc>
          <w:tcPr>
            <w:tcW w:w="5111" w:type="dxa"/>
          </w:tcPr>
          <w:p w14:paraId="35937B6D" w14:textId="77777777" w:rsidR="00B61E00" w:rsidRPr="00B61E00" w:rsidRDefault="00B61E00" w:rsidP="009250C5">
            <w:pPr>
              <w:suppressAutoHyphens/>
              <w:autoSpaceDE w:val="0"/>
              <w:autoSpaceDN w:val="0"/>
              <w:adjustRightInd w:val="0"/>
              <w:spacing w:before="20" w:after="20"/>
              <w:textAlignment w:val="center"/>
              <w:rPr>
                <w:rFonts w:cs="Futura PT Book"/>
                <w:color w:val="292929"/>
                <w:sz w:val="14"/>
                <w:szCs w:val="14"/>
                <w:lang w:val="en-US"/>
              </w:rPr>
            </w:pPr>
          </w:p>
        </w:tc>
        <w:tc>
          <w:tcPr>
            <w:tcW w:w="992" w:type="dxa"/>
            <w:tcBorders>
              <w:right w:val="single" w:sz="18" w:space="0" w:color="FFFFFF" w:themeColor="background2"/>
            </w:tcBorders>
          </w:tcPr>
          <w:p w14:paraId="75F2D13F" w14:textId="77777777" w:rsidR="00B61E00" w:rsidRPr="00B61E00" w:rsidRDefault="00B61E00" w:rsidP="009250C5">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93" w:type="dxa"/>
            <w:tcBorders>
              <w:left w:val="single" w:sz="18" w:space="0" w:color="FFFFFF" w:themeColor="background2"/>
            </w:tcBorders>
          </w:tcPr>
          <w:p w14:paraId="7F52571E" w14:textId="77777777" w:rsidR="00B61E00" w:rsidRPr="00B61E00" w:rsidRDefault="00B61E00" w:rsidP="009250C5">
            <w:pPr>
              <w:suppressAutoHyphens/>
              <w:autoSpaceDE w:val="0"/>
              <w:autoSpaceDN w:val="0"/>
              <w:adjustRightInd w:val="0"/>
              <w:spacing w:before="20" w:after="20"/>
              <w:jc w:val="right"/>
              <w:textAlignment w:val="center"/>
              <w:rPr>
                <w:rFonts w:cs="Futura PT Book"/>
                <w:color w:val="292929"/>
                <w:sz w:val="14"/>
                <w:szCs w:val="14"/>
                <w:lang w:val="en-US"/>
              </w:rPr>
            </w:pPr>
          </w:p>
        </w:tc>
      </w:tr>
      <w:tr w:rsidR="00B61E00" w:rsidRPr="00B61E00" w14:paraId="47BFA504" w14:textId="77777777" w:rsidTr="007F6398">
        <w:trPr>
          <w:trHeight w:val="170"/>
        </w:trPr>
        <w:tc>
          <w:tcPr>
            <w:tcW w:w="5111" w:type="dxa"/>
          </w:tcPr>
          <w:p w14:paraId="3391AFEB" w14:textId="1EB3DCC1" w:rsidR="00B61E00" w:rsidRPr="00B61E00" w:rsidRDefault="00B61E00" w:rsidP="009250C5">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B61E00">
              <w:rPr>
                <w:rFonts w:asciiTheme="majorHAnsi" w:hAnsiTheme="majorHAnsi"/>
                <w:color w:val="292929"/>
                <w:sz w:val="14"/>
                <w:szCs w:val="14"/>
              </w:rPr>
              <w:t xml:space="preserve">Note 1.2A: </w:t>
            </w:r>
            <w:r w:rsidR="00845BA4" w:rsidRPr="00845BA4">
              <w:rPr>
                <w:rFonts w:asciiTheme="majorHAnsi" w:hAnsiTheme="majorHAnsi"/>
                <w:color w:val="292929"/>
                <w:sz w:val="14"/>
                <w:szCs w:val="14"/>
              </w:rPr>
              <w:t>Revenue from contracts with customers</w:t>
            </w:r>
          </w:p>
        </w:tc>
        <w:tc>
          <w:tcPr>
            <w:tcW w:w="992" w:type="dxa"/>
            <w:tcBorders>
              <w:right w:val="single" w:sz="18" w:space="0" w:color="FFFFFF" w:themeColor="background2"/>
            </w:tcBorders>
          </w:tcPr>
          <w:p w14:paraId="77169AD7" w14:textId="77777777" w:rsidR="00B61E00" w:rsidRPr="00B61E00" w:rsidRDefault="00B61E00" w:rsidP="009250C5">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p>
        </w:tc>
        <w:tc>
          <w:tcPr>
            <w:tcW w:w="993" w:type="dxa"/>
            <w:tcBorders>
              <w:left w:val="single" w:sz="18" w:space="0" w:color="FFFFFF" w:themeColor="background2"/>
            </w:tcBorders>
          </w:tcPr>
          <w:p w14:paraId="393F2D75" w14:textId="77777777" w:rsidR="00B61E00" w:rsidRPr="00B61E00" w:rsidRDefault="00B61E00" w:rsidP="009250C5">
            <w:pPr>
              <w:suppressAutoHyphens/>
              <w:autoSpaceDE w:val="0"/>
              <w:autoSpaceDN w:val="0"/>
              <w:adjustRightInd w:val="0"/>
              <w:spacing w:before="20" w:after="20"/>
              <w:jc w:val="right"/>
              <w:textAlignment w:val="center"/>
              <w:rPr>
                <w:rFonts w:cs="Futura PT Book"/>
                <w:color w:val="292929"/>
                <w:sz w:val="14"/>
                <w:szCs w:val="14"/>
                <w:lang w:val="en-US"/>
              </w:rPr>
            </w:pPr>
          </w:p>
        </w:tc>
      </w:tr>
      <w:tr w:rsidR="00267E1C" w:rsidRPr="00B61E00" w14:paraId="7801F594" w14:textId="77777777" w:rsidTr="007F6398">
        <w:trPr>
          <w:trHeight w:val="170"/>
        </w:trPr>
        <w:tc>
          <w:tcPr>
            <w:tcW w:w="5111" w:type="dxa"/>
          </w:tcPr>
          <w:p w14:paraId="1E2A572F" w14:textId="77777777" w:rsidR="00267E1C" w:rsidRPr="00B61E00" w:rsidRDefault="00267E1C" w:rsidP="009250C5">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Sale of goods</w:t>
            </w:r>
          </w:p>
        </w:tc>
        <w:tc>
          <w:tcPr>
            <w:tcW w:w="992" w:type="dxa"/>
            <w:tcBorders>
              <w:right w:val="single" w:sz="18" w:space="0" w:color="FFFFFF" w:themeColor="background2"/>
            </w:tcBorders>
          </w:tcPr>
          <w:p w14:paraId="595F598C" w14:textId="37D54494" w:rsidR="00267E1C" w:rsidRPr="00B61E00" w:rsidRDefault="00267E1C" w:rsidP="009250C5">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217</w:t>
            </w:r>
          </w:p>
        </w:tc>
        <w:tc>
          <w:tcPr>
            <w:tcW w:w="993" w:type="dxa"/>
            <w:tcBorders>
              <w:left w:val="single" w:sz="18" w:space="0" w:color="FFFFFF" w:themeColor="background2"/>
            </w:tcBorders>
          </w:tcPr>
          <w:p w14:paraId="39FB47E5" w14:textId="2F012152" w:rsidR="00267E1C" w:rsidRPr="00B61E00" w:rsidRDefault="00267E1C" w:rsidP="009250C5">
            <w:pPr>
              <w:autoSpaceDE w:val="0"/>
              <w:autoSpaceDN w:val="0"/>
              <w:adjustRightInd w:val="0"/>
              <w:spacing w:before="20" w:after="20"/>
              <w:jc w:val="right"/>
              <w:rPr>
                <w:color w:val="292929"/>
                <w:sz w:val="14"/>
                <w:szCs w:val="14"/>
              </w:rPr>
            </w:pPr>
            <w:r>
              <w:rPr>
                <w:color w:val="292929"/>
                <w:sz w:val="14"/>
                <w:szCs w:val="14"/>
              </w:rPr>
              <w:t>683</w:t>
            </w:r>
          </w:p>
        </w:tc>
      </w:tr>
      <w:tr w:rsidR="00267E1C" w:rsidRPr="00B61E00" w14:paraId="412936E3" w14:textId="77777777" w:rsidTr="007F6398">
        <w:trPr>
          <w:trHeight w:val="170"/>
        </w:trPr>
        <w:tc>
          <w:tcPr>
            <w:tcW w:w="5111" w:type="dxa"/>
          </w:tcPr>
          <w:p w14:paraId="7E37235A" w14:textId="77777777" w:rsidR="00267E1C" w:rsidRPr="00B61E00" w:rsidRDefault="00267E1C" w:rsidP="009250C5">
            <w:pPr>
              <w:suppressAutoHyphens/>
              <w:autoSpaceDE w:val="0"/>
              <w:autoSpaceDN w:val="0"/>
              <w:adjustRightInd w:val="0"/>
              <w:spacing w:before="20" w:after="20"/>
              <w:textAlignment w:val="center"/>
              <w:rPr>
                <w:rFonts w:cs="Futura PT Book"/>
                <w:color w:val="292929"/>
                <w:sz w:val="14"/>
                <w:szCs w:val="14"/>
                <w:lang w:val="en-US"/>
              </w:rPr>
            </w:pPr>
            <w:r w:rsidRPr="00B61E00">
              <w:rPr>
                <w:color w:val="292929"/>
                <w:sz w:val="14"/>
                <w:szCs w:val="14"/>
              </w:rPr>
              <w:t>Rendering of services</w:t>
            </w:r>
          </w:p>
        </w:tc>
        <w:tc>
          <w:tcPr>
            <w:tcW w:w="992" w:type="dxa"/>
            <w:tcBorders>
              <w:bottom w:val="single" w:sz="2" w:space="0" w:color="auto"/>
              <w:right w:val="single" w:sz="18" w:space="0" w:color="FFFFFF" w:themeColor="background2"/>
            </w:tcBorders>
          </w:tcPr>
          <w:p w14:paraId="245425D0" w14:textId="066BA3B2" w:rsidR="00267E1C" w:rsidRPr="00B61E00" w:rsidRDefault="00267E1C" w:rsidP="009250C5">
            <w:pPr>
              <w:autoSpaceDE w:val="0"/>
              <w:autoSpaceDN w:val="0"/>
              <w:adjustRightInd w:val="0"/>
              <w:spacing w:before="20" w:after="20"/>
              <w:jc w:val="right"/>
              <w:rPr>
                <w:rFonts w:asciiTheme="majorHAnsi" w:hAnsiTheme="majorHAnsi"/>
                <w:color w:val="292929"/>
                <w:sz w:val="14"/>
                <w:szCs w:val="14"/>
              </w:rPr>
            </w:pPr>
            <w:r>
              <w:rPr>
                <w:rFonts w:asciiTheme="majorHAnsi" w:hAnsiTheme="majorHAnsi"/>
                <w:color w:val="292929"/>
                <w:sz w:val="14"/>
                <w:szCs w:val="14"/>
              </w:rPr>
              <w:t>-</w:t>
            </w:r>
          </w:p>
        </w:tc>
        <w:tc>
          <w:tcPr>
            <w:tcW w:w="993" w:type="dxa"/>
            <w:tcBorders>
              <w:left w:val="single" w:sz="18" w:space="0" w:color="FFFFFF" w:themeColor="background2"/>
              <w:bottom w:val="single" w:sz="2" w:space="0" w:color="auto"/>
            </w:tcBorders>
          </w:tcPr>
          <w:p w14:paraId="4B3B689D" w14:textId="703AA915" w:rsidR="00267E1C" w:rsidRPr="00B61E00" w:rsidRDefault="00267E1C" w:rsidP="009250C5">
            <w:pPr>
              <w:autoSpaceDE w:val="0"/>
              <w:autoSpaceDN w:val="0"/>
              <w:adjustRightInd w:val="0"/>
              <w:spacing w:before="20" w:after="20"/>
              <w:jc w:val="right"/>
              <w:rPr>
                <w:color w:val="292929"/>
                <w:sz w:val="14"/>
                <w:szCs w:val="14"/>
              </w:rPr>
            </w:pPr>
            <w:r>
              <w:rPr>
                <w:color w:val="292929"/>
                <w:sz w:val="14"/>
                <w:szCs w:val="14"/>
              </w:rPr>
              <w:t>121</w:t>
            </w:r>
          </w:p>
        </w:tc>
      </w:tr>
      <w:tr w:rsidR="00267E1C" w:rsidRPr="00B61E00" w14:paraId="45DE1F93" w14:textId="77777777" w:rsidTr="007F6398">
        <w:trPr>
          <w:trHeight w:val="170"/>
        </w:trPr>
        <w:tc>
          <w:tcPr>
            <w:tcW w:w="5111" w:type="dxa"/>
          </w:tcPr>
          <w:p w14:paraId="652B72DC" w14:textId="160CC2A3" w:rsidR="00267E1C" w:rsidRPr="00B61E00" w:rsidRDefault="00124B6F" w:rsidP="009250C5">
            <w:pPr>
              <w:suppressAutoHyphens/>
              <w:autoSpaceDE w:val="0"/>
              <w:autoSpaceDN w:val="0"/>
              <w:adjustRightInd w:val="0"/>
              <w:spacing w:before="20" w:after="20"/>
              <w:textAlignment w:val="center"/>
              <w:rPr>
                <w:rFonts w:asciiTheme="majorHAnsi" w:hAnsiTheme="majorHAnsi" w:cs="Futura PT Book"/>
                <w:color w:val="292929"/>
                <w:sz w:val="14"/>
                <w:szCs w:val="14"/>
                <w:lang w:val="en-US"/>
              </w:rPr>
            </w:pPr>
            <w:r w:rsidRPr="00124B6F">
              <w:rPr>
                <w:rFonts w:asciiTheme="majorHAnsi" w:hAnsiTheme="majorHAnsi"/>
                <w:color w:val="292929"/>
                <w:sz w:val="14"/>
                <w:szCs w:val="14"/>
              </w:rPr>
              <w:t>Total revenue from contracts with customers</w:t>
            </w:r>
          </w:p>
        </w:tc>
        <w:tc>
          <w:tcPr>
            <w:tcW w:w="992" w:type="dxa"/>
            <w:tcBorders>
              <w:top w:val="single" w:sz="2" w:space="0" w:color="auto"/>
              <w:bottom w:val="single" w:sz="2" w:space="0" w:color="auto"/>
              <w:right w:val="single" w:sz="18" w:space="0" w:color="FFFFFF" w:themeColor="background2"/>
            </w:tcBorders>
          </w:tcPr>
          <w:p w14:paraId="4EE25E4D" w14:textId="58284CE3" w:rsidR="00267E1C" w:rsidRPr="00B61E00" w:rsidRDefault="00267E1C" w:rsidP="009250C5">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Pr>
                <w:rFonts w:asciiTheme="majorHAnsi" w:hAnsiTheme="majorHAnsi" w:cs="Futura PT Book"/>
                <w:color w:val="292929"/>
                <w:sz w:val="14"/>
                <w:szCs w:val="14"/>
                <w:lang w:val="en-US"/>
              </w:rPr>
              <w:t>217</w:t>
            </w:r>
          </w:p>
        </w:tc>
        <w:tc>
          <w:tcPr>
            <w:tcW w:w="993" w:type="dxa"/>
            <w:tcBorders>
              <w:top w:val="single" w:sz="2" w:space="0" w:color="auto"/>
              <w:left w:val="single" w:sz="18" w:space="0" w:color="FFFFFF" w:themeColor="background2"/>
              <w:bottom w:val="single" w:sz="2" w:space="0" w:color="auto"/>
            </w:tcBorders>
          </w:tcPr>
          <w:p w14:paraId="5D489DE4" w14:textId="1E98D411" w:rsidR="00267E1C" w:rsidRPr="00B61E00" w:rsidRDefault="00267E1C" w:rsidP="009250C5">
            <w:pPr>
              <w:suppressAutoHyphens/>
              <w:autoSpaceDE w:val="0"/>
              <w:autoSpaceDN w:val="0"/>
              <w:adjustRightInd w:val="0"/>
              <w:spacing w:before="20" w:after="20"/>
              <w:jc w:val="right"/>
              <w:textAlignment w:val="center"/>
              <w:rPr>
                <w:rFonts w:cs="Futura PT Book"/>
                <w:color w:val="292929"/>
                <w:sz w:val="14"/>
                <w:szCs w:val="14"/>
                <w:lang w:val="en-US"/>
              </w:rPr>
            </w:pPr>
            <w:r>
              <w:rPr>
                <w:color w:val="292929"/>
                <w:sz w:val="14"/>
                <w:szCs w:val="14"/>
              </w:rPr>
              <w:t>804</w:t>
            </w:r>
          </w:p>
        </w:tc>
      </w:tr>
      <w:tr w:rsidR="00B61E00" w:rsidRPr="00B61E00" w14:paraId="4526557E" w14:textId="77777777" w:rsidTr="007F6398">
        <w:trPr>
          <w:trHeight w:val="57"/>
        </w:trPr>
        <w:tc>
          <w:tcPr>
            <w:tcW w:w="5111" w:type="dxa"/>
          </w:tcPr>
          <w:p w14:paraId="756E2BE2" w14:textId="77777777" w:rsidR="00B61E00" w:rsidRPr="00B61E00" w:rsidRDefault="00B61E00" w:rsidP="009250C5">
            <w:pPr>
              <w:suppressAutoHyphens/>
              <w:autoSpaceDE w:val="0"/>
              <w:autoSpaceDN w:val="0"/>
              <w:adjustRightInd w:val="0"/>
              <w:spacing w:before="20" w:after="20"/>
              <w:textAlignment w:val="center"/>
              <w:rPr>
                <w:rFonts w:asciiTheme="majorHAnsi" w:hAnsiTheme="majorHAnsi"/>
                <w:color w:val="292929"/>
                <w:sz w:val="4"/>
                <w:szCs w:val="4"/>
              </w:rPr>
            </w:pPr>
          </w:p>
        </w:tc>
        <w:tc>
          <w:tcPr>
            <w:tcW w:w="992" w:type="dxa"/>
            <w:tcBorders>
              <w:top w:val="single" w:sz="2" w:space="0" w:color="auto"/>
              <w:right w:val="single" w:sz="18" w:space="0" w:color="FFFFFF" w:themeColor="background2"/>
            </w:tcBorders>
          </w:tcPr>
          <w:p w14:paraId="1E966302" w14:textId="77777777" w:rsidR="00B61E00" w:rsidRPr="00B61E00" w:rsidRDefault="00B61E00" w:rsidP="009250C5">
            <w:pPr>
              <w:suppressAutoHyphens/>
              <w:autoSpaceDE w:val="0"/>
              <w:autoSpaceDN w:val="0"/>
              <w:adjustRightInd w:val="0"/>
              <w:spacing w:before="20" w:after="20"/>
              <w:jc w:val="right"/>
              <w:textAlignment w:val="center"/>
              <w:rPr>
                <w:rFonts w:asciiTheme="majorHAnsi" w:hAnsiTheme="majorHAnsi" w:cs="Futura PT Book"/>
                <w:color w:val="292929"/>
                <w:sz w:val="4"/>
                <w:szCs w:val="4"/>
                <w:lang w:val="en-US"/>
              </w:rPr>
            </w:pPr>
          </w:p>
        </w:tc>
        <w:tc>
          <w:tcPr>
            <w:tcW w:w="993" w:type="dxa"/>
            <w:tcBorders>
              <w:top w:val="single" w:sz="2" w:space="0" w:color="auto"/>
              <w:left w:val="single" w:sz="18" w:space="0" w:color="FFFFFF" w:themeColor="background2"/>
            </w:tcBorders>
          </w:tcPr>
          <w:p w14:paraId="0A60F868" w14:textId="77777777" w:rsidR="00B61E00" w:rsidRPr="00B61E00" w:rsidRDefault="00B61E00" w:rsidP="009250C5">
            <w:pPr>
              <w:suppressAutoHyphens/>
              <w:autoSpaceDE w:val="0"/>
              <w:autoSpaceDN w:val="0"/>
              <w:adjustRightInd w:val="0"/>
              <w:spacing w:before="20" w:after="20"/>
              <w:jc w:val="right"/>
              <w:textAlignment w:val="center"/>
              <w:rPr>
                <w:color w:val="292929"/>
                <w:sz w:val="4"/>
                <w:szCs w:val="4"/>
              </w:rPr>
            </w:pPr>
          </w:p>
        </w:tc>
      </w:tr>
    </w:tbl>
    <w:p w14:paraId="6AAAA6F3" w14:textId="77777777" w:rsidR="00B61E00" w:rsidRPr="00B61E00" w:rsidRDefault="00B61E00" w:rsidP="00B61E00">
      <w:pPr>
        <w:pStyle w:val="Body"/>
        <w:rPr>
          <w:color w:val="292929"/>
        </w:rPr>
      </w:pPr>
    </w:p>
    <w:tbl>
      <w:tblPr>
        <w:tblStyle w:val="TableGrid1"/>
        <w:tblW w:w="4993" w:type="pct"/>
        <w:tblCellMar>
          <w:top w:w="57" w:type="dxa"/>
          <w:bottom w:w="57" w:type="dxa"/>
        </w:tblCellMar>
        <w:tblLook w:val="04A0" w:firstRow="1" w:lastRow="0" w:firstColumn="1" w:lastColumn="0" w:noHBand="0" w:noVBand="1"/>
        <w:tblCaption w:val="Note 1.2A"/>
        <w:tblDescription w:val="Accounting policy"/>
      </w:tblPr>
      <w:tblGrid>
        <w:gridCol w:w="7690"/>
      </w:tblGrid>
      <w:tr w:rsidR="00B61E00" w:rsidRPr="00B61E00" w14:paraId="67A862FA" w14:textId="77777777" w:rsidTr="00F21F53">
        <w:trPr>
          <w:tblHeader/>
        </w:trPr>
        <w:tc>
          <w:tcPr>
            <w:tcW w:w="5000" w:type="pct"/>
          </w:tcPr>
          <w:p w14:paraId="2FD3B2DD" w14:textId="77777777" w:rsidR="00B61E00" w:rsidRPr="00B61E00" w:rsidRDefault="00B61E00" w:rsidP="006544B5">
            <w:pPr>
              <w:pStyle w:val="Body"/>
              <w:spacing w:after="120" w:line="288" w:lineRule="auto"/>
              <w:rPr>
                <w:rFonts w:asciiTheme="majorHAnsi" w:hAnsiTheme="majorHAnsi"/>
                <w:color w:val="292929"/>
              </w:rPr>
            </w:pPr>
            <w:r w:rsidRPr="00B61E00">
              <w:rPr>
                <w:rFonts w:asciiTheme="majorHAnsi" w:hAnsiTheme="majorHAnsi"/>
                <w:color w:val="292929"/>
              </w:rPr>
              <w:t>Accounting Policy</w:t>
            </w:r>
          </w:p>
          <w:p w14:paraId="6781820E" w14:textId="03765678" w:rsidR="00B61E00" w:rsidRPr="00B61E00" w:rsidRDefault="00845BA4" w:rsidP="006544B5">
            <w:pPr>
              <w:pStyle w:val="Body"/>
              <w:spacing w:after="120" w:line="288" w:lineRule="auto"/>
              <w:rPr>
                <w:b/>
                <w:bCs/>
                <w:color w:val="292929"/>
              </w:rPr>
            </w:pPr>
            <w:r w:rsidRPr="00845BA4">
              <w:rPr>
                <w:b/>
                <w:bCs/>
                <w:color w:val="292929"/>
              </w:rPr>
              <w:t>Revenue from contracts with customers</w:t>
            </w:r>
          </w:p>
          <w:p w14:paraId="6D92B7A2" w14:textId="1BDEFE39" w:rsidR="00845BA4" w:rsidRDefault="00124B6F" w:rsidP="006544B5">
            <w:pPr>
              <w:pStyle w:val="Body"/>
              <w:spacing w:after="80" w:line="288" w:lineRule="auto"/>
              <w:rPr>
                <w:color w:val="292929"/>
              </w:rPr>
            </w:pPr>
            <w:r w:rsidRPr="00124B6F">
              <w:rPr>
                <w:color w:val="292929"/>
              </w:rPr>
              <w:t xml:space="preserve">Revenue from the sale of goods is </w:t>
            </w:r>
            <w:proofErr w:type="spellStart"/>
            <w:r w:rsidRPr="00124B6F">
              <w:rPr>
                <w:color w:val="292929"/>
              </w:rPr>
              <w:t>recognised</w:t>
            </w:r>
            <w:proofErr w:type="spellEnd"/>
            <w:r w:rsidRPr="00124B6F">
              <w:rPr>
                <w:color w:val="292929"/>
              </w:rPr>
              <w:t xml:space="preserve"> when control has been transferred to the buyer</w:t>
            </w:r>
            <w:r w:rsidR="00845BA4" w:rsidRPr="00845BA4">
              <w:rPr>
                <w:color w:val="292929"/>
              </w:rPr>
              <w:t>.</w:t>
            </w:r>
          </w:p>
          <w:p w14:paraId="63AD9D77" w14:textId="1B2527E6" w:rsidR="00845BA4" w:rsidRDefault="00124B6F" w:rsidP="006544B5">
            <w:pPr>
              <w:pStyle w:val="Body"/>
              <w:spacing w:after="80" w:line="288" w:lineRule="auto"/>
              <w:rPr>
                <w:color w:val="292929"/>
              </w:rPr>
            </w:pPr>
            <w:r w:rsidRPr="00124B6F">
              <w:rPr>
                <w:color w:val="292929"/>
              </w:rPr>
              <w:t>In relation to AASB 15,</w:t>
            </w:r>
            <w:r w:rsidR="00AA302E">
              <w:rPr>
                <w:color w:val="292929"/>
              </w:rPr>
              <w:t xml:space="preserve"> </w:t>
            </w:r>
            <w:r w:rsidRPr="00124B6F">
              <w:rPr>
                <w:color w:val="292929"/>
              </w:rPr>
              <w:t xml:space="preserve">IHPA has considered each revenue stream to identify the existence of an enforceable contract that requires the completion of sufficiently specific performance obligations in exchange for relevant consideration. Revenue is </w:t>
            </w:r>
            <w:proofErr w:type="spellStart"/>
            <w:r w:rsidRPr="00124B6F">
              <w:rPr>
                <w:color w:val="292929"/>
              </w:rPr>
              <w:t>recognised</w:t>
            </w:r>
            <w:proofErr w:type="spellEnd"/>
            <w:r w:rsidRPr="00124B6F">
              <w:rPr>
                <w:color w:val="292929"/>
              </w:rPr>
              <w:t xml:space="preserve"> either over time or at a point in time as performance obligations are completed and IHPA has an enforceable right to payment for the performance</w:t>
            </w:r>
            <w:r>
              <w:rPr>
                <w:color w:val="292929"/>
              </w:rPr>
              <w:t> </w:t>
            </w:r>
            <w:r w:rsidRPr="00124B6F">
              <w:rPr>
                <w:color w:val="292929"/>
              </w:rPr>
              <w:t>completed to date.</w:t>
            </w:r>
          </w:p>
          <w:p w14:paraId="3192CBFC" w14:textId="6F734D73" w:rsidR="00B61E00" w:rsidRPr="00B61E00" w:rsidRDefault="00124B6F" w:rsidP="006544B5">
            <w:pPr>
              <w:pStyle w:val="Body"/>
              <w:spacing w:after="80" w:line="288" w:lineRule="auto"/>
              <w:rPr>
                <w:color w:val="292929"/>
              </w:rPr>
            </w:pPr>
            <w:r w:rsidRPr="00124B6F">
              <w:rPr>
                <w:color w:val="292929"/>
              </w:rPr>
              <w:t xml:space="preserve">Receivables for goods and services, which have 30 day terms, are </w:t>
            </w:r>
            <w:proofErr w:type="spellStart"/>
            <w:r w:rsidRPr="00124B6F">
              <w:rPr>
                <w:color w:val="292929"/>
              </w:rPr>
              <w:t>recognised</w:t>
            </w:r>
            <w:proofErr w:type="spellEnd"/>
            <w:r w:rsidRPr="00124B6F">
              <w:rPr>
                <w:color w:val="292929"/>
              </w:rPr>
              <w:t xml:space="preserve"> at the nominal amounts due</w:t>
            </w:r>
            <w:r w:rsidR="002E680E">
              <w:rPr>
                <w:color w:val="292929"/>
              </w:rPr>
              <w:t> </w:t>
            </w:r>
            <w:r w:rsidRPr="00124B6F">
              <w:rPr>
                <w:color w:val="292929"/>
              </w:rPr>
              <w:t>less any impairment allowance account. Collectability of debts is reviewed at the end of the reporting</w:t>
            </w:r>
            <w:r w:rsidR="002E680E">
              <w:rPr>
                <w:color w:val="292929"/>
              </w:rPr>
              <w:t> </w:t>
            </w:r>
            <w:r w:rsidRPr="00124B6F">
              <w:rPr>
                <w:color w:val="292929"/>
              </w:rPr>
              <w:t>period.</w:t>
            </w:r>
            <w:r w:rsidR="00AA302E">
              <w:rPr>
                <w:color w:val="292929"/>
              </w:rPr>
              <w:t xml:space="preserve"> </w:t>
            </w:r>
            <w:r w:rsidRPr="00124B6F">
              <w:rPr>
                <w:color w:val="292929"/>
              </w:rPr>
              <w:t>Allowances are made when collectability of the debt is no longer probable.</w:t>
            </w:r>
          </w:p>
        </w:tc>
      </w:tr>
    </w:tbl>
    <w:p w14:paraId="41EA0842" w14:textId="77777777" w:rsidR="00B61E00" w:rsidRPr="00B61E00" w:rsidRDefault="00B61E00" w:rsidP="00B61E00">
      <w:pPr>
        <w:pStyle w:val="Body"/>
        <w:rPr>
          <w:color w:val="292929"/>
        </w:rPr>
      </w:pPr>
    </w:p>
    <w:p w14:paraId="4B82528D" w14:textId="77777777" w:rsidR="0098746F" w:rsidRDefault="0098746F" w:rsidP="00156309">
      <w:pPr>
        <w:pStyle w:val="Body"/>
        <w:rPr>
          <w:color w:val="292929"/>
        </w:rPr>
        <w:sectPr w:rsidR="0098746F" w:rsidSect="00441579">
          <w:footerReference w:type="default" r:id="rId205"/>
          <w:pgSz w:w="9979" w:h="14175"/>
          <w:pgMar w:top="1134" w:right="1134" w:bottom="1134" w:left="1134" w:header="709" w:footer="709" w:gutter="0"/>
          <w:cols w:space="708"/>
          <w:docGrid w:linePitch="360"/>
        </w:sectPr>
      </w:pPr>
    </w:p>
    <w:tbl>
      <w:tblPr>
        <w:tblStyle w:val="IHPA"/>
        <w:tblW w:w="7096" w:type="dxa"/>
        <w:tblLayout w:type="fixed"/>
        <w:tblLook w:val="0020" w:firstRow="1" w:lastRow="0" w:firstColumn="0" w:lastColumn="0" w:noHBand="0" w:noVBand="0"/>
        <w:tblCaption w:val="Note 1.2B"/>
        <w:tblDescription w:val="Resources received free of charge"/>
      </w:tblPr>
      <w:tblGrid>
        <w:gridCol w:w="5111"/>
        <w:gridCol w:w="992"/>
        <w:gridCol w:w="993"/>
      </w:tblGrid>
      <w:tr w:rsidR="0098746F" w:rsidRPr="00EA60FF" w14:paraId="40ACA092" w14:textId="77777777" w:rsidTr="00EF4256">
        <w:trPr>
          <w:trHeight w:val="340"/>
        </w:trPr>
        <w:tc>
          <w:tcPr>
            <w:tcW w:w="5111" w:type="dxa"/>
          </w:tcPr>
          <w:p w14:paraId="3C0AFB10" w14:textId="77777777" w:rsidR="0098746F" w:rsidRPr="00EA60FF" w:rsidRDefault="0098746F" w:rsidP="00EF4256">
            <w:pPr>
              <w:autoSpaceDE w:val="0"/>
              <w:autoSpaceDN w:val="0"/>
              <w:adjustRightInd w:val="0"/>
              <w:spacing w:before="20" w:after="20"/>
              <w:rPr>
                <w:rFonts w:ascii="Futura PT Book" w:hAnsi="Futura PT Book"/>
                <w:color w:val="1C1C1C"/>
                <w:sz w:val="24"/>
                <w:szCs w:val="24"/>
              </w:rPr>
            </w:pPr>
            <w:bookmarkStart w:id="188" w:name="_Hlk48559302"/>
          </w:p>
        </w:tc>
        <w:tc>
          <w:tcPr>
            <w:tcW w:w="992" w:type="dxa"/>
            <w:tcBorders>
              <w:bottom w:val="single" w:sz="12" w:space="0" w:color="auto"/>
              <w:right w:val="single" w:sz="18" w:space="0" w:color="FFFFFF" w:themeColor="background2"/>
            </w:tcBorders>
          </w:tcPr>
          <w:p w14:paraId="0C4E6AD5" w14:textId="681A7C3C" w:rsidR="0098746F" w:rsidRPr="00EA60FF" w:rsidRDefault="0098746F" w:rsidP="00EF4256">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A60FF">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EA60FF">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376534F0" w14:textId="0B7F4FAE" w:rsidR="0098746F" w:rsidRPr="00EA60FF" w:rsidRDefault="0098746F" w:rsidP="00EF4256">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A60FF">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EA60FF">
              <w:rPr>
                <w:rFonts w:asciiTheme="majorHAnsi" w:hAnsiTheme="majorHAnsi" w:cs="Futura PT Heavy"/>
                <w:color w:val="1C1C1C"/>
                <w:sz w:val="16"/>
                <w:szCs w:val="16"/>
                <w:lang w:val="en-US"/>
              </w:rPr>
              <w:br/>
              <w:t>$’000</w:t>
            </w:r>
          </w:p>
        </w:tc>
      </w:tr>
      <w:tr w:rsidR="0098746F" w:rsidRPr="00EA60FF" w14:paraId="25043EAE" w14:textId="77777777" w:rsidTr="00EF4256">
        <w:trPr>
          <w:trHeight w:val="170"/>
        </w:trPr>
        <w:tc>
          <w:tcPr>
            <w:tcW w:w="5111" w:type="dxa"/>
          </w:tcPr>
          <w:p w14:paraId="3998E286" w14:textId="77777777" w:rsidR="0098746F" w:rsidRPr="00EA60FF" w:rsidRDefault="0098746F" w:rsidP="00EF4256">
            <w:pPr>
              <w:suppressAutoHyphens/>
              <w:autoSpaceDE w:val="0"/>
              <w:autoSpaceDN w:val="0"/>
              <w:adjustRightInd w:val="0"/>
              <w:spacing w:before="20" w:after="20"/>
              <w:textAlignment w:val="center"/>
              <w:rPr>
                <w:rFonts w:asciiTheme="majorHAnsi" w:hAnsiTheme="majorHAnsi"/>
                <w:color w:val="1C1C1C"/>
                <w:sz w:val="14"/>
                <w:szCs w:val="14"/>
              </w:rPr>
            </w:pPr>
            <w:r w:rsidRPr="00EA60FF">
              <w:rPr>
                <w:rFonts w:asciiTheme="majorHAnsi" w:hAnsiTheme="majorHAnsi"/>
                <w:color w:val="1C1C1C"/>
                <w:sz w:val="14"/>
                <w:szCs w:val="14"/>
              </w:rPr>
              <w:t>Note 1.2B: Resources received free of charge</w:t>
            </w:r>
          </w:p>
        </w:tc>
        <w:tc>
          <w:tcPr>
            <w:tcW w:w="992" w:type="dxa"/>
            <w:tcBorders>
              <w:top w:val="single" w:sz="12" w:space="0" w:color="auto"/>
              <w:right w:val="single" w:sz="18" w:space="0" w:color="FFFFFF" w:themeColor="background2"/>
            </w:tcBorders>
          </w:tcPr>
          <w:p w14:paraId="3936EE38" w14:textId="77777777" w:rsidR="0098746F" w:rsidRPr="00EA60FF" w:rsidRDefault="0098746F" w:rsidP="00EF4256">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0B5DB563" w14:textId="77777777" w:rsidR="0098746F" w:rsidRPr="00EA60FF" w:rsidRDefault="0098746F" w:rsidP="00EF4256">
            <w:pPr>
              <w:autoSpaceDE w:val="0"/>
              <w:autoSpaceDN w:val="0"/>
              <w:adjustRightInd w:val="0"/>
              <w:spacing w:before="20" w:after="20"/>
              <w:jc w:val="right"/>
              <w:rPr>
                <w:color w:val="1C1C1C"/>
                <w:sz w:val="14"/>
                <w:szCs w:val="14"/>
              </w:rPr>
            </w:pPr>
          </w:p>
        </w:tc>
      </w:tr>
      <w:tr w:rsidR="00267E1C" w:rsidRPr="00EA60FF" w14:paraId="20C47706" w14:textId="77777777" w:rsidTr="00EF4256">
        <w:trPr>
          <w:trHeight w:val="170"/>
        </w:trPr>
        <w:tc>
          <w:tcPr>
            <w:tcW w:w="5111" w:type="dxa"/>
          </w:tcPr>
          <w:p w14:paraId="2EE55707" w14:textId="77777777" w:rsidR="00267E1C" w:rsidRPr="00EA60FF" w:rsidRDefault="00267E1C" w:rsidP="00EF4256">
            <w:pPr>
              <w:suppressAutoHyphens/>
              <w:autoSpaceDE w:val="0"/>
              <w:autoSpaceDN w:val="0"/>
              <w:adjustRightInd w:val="0"/>
              <w:spacing w:before="20" w:after="20"/>
              <w:textAlignment w:val="center"/>
              <w:rPr>
                <w:rFonts w:cs="Futura PT Book"/>
                <w:color w:val="1C1C1C"/>
                <w:sz w:val="14"/>
                <w:szCs w:val="14"/>
                <w:lang w:val="en-US"/>
              </w:rPr>
            </w:pPr>
            <w:r w:rsidRPr="00EA60FF">
              <w:rPr>
                <w:color w:val="1C1C1C"/>
                <w:sz w:val="14"/>
                <w:szCs w:val="14"/>
              </w:rPr>
              <w:t>Departmental contribution received free of charge</w:t>
            </w:r>
          </w:p>
        </w:tc>
        <w:tc>
          <w:tcPr>
            <w:tcW w:w="992" w:type="dxa"/>
            <w:tcBorders>
              <w:right w:val="single" w:sz="18" w:space="0" w:color="FFFFFF" w:themeColor="background2"/>
            </w:tcBorders>
          </w:tcPr>
          <w:p w14:paraId="2F487BC4" w14:textId="7A96859C" w:rsidR="00267E1C" w:rsidRPr="0098746F" w:rsidRDefault="00267E1C" w:rsidP="00EF4256">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7</w:t>
            </w:r>
            <w:r w:rsidRPr="0098746F">
              <w:rPr>
                <w:rFonts w:asciiTheme="majorHAnsi" w:hAnsiTheme="majorHAnsi" w:cs="Calibri"/>
                <w:sz w:val="14"/>
                <w:szCs w:val="14"/>
              </w:rPr>
              <w:t>,</w:t>
            </w:r>
            <w:r>
              <w:rPr>
                <w:rFonts w:asciiTheme="majorHAnsi" w:hAnsiTheme="majorHAnsi" w:cs="Calibri"/>
                <w:sz w:val="14"/>
                <w:szCs w:val="14"/>
              </w:rPr>
              <w:t>37</w:t>
            </w:r>
            <w:r w:rsidR="00845BA4">
              <w:rPr>
                <w:rFonts w:asciiTheme="majorHAnsi" w:hAnsiTheme="majorHAnsi" w:cs="Calibri"/>
                <w:sz w:val="14"/>
                <w:szCs w:val="14"/>
              </w:rPr>
              <w:t>5</w:t>
            </w:r>
            <w:r w:rsidRPr="0098746F">
              <w:rPr>
                <w:rFonts w:asciiTheme="majorHAnsi" w:hAnsiTheme="majorHAnsi" w:cs="Calibri"/>
                <w:sz w:val="14"/>
                <w:szCs w:val="14"/>
              </w:rPr>
              <w:t xml:space="preserve"> </w:t>
            </w:r>
          </w:p>
        </w:tc>
        <w:tc>
          <w:tcPr>
            <w:tcW w:w="993" w:type="dxa"/>
            <w:tcBorders>
              <w:left w:val="single" w:sz="18" w:space="0" w:color="FFFFFF" w:themeColor="background2"/>
            </w:tcBorders>
          </w:tcPr>
          <w:p w14:paraId="0AC0C7FA" w14:textId="1D40D083" w:rsidR="00267E1C" w:rsidRPr="0098746F" w:rsidRDefault="00267E1C" w:rsidP="00EF4256">
            <w:pPr>
              <w:autoSpaceDE w:val="0"/>
              <w:autoSpaceDN w:val="0"/>
              <w:adjustRightInd w:val="0"/>
              <w:spacing w:before="20" w:after="20"/>
              <w:jc w:val="right"/>
              <w:rPr>
                <w:color w:val="1C1C1C"/>
                <w:sz w:val="14"/>
                <w:szCs w:val="14"/>
              </w:rPr>
            </w:pPr>
            <w:r w:rsidRPr="0098746F">
              <w:rPr>
                <w:rFonts w:cs="Calibri"/>
                <w:sz w:val="14"/>
                <w:szCs w:val="14"/>
              </w:rPr>
              <w:t xml:space="preserve">7,657 </w:t>
            </w:r>
          </w:p>
        </w:tc>
      </w:tr>
      <w:tr w:rsidR="00267E1C" w:rsidRPr="00EA60FF" w14:paraId="73DCFF3B" w14:textId="77777777" w:rsidTr="00EF4256">
        <w:trPr>
          <w:trHeight w:val="170"/>
        </w:trPr>
        <w:tc>
          <w:tcPr>
            <w:tcW w:w="5111" w:type="dxa"/>
          </w:tcPr>
          <w:p w14:paraId="2C16D34F" w14:textId="77777777" w:rsidR="00267E1C" w:rsidRPr="00EA60FF" w:rsidRDefault="00267E1C" w:rsidP="00EF4256">
            <w:pPr>
              <w:suppressAutoHyphens/>
              <w:autoSpaceDE w:val="0"/>
              <w:autoSpaceDN w:val="0"/>
              <w:adjustRightInd w:val="0"/>
              <w:spacing w:before="20" w:after="20"/>
              <w:textAlignment w:val="center"/>
              <w:rPr>
                <w:color w:val="1C1C1C"/>
                <w:sz w:val="14"/>
                <w:szCs w:val="14"/>
              </w:rPr>
            </w:pPr>
            <w:r w:rsidRPr="00EA60FF">
              <w:rPr>
                <w:color w:val="1C1C1C"/>
                <w:sz w:val="14"/>
                <w:szCs w:val="14"/>
              </w:rPr>
              <w:t>Other resources received free of charge</w:t>
            </w:r>
          </w:p>
        </w:tc>
        <w:tc>
          <w:tcPr>
            <w:tcW w:w="992" w:type="dxa"/>
            <w:tcBorders>
              <w:bottom w:val="single" w:sz="2" w:space="0" w:color="auto"/>
              <w:right w:val="single" w:sz="18" w:space="0" w:color="FFFFFF" w:themeColor="background2"/>
            </w:tcBorders>
          </w:tcPr>
          <w:p w14:paraId="02B54509" w14:textId="43C2D024" w:rsidR="00267E1C" w:rsidRPr="0098746F" w:rsidRDefault="00267E1C" w:rsidP="00EF4256">
            <w:pPr>
              <w:autoSpaceDE w:val="0"/>
              <w:autoSpaceDN w:val="0"/>
              <w:adjustRightInd w:val="0"/>
              <w:spacing w:before="20" w:after="20"/>
              <w:jc w:val="right"/>
              <w:rPr>
                <w:rFonts w:asciiTheme="majorHAnsi" w:hAnsiTheme="majorHAnsi"/>
                <w:color w:val="1C1C1C"/>
                <w:sz w:val="14"/>
                <w:szCs w:val="14"/>
              </w:rPr>
            </w:pPr>
            <w:r w:rsidRPr="0098746F">
              <w:rPr>
                <w:rFonts w:asciiTheme="majorHAnsi" w:hAnsiTheme="majorHAnsi" w:cs="Calibri"/>
                <w:sz w:val="14"/>
                <w:szCs w:val="14"/>
              </w:rPr>
              <w:t xml:space="preserve">65 </w:t>
            </w:r>
          </w:p>
        </w:tc>
        <w:tc>
          <w:tcPr>
            <w:tcW w:w="993" w:type="dxa"/>
            <w:tcBorders>
              <w:left w:val="single" w:sz="18" w:space="0" w:color="FFFFFF" w:themeColor="background2"/>
              <w:bottom w:val="single" w:sz="2" w:space="0" w:color="auto"/>
            </w:tcBorders>
          </w:tcPr>
          <w:p w14:paraId="7F261ABF" w14:textId="5DE5DAE7" w:rsidR="00267E1C" w:rsidRPr="0098746F" w:rsidRDefault="00267E1C" w:rsidP="00EF4256">
            <w:pPr>
              <w:autoSpaceDE w:val="0"/>
              <w:autoSpaceDN w:val="0"/>
              <w:adjustRightInd w:val="0"/>
              <w:spacing w:before="20" w:after="20"/>
              <w:jc w:val="right"/>
              <w:rPr>
                <w:color w:val="1C1C1C"/>
                <w:sz w:val="14"/>
                <w:szCs w:val="14"/>
              </w:rPr>
            </w:pPr>
            <w:r w:rsidRPr="0098746F">
              <w:rPr>
                <w:rFonts w:cs="Calibri"/>
                <w:sz w:val="14"/>
                <w:szCs w:val="14"/>
              </w:rPr>
              <w:t xml:space="preserve">65 </w:t>
            </w:r>
          </w:p>
        </w:tc>
      </w:tr>
      <w:tr w:rsidR="00267E1C" w:rsidRPr="00EA60FF" w14:paraId="5E6C4548" w14:textId="77777777" w:rsidTr="00EF4256">
        <w:trPr>
          <w:trHeight w:val="170"/>
        </w:trPr>
        <w:tc>
          <w:tcPr>
            <w:tcW w:w="5111" w:type="dxa"/>
          </w:tcPr>
          <w:p w14:paraId="0038764B" w14:textId="77777777" w:rsidR="00267E1C" w:rsidRPr="00EA60FF" w:rsidRDefault="00267E1C" w:rsidP="00EF4256">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EA60FF">
              <w:rPr>
                <w:rFonts w:asciiTheme="majorHAnsi" w:hAnsiTheme="majorHAnsi"/>
                <w:color w:val="1C1C1C"/>
                <w:sz w:val="14"/>
                <w:szCs w:val="14"/>
              </w:rPr>
              <w:t>Total other revenue</w:t>
            </w:r>
          </w:p>
        </w:tc>
        <w:tc>
          <w:tcPr>
            <w:tcW w:w="992" w:type="dxa"/>
            <w:tcBorders>
              <w:top w:val="single" w:sz="2" w:space="0" w:color="auto"/>
              <w:bottom w:val="single" w:sz="2" w:space="0" w:color="auto"/>
              <w:right w:val="single" w:sz="18" w:space="0" w:color="FFFFFF" w:themeColor="background2"/>
            </w:tcBorders>
          </w:tcPr>
          <w:p w14:paraId="111ED877" w14:textId="7A57E0DC" w:rsidR="00267E1C" w:rsidRPr="0098746F" w:rsidRDefault="00267E1C" w:rsidP="00EF4256">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7</w:t>
            </w:r>
            <w:r w:rsidRPr="0098746F">
              <w:rPr>
                <w:rFonts w:asciiTheme="majorHAnsi" w:hAnsiTheme="majorHAnsi" w:cs="Calibri"/>
                <w:sz w:val="14"/>
                <w:szCs w:val="14"/>
              </w:rPr>
              <w:t>,</w:t>
            </w:r>
            <w:r>
              <w:rPr>
                <w:rFonts w:asciiTheme="majorHAnsi" w:hAnsiTheme="majorHAnsi" w:cs="Calibri"/>
                <w:sz w:val="14"/>
                <w:szCs w:val="14"/>
              </w:rPr>
              <w:t>44</w:t>
            </w:r>
            <w:r w:rsidR="00845BA4">
              <w:rPr>
                <w:rFonts w:asciiTheme="majorHAnsi" w:hAnsiTheme="majorHAnsi" w:cs="Calibri"/>
                <w:sz w:val="14"/>
                <w:szCs w:val="14"/>
              </w:rPr>
              <w:t>0</w:t>
            </w:r>
            <w:r w:rsidRPr="0098746F">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67631011" w14:textId="45FD7592" w:rsidR="00267E1C" w:rsidRPr="0098746F" w:rsidRDefault="00267E1C" w:rsidP="00EF4256">
            <w:pPr>
              <w:suppressAutoHyphens/>
              <w:autoSpaceDE w:val="0"/>
              <w:autoSpaceDN w:val="0"/>
              <w:adjustRightInd w:val="0"/>
              <w:spacing w:before="20" w:after="20"/>
              <w:jc w:val="right"/>
              <w:textAlignment w:val="center"/>
              <w:rPr>
                <w:rFonts w:cs="Futura PT Book"/>
                <w:color w:val="1C1C1C"/>
                <w:sz w:val="14"/>
                <w:szCs w:val="14"/>
                <w:lang w:val="en-US"/>
              </w:rPr>
            </w:pPr>
            <w:r w:rsidRPr="0098746F">
              <w:rPr>
                <w:rFonts w:cs="Calibri"/>
                <w:sz w:val="14"/>
                <w:szCs w:val="14"/>
              </w:rPr>
              <w:t xml:space="preserve">7,722 </w:t>
            </w:r>
          </w:p>
        </w:tc>
      </w:tr>
      <w:tr w:rsidR="0098746F" w:rsidRPr="00EA60FF" w14:paraId="0A444132" w14:textId="77777777" w:rsidTr="00EF4256">
        <w:trPr>
          <w:trHeight w:val="57"/>
        </w:trPr>
        <w:tc>
          <w:tcPr>
            <w:tcW w:w="5111" w:type="dxa"/>
          </w:tcPr>
          <w:p w14:paraId="7AAAB6CA" w14:textId="77777777" w:rsidR="0098746F" w:rsidRPr="00EA60FF" w:rsidRDefault="0098746F" w:rsidP="00EF4256">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02336935" w14:textId="77777777" w:rsidR="0098746F" w:rsidRPr="00EA60FF" w:rsidRDefault="0098746F" w:rsidP="00EF4256">
            <w:pPr>
              <w:suppressAutoHyphens/>
              <w:autoSpaceDE w:val="0"/>
              <w:autoSpaceDN w:val="0"/>
              <w:adjustRightInd w:val="0"/>
              <w:spacing w:before="20" w:after="20"/>
              <w:jc w:val="right"/>
              <w:textAlignment w:val="center"/>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0957D99E" w14:textId="77777777" w:rsidR="0098746F" w:rsidRPr="00EA60FF" w:rsidRDefault="0098746F" w:rsidP="00EF4256">
            <w:pPr>
              <w:suppressAutoHyphens/>
              <w:autoSpaceDE w:val="0"/>
              <w:autoSpaceDN w:val="0"/>
              <w:adjustRightInd w:val="0"/>
              <w:spacing w:before="20" w:after="20"/>
              <w:jc w:val="right"/>
              <w:textAlignment w:val="center"/>
              <w:rPr>
                <w:color w:val="1C1C1C"/>
                <w:sz w:val="4"/>
                <w:szCs w:val="4"/>
              </w:rPr>
            </w:pPr>
          </w:p>
        </w:tc>
      </w:tr>
      <w:bookmarkEnd w:id="188"/>
    </w:tbl>
    <w:p w14:paraId="7785C782" w14:textId="77777777" w:rsidR="0098746F" w:rsidRDefault="0098746F" w:rsidP="0098746F">
      <w:pPr>
        <w:pStyle w:val="Body"/>
      </w:pPr>
    </w:p>
    <w:tbl>
      <w:tblPr>
        <w:tblStyle w:val="TableGrid1"/>
        <w:tblW w:w="4993" w:type="pct"/>
        <w:tblCellMar>
          <w:top w:w="57" w:type="dxa"/>
          <w:bottom w:w="57" w:type="dxa"/>
        </w:tblCellMar>
        <w:tblLook w:val="04A0" w:firstRow="1" w:lastRow="0" w:firstColumn="1" w:lastColumn="0" w:noHBand="0" w:noVBand="1"/>
        <w:tblCaption w:val="Note 1.2B"/>
        <w:tblDescription w:val="Accounting policy"/>
      </w:tblPr>
      <w:tblGrid>
        <w:gridCol w:w="7690"/>
      </w:tblGrid>
      <w:tr w:rsidR="0098746F" w14:paraId="487AC4D9" w14:textId="77777777" w:rsidTr="00F21F53">
        <w:trPr>
          <w:tblHeader/>
        </w:trPr>
        <w:tc>
          <w:tcPr>
            <w:tcW w:w="5000" w:type="pct"/>
          </w:tcPr>
          <w:p w14:paraId="6243CB8D" w14:textId="77777777" w:rsidR="0098746F" w:rsidRPr="005300C0" w:rsidRDefault="0098746F" w:rsidP="006544B5">
            <w:pPr>
              <w:pStyle w:val="Body"/>
              <w:spacing w:after="120" w:line="288" w:lineRule="auto"/>
              <w:rPr>
                <w:rFonts w:asciiTheme="majorHAnsi" w:hAnsiTheme="majorHAnsi"/>
              </w:rPr>
            </w:pPr>
            <w:r w:rsidRPr="005300C0">
              <w:rPr>
                <w:rFonts w:asciiTheme="majorHAnsi" w:hAnsiTheme="majorHAnsi"/>
              </w:rPr>
              <w:t>Accounting Policy</w:t>
            </w:r>
          </w:p>
          <w:p w14:paraId="5DE4C6CC" w14:textId="62CC9BE7" w:rsidR="0098746F" w:rsidRPr="00303955" w:rsidRDefault="0098746F" w:rsidP="006544B5">
            <w:pPr>
              <w:pStyle w:val="Body"/>
              <w:spacing w:after="120" w:line="288" w:lineRule="auto"/>
              <w:rPr>
                <w:b/>
                <w:bCs/>
              </w:rPr>
            </w:pPr>
            <w:r w:rsidRPr="00303955">
              <w:rPr>
                <w:b/>
                <w:bCs/>
              </w:rPr>
              <w:t>Re</w:t>
            </w:r>
            <w:r w:rsidR="00230D96">
              <w:rPr>
                <w:b/>
                <w:bCs/>
              </w:rPr>
              <w:t>sources</w:t>
            </w:r>
            <w:r w:rsidRPr="00303955">
              <w:rPr>
                <w:b/>
                <w:bCs/>
              </w:rPr>
              <w:t xml:space="preserve"> received free of charge </w:t>
            </w:r>
          </w:p>
          <w:p w14:paraId="2CAB7380" w14:textId="46FBB7D5" w:rsidR="0098746F" w:rsidRDefault="00124B6F" w:rsidP="006544B5">
            <w:pPr>
              <w:pStyle w:val="Body"/>
              <w:spacing w:line="288" w:lineRule="auto"/>
            </w:pPr>
            <w:r w:rsidRPr="00124B6F">
              <w:rPr>
                <w:lang w:val="en-AU"/>
              </w:rPr>
              <w:t>Resources received free of charge are recognised as revenue when, and only when, a fair value can be reliably determined and the services would have been purchased if they had not been donated. Use of those resources is recognised as an expense. Resources received free of charge are recorded as revenue.</w:t>
            </w:r>
          </w:p>
        </w:tc>
      </w:tr>
    </w:tbl>
    <w:p w14:paraId="28DEA062" w14:textId="77777777" w:rsidR="0098746F" w:rsidRDefault="0098746F" w:rsidP="0098746F">
      <w:pPr>
        <w:pStyle w:val="Body"/>
      </w:pPr>
    </w:p>
    <w:tbl>
      <w:tblPr>
        <w:tblStyle w:val="IHPA"/>
        <w:tblW w:w="7096" w:type="dxa"/>
        <w:tblLayout w:type="fixed"/>
        <w:tblLook w:val="0020" w:firstRow="1" w:lastRow="0" w:firstColumn="0" w:lastColumn="0" w:noHBand="0" w:noVBand="0"/>
        <w:tblCaption w:val="Note 1.2C"/>
        <w:tblDescription w:val="Revenue from Government"/>
      </w:tblPr>
      <w:tblGrid>
        <w:gridCol w:w="5111"/>
        <w:gridCol w:w="992"/>
        <w:gridCol w:w="993"/>
      </w:tblGrid>
      <w:tr w:rsidR="0098746F" w:rsidRPr="00E351ED" w14:paraId="138735A6" w14:textId="77777777" w:rsidTr="0035446D">
        <w:trPr>
          <w:trHeight w:val="340"/>
        </w:trPr>
        <w:tc>
          <w:tcPr>
            <w:tcW w:w="5111" w:type="dxa"/>
          </w:tcPr>
          <w:p w14:paraId="7FBBAA7C" w14:textId="77777777" w:rsidR="0098746F" w:rsidRPr="00E351ED" w:rsidRDefault="0098746F" w:rsidP="00EF4256">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5D8863E9" w14:textId="2D932181" w:rsidR="0098746F" w:rsidRPr="00E351ED" w:rsidRDefault="0098746F" w:rsidP="00EF4256">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351ED">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E351ED">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546DCE11" w14:textId="0D4B719B" w:rsidR="0098746F" w:rsidRPr="00E351ED" w:rsidRDefault="0098746F" w:rsidP="00EF4256">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E351ED">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E351ED">
              <w:rPr>
                <w:rFonts w:asciiTheme="majorHAnsi" w:hAnsiTheme="majorHAnsi" w:cs="Futura PT Heavy"/>
                <w:color w:val="1C1C1C"/>
                <w:sz w:val="16"/>
                <w:szCs w:val="16"/>
                <w:lang w:val="en-US"/>
              </w:rPr>
              <w:br/>
              <w:t>$’000</w:t>
            </w:r>
          </w:p>
        </w:tc>
      </w:tr>
      <w:tr w:rsidR="0098746F" w:rsidRPr="00E351ED" w14:paraId="29FA679A" w14:textId="77777777" w:rsidTr="0035446D">
        <w:trPr>
          <w:trHeight w:val="170"/>
        </w:trPr>
        <w:tc>
          <w:tcPr>
            <w:tcW w:w="5111" w:type="dxa"/>
          </w:tcPr>
          <w:p w14:paraId="4521E21E" w14:textId="37F0D8D6" w:rsidR="0098746F" w:rsidRPr="00E351ED" w:rsidRDefault="0098746F" w:rsidP="00EF4256">
            <w:pPr>
              <w:suppressAutoHyphens/>
              <w:autoSpaceDE w:val="0"/>
              <w:autoSpaceDN w:val="0"/>
              <w:adjustRightInd w:val="0"/>
              <w:spacing w:before="20" w:after="20"/>
              <w:textAlignment w:val="center"/>
              <w:rPr>
                <w:rFonts w:asciiTheme="majorHAnsi" w:hAnsiTheme="majorHAnsi"/>
                <w:color w:val="1C1C1C"/>
                <w:sz w:val="14"/>
                <w:szCs w:val="14"/>
              </w:rPr>
            </w:pPr>
            <w:r w:rsidRPr="00E351ED">
              <w:rPr>
                <w:rFonts w:asciiTheme="majorHAnsi" w:hAnsiTheme="majorHAnsi"/>
                <w:color w:val="1C1C1C"/>
                <w:sz w:val="14"/>
                <w:szCs w:val="14"/>
              </w:rPr>
              <w:t xml:space="preserve">Note 1.2C: </w:t>
            </w:r>
            <w:r>
              <w:rPr>
                <w:rFonts w:asciiTheme="majorHAnsi" w:hAnsiTheme="majorHAnsi"/>
                <w:color w:val="1C1C1C"/>
                <w:sz w:val="14"/>
                <w:szCs w:val="14"/>
              </w:rPr>
              <w:t>Revenue from Government</w:t>
            </w:r>
          </w:p>
        </w:tc>
        <w:tc>
          <w:tcPr>
            <w:tcW w:w="992" w:type="dxa"/>
            <w:tcBorders>
              <w:top w:val="single" w:sz="12" w:space="0" w:color="auto"/>
              <w:right w:val="single" w:sz="18" w:space="0" w:color="FFFFFF" w:themeColor="background2"/>
            </w:tcBorders>
          </w:tcPr>
          <w:p w14:paraId="3FEC774F" w14:textId="77777777" w:rsidR="0098746F" w:rsidRPr="00E351ED" w:rsidRDefault="0098746F" w:rsidP="00EF4256">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6DA9E671" w14:textId="77777777" w:rsidR="0098746F" w:rsidRPr="00E351ED" w:rsidRDefault="0098746F" w:rsidP="00EF4256">
            <w:pPr>
              <w:autoSpaceDE w:val="0"/>
              <w:autoSpaceDN w:val="0"/>
              <w:adjustRightInd w:val="0"/>
              <w:spacing w:before="20" w:after="20"/>
              <w:jc w:val="right"/>
              <w:rPr>
                <w:color w:val="1C1C1C"/>
                <w:sz w:val="14"/>
                <w:szCs w:val="14"/>
              </w:rPr>
            </w:pPr>
          </w:p>
        </w:tc>
      </w:tr>
      <w:tr w:rsidR="0098746F" w:rsidRPr="00E351ED" w14:paraId="19DF369C" w14:textId="77777777" w:rsidTr="0035446D">
        <w:trPr>
          <w:trHeight w:val="170"/>
        </w:trPr>
        <w:tc>
          <w:tcPr>
            <w:tcW w:w="5111" w:type="dxa"/>
          </w:tcPr>
          <w:p w14:paraId="06653DD0" w14:textId="12E96DA0" w:rsidR="0098746F" w:rsidRPr="00E351ED" w:rsidRDefault="0098746F" w:rsidP="00EF4256">
            <w:pPr>
              <w:suppressAutoHyphens/>
              <w:autoSpaceDE w:val="0"/>
              <w:autoSpaceDN w:val="0"/>
              <w:adjustRightInd w:val="0"/>
              <w:spacing w:before="20" w:after="20"/>
              <w:textAlignment w:val="center"/>
              <w:rPr>
                <w:rFonts w:cs="Futura PT Book"/>
                <w:color w:val="1C1C1C"/>
                <w:sz w:val="14"/>
                <w:szCs w:val="14"/>
                <w:lang w:val="en-US"/>
              </w:rPr>
            </w:pPr>
            <w:r w:rsidRPr="0098746F">
              <w:rPr>
                <w:color w:val="1C1C1C"/>
                <w:sz w:val="14"/>
                <w:szCs w:val="14"/>
              </w:rPr>
              <w:t>Amounts from Department of Health</w:t>
            </w:r>
          </w:p>
        </w:tc>
        <w:tc>
          <w:tcPr>
            <w:tcW w:w="992" w:type="dxa"/>
            <w:tcBorders>
              <w:bottom w:val="single" w:sz="2" w:space="0" w:color="auto"/>
              <w:right w:val="single" w:sz="18" w:space="0" w:color="FFFFFF" w:themeColor="background2"/>
            </w:tcBorders>
          </w:tcPr>
          <w:p w14:paraId="7501173F" w14:textId="5B1113DB" w:rsidR="0098746F" w:rsidRPr="0098746F" w:rsidRDefault="0098746F" w:rsidP="00EF4256">
            <w:pPr>
              <w:autoSpaceDE w:val="0"/>
              <w:autoSpaceDN w:val="0"/>
              <w:adjustRightInd w:val="0"/>
              <w:spacing w:before="20" w:after="20"/>
              <w:jc w:val="right"/>
              <w:rPr>
                <w:rFonts w:asciiTheme="majorHAnsi" w:hAnsiTheme="majorHAnsi"/>
                <w:color w:val="1C1C1C"/>
                <w:sz w:val="14"/>
                <w:szCs w:val="14"/>
              </w:rPr>
            </w:pPr>
            <w:r w:rsidRPr="0098746F">
              <w:rPr>
                <w:rFonts w:asciiTheme="majorHAnsi" w:hAnsiTheme="majorHAnsi" w:cs="Calibri"/>
                <w:sz w:val="14"/>
                <w:szCs w:val="14"/>
              </w:rPr>
              <w:t xml:space="preserve">13,744 </w:t>
            </w:r>
          </w:p>
        </w:tc>
        <w:tc>
          <w:tcPr>
            <w:tcW w:w="993" w:type="dxa"/>
            <w:tcBorders>
              <w:left w:val="single" w:sz="18" w:space="0" w:color="FFFFFF" w:themeColor="background2"/>
              <w:bottom w:val="single" w:sz="2" w:space="0" w:color="auto"/>
            </w:tcBorders>
          </w:tcPr>
          <w:p w14:paraId="45E5BF0D" w14:textId="0A2B08BD" w:rsidR="0098746F" w:rsidRPr="0098746F" w:rsidRDefault="0098746F" w:rsidP="00EF4256">
            <w:pPr>
              <w:autoSpaceDE w:val="0"/>
              <w:autoSpaceDN w:val="0"/>
              <w:adjustRightInd w:val="0"/>
              <w:spacing w:before="20" w:after="20"/>
              <w:jc w:val="right"/>
              <w:rPr>
                <w:color w:val="1C1C1C"/>
                <w:sz w:val="14"/>
                <w:szCs w:val="14"/>
              </w:rPr>
            </w:pPr>
            <w:r w:rsidRPr="0098746F">
              <w:rPr>
                <w:rFonts w:cs="Calibri"/>
                <w:sz w:val="14"/>
                <w:szCs w:val="14"/>
              </w:rPr>
              <w:t xml:space="preserve">15,024 </w:t>
            </w:r>
          </w:p>
        </w:tc>
      </w:tr>
      <w:tr w:rsidR="0098746F" w:rsidRPr="00E351ED" w14:paraId="34BC27F2" w14:textId="77777777" w:rsidTr="0035446D">
        <w:trPr>
          <w:trHeight w:val="170"/>
        </w:trPr>
        <w:tc>
          <w:tcPr>
            <w:tcW w:w="5111" w:type="dxa"/>
          </w:tcPr>
          <w:p w14:paraId="233EACD4" w14:textId="2F507310" w:rsidR="0098746F" w:rsidRPr="00E351ED" w:rsidRDefault="0098746F" w:rsidP="00EF4256">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98746F">
              <w:rPr>
                <w:rFonts w:asciiTheme="majorHAnsi" w:hAnsiTheme="majorHAnsi"/>
                <w:color w:val="1C1C1C"/>
                <w:sz w:val="14"/>
                <w:szCs w:val="14"/>
              </w:rPr>
              <w:t>Total revenue from Government</w:t>
            </w:r>
          </w:p>
        </w:tc>
        <w:tc>
          <w:tcPr>
            <w:tcW w:w="992" w:type="dxa"/>
            <w:tcBorders>
              <w:top w:val="single" w:sz="2" w:space="0" w:color="auto"/>
              <w:bottom w:val="single" w:sz="2" w:space="0" w:color="auto"/>
              <w:right w:val="single" w:sz="18" w:space="0" w:color="FFFFFF" w:themeColor="background2"/>
            </w:tcBorders>
          </w:tcPr>
          <w:p w14:paraId="367916A9" w14:textId="4A63114E" w:rsidR="0098746F" w:rsidRPr="0098746F" w:rsidRDefault="0098746F" w:rsidP="00EF4256">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98746F">
              <w:rPr>
                <w:rFonts w:asciiTheme="majorHAnsi" w:hAnsiTheme="majorHAnsi" w:cs="Calibri"/>
                <w:sz w:val="14"/>
                <w:szCs w:val="14"/>
              </w:rPr>
              <w:t xml:space="preserve">13,744 </w:t>
            </w:r>
          </w:p>
        </w:tc>
        <w:tc>
          <w:tcPr>
            <w:tcW w:w="993" w:type="dxa"/>
            <w:tcBorders>
              <w:top w:val="single" w:sz="2" w:space="0" w:color="auto"/>
              <w:left w:val="single" w:sz="18" w:space="0" w:color="FFFFFF" w:themeColor="background2"/>
              <w:bottom w:val="single" w:sz="2" w:space="0" w:color="auto"/>
            </w:tcBorders>
          </w:tcPr>
          <w:p w14:paraId="5E671C79" w14:textId="548F4B55" w:rsidR="0098746F" w:rsidRPr="0098746F" w:rsidRDefault="0098746F" w:rsidP="00EF4256">
            <w:pPr>
              <w:suppressAutoHyphens/>
              <w:autoSpaceDE w:val="0"/>
              <w:autoSpaceDN w:val="0"/>
              <w:adjustRightInd w:val="0"/>
              <w:spacing w:before="20" w:after="20"/>
              <w:jc w:val="right"/>
              <w:textAlignment w:val="center"/>
              <w:rPr>
                <w:rFonts w:cs="Futura PT Book"/>
                <w:color w:val="1C1C1C"/>
                <w:sz w:val="14"/>
                <w:szCs w:val="14"/>
                <w:lang w:val="en-US"/>
              </w:rPr>
            </w:pPr>
            <w:r w:rsidRPr="0098746F">
              <w:rPr>
                <w:rFonts w:cs="Calibri"/>
                <w:sz w:val="14"/>
                <w:szCs w:val="14"/>
              </w:rPr>
              <w:t xml:space="preserve">15,024 </w:t>
            </w:r>
          </w:p>
        </w:tc>
      </w:tr>
      <w:tr w:rsidR="0098746F" w:rsidRPr="00E351ED" w14:paraId="6EB58EFB" w14:textId="77777777" w:rsidTr="0035446D">
        <w:trPr>
          <w:trHeight w:val="57"/>
        </w:trPr>
        <w:tc>
          <w:tcPr>
            <w:tcW w:w="5111" w:type="dxa"/>
          </w:tcPr>
          <w:p w14:paraId="31554E86" w14:textId="77777777" w:rsidR="0098746F" w:rsidRPr="00E351ED" w:rsidRDefault="0098746F" w:rsidP="00EF4256">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30B23BD4" w14:textId="77777777" w:rsidR="0098746F" w:rsidRPr="00E351ED" w:rsidRDefault="0098746F" w:rsidP="00EF4256">
            <w:pPr>
              <w:suppressAutoHyphens/>
              <w:autoSpaceDE w:val="0"/>
              <w:autoSpaceDN w:val="0"/>
              <w:adjustRightInd w:val="0"/>
              <w:spacing w:before="20" w:after="20"/>
              <w:jc w:val="right"/>
              <w:textAlignment w:val="center"/>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0AE02FE" w14:textId="77777777" w:rsidR="0098746F" w:rsidRPr="00E351ED" w:rsidRDefault="0098746F" w:rsidP="00EF4256">
            <w:pPr>
              <w:suppressAutoHyphens/>
              <w:autoSpaceDE w:val="0"/>
              <w:autoSpaceDN w:val="0"/>
              <w:adjustRightInd w:val="0"/>
              <w:spacing w:before="20" w:after="20"/>
              <w:jc w:val="right"/>
              <w:textAlignment w:val="center"/>
              <w:rPr>
                <w:color w:val="1C1C1C"/>
                <w:sz w:val="4"/>
                <w:szCs w:val="4"/>
              </w:rPr>
            </w:pPr>
          </w:p>
        </w:tc>
      </w:tr>
    </w:tbl>
    <w:p w14:paraId="463B22AD" w14:textId="77777777" w:rsidR="0098746F" w:rsidRDefault="0098746F" w:rsidP="0098746F">
      <w:pPr>
        <w:pStyle w:val="Body"/>
      </w:pPr>
    </w:p>
    <w:tbl>
      <w:tblPr>
        <w:tblStyle w:val="TableGrid1"/>
        <w:tblW w:w="4993" w:type="pct"/>
        <w:tblCellMar>
          <w:top w:w="57" w:type="dxa"/>
          <w:bottom w:w="57" w:type="dxa"/>
        </w:tblCellMar>
        <w:tblLook w:val="04A0" w:firstRow="1" w:lastRow="0" w:firstColumn="1" w:lastColumn="0" w:noHBand="0" w:noVBand="1"/>
        <w:tblCaption w:val="Note 1.2C"/>
        <w:tblDescription w:val="Accounting policy"/>
      </w:tblPr>
      <w:tblGrid>
        <w:gridCol w:w="7690"/>
      </w:tblGrid>
      <w:tr w:rsidR="00675982" w14:paraId="1A296E05" w14:textId="77777777" w:rsidTr="00F21F53">
        <w:trPr>
          <w:tblHeader/>
        </w:trPr>
        <w:tc>
          <w:tcPr>
            <w:tcW w:w="5000" w:type="pct"/>
          </w:tcPr>
          <w:p w14:paraId="117ED5E7" w14:textId="77777777" w:rsidR="00675982" w:rsidRPr="005300C0" w:rsidRDefault="00675982" w:rsidP="006544B5">
            <w:pPr>
              <w:pStyle w:val="Body"/>
              <w:spacing w:after="120" w:line="288" w:lineRule="auto"/>
              <w:rPr>
                <w:rFonts w:asciiTheme="majorHAnsi" w:hAnsiTheme="majorHAnsi"/>
              </w:rPr>
            </w:pPr>
            <w:r w:rsidRPr="005300C0">
              <w:rPr>
                <w:rFonts w:asciiTheme="majorHAnsi" w:hAnsiTheme="majorHAnsi"/>
              </w:rPr>
              <w:t>Accounting Policy</w:t>
            </w:r>
          </w:p>
          <w:p w14:paraId="49E0B072" w14:textId="24507AD0" w:rsidR="00675982" w:rsidRPr="00303955" w:rsidRDefault="00675982" w:rsidP="006544B5">
            <w:pPr>
              <w:pStyle w:val="Body"/>
              <w:spacing w:after="120" w:line="288" w:lineRule="auto"/>
              <w:rPr>
                <w:b/>
                <w:bCs/>
              </w:rPr>
            </w:pPr>
            <w:r w:rsidRPr="00303955">
              <w:rPr>
                <w:b/>
                <w:bCs/>
              </w:rPr>
              <w:t xml:space="preserve">Revenue </w:t>
            </w:r>
            <w:r>
              <w:rPr>
                <w:b/>
                <w:bCs/>
              </w:rPr>
              <w:t>from Government</w:t>
            </w:r>
            <w:r w:rsidRPr="00303955">
              <w:rPr>
                <w:b/>
                <w:bCs/>
              </w:rPr>
              <w:t xml:space="preserve"> </w:t>
            </w:r>
          </w:p>
          <w:p w14:paraId="4BDDE1BA" w14:textId="43FE9C5F" w:rsidR="00675982" w:rsidRDefault="00124B6F" w:rsidP="006544B5">
            <w:pPr>
              <w:pStyle w:val="Body"/>
              <w:spacing w:line="288" w:lineRule="auto"/>
            </w:pPr>
            <w:r w:rsidRPr="00124B6F">
              <w:rPr>
                <w:lang w:val="en-AU"/>
              </w:rPr>
              <w:t>Funding received or receivable from non-corporate Commonwealth entities is recognised as Revenue from Government by IHPA unless the funding is in the nature of an equity injection or a loan.</w:t>
            </w:r>
          </w:p>
        </w:tc>
      </w:tr>
    </w:tbl>
    <w:p w14:paraId="6C87C3F9" w14:textId="6D6F5EB0" w:rsidR="00E10529" w:rsidRDefault="00E10529" w:rsidP="00156309">
      <w:pPr>
        <w:pStyle w:val="Body"/>
        <w:rPr>
          <w:color w:val="292929"/>
        </w:rPr>
      </w:pPr>
    </w:p>
    <w:p w14:paraId="6CCD9D81" w14:textId="77777777" w:rsidR="00617C89" w:rsidRDefault="00617C89" w:rsidP="00156309">
      <w:pPr>
        <w:pStyle w:val="Body"/>
        <w:rPr>
          <w:color w:val="292929"/>
        </w:rPr>
        <w:sectPr w:rsidR="00617C89" w:rsidSect="00441579">
          <w:footerReference w:type="default" r:id="rId206"/>
          <w:pgSz w:w="9979" w:h="14175"/>
          <w:pgMar w:top="1134" w:right="1134" w:bottom="1134" w:left="1134" w:header="709" w:footer="709" w:gutter="0"/>
          <w:cols w:space="708"/>
          <w:docGrid w:linePitch="360"/>
        </w:sectPr>
      </w:pPr>
    </w:p>
    <w:p w14:paraId="3497B3E2" w14:textId="77777777" w:rsidR="008C05CE" w:rsidRDefault="008C05CE" w:rsidP="008C05CE">
      <w:pPr>
        <w:pStyle w:val="H3Financials"/>
      </w:pPr>
      <w:bookmarkStart w:id="189" w:name="_Toc83220566"/>
      <w:r>
        <w:lastRenderedPageBreak/>
        <w:t>Financial position</w:t>
      </w:r>
      <w:bookmarkEnd w:id="189"/>
    </w:p>
    <w:p w14:paraId="432DC1C2" w14:textId="055F9598" w:rsidR="008C05CE" w:rsidRPr="008C05CE" w:rsidRDefault="008C05CE" w:rsidP="008C05CE">
      <w:pPr>
        <w:pStyle w:val="Body"/>
      </w:pPr>
      <w:r w:rsidRPr="008C05CE">
        <w:rPr>
          <w:lang w:val="en-AU"/>
        </w:rPr>
        <w:t>This section analyses the IHPA's assets used to conduct its operations and the operating liabilities incurred as</w:t>
      </w:r>
      <w:r w:rsidR="00035C42">
        <w:rPr>
          <w:lang w:val="en-AU"/>
        </w:rPr>
        <w:t> </w:t>
      </w:r>
      <w:r w:rsidRPr="008C05CE">
        <w:rPr>
          <w:lang w:val="en-AU"/>
        </w:rPr>
        <w:t>a</w:t>
      </w:r>
      <w:r w:rsidR="00035C42">
        <w:rPr>
          <w:lang w:val="en-AU"/>
        </w:rPr>
        <w:t> </w:t>
      </w:r>
      <w:r w:rsidRPr="008C05CE">
        <w:rPr>
          <w:lang w:val="en-AU"/>
        </w:rPr>
        <w:t>result. Employee-related information is disclosed in the People and Relationships section.</w:t>
      </w:r>
    </w:p>
    <w:p w14:paraId="4292E9D8" w14:textId="4D6F0605" w:rsidR="008C05CE" w:rsidRDefault="008C05CE" w:rsidP="008C05CE">
      <w:pPr>
        <w:pStyle w:val="H4Financials"/>
      </w:pPr>
      <w:bookmarkStart w:id="190" w:name="_Toc83220567"/>
      <w:r>
        <w:t>Note 2.1 Financial assets</w:t>
      </w:r>
      <w:bookmarkEnd w:id="190"/>
    </w:p>
    <w:tbl>
      <w:tblPr>
        <w:tblStyle w:val="IHPA"/>
        <w:tblW w:w="7096" w:type="dxa"/>
        <w:tblLayout w:type="fixed"/>
        <w:tblLook w:val="0020" w:firstRow="1" w:lastRow="0" w:firstColumn="0" w:lastColumn="0" w:noHBand="0" w:noVBand="0"/>
        <w:tblCaption w:val="Note 2.1A"/>
        <w:tblDescription w:val="Cash and cash equivalents"/>
      </w:tblPr>
      <w:tblGrid>
        <w:gridCol w:w="5111"/>
        <w:gridCol w:w="992"/>
        <w:gridCol w:w="993"/>
      </w:tblGrid>
      <w:tr w:rsidR="008C05CE" w:rsidRPr="00F31138" w14:paraId="53E6B5E2" w14:textId="77777777" w:rsidTr="0035446D">
        <w:trPr>
          <w:trHeight w:val="373"/>
        </w:trPr>
        <w:tc>
          <w:tcPr>
            <w:tcW w:w="5111" w:type="dxa"/>
          </w:tcPr>
          <w:p w14:paraId="1921CB7A" w14:textId="77777777" w:rsidR="008C05CE" w:rsidRPr="00F31138" w:rsidRDefault="008C05CE" w:rsidP="0035446D">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4087D027" w14:textId="35D9E4B9" w:rsidR="008C05CE" w:rsidRPr="00F31138" w:rsidRDefault="008C05CE" w:rsidP="0035446D">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F31138">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F31138">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354930ED" w14:textId="2B462C1B" w:rsidR="008C05CE" w:rsidRPr="00F31138" w:rsidRDefault="008C05CE" w:rsidP="0035446D">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F31138">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F31138">
              <w:rPr>
                <w:rFonts w:asciiTheme="majorHAnsi" w:hAnsiTheme="majorHAnsi" w:cs="Futura PT Heavy"/>
                <w:color w:val="1C1C1C"/>
                <w:sz w:val="16"/>
                <w:szCs w:val="16"/>
                <w:lang w:val="en-US"/>
              </w:rPr>
              <w:br/>
              <w:t>$’000</w:t>
            </w:r>
          </w:p>
        </w:tc>
      </w:tr>
      <w:tr w:rsidR="008C05CE" w:rsidRPr="00F31138" w14:paraId="62EFF230" w14:textId="77777777" w:rsidTr="0035446D">
        <w:trPr>
          <w:trHeight w:val="170"/>
        </w:trPr>
        <w:tc>
          <w:tcPr>
            <w:tcW w:w="5111" w:type="dxa"/>
          </w:tcPr>
          <w:p w14:paraId="54DC8B5F" w14:textId="20F7B93C" w:rsidR="008C05CE" w:rsidRPr="00F31138" w:rsidRDefault="008C05CE" w:rsidP="0035446D">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F31138">
              <w:rPr>
                <w:rFonts w:asciiTheme="majorHAnsi" w:hAnsiTheme="majorHAnsi"/>
                <w:color w:val="1C1C1C"/>
                <w:sz w:val="14"/>
                <w:szCs w:val="14"/>
              </w:rPr>
              <w:t xml:space="preserve">Note 2.1A: Cash and </w:t>
            </w:r>
            <w:r w:rsidR="00647A65">
              <w:rPr>
                <w:rFonts w:asciiTheme="majorHAnsi" w:hAnsiTheme="majorHAnsi"/>
                <w:color w:val="1C1C1C"/>
                <w:sz w:val="14"/>
                <w:szCs w:val="14"/>
              </w:rPr>
              <w:t>c</w:t>
            </w:r>
            <w:r w:rsidRPr="00F31138">
              <w:rPr>
                <w:rFonts w:asciiTheme="majorHAnsi" w:hAnsiTheme="majorHAnsi"/>
                <w:color w:val="1C1C1C"/>
                <w:sz w:val="14"/>
                <w:szCs w:val="14"/>
              </w:rPr>
              <w:t xml:space="preserve">ash </w:t>
            </w:r>
            <w:r w:rsidR="00647A65">
              <w:rPr>
                <w:rFonts w:asciiTheme="majorHAnsi" w:hAnsiTheme="majorHAnsi"/>
                <w:color w:val="1C1C1C"/>
                <w:sz w:val="14"/>
                <w:szCs w:val="14"/>
              </w:rPr>
              <w:t>e</w:t>
            </w:r>
            <w:r w:rsidRPr="00F31138">
              <w:rPr>
                <w:rFonts w:asciiTheme="majorHAnsi" w:hAnsiTheme="majorHAnsi"/>
                <w:color w:val="1C1C1C"/>
                <w:sz w:val="14"/>
                <w:szCs w:val="14"/>
              </w:rPr>
              <w:t>quivalents</w:t>
            </w:r>
          </w:p>
        </w:tc>
        <w:tc>
          <w:tcPr>
            <w:tcW w:w="992" w:type="dxa"/>
            <w:tcBorders>
              <w:top w:val="single" w:sz="12" w:space="0" w:color="auto"/>
              <w:right w:val="single" w:sz="18" w:space="0" w:color="FFFFFF" w:themeColor="background2"/>
            </w:tcBorders>
          </w:tcPr>
          <w:p w14:paraId="2BDBA769" w14:textId="77777777" w:rsidR="008C05CE" w:rsidRPr="00F31138" w:rsidRDefault="008C05CE" w:rsidP="0035446D">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24B23034" w14:textId="77777777" w:rsidR="008C05CE" w:rsidRPr="00F31138" w:rsidRDefault="008C05CE" w:rsidP="0035446D">
            <w:pPr>
              <w:autoSpaceDE w:val="0"/>
              <w:autoSpaceDN w:val="0"/>
              <w:adjustRightInd w:val="0"/>
              <w:spacing w:before="20" w:after="20"/>
              <w:jc w:val="right"/>
              <w:rPr>
                <w:color w:val="1C1C1C"/>
                <w:sz w:val="14"/>
                <w:szCs w:val="14"/>
              </w:rPr>
            </w:pPr>
          </w:p>
        </w:tc>
      </w:tr>
      <w:tr w:rsidR="008C05CE" w:rsidRPr="00F31138" w14:paraId="0BE8A343" w14:textId="77777777" w:rsidTr="0035446D">
        <w:trPr>
          <w:trHeight w:val="170"/>
        </w:trPr>
        <w:tc>
          <w:tcPr>
            <w:tcW w:w="5111" w:type="dxa"/>
          </w:tcPr>
          <w:p w14:paraId="2A2AF73A" w14:textId="77777777" w:rsidR="008C05CE" w:rsidRPr="00F31138" w:rsidRDefault="008C05CE" w:rsidP="0035446D">
            <w:pPr>
              <w:suppressAutoHyphens/>
              <w:autoSpaceDE w:val="0"/>
              <w:autoSpaceDN w:val="0"/>
              <w:adjustRightInd w:val="0"/>
              <w:spacing w:before="20" w:after="20"/>
              <w:textAlignment w:val="center"/>
              <w:rPr>
                <w:rFonts w:cs="Futura PT Book"/>
                <w:color w:val="1C1C1C"/>
                <w:sz w:val="14"/>
                <w:szCs w:val="14"/>
                <w:lang w:val="en-US"/>
              </w:rPr>
            </w:pPr>
            <w:r w:rsidRPr="00F31138">
              <w:rPr>
                <w:color w:val="1C1C1C"/>
                <w:sz w:val="14"/>
                <w:szCs w:val="14"/>
              </w:rPr>
              <w:t>Cash on deposit</w:t>
            </w:r>
          </w:p>
        </w:tc>
        <w:tc>
          <w:tcPr>
            <w:tcW w:w="992" w:type="dxa"/>
            <w:tcBorders>
              <w:bottom w:val="single" w:sz="2" w:space="0" w:color="auto"/>
              <w:right w:val="single" w:sz="18" w:space="0" w:color="FFFFFF" w:themeColor="background2"/>
            </w:tcBorders>
          </w:tcPr>
          <w:p w14:paraId="4D5B331A" w14:textId="348BA872" w:rsidR="008C05CE" w:rsidRPr="008C05CE" w:rsidRDefault="008C05CE" w:rsidP="0035446D">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8C05CE">
              <w:rPr>
                <w:rFonts w:asciiTheme="majorHAnsi" w:hAnsiTheme="majorHAnsi" w:cs="Calibri"/>
                <w:sz w:val="14"/>
                <w:szCs w:val="14"/>
              </w:rPr>
              <w:t xml:space="preserve">16,251 </w:t>
            </w:r>
          </w:p>
        </w:tc>
        <w:tc>
          <w:tcPr>
            <w:tcW w:w="993" w:type="dxa"/>
            <w:tcBorders>
              <w:left w:val="single" w:sz="18" w:space="0" w:color="FFFFFF" w:themeColor="background2"/>
              <w:bottom w:val="single" w:sz="2" w:space="0" w:color="auto"/>
            </w:tcBorders>
          </w:tcPr>
          <w:p w14:paraId="3EC44DC7" w14:textId="191CC170" w:rsidR="008C05CE" w:rsidRPr="008C05CE" w:rsidRDefault="008C05CE" w:rsidP="0035446D">
            <w:pPr>
              <w:suppressAutoHyphens/>
              <w:autoSpaceDE w:val="0"/>
              <w:autoSpaceDN w:val="0"/>
              <w:adjustRightInd w:val="0"/>
              <w:spacing w:before="20" w:after="20"/>
              <w:jc w:val="right"/>
              <w:textAlignment w:val="center"/>
              <w:rPr>
                <w:rFonts w:cs="Futura PT Book"/>
                <w:color w:val="1C1C1C"/>
                <w:sz w:val="14"/>
                <w:szCs w:val="14"/>
                <w:lang w:val="en-US"/>
              </w:rPr>
            </w:pPr>
            <w:r w:rsidRPr="008C05CE">
              <w:rPr>
                <w:rFonts w:cs="Calibri"/>
                <w:sz w:val="14"/>
                <w:szCs w:val="14"/>
              </w:rPr>
              <w:t xml:space="preserve">14,119 </w:t>
            </w:r>
          </w:p>
        </w:tc>
      </w:tr>
      <w:tr w:rsidR="008C05CE" w:rsidRPr="00F31138" w14:paraId="333EC53B" w14:textId="77777777" w:rsidTr="0035446D">
        <w:trPr>
          <w:trHeight w:val="170"/>
        </w:trPr>
        <w:tc>
          <w:tcPr>
            <w:tcW w:w="5111" w:type="dxa"/>
          </w:tcPr>
          <w:p w14:paraId="76CBFE41" w14:textId="77777777" w:rsidR="008C05CE" w:rsidRPr="00F31138" w:rsidRDefault="008C05CE" w:rsidP="0035446D">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F31138">
              <w:rPr>
                <w:rFonts w:asciiTheme="majorHAnsi" w:hAnsiTheme="majorHAnsi"/>
                <w:color w:val="1C1C1C"/>
                <w:sz w:val="14"/>
                <w:szCs w:val="14"/>
              </w:rPr>
              <w:t>Total cash and cash equivalents</w:t>
            </w:r>
          </w:p>
        </w:tc>
        <w:tc>
          <w:tcPr>
            <w:tcW w:w="992" w:type="dxa"/>
            <w:tcBorders>
              <w:top w:val="single" w:sz="2" w:space="0" w:color="auto"/>
              <w:bottom w:val="single" w:sz="2" w:space="0" w:color="auto"/>
              <w:right w:val="single" w:sz="18" w:space="0" w:color="FFFFFF" w:themeColor="background2"/>
            </w:tcBorders>
          </w:tcPr>
          <w:p w14:paraId="0AE5F74E" w14:textId="4783A372" w:rsidR="008C05CE" w:rsidRPr="008C05CE" w:rsidRDefault="008C05CE" w:rsidP="0035446D">
            <w:pPr>
              <w:autoSpaceDE w:val="0"/>
              <w:autoSpaceDN w:val="0"/>
              <w:adjustRightInd w:val="0"/>
              <w:spacing w:before="20" w:after="20"/>
              <w:jc w:val="right"/>
              <w:rPr>
                <w:rFonts w:asciiTheme="majorHAnsi" w:hAnsiTheme="majorHAnsi"/>
                <w:color w:val="1C1C1C"/>
                <w:sz w:val="14"/>
                <w:szCs w:val="14"/>
              </w:rPr>
            </w:pPr>
            <w:r w:rsidRPr="008C05CE">
              <w:rPr>
                <w:rFonts w:asciiTheme="majorHAnsi" w:hAnsiTheme="majorHAnsi" w:cs="Calibri"/>
                <w:sz w:val="14"/>
                <w:szCs w:val="14"/>
              </w:rPr>
              <w:t xml:space="preserve">16,251 </w:t>
            </w:r>
          </w:p>
        </w:tc>
        <w:tc>
          <w:tcPr>
            <w:tcW w:w="993" w:type="dxa"/>
            <w:tcBorders>
              <w:top w:val="single" w:sz="2" w:space="0" w:color="auto"/>
              <w:left w:val="single" w:sz="18" w:space="0" w:color="FFFFFF" w:themeColor="background2"/>
              <w:bottom w:val="single" w:sz="2" w:space="0" w:color="auto"/>
            </w:tcBorders>
          </w:tcPr>
          <w:p w14:paraId="334D3032" w14:textId="58E8DFDF" w:rsidR="008C05CE" w:rsidRPr="008C05CE" w:rsidRDefault="008C05CE" w:rsidP="0035446D">
            <w:pPr>
              <w:suppressAutoHyphens/>
              <w:autoSpaceDE w:val="0"/>
              <w:autoSpaceDN w:val="0"/>
              <w:adjustRightInd w:val="0"/>
              <w:spacing w:before="20" w:after="20"/>
              <w:jc w:val="right"/>
              <w:textAlignment w:val="center"/>
              <w:rPr>
                <w:rFonts w:cs="Futura PT Book"/>
                <w:color w:val="1C1C1C"/>
                <w:sz w:val="14"/>
                <w:szCs w:val="14"/>
                <w:lang w:val="en-US"/>
              </w:rPr>
            </w:pPr>
            <w:r w:rsidRPr="008C05CE">
              <w:rPr>
                <w:rFonts w:cs="Calibri"/>
                <w:sz w:val="14"/>
                <w:szCs w:val="14"/>
              </w:rPr>
              <w:t xml:space="preserve">14,119 </w:t>
            </w:r>
          </w:p>
        </w:tc>
      </w:tr>
      <w:tr w:rsidR="008C05CE" w:rsidRPr="00F31138" w14:paraId="5C6EDDDC" w14:textId="77777777" w:rsidTr="0035446D">
        <w:trPr>
          <w:trHeight w:val="57"/>
        </w:trPr>
        <w:tc>
          <w:tcPr>
            <w:tcW w:w="5111" w:type="dxa"/>
          </w:tcPr>
          <w:p w14:paraId="0A2144D3" w14:textId="77777777" w:rsidR="008C05CE" w:rsidRPr="00F31138" w:rsidRDefault="008C05CE" w:rsidP="0035446D">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395A04B5" w14:textId="77777777" w:rsidR="008C05CE" w:rsidRPr="00F31138" w:rsidRDefault="008C05CE" w:rsidP="0035446D">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D73541E" w14:textId="77777777" w:rsidR="008C05CE" w:rsidRPr="00F31138" w:rsidRDefault="008C05CE" w:rsidP="0035446D">
            <w:pPr>
              <w:suppressAutoHyphens/>
              <w:autoSpaceDE w:val="0"/>
              <w:autoSpaceDN w:val="0"/>
              <w:adjustRightInd w:val="0"/>
              <w:spacing w:before="20" w:after="20"/>
              <w:jc w:val="right"/>
              <w:textAlignment w:val="center"/>
              <w:rPr>
                <w:color w:val="1C1C1C"/>
                <w:sz w:val="4"/>
                <w:szCs w:val="4"/>
              </w:rPr>
            </w:pPr>
          </w:p>
        </w:tc>
      </w:tr>
    </w:tbl>
    <w:p w14:paraId="24422E65" w14:textId="77777777" w:rsidR="008C05CE" w:rsidRDefault="008C05CE" w:rsidP="008C05CE">
      <w:pPr>
        <w:pStyle w:val="Body"/>
      </w:pPr>
    </w:p>
    <w:tbl>
      <w:tblPr>
        <w:tblStyle w:val="TableGrid1"/>
        <w:tblW w:w="4993" w:type="pct"/>
        <w:tblCellMar>
          <w:top w:w="57" w:type="dxa"/>
          <w:bottom w:w="57" w:type="dxa"/>
        </w:tblCellMar>
        <w:tblLook w:val="04A0" w:firstRow="1" w:lastRow="0" w:firstColumn="1" w:lastColumn="0" w:noHBand="0" w:noVBand="1"/>
        <w:tblCaption w:val="Note 2.1A"/>
        <w:tblDescription w:val="Accounting policy"/>
      </w:tblPr>
      <w:tblGrid>
        <w:gridCol w:w="7690"/>
      </w:tblGrid>
      <w:tr w:rsidR="008C05CE" w14:paraId="2E91BDC2" w14:textId="77777777" w:rsidTr="00F21F53">
        <w:trPr>
          <w:tblHeader/>
        </w:trPr>
        <w:tc>
          <w:tcPr>
            <w:tcW w:w="5000" w:type="pct"/>
          </w:tcPr>
          <w:p w14:paraId="19FA9AA2" w14:textId="77777777" w:rsidR="008C05CE" w:rsidRPr="005300C0" w:rsidRDefault="008C05CE" w:rsidP="008C05CE">
            <w:pPr>
              <w:pStyle w:val="Body"/>
              <w:spacing w:after="60" w:line="288" w:lineRule="auto"/>
              <w:rPr>
                <w:rFonts w:asciiTheme="majorHAnsi" w:hAnsiTheme="majorHAnsi"/>
              </w:rPr>
            </w:pPr>
            <w:r w:rsidRPr="005300C0">
              <w:rPr>
                <w:rFonts w:asciiTheme="majorHAnsi" w:hAnsiTheme="majorHAnsi"/>
              </w:rPr>
              <w:t>Accounting Policy</w:t>
            </w:r>
          </w:p>
          <w:p w14:paraId="3E0AE655" w14:textId="77777777" w:rsidR="008C05CE" w:rsidRPr="00303955" w:rsidRDefault="008C05CE" w:rsidP="008C05CE">
            <w:pPr>
              <w:pStyle w:val="Body"/>
              <w:spacing w:after="60" w:line="288" w:lineRule="auto"/>
              <w:rPr>
                <w:b/>
                <w:bCs/>
              </w:rPr>
            </w:pPr>
            <w:r w:rsidRPr="00303955">
              <w:rPr>
                <w:b/>
                <w:bCs/>
              </w:rPr>
              <w:t>Cash and cash equivalents</w:t>
            </w:r>
          </w:p>
          <w:p w14:paraId="43332E89" w14:textId="2D817847" w:rsidR="008C05CE" w:rsidRPr="0033705A" w:rsidRDefault="008C05CE" w:rsidP="008C05CE">
            <w:pPr>
              <w:pStyle w:val="Body"/>
              <w:spacing w:after="60" w:line="288" w:lineRule="auto"/>
            </w:pPr>
            <w:r w:rsidRPr="0033705A">
              <w:rPr>
                <w:lang w:val="en-AU"/>
              </w:rPr>
              <w:t>Cash is recognised at its nominal amount. Cash and cash equivalents includes:</w:t>
            </w:r>
          </w:p>
          <w:p w14:paraId="1D8D0794" w14:textId="77777777" w:rsidR="008C05CE" w:rsidRPr="0033705A" w:rsidRDefault="008C05CE" w:rsidP="008E4BC3">
            <w:pPr>
              <w:pStyle w:val="AlphabetListL2"/>
              <w:numPr>
                <w:ilvl w:val="0"/>
                <w:numId w:val="18"/>
              </w:numPr>
            </w:pPr>
            <w:r w:rsidRPr="008C05CE">
              <w:rPr>
                <w:lang w:val="en-AU"/>
              </w:rPr>
              <w:t>cash on hand, and</w:t>
            </w:r>
          </w:p>
          <w:p w14:paraId="46686905" w14:textId="77777777" w:rsidR="008C05CE" w:rsidRDefault="008C05CE" w:rsidP="008E4BC3">
            <w:pPr>
              <w:pStyle w:val="AlphabetListL2"/>
              <w:numPr>
                <w:ilvl w:val="0"/>
                <w:numId w:val="15"/>
              </w:numPr>
            </w:pPr>
            <w:r w:rsidRPr="0033705A">
              <w:rPr>
                <w:lang w:val="en-AU"/>
              </w:rPr>
              <w:t>demand deposits in bank accounts with an original maturity of 3 months or less that are readily convertible to known amounts of cash and subject to insignificant risk of changes in value.</w:t>
            </w:r>
          </w:p>
        </w:tc>
      </w:tr>
    </w:tbl>
    <w:p w14:paraId="28298642" w14:textId="77777777" w:rsidR="008C05CE" w:rsidRDefault="008C05CE" w:rsidP="008C05CE">
      <w:pPr>
        <w:pStyle w:val="Body"/>
      </w:pPr>
    </w:p>
    <w:tbl>
      <w:tblPr>
        <w:tblStyle w:val="IHPA"/>
        <w:tblW w:w="7096" w:type="dxa"/>
        <w:tblLayout w:type="fixed"/>
        <w:tblLook w:val="0020" w:firstRow="1" w:lastRow="0" w:firstColumn="0" w:lastColumn="0" w:noHBand="0" w:noVBand="0"/>
        <w:tblCaption w:val="Note 2.1B"/>
        <w:tblDescription w:val="Trade and other receivables"/>
      </w:tblPr>
      <w:tblGrid>
        <w:gridCol w:w="5111"/>
        <w:gridCol w:w="992"/>
        <w:gridCol w:w="993"/>
      </w:tblGrid>
      <w:tr w:rsidR="008C05CE" w:rsidRPr="007C2232" w14:paraId="3D03E714" w14:textId="77777777" w:rsidTr="00B85AE8">
        <w:trPr>
          <w:trHeight w:val="340"/>
        </w:trPr>
        <w:tc>
          <w:tcPr>
            <w:tcW w:w="5111" w:type="dxa"/>
          </w:tcPr>
          <w:p w14:paraId="15C0EBEB" w14:textId="77777777" w:rsidR="008C05CE" w:rsidRPr="007C2232" w:rsidRDefault="008C05CE" w:rsidP="0035446D">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25275E87" w14:textId="3022E77D" w:rsidR="008C05CE" w:rsidRPr="007C2232" w:rsidRDefault="008C05CE" w:rsidP="0035446D">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7C2232">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7C2232">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726237CF" w14:textId="39ED89A9" w:rsidR="008C05CE" w:rsidRPr="007C2232" w:rsidRDefault="008C05CE" w:rsidP="0035446D">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7C2232">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7C2232">
              <w:rPr>
                <w:rFonts w:asciiTheme="majorHAnsi" w:hAnsiTheme="majorHAnsi" w:cs="Futura PT Heavy"/>
                <w:color w:val="1C1C1C"/>
                <w:sz w:val="16"/>
                <w:szCs w:val="16"/>
                <w:lang w:val="en-US"/>
              </w:rPr>
              <w:br/>
              <w:t>$’000</w:t>
            </w:r>
          </w:p>
        </w:tc>
      </w:tr>
      <w:tr w:rsidR="008C05CE" w:rsidRPr="007C2232" w14:paraId="38120945" w14:textId="77777777" w:rsidTr="00B85AE8">
        <w:trPr>
          <w:trHeight w:val="170"/>
        </w:trPr>
        <w:tc>
          <w:tcPr>
            <w:tcW w:w="5111" w:type="dxa"/>
          </w:tcPr>
          <w:p w14:paraId="59C4ACE0" w14:textId="58698A2C" w:rsidR="008C05CE" w:rsidRPr="007C2232" w:rsidRDefault="008C05CE" w:rsidP="0035446D">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7C2232">
              <w:rPr>
                <w:rFonts w:asciiTheme="majorHAnsi" w:hAnsiTheme="majorHAnsi"/>
                <w:color w:val="1C1C1C"/>
                <w:sz w:val="14"/>
                <w:szCs w:val="14"/>
              </w:rPr>
              <w:t xml:space="preserve">Note 2.1B: Trade and </w:t>
            </w:r>
            <w:r w:rsidR="0025629F">
              <w:rPr>
                <w:rFonts w:asciiTheme="majorHAnsi" w:hAnsiTheme="majorHAnsi"/>
                <w:color w:val="1C1C1C"/>
                <w:sz w:val="14"/>
                <w:szCs w:val="14"/>
              </w:rPr>
              <w:t>o</w:t>
            </w:r>
            <w:r w:rsidRPr="007C2232">
              <w:rPr>
                <w:rFonts w:asciiTheme="majorHAnsi" w:hAnsiTheme="majorHAnsi"/>
                <w:color w:val="1C1C1C"/>
                <w:sz w:val="14"/>
                <w:szCs w:val="14"/>
              </w:rPr>
              <w:t xml:space="preserve">ther </w:t>
            </w:r>
            <w:r w:rsidR="0025629F">
              <w:rPr>
                <w:rFonts w:asciiTheme="majorHAnsi" w:hAnsiTheme="majorHAnsi"/>
                <w:color w:val="1C1C1C"/>
                <w:sz w:val="14"/>
                <w:szCs w:val="14"/>
              </w:rPr>
              <w:t>r</w:t>
            </w:r>
            <w:r w:rsidRPr="007C2232">
              <w:rPr>
                <w:rFonts w:asciiTheme="majorHAnsi" w:hAnsiTheme="majorHAnsi"/>
                <w:color w:val="1C1C1C"/>
                <w:sz w:val="14"/>
                <w:szCs w:val="14"/>
              </w:rPr>
              <w:t>eceivables</w:t>
            </w:r>
          </w:p>
        </w:tc>
        <w:tc>
          <w:tcPr>
            <w:tcW w:w="992" w:type="dxa"/>
            <w:tcBorders>
              <w:top w:val="single" w:sz="12" w:space="0" w:color="auto"/>
              <w:right w:val="single" w:sz="18" w:space="0" w:color="FFFFFF" w:themeColor="background2"/>
            </w:tcBorders>
          </w:tcPr>
          <w:p w14:paraId="6928F992" w14:textId="77777777" w:rsidR="008C05CE" w:rsidRPr="007C2232" w:rsidRDefault="008C05CE" w:rsidP="0035446D">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63FB3AF7" w14:textId="77777777" w:rsidR="008C05CE" w:rsidRPr="007C2232" w:rsidRDefault="008C05CE" w:rsidP="0035446D">
            <w:pPr>
              <w:autoSpaceDE w:val="0"/>
              <w:autoSpaceDN w:val="0"/>
              <w:adjustRightInd w:val="0"/>
              <w:spacing w:before="20" w:after="20"/>
              <w:jc w:val="right"/>
              <w:rPr>
                <w:color w:val="1C1C1C"/>
                <w:sz w:val="14"/>
                <w:szCs w:val="14"/>
              </w:rPr>
            </w:pPr>
          </w:p>
        </w:tc>
      </w:tr>
      <w:tr w:rsidR="008C05CE" w:rsidRPr="007C2232" w14:paraId="6B1D3288" w14:textId="77777777" w:rsidTr="00B85AE8">
        <w:trPr>
          <w:trHeight w:val="170"/>
        </w:trPr>
        <w:tc>
          <w:tcPr>
            <w:tcW w:w="5111" w:type="dxa"/>
          </w:tcPr>
          <w:p w14:paraId="26FA795B" w14:textId="77777777" w:rsidR="008C05CE" w:rsidRPr="007C2232" w:rsidRDefault="008C05CE" w:rsidP="0035446D">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7C2232">
              <w:rPr>
                <w:rFonts w:asciiTheme="majorHAnsi" w:hAnsiTheme="majorHAnsi"/>
                <w:color w:val="1C1C1C"/>
                <w:sz w:val="14"/>
                <w:szCs w:val="14"/>
              </w:rPr>
              <w:t>Other receivables</w:t>
            </w:r>
          </w:p>
        </w:tc>
        <w:tc>
          <w:tcPr>
            <w:tcW w:w="992" w:type="dxa"/>
            <w:tcBorders>
              <w:right w:val="single" w:sz="18" w:space="0" w:color="FFFFFF" w:themeColor="background2"/>
            </w:tcBorders>
          </w:tcPr>
          <w:p w14:paraId="720E5100" w14:textId="77777777" w:rsidR="008C05CE" w:rsidRPr="007C2232" w:rsidRDefault="008C05CE" w:rsidP="0035446D">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p>
        </w:tc>
        <w:tc>
          <w:tcPr>
            <w:tcW w:w="993" w:type="dxa"/>
            <w:tcBorders>
              <w:left w:val="single" w:sz="18" w:space="0" w:color="FFFFFF" w:themeColor="background2"/>
            </w:tcBorders>
          </w:tcPr>
          <w:p w14:paraId="2A466F01" w14:textId="77777777" w:rsidR="008C05CE" w:rsidRPr="007C2232" w:rsidRDefault="008C05CE" w:rsidP="0035446D">
            <w:pPr>
              <w:suppressAutoHyphens/>
              <w:autoSpaceDE w:val="0"/>
              <w:autoSpaceDN w:val="0"/>
              <w:adjustRightInd w:val="0"/>
              <w:spacing w:before="20" w:after="20"/>
              <w:jc w:val="right"/>
              <w:textAlignment w:val="center"/>
              <w:rPr>
                <w:rFonts w:cs="Futura PT Book"/>
                <w:color w:val="1C1C1C"/>
                <w:sz w:val="14"/>
                <w:szCs w:val="14"/>
                <w:lang w:val="en-US"/>
              </w:rPr>
            </w:pPr>
          </w:p>
        </w:tc>
      </w:tr>
      <w:tr w:rsidR="008664C1" w:rsidRPr="007C2232" w14:paraId="52DD2F0D" w14:textId="77777777" w:rsidTr="00B85AE8">
        <w:trPr>
          <w:trHeight w:val="170"/>
        </w:trPr>
        <w:tc>
          <w:tcPr>
            <w:tcW w:w="5111" w:type="dxa"/>
          </w:tcPr>
          <w:p w14:paraId="5A287BF3" w14:textId="77777777" w:rsidR="008664C1" w:rsidRPr="007C2232" w:rsidRDefault="008664C1" w:rsidP="0035446D">
            <w:pPr>
              <w:suppressAutoHyphens/>
              <w:autoSpaceDE w:val="0"/>
              <w:autoSpaceDN w:val="0"/>
              <w:adjustRightInd w:val="0"/>
              <w:spacing w:before="20" w:after="20"/>
              <w:textAlignment w:val="center"/>
              <w:rPr>
                <w:rFonts w:cs="Futura PT Book"/>
                <w:color w:val="1C1C1C"/>
                <w:sz w:val="14"/>
                <w:szCs w:val="14"/>
                <w:lang w:val="en-US"/>
              </w:rPr>
            </w:pPr>
            <w:r w:rsidRPr="007C2232">
              <w:rPr>
                <w:color w:val="1C1C1C"/>
                <w:sz w:val="14"/>
                <w:szCs w:val="14"/>
              </w:rPr>
              <w:t>GST receivable from the Australian Taxation Office</w:t>
            </w:r>
          </w:p>
        </w:tc>
        <w:tc>
          <w:tcPr>
            <w:tcW w:w="992" w:type="dxa"/>
            <w:tcBorders>
              <w:right w:val="single" w:sz="18" w:space="0" w:color="FFFFFF" w:themeColor="background2"/>
            </w:tcBorders>
          </w:tcPr>
          <w:p w14:paraId="5E27EC85" w14:textId="13ACA4EB" w:rsidR="008664C1" w:rsidRPr="008C05CE" w:rsidRDefault="008664C1" w:rsidP="0035446D">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w:t>
            </w:r>
            <w:r w:rsidR="00942010">
              <w:rPr>
                <w:rFonts w:asciiTheme="majorHAnsi" w:hAnsiTheme="majorHAnsi" w:cs="Calibri"/>
                <w:sz w:val="14"/>
                <w:szCs w:val="14"/>
              </w:rPr>
              <w:t>4</w:t>
            </w:r>
            <w:r>
              <w:rPr>
                <w:rFonts w:asciiTheme="majorHAnsi" w:hAnsiTheme="majorHAnsi" w:cs="Calibri"/>
                <w:sz w:val="14"/>
                <w:szCs w:val="14"/>
              </w:rPr>
              <w:t>2</w:t>
            </w:r>
            <w:r w:rsidRPr="008C05CE">
              <w:rPr>
                <w:rFonts w:asciiTheme="majorHAnsi" w:hAnsiTheme="majorHAnsi" w:cs="Calibri"/>
                <w:sz w:val="14"/>
                <w:szCs w:val="14"/>
              </w:rPr>
              <w:t xml:space="preserve"> </w:t>
            </w:r>
          </w:p>
        </w:tc>
        <w:tc>
          <w:tcPr>
            <w:tcW w:w="993" w:type="dxa"/>
            <w:tcBorders>
              <w:left w:val="single" w:sz="18" w:space="0" w:color="FFFFFF" w:themeColor="background2"/>
            </w:tcBorders>
          </w:tcPr>
          <w:p w14:paraId="3CA9A2F4" w14:textId="63BFA5D1" w:rsidR="008664C1" w:rsidRPr="008C05CE" w:rsidRDefault="008664C1" w:rsidP="0035446D">
            <w:pPr>
              <w:suppressAutoHyphens/>
              <w:autoSpaceDE w:val="0"/>
              <w:autoSpaceDN w:val="0"/>
              <w:adjustRightInd w:val="0"/>
              <w:spacing w:before="20" w:after="20"/>
              <w:jc w:val="right"/>
              <w:textAlignment w:val="center"/>
              <w:rPr>
                <w:rFonts w:cs="Futura PT Book"/>
                <w:color w:val="1C1C1C"/>
                <w:sz w:val="14"/>
                <w:szCs w:val="14"/>
                <w:lang w:val="en-US"/>
              </w:rPr>
            </w:pPr>
            <w:r w:rsidRPr="008C05CE">
              <w:rPr>
                <w:rFonts w:cs="Calibri"/>
                <w:sz w:val="14"/>
                <w:szCs w:val="14"/>
              </w:rPr>
              <w:t xml:space="preserve">187 </w:t>
            </w:r>
          </w:p>
        </w:tc>
      </w:tr>
      <w:tr w:rsidR="008664C1" w:rsidRPr="007C2232" w14:paraId="3AB61895" w14:textId="77777777" w:rsidTr="00B85AE8">
        <w:trPr>
          <w:trHeight w:val="170"/>
        </w:trPr>
        <w:tc>
          <w:tcPr>
            <w:tcW w:w="5111" w:type="dxa"/>
          </w:tcPr>
          <w:p w14:paraId="0A62D959" w14:textId="77777777" w:rsidR="008664C1" w:rsidRPr="007C2232" w:rsidRDefault="008664C1" w:rsidP="0035446D">
            <w:pPr>
              <w:suppressAutoHyphens/>
              <w:autoSpaceDE w:val="0"/>
              <w:autoSpaceDN w:val="0"/>
              <w:adjustRightInd w:val="0"/>
              <w:spacing w:before="20" w:after="20"/>
              <w:textAlignment w:val="center"/>
              <w:rPr>
                <w:color w:val="1C1C1C"/>
                <w:sz w:val="14"/>
                <w:szCs w:val="14"/>
              </w:rPr>
            </w:pPr>
            <w:r w:rsidRPr="007C2232">
              <w:rPr>
                <w:color w:val="1C1C1C"/>
                <w:sz w:val="14"/>
                <w:szCs w:val="14"/>
              </w:rPr>
              <w:t>Other amounts receivable</w:t>
            </w:r>
          </w:p>
        </w:tc>
        <w:tc>
          <w:tcPr>
            <w:tcW w:w="992" w:type="dxa"/>
            <w:tcBorders>
              <w:bottom w:val="single" w:sz="2" w:space="0" w:color="auto"/>
              <w:right w:val="single" w:sz="18" w:space="0" w:color="FFFFFF" w:themeColor="background2"/>
            </w:tcBorders>
          </w:tcPr>
          <w:p w14:paraId="0D38D3B9" w14:textId="6740B94D" w:rsidR="008664C1" w:rsidRPr="008C05CE" w:rsidRDefault="008664C1" w:rsidP="0035446D">
            <w:pPr>
              <w:autoSpaceDE w:val="0"/>
              <w:autoSpaceDN w:val="0"/>
              <w:adjustRightInd w:val="0"/>
              <w:spacing w:before="20" w:after="20"/>
              <w:jc w:val="right"/>
              <w:rPr>
                <w:rFonts w:asciiTheme="majorHAnsi" w:hAnsiTheme="majorHAnsi"/>
                <w:color w:val="1C1C1C"/>
                <w:sz w:val="14"/>
                <w:szCs w:val="14"/>
              </w:rPr>
            </w:pPr>
            <w:r w:rsidRPr="008C05CE">
              <w:rPr>
                <w:rFonts w:asciiTheme="majorHAnsi" w:hAnsiTheme="majorHAnsi" w:cs="Calibri"/>
                <w:sz w:val="14"/>
                <w:szCs w:val="14"/>
              </w:rPr>
              <w:t>3</w:t>
            </w:r>
            <w:r w:rsidR="008347A6">
              <w:rPr>
                <w:rFonts w:asciiTheme="majorHAnsi" w:hAnsiTheme="majorHAnsi" w:cs="Calibri"/>
                <w:sz w:val="14"/>
                <w:szCs w:val="14"/>
              </w:rPr>
              <w:t>1</w:t>
            </w:r>
            <w:r w:rsidRPr="008C05CE">
              <w:rPr>
                <w:rFonts w:asciiTheme="majorHAnsi" w:hAnsiTheme="majorHAnsi" w:cs="Calibri"/>
                <w:sz w:val="14"/>
                <w:szCs w:val="14"/>
              </w:rPr>
              <w:t xml:space="preserve"> </w:t>
            </w:r>
          </w:p>
        </w:tc>
        <w:tc>
          <w:tcPr>
            <w:tcW w:w="993" w:type="dxa"/>
            <w:tcBorders>
              <w:left w:val="single" w:sz="18" w:space="0" w:color="FFFFFF" w:themeColor="background2"/>
              <w:bottom w:val="single" w:sz="2" w:space="0" w:color="auto"/>
            </w:tcBorders>
          </w:tcPr>
          <w:p w14:paraId="581F1003" w14:textId="02AEB542" w:rsidR="008664C1" w:rsidRPr="008C05CE" w:rsidRDefault="008664C1" w:rsidP="0035446D">
            <w:pPr>
              <w:suppressAutoHyphens/>
              <w:autoSpaceDE w:val="0"/>
              <w:autoSpaceDN w:val="0"/>
              <w:adjustRightInd w:val="0"/>
              <w:spacing w:before="20" w:after="20"/>
              <w:jc w:val="right"/>
              <w:textAlignment w:val="center"/>
              <w:rPr>
                <w:color w:val="1C1C1C"/>
                <w:sz w:val="14"/>
                <w:szCs w:val="14"/>
              </w:rPr>
            </w:pPr>
            <w:r w:rsidRPr="008C05CE">
              <w:rPr>
                <w:rFonts w:cs="Calibri"/>
                <w:sz w:val="14"/>
                <w:szCs w:val="14"/>
              </w:rPr>
              <w:t xml:space="preserve">12 </w:t>
            </w:r>
          </w:p>
        </w:tc>
      </w:tr>
      <w:tr w:rsidR="008664C1" w:rsidRPr="007C2232" w14:paraId="38F7C379" w14:textId="77777777" w:rsidTr="00B85AE8">
        <w:trPr>
          <w:trHeight w:val="170"/>
        </w:trPr>
        <w:tc>
          <w:tcPr>
            <w:tcW w:w="5111" w:type="dxa"/>
          </w:tcPr>
          <w:p w14:paraId="76D9EFA1" w14:textId="77777777" w:rsidR="008664C1" w:rsidRPr="007C2232" w:rsidRDefault="008664C1" w:rsidP="0035446D">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Total other receivables</w:t>
            </w:r>
          </w:p>
        </w:tc>
        <w:tc>
          <w:tcPr>
            <w:tcW w:w="992" w:type="dxa"/>
            <w:tcBorders>
              <w:top w:val="single" w:sz="2" w:space="0" w:color="auto"/>
              <w:bottom w:val="single" w:sz="2" w:space="0" w:color="auto"/>
              <w:right w:val="single" w:sz="18" w:space="0" w:color="FFFFFF" w:themeColor="background2"/>
            </w:tcBorders>
          </w:tcPr>
          <w:p w14:paraId="21CAFC16" w14:textId="7F4E90E1" w:rsidR="008664C1" w:rsidRPr="008C05CE" w:rsidRDefault="008347A6" w:rsidP="0035446D">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273</w:t>
            </w:r>
            <w:r w:rsidR="008664C1" w:rsidRPr="008C05CE">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03359091" w14:textId="2F625EC8" w:rsidR="008664C1" w:rsidRPr="008C05CE" w:rsidRDefault="008664C1" w:rsidP="0035446D">
            <w:pPr>
              <w:suppressAutoHyphens/>
              <w:autoSpaceDE w:val="0"/>
              <w:autoSpaceDN w:val="0"/>
              <w:adjustRightInd w:val="0"/>
              <w:spacing w:before="20" w:after="20"/>
              <w:jc w:val="right"/>
              <w:textAlignment w:val="center"/>
              <w:rPr>
                <w:color w:val="1C1C1C"/>
                <w:sz w:val="14"/>
                <w:szCs w:val="14"/>
              </w:rPr>
            </w:pPr>
            <w:r w:rsidRPr="008C05CE">
              <w:rPr>
                <w:rFonts w:cs="Calibri"/>
                <w:sz w:val="14"/>
                <w:szCs w:val="14"/>
              </w:rPr>
              <w:t xml:space="preserve">199 </w:t>
            </w:r>
          </w:p>
        </w:tc>
      </w:tr>
      <w:tr w:rsidR="008664C1" w:rsidRPr="007C2232" w14:paraId="6584F52B" w14:textId="77777777" w:rsidTr="00B85AE8">
        <w:trPr>
          <w:trHeight w:val="170"/>
        </w:trPr>
        <w:tc>
          <w:tcPr>
            <w:tcW w:w="5111" w:type="dxa"/>
          </w:tcPr>
          <w:p w14:paraId="1412C6AA" w14:textId="77777777" w:rsidR="008664C1" w:rsidRPr="007C2232" w:rsidRDefault="008664C1" w:rsidP="0035446D">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(gross)</w:t>
            </w:r>
          </w:p>
        </w:tc>
        <w:tc>
          <w:tcPr>
            <w:tcW w:w="992" w:type="dxa"/>
            <w:tcBorders>
              <w:top w:val="single" w:sz="2" w:space="0" w:color="auto"/>
              <w:bottom w:val="single" w:sz="2" w:space="0" w:color="auto"/>
              <w:right w:val="single" w:sz="18" w:space="0" w:color="FFFFFF" w:themeColor="background2"/>
            </w:tcBorders>
          </w:tcPr>
          <w:p w14:paraId="2F5C19BD" w14:textId="10C2804E" w:rsidR="008664C1" w:rsidRPr="008C05CE" w:rsidRDefault="008347A6" w:rsidP="0035446D">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273</w:t>
            </w:r>
            <w:r w:rsidR="008664C1" w:rsidRPr="008C05CE">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7B54210D" w14:textId="7420C9B1" w:rsidR="008664C1" w:rsidRPr="008C05CE" w:rsidRDefault="008664C1" w:rsidP="0035446D">
            <w:pPr>
              <w:suppressAutoHyphens/>
              <w:autoSpaceDE w:val="0"/>
              <w:autoSpaceDN w:val="0"/>
              <w:adjustRightInd w:val="0"/>
              <w:spacing w:before="20" w:after="20"/>
              <w:jc w:val="right"/>
              <w:textAlignment w:val="center"/>
              <w:rPr>
                <w:color w:val="1C1C1C"/>
                <w:sz w:val="14"/>
                <w:szCs w:val="14"/>
              </w:rPr>
            </w:pPr>
            <w:r w:rsidRPr="008C05CE">
              <w:rPr>
                <w:rFonts w:cs="Calibri"/>
                <w:sz w:val="14"/>
                <w:szCs w:val="14"/>
              </w:rPr>
              <w:t xml:space="preserve">199 </w:t>
            </w:r>
          </w:p>
        </w:tc>
      </w:tr>
      <w:tr w:rsidR="008664C1" w:rsidRPr="007C2232" w14:paraId="7DCBBE4A" w14:textId="77777777" w:rsidTr="00B85AE8">
        <w:trPr>
          <w:trHeight w:val="170"/>
        </w:trPr>
        <w:tc>
          <w:tcPr>
            <w:tcW w:w="5111" w:type="dxa"/>
          </w:tcPr>
          <w:p w14:paraId="38BE5FCB" w14:textId="77777777" w:rsidR="008664C1" w:rsidRPr="007C2232" w:rsidRDefault="008664C1" w:rsidP="0035446D">
            <w:pPr>
              <w:suppressAutoHyphens/>
              <w:autoSpaceDE w:val="0"/>
              <w:autoSpaceDN w:val="0"/>
              <w:adjustRightInd w:val="0"/>
              <w:spacing w:before="20" w:after="20"/>
              <w:textAlignment w:val="center"/>
              <w:rPr>
                <w:rFonts w:asciiTheme="majorHAnsi" w:hAnsiTheme="majorHAnsi"/>
                <w:color w:val="1C1C1C"/>
                <w:sz w:val="14"/>
                <w:szCs w:val="14"/>
              </w:rPr>
            </w:pPr>
          </w:p>
        </w:tc>
        <w:tc>
          <w:tcPr>
            <w:tcW w:w="992" w:type="dxa"/>
            <w:tcBorders>
              <w:top w:val="single" w:sz="2" w:space="0" w:color="auto"/>
              <w:right w:val="single" w:sz="18" w:space="0" w:color="FFFFFF" w:themeColor="background2"/>
            </w:tcBorders>
          </w:tcPr>
          <w:p w14:paraId="7A6DBB2B" w14:textId="77777777" w:rsidR="008664C1" w:rsidRPr="007C2232" w:rsidRDefault="008664C1" w:rsidP="0035446D">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5EB26B50" w14:textId="77777777" w:rsidR="008664C1" w:rsidRPr="007C2232" w:rsidRDefault="008664C1" w:rsidP="0035446D">
            <w:pPr>
              <w:suppressAutoHyphens/>
              <w:autoSpaceDE w:val="0"/>
              <w:autoSpaceDN w:val="0"/>
              <w:adjustRightInd w:val="0"/>
              <w:spacing w:before="20" w:after="20"/>
              <w:jc w:val="right"/>
              <w:textAlignment w:val="center"/>
              <w:rPr>
                <w:color w:val="1C1C1C"/>
                <w:sz w:val="14"/>
                <w:szCs w:val="14"/>
              </w:rPr>
            </w:pPr>
          </w:p>
        </w:tc>
      </w:tr>
      <w:tr w:rsidR="008664C1" w:rsidRPr="007C2232" w14:paraId="651ECE8B" w14:textId="77777777" w:rsidTr="00B85AE8">
        <w:trPr>
          <w:trHeight w:val="170"/>
        </w:trPr>
        <w:tc>
          <w:tcPr>
            <w:tcW w:w="5111" w:type="dxa"/>
          </w:tcPr>
          <w:p w14:paraId="0C50221C" w14:textId="77777777" w:rsidR="008664C1" w:rsidRPr="007C2232" w:rsidRDefault="008664C1" w:rsidP="0035446D">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Less impairment allowance</w:t>
            </w:r>
          </w:p>
        </w:tc>
        <w:tc>
          <w:tcPr>
            <w:tcW w:w="992" w:type="dxa"/>
            <w:tcBorders>
              <w:bottom w:val="single" w:sz="2" w:space="0" w:color="auto"/>
              <w:right w:val="single" w:sz="18" w:space="0" w:color="FFFFFF" w:themeColor="background2"/>
            </w:tcBorders>
          </w:tcPr>
          <w:p w14:paraId="79393E25" w14:textId="2B44167F" w:rsidR="008664C1" w:rsidRPr="007C2232" w:rsidRDefault="008664C1" w:rsidP="0035446D">
            <w:pPr>
              <w:autoSpaceDE w:val="0"/>
              <w:autoSpaceDN w:val="0"/>
              <w:adjustRightInd w:val="0"/>
              <w:spacing w:before="20" w:after="20"/>
              <w:jc w:val="right"/>
              <w:rPr>
                <w:rFonts w:asciiTheme="majorHAnsi" w:hAnsiTheme="majorHAnsi"/>
                <w:color w:val="1C1C1C"/>
                <w:sz w:val="14"/>
                <w:szCs w:val="14"/>
              </w:rPr>
            </w:pPr>
            <w:r w:rsidRPr="007C2232">
              <w:rPr>
                <w:rFonts w:asciiTheme="majorHAnsi" w:hAnsiTheme="majorHAnsi"/>
                <w:color w:val="1C1C1C"/>
                <w:sz w:val="14"/>
                <w:szCs w:val="14"/>
              </w:rPr>
              <w:t>-</w:t>
            </w:r>
          </w:p>
        </w:tc>
        <w:tc>
          <w:tcPr>
            <w:tcW w:w="993" w:type="dxa"/>
            <w:tcBorders>
              <w:left w:val="single" w:sz="18" w:space="0" w:color="FFFFFF" w:themeColor="background2"/>
              <w:bottom w:val="single" w:sz="2" w:space="0" w:color="auto"/>
            </w:tcBorders>
          </w:tcPr>
          <w:p w14:paraId="24121791" w14:textId="5695BA5D" w:rsidR="008664C1" w:rsidRPr="007C2232" w:rsidRDefault="008664C1" w:rsidP="0035446D">
            <w:pPr>
              <w:suppressAutoHyphens/>
              <w:autoSpaceDE w:val="0"/>
              <w:autoSpaceDN w:val="0"/>
              <w:adjustRightInd w:val="0"/>
              <w:spacing w:before="20" w:after="20"/>
              <w:jc w:val="right"/>
              <w:textAlignment w:val="center"/>
              <w:rPr>
                <w:color w:val="1C1C1C"/>
                <w:sz w:val="14"/>
                <w:szCs w:val="14"/>
              </w:rPr>
            </w:pPr>
            <w:r w:rsidRPr="007C2232">
              <w:rPr>
                <w:color w:val="1C1C1C"/>
                <w:sz w:val="14"/>
                <w:szCs w:val="14"/>
              </w:rPr>
              <w:t>-</w:t>
            </w:r>
          </w:p>
        </w:tc>
      </w:tr>
      <w:tr w:rsidR="008664C1" w:rsidRPr="007C2232" w14:paraId="4F01CB1B" w14:textId="77777777" w:rsidTr="00B85AE8">
        <w:trPr>
          <w:trHeight w:val="170"/>
        </w:trPr>
        <w:tc>
          <w:tcPr>
            <w:tcW w:w="5111" w:type="dxa"/>
          </w:tcPr>
          <w:p w14:paraId="69E6A587" w14:textId="77777777" w:rsidR="008664C1" w:rsidRPr="007C2232" w:rsidRDefault="008664C1" w:rsidP="0035446D">
            <w:pPr>
              <w:suppressAutoHyphens/>
              <w:autoSpaceDE w:val="0"/>
              <w:autoSpaceDN w:val="0"/>
              <w:adjustRightInd w:val="0"/>
              <w:spacing w:before="20" w:after="20"/>
              <w:textAlignment w:val="center"/>
              <w:rPr>
                <w:rFonts w:asciiTheme="majorHAnsi" w:hAnsiTheme="majorHAnsi"/>
                <w:color w:val="1C1C1C"/>
                <w:sz w:val="14"/>
                <w:szCs w:val="14"/>
              </w:rPr>
            </w:pPr>
            <w:r w:rsidRPr="007C2232">
              <w:rPr>
                <w:rFonts w:asciiTheme="majorHAnsi" w:hAnsiTheme="majorHAnsi"/>
                <w:color w:val="1C1C1C"/>
                <w:sz w:val="14"/>
                <w:szCs w:val="14"/>
              </w:rPr>
              <w:t>Total trade and other receivables (net)</w:t>
            </w:r>
          </w:p>
        </w:tc>
        <w:tc>
          <w:tcPr>
            <w:tcW w:w="992" w:type="dxa"/>
            <w:tcBorders>
              <w:top w:val="single" w:sz="2" w:space="0" w:color="auto"/>
              <w:bottom w:val="single" w:sz="2" w:space="0" w:color="auto"/>
              <w:right w:val="single" w:sz="18" w:space="0" w:color="FFFFFF" w:themeColor="background2"/>
            </w:tcBorders>
          </w:tcPr>
          <w:p w14:paraId="50690F9F" w14:textId="281FA28E" w:rsidR="008664C1" w:rsidRPr="008C05CE" w:rsidRDefault="008347A6" w:rsidP="0035446D">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273</w:t>
            </w:r>
            <w:r w:rsidR="008664C1" w:rsidRPr="008C05CE">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69892FF5" w14:textId="6CA22969" w:rsidR="008664C1" w:rsidRPr="008C05CE" w:rsidRDefault="008664C1" w:rsidP="0035446D">
            <w:pPr>
              <w:suppressAutoHyphens/>
              <w:autoSpaceDE w:val="0"/>
              <w:autoSpaceDN w:val="0"/>
              <w:adjustRightInd w:val="0"/>
              <w:spacing w:before="20" w:after="20"/>
              <w:jc w:val="right"/>
              <w:textAlignment w:val="center"/>
              <w:rPr>
                <w:color w:val="1C1C1C"/>
                <w:sz w:val="14"/>
                <w:szCs w:val="14"/>
              </w:rPr>
            </w:pPr>
            <w:r w:rsidRPr="008C05CE">
              <w:rPr>
                <w:rFonts w:cs="Calibri"/>
                <w:sz w:val="14"/>
                <w:szCs w:val="14"/>
              </w:rPr>
              <w:t xml:space="preserve">199 </w:t>
            </w:r>
          </w:p>
        </w:tc>
      </w:tr>
      <w:tr w:rsidR="008C05CE" w:rsidRPr="007C2232" w14:paraId="56146C05" w14:textId="77777777" w:rsidTr="00B85AE8">
        <w:trPr>
          <w:trHeight w:val="57"/>
        </w:trPr>
        <w:tc>
          <w:tcPr>
            <w:tcW w:w="5111" w:type="dxa"/>
          </w:tcPr>
          <w:p w14:paraId="41F2020A" w14:textId="77777777" w:rsidR="008C05CE" w:rsidRPr="007C2232" w:rsidRDefault="008C05CE" w:rsidP="0035446D">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7C44FEDD" w14:textId="77777777" w:rsidR="008C05CE" w:rsidRPr="007C2232" w:rsidRDefault="008C05CE" w:rsidP="0035446D">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7DF25E31" w14:textId="77777777" w:rsidR="008C05CE" w:rsidRPr="007C2232" w:rsidRDefault="008C05CE" w:rsidP="0035446D">
            <w:pPr>
              <w:suppressAutoHyphens/>
              <w:autoSpaceDE w:val="0"/>
              <w:autoSpaceDN w:val="0"/>
              <w:adjustRightInd w:val="0"/>
              <w:spacing w:before="20" w:after="20"/>
              <w:jc w:val="right"/>
              <w:textAlignment w:val="center"/>
              <w:rPr>
                <w:color w:val="1C1C1C"/>
                <w:sz w:val="4"/>
                <w:szCs w:val="4"/>
              </w:rPr>
            </w:pPr>
          </w:p>
        </w:tc>
      </w:tr>
      <w:tr w:rsidR="008C05CE" w:rsidRPr="00B61E00" w14:paraId="608A3061" w14:textId="77777777" w:rsidTr="00B85AE8">
        <w:trPr>
          <w:trHeight w:val="170"/>
        </w:trPr>
        <w:tc>
          <w:tcPr>
            <w:tcW w:w="7096" w:type="dxa"/>
            <w:gridSpan w:val="3"/>
          </w:tcPr>
          <w:p w14:paraId="43C10FDB" w14:textId="64EA3E21" w:rsidR="008C05CE" w:rsidRPr="00B61E00" w:rsidRDefault="008C05CE" w:rsidP="0035446D">
            <w:pPr>
              <w:suppressAutoHyphens/>
              <w:autoSpaceDE w:val="0"/>
              <w:autoSpaceDN w:val="0"/>
              <w:adjustRightInd w:val="0"/>
              <w:spacing w:before="20" w:after="20"/>
              <w:textAlignment w:val="center"/>
              <w:rPr>
                <w:color w:val="292929"/>
                <w:sz w:val="14"/>
                <w:szCs w:val="14"/>
              </w:rPr>
            </w:pPr>
            <w:r>
              <w:rPr>
                <w:color w:val="292929"/>
                <w:sz w:val="14"/>
                <w:szCs w:val="14"/>
              </w:rPr>
              <w:t>No amounts receivable are overdue.</w:t>
            </w:r>
          </w:p>
        </w:tc>
      </w:tr>
    </w:tbl>
    <w:p w14:paraId="6880DD25" w14:textId="77777777" w:rsidR="008C05CE" w:rsidRDefault="008C05CE" w:rsidP="008C05CE">
      <w:pPr>
        <w:pStyle w:val="Body"/>
        <w:spacing w:after="120"/>
      </w:pPr>
    </w:p>
    <w:tbl>
      <w:tblPr>
        <w:tblStyle w:val="TableGrid1"/>
        <w:tblW w:w="5000" w:type="pct"/>
        <w:tblCellMar>
          <w:top w:w="57" w:type="dxa"/>
          <w:bottom w:w="57" w:type="dxa"/>
        </w:tblCellMar>
        <w:tblLook w:val="04A0" w:firstRow="1" w:lastRow="0" w:firstColumn="1" w:lastColumn="0" w:noHBand="0" w:noVBand="1"/>
        <w:tblCaption w:val="Note 2.1B"/>
        <w:tblDescription w:val="Accounting policy"/>
      </w:tblPr>
      <w:tblGrid>
        <w:gridCol w:w="7701"/>
      </w:tblGrid>
      <w:tr w:rsidR="008C05CE" w14:paraId="0263751A" w14:textId="77777777" w:rsidTr="00F21F53">
        <w:trPr>
          <w:tblHeader/>
        </w:trPr>
        <w:tc>
          <w:tcPr>
            <w:tcW w:w="5000" w:type="pct"/>
          </w:tcPr>
          <w:p w14:paraId="32B0D2C6" w14:textId="77777777" w:rsidR="008C05CE" w:rsidRPr="005300C0" w:rsidRDefault="008C05CE" w:rsidP="008C05CE">
            <w:pPr>
              <w:pStyle w:val="Body"/>
              <w:spacing w:after="60" w:line="288" w:lineRule="auto"/>
              <w:rPr>
                <w:rFonts w:asciiTheme="majorHAnsi" w:hAnsiTheme="majorHAnsi"/>
              </w:rPr>
            </w:pPr>
            <w:r w:rsidRPr="005300C0">
              <w:rPr>
                <w:rFonts w:asciiTheme="majorHAnsi" w:hAnsiTheme="majorHAnsi"/>
              </w:rPr>
              <w:t>Accounting Policy</w:t>
            </w:r>
          </w:p>
          <w:p w14:paraId="4492B2D9" w14:textId="77777777" w:rsidR="008C05CE" w:rsidRPr="00303955" w:rsidRDefault="008C05CE" w:rsidP="008C05CE">
            <w:pPr>
              <w:pStyle w:val="Body"/>
              <w:spacing w:after="60" w:line="288" w:lineRule="auto"/>
              <w:rPr>
                <w:b/>
                <w:bCs/>
              </w:rPr>
            </w:pPr>
            <w:r w:rsidRPr="00303955">
              <w:rPr>
                <w:b/>
                <w:bCs/>
              </w:rPr>
              <w:t>Trade and other receivables</w:t>
            </w:r>
          </w:p>
          <w:p w14:paraId="769A1165" w14:textId="1C2BBAD9" w:rsidR="008C05CE" w:rsidRPr="008C05CE" w:rsidRDefault="008C05CE" w:rsidP="008C05CE">
            <w:pPr>
              <w:pStyle w:val="Body"/>
              <w:spacing w:after="60" w:line="288" w:lineRule="auto"/>
            </w:pPr>
            <w:r w:rsidRPr="008C05CE">
              <w:rPr>
                <w:lang w:val="en-AU"/>
              </w:rPr>
              <w:t>IHPA's financial assets are comprised of trade receivables and other receivables that are held for the purpose of collecting the contractual cash flows. All of IHPA's financial assets are measured, and carried, at</w:t>
            </w:r>
            <w:r w:rsidR="00A223DC">
              <w:rPr>
                <w:lang w:val="en-AU"/>
              </w:rPr>
              <w:t> </w:t>
            </w:r>
            <w:r w:rsidRPr="008C05CE">
              <w:rPr>
                <w:lang w:val="en-AU"/>
              </w:rPr>
              <w:t>amortised cost.</w:t>
            </w:r>
          </w:p>
          <w:p w14:paraId="274D75C1" w14:textId="77777777" w:rsidR="008C05CE" w:rsidRPr="00303955" w:rsidRDefault="008C05CE" w:rsidP="008C05CE">
            <w:pPr>
              <w:pStyle w:val="Body"/>
              <w:spacing w:after="60" w:line="288" w:lineRule="auto"/>
              <w:rPr>
                <w:b/>
                <w:bCs/>
                <w:lang w:val="en-AU"/>
              </w:rPr>
            </w:pPr>
            <w:r w:rsidRPr="00303955">
              <w:rPr>
                <w:b/>
                <w:bCs/>
                <w:lang w:val="en-AU"/>
              </w:rPr>
              <w:t>Impairment</w:t>
            </w:r>
          </w:p>
          <w:p w14:paraId="61AB442E" w14:textId="5B02268B" w:rsidR="008C05CE" w:rsidRDefault="008C05CE" w:rsidP="008C05CE">
            <w:pPr>
              <w:pStyle w:val="AlphabetListL2"/>
              <w:numPr>
                <w:ilvl w:val="0"/>
                <w:numId w:val="0"/>
              </w:numPr>
              <w:spacing w:after="60"/>
            </w:pPr>
            <w:r w:rsidRPr="008C05CE">
              <w:rPr>
                <w:lang w:val="en-AU"/>
              </w:rPr>
              <w:t>All assets were assessed for impairment as at 30 June 2021.</w:t>
            </w:r>
            <w:r w:rsidR="00A923FB">
              <w:rPr>
                <w:lang w:val="en-AU"/>
              </w:rPr>
              <w:t xml:space="preserve"> </w:t>
            </w:r>
            <w:r w:rsidRPr="008C05CE">
              <w:rPr>
                <w:lang w:val="en-AU"/>
              </w:rPr>
              <w:t>Where indications of impairment exist, the</w:t>
            </w:r>
            <w:r w:rsidR="00A223DC">
              <w:rPr>
                <w:lang w:val="en-AU"/>
              </w:rPr>
              <w:t> </w:t>
            </w:r>
            <w:r w:rsidRPr="008C05CE">
              <w:rPr>
                <w:lang w:val="en-AU"/>
              </w:rPr>
              <w:t>asset's recoverable amount is estimated and an impairment adjustment made if the asset's recoverable amount is less than its carrying amount.</w:t>
            </w:r>
          </w:p>
        </w:tc>
      </w:tr>
    </w:tbl>
    <w:p w14:paraId="3C90187F" w14:textId="77777777" w:rsidR="008C05CE" w:rsidRDefault="008C05CE" w:rsidP="008C05CE">
      <w:pPr>
        <w:pStyle w:val="Body"/>
      </w:pPr>
    </w:p>
    <w:p w14:paraId="75178A54" w14:textId="77777777" w:rsidR="008C05CE" w:rsidRDefault="008C05CE" w:rsidP="00156309">
      <w:pPr>
        <w:pStyle w:val="Body"/>
        <w:rPr>
          <w:color w:val="292929"/>
        </w:rPr>
        <w:sectPr w:rsidR="008C05CE" w:rsidSect="00441579">
          <w:footerReference w:type="default" r:id="rId207"/>
          <w:pgSz w:w="9979" w:h="14175"/>
          <w:pgMar w:top="964" w:right="1134" w:bottom="1134" w:left="1134" w:header="709" w:footer="709" w:gutter="0"/>
          <w:cols w:space="708"/>
          <w:docGrid w:linePitch="360"/>
        </w:sectPr>
      </w:pPr>
    </w:p>
    <w:p w14:paraId="4B82632C" w14:textId="7C8E0841" w:rsidR="009A2FF3" w:rsidRDefault="009A2FF3" w:rsidP="009A2FF3">
      <w:pPr>
        <w:pStyle w:val="H4Financials"/>
        <w:spacing w:before="0" w:after="120"/>
      </w:pPr>
      <w:bookmarkStart w:id="191" w:name="_Toc83220568"/>
      <w:r>
        <w:lastRenderedPageBreak/>
        <w:t xml:space="preserve">Note 2.2 </w:t>
      </w:r>
      <w:r w:rsidRPr="003C7007">
        <w:t>Non-</w:t>
      </w:r>
      <w:r>
        <w:t>f</w:t>
      </w:r>
      <w:r w:rsidRPr="003C7007">
        <w:t xml:space="preserve">inancial </w:t>
      </w:r>
      <w:r>
        <w:t>a</w:t>
      </w:r>
      <w:r w:rsidRPr="003C7007">
        <w:t>ssets</w:t>
      </w:r>
      <w:bookmarkEnd w:id="191"/>
    </w:p>
    <w:p w14:paraId="64237675" w14:textId="77777777" w:rsidR="009A2FF3" w:rsidRPr="00FC0B06" w:rsidRDefault="009A2FF3" w:rsidP="009A2FF3">
      <w:pPr>
        <w:suppressAutoHyphens/>
        <w:autoSpaceDE w:val="0"/>
        <w:autoSpaceDN w:val="0"/>
        <w:adjustRightInd w:val="0"/>
        <w:spacing w:after="60" w:line="288" w:lineRule="auto"/>
        <w:ind w:right="-370"/>
        <w:textAlignment w:val="center"/>
        <w:rPr>
          <w:rFonts w:asciiTheme="majorHAnsi" w:hAnsiTheme="majorHAnsi"/>
          <w:color w:val="292929"/>
          <w:sz w:val="14"/>
          <w:szCs w:val="14"/>
        </w:rPr>
      </w:pPr>
      <w:r w:rsidRPr="00FC0B06">
        <w:rPr>
          <w:rFonts w:asciiTheme="majorHAnsi" w:hAnsiTheme="majorHAnsi"/>
          <w:color w:val="292929"/>
          <w:sz w:val="14"/>
          <w:szCs w:val="14"/>
        </w:rPr>
        <w:t>Note 2.2</w:t>
      </w:r>
      <w:r>
        <w:rPr>
          <w:rFonts w:asciiTheme="majorHAnsi" w:hAnsiTheme="majorHAnsi"/>
          <w:color w:val="292929"/>
          <w:sz w:val="14"/>
          <w:szCs w:val="14"/>
        </w:rPr>
        <w:t>A</w:t>
      </w:r>
      <w:r w:rsidRPr="00FC0B06">
        <w:rPr>
          <w:rFonts w:asciiTheme="majorHAnsi" w:hAnsiTheme="majorHAnsi"/>
          <w:color w:val="292929"/>
          <w:sz w:val="14"/>
          <w:szCs w:val="14"/>
        </w:rPr>
        <w:t xml:space="preserve">: </w:t>
      </w:r>
      <w:r w:rsidRPr="00014C7E">
        <w:rPr>
          <w:rFonts w:asciiTheme="majorHAnsi" w:hAnsiTheme="majorHAnsi"/>
          <w:color w:val="292929"/>
          <w:sz w:val="14"/>
          <w:szCs w:val="14"/>
        </w:rPr>
        <w:t>Reconciliation of the Opening and Closing Balances of Property, Plant and Equipment, and Intangibles</w:t>
      </w:r>
    </w:p>
    <w:tbl>
      <w:tblPr>
        <w:tblStyle w:val="IHPA"/>
        <w:tblW w:w="7379" w:type="dxa"/>
        <w:tblLayout w:type="fixed"/>
        <w:tblCellMar>
          <w:left w:w="57" w:type="dxa"/>
          <w:right w:w="57" w:type="dxa"/>
        </w:tblCellMar>
        <w:tblLook w:val="0020" w:firstRow="1" w:lastRow="0" w:firstColumn="0" w:lastColumn="0" w:noHBand="0" w:noVBand="0"/>
        <w:tblCaption w:val="Note 2.2A"/>
        <w:tblDescription w:val="Reconciliation of the Opening and Closing Balances of Property, Plant and Equipment, and Intangibles"/>
      </w:tblPr>
      <w:tblGrid>
        <w:gridCol w:w="2151"/>
        <w:gridCol w:w="976"/>
        <w:gridCol w:w="1134"/>
        <w:gridCol w:w="992"/>
        <w:gridCol w:w="1134"/>
        <w:gridCol w:w="992"/>
      </w:tblGrid>
      <w:tr w:rsidR="009A2FF3" w:rsidRPr="00B81AE0" w14:paraId="1A4BF299" w14:textId="77777777" w:rsidTr="006517A1">
        <w:trPr>
          <w:trHeight w:val="340"/>
        </w:trPr>
        <w:tc>
          <w:tcPr>
            <w:tcW w:w="2151" w:type="dxa"/>
          </w:tcPr>
          <w:p w14:paraId="3F8460CA" w14:textId="77777777" w:rsidR="009A2FF3" w:rsidRPr="00B81AE0" w:rsidRDefault="009A2FF3" w:rsidP="00B85AE8">
            <w:pPr>
              <w:autoSpaceDE w:val="0"/>
              <w:autoSpaceDN w:val="0"/>
              <w:adjustRightInd w:val="0"/>
              <w:spacing w:before="20" w:after="20"/>
              <w:rPr>
                <w:rFonts w:ascii="Futura PT Book" w:hAnsi="Futura PT Book"/>
                <w:color w:val="1C1C1C"/>
                <w:sz w:val="24"/>
                <w:szCs w:val="24"/>
              </w:rPr>
            </w:pPr>
          </w:p>
        </w:tc>
        <w:tc>
          <w:tcPr>
            <w:tcW w:w="976" w:type="dxa"/>
            <w:tcBorders>
              <w:bottom w:val="single" w:sz="12" w:space="0" w:color="auto"/>
              <w:right w:val="single" w:sz="18" w:space="0" w:color="FFFFFF" w:themeColor="background2"/>
            </w:tcBorders>
            <w:vAlign w:val="bottom"/>
          </w:tcPr>
          <w:p w14:paraId="5481E9A4"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Buildings</w:t>
            </w:r>
          </w:p>
          <w:p w14:paraId="16ED24A1"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1134" w:type="dxa"/>
            <w:tcBorders>
              <w:left w:val="single" w:sz="18" w:space="0" w:color="FFFFFF" w:themeColor="background2"/>
              <w:bottom w:val="single" w:sz="12" w:space="0" w:color="auto"/>
              <w:right w:val="single" w:sz="18" w:space="0" w:color="FFFFFF" w:themeColor="background2"/>
            </w:tcBorders>
            <w:vAlign w:val="bottom"/>
          </w:tcPr>
          <w:p w14:paraId="22A2E51E"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Leasehold improvement</w:t>
            </w:r>
          </w:p>
          <w:p w14:paraId="5E3C8551"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992" w:type="dxa"/>
            <w:tcBorders>
              <w:left w:val="single" w:sz="18" w:space="0" w:color="FFFFFF" w:themeColor="background2"/>
              <w:bottom w:val="single" w:sz="12" w:space="0" w:color="auto"/>
              <w:right w:val="single" w:sz="18" w:space="0" w:color="FFFFFF" w:themeColor="background2"/>
            </w:tcBorders>
            <w:vAlign w:val="bottom"/>
          </w:tcPr>
          <w:p w14:paraId="52D350F6"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Plant and equipment</w:t>
            </w:r>
          </w:p>
          <w:p w14:paraId="0FD5D3B9"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1134" w:type="dxa"/>
            <w:tcBorders>
              <w:left w:val="single" w:sz="18" w:space="0" w:color="FFFFFF" w:themeColor="background2"/>
              <w:bottom w:val="single" w:sz="12" w:space="0" w:color="auto"/>
              <w:right w:val="single" w:sz="18" w:space="0" w:color="FFFFFF" w:themeColor="background2"/>
            </w:tcBorders>
            <w:vAlign w:val="bottom"/>
          </w:tcPr>
          <w:p w14:paraId="19281855" w14:textId="4495CE60"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Computer software</w:t>
            </w:r>
          </w:p>
          <w:p w14:paraId="323A2A3B"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c>
          <w:tcPr>
            <w:tcW w:w="992" w:type="dxa"/>
            <w:tcBorders>
              <w:left w:val="single" w:sz="18" w:space="0" w:color="FFFFFF" w:themeColor="background2"/>
              <w:bottom w:val="single" w:sz="12" w:space="0" w:color="auto"/>
            </w:tcBorders>
            <w:vAlign w:val="bottom"/>
          </w:tcPr>
          <w:p w14:paraId="7C72D97E"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Total</w:t>
            </w:r>
          </w:p>
          <w:p w14:paraId="5D0EC297" w14:textId="77777777" w:rsidR="009A2FF3" w:rsidRPr="00B81AE0" w:rsidRDefault="009A2FF3" w:rsidP="006517A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B81AE0">
              <w:rPr>
                <w:rFonts w:asciiTheme="majorHAnsi" w:hAnsiTheme="majorHAnsi" w:cs="Futura PT Heavy"/>
                <w:color w:val="1C1C1C"/>
                <w:sz w:val="16"/>
                <w:szCs w:val="16"/>
                <w:lang w:val="en-US"/>
              </w:rPr>
              <w:t>$’000</w:t>
            </w:r>
          </w:p>
        </w:tc>
      </w:tr>
      <w:tr w:rsidR="009A2FF3" w:rsidRPr="00B81AE0" w14:paraId="1E981B88" w14:textId="77777777" w:rsidTr="00B85AE8">
        <w:trPr>
          <w:trHeight w:val="170"/>
        </w:trPr>
        <w:tc>
          <w:tcPr>
            <w:tcW w:w="2151" w:type="dxa"/>
          </w:tcPr>
          <w:p w14:paraId="6EA6A5F4" w14:textId="12A5E6E5" w:rsidR="009A2FF3" w:rsidRPr="00B81AE0" w:rsidRDefault="009A2FF3" w:rsidP="00B85AE8">
            <w:pPr>
              <w:suppressAutoHyphens/>
              <w:autoSpaceDE w:val="0"/>
              <w:autoSpaceDN w:val="0"/>
              <w:adjustRightInd w:val="0"/>
              <w:spacing w:before="20" w:after="20" w:line="20" w:lineRule="atLeast"/>
              <w:textAlignment w:val="center"/>
              <w:rPr>
                <w:rFonts w:asciiTheme="majorHAnsi" w:hAnsiTheme="majorHAnsi" w:cs="Futura PT Book"/>
                <w:color w:val="1C1C1C"/>
                <w:sz w:val="14"/>
                <w:szCs w:val="14"/>
                <w:lang w:val="en-US"/>
              </w:rPr>
            </w:pPr>
            <w:r w:rsidRPr="00B81AE0">
              <w:rPr>
                <w:rFonts w:asciiTheme="majorHAnsi" w:hAnsiTheme="majorHAnsi"/>
                <w:color w:val="1C1C1C"/>
                <w:sz w:val="14"/>
                <w:szCs w:val="14"/>
              </w:rPr>
              <w:t>As at 1 July 20</w:t>
            </w:r>
            <w:r>
              <w:rPr>
                <w:rFonts w:asciiTheme="majorHAnsi" w:hAnsiTheme="majorHAnsi"/>
                <w:color w:val="1C1C1C"/>
                <w:sz w:val="14"/>
                <w:szCs w:val="14"/>
              </w:rPr>
              <w:t>20</w:t>
            </w:r>
          </w:p>
        </w:tc>
        <w:tc>
          <w:tcPr>
            <w:tcW w:w="976" w:type="dxa"/>
            <w:tcBorders>
              <w:top w:val="single" w:sz="12" w:space="0" w:color="auto"/>
              <w:right w:val="single" w:sz="18" w:space="0" w:color="FFFFFF" w:themeColor="background2"/>
            </w:tcBorders>
          </w:tcPr>
          <w:p w14:paraId="0A3981B2" w14:textId="77777777" w:rsidR="009A2FF3" w:rsidRPr="009A2FF3" w:rsidRDefault="009A2FF3" w:rsidP="00B85AE8">
            <w:pPr>
              <w:autoSpaceDE w:val="0"/>
              <w:autoSpaceDN w:val="0"/>
              <w:adjustRightInd w:val="0"/>
              <w:spacing w:before="20" w:after="20" w:line="20" w:lineRule="atLeast"/>
              <w:jc w:val="right"/>
              <w:rPr>
                <w:rFonts w:asciiTheme="majorHAnsi" w:hAnsiTheme="majorHAnsi"/>
                <w:color w:val="1C1C1C"/>
                <w:sz w:val="14"/>
                <w:szCs w:val="14"/>
              </w:rPr>
            </w:pPr>
          </w:p>
        </w:tc>
        <w:tc>
          <w:tcPr>
            <w:tcW w:w="1134" w:type="dxa"/>
            <w:tcBorders>
              <w:top w:val="single" w:sz="12" w:space="0" w:color="auto"/>
              <w:left w:val="single" w:sz="18" w:space="0" w:color="FFFFFF" w:themeColor="background2"/>
              <w:right w:val="single" w:sz="18" w:space="0" w:color="FFFFFF" w:themeColor="background2"/>
            </w:tcBorders>
          </w:tcPr>
          <w:p w14:paraId="5B314D79" w14:textId="6DD0562E" w:rsidR="009A2FF3" w:rsidRPr="009A2FF3" w:rsidRDefault="009A2FF3"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12" w:space="0" w:color="auto"/>
              <w:left w:val="single" w:sz="18" w:space="0" w:color="FFFFFF" w:themeColor="background2"/>
              <w:right w:val="single" w:sz="18" w:space="0" w:color="FFFFFF" w:themeColor="background2"/>
            </w:tcBorders>
          </w:tcPr>
          <w:p w14:paraId="0D76038F" w14:textId="6C871413" w:rsidR="009A2FF3" w:rsidRPr="009A2FF3" w:rsidRDefault="009A2FF3"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1134" w:type="dxa"/>
            <w:tcBorders>
              <w:top w:val="single" w:sz="12" w:space="0" w:color="auto"/>
              <w:left w:val="single" w:sz="18" w:space="0" w:color="FFFFFF" w:themeColor="background2"/>
              <w:right w:val="single" w:sz="18" w:space="0" w:color="FFFFFF" w:themeColor="background2"/>
            </w:tcBorders>
          </w:tcPr>
          <w:p w14:paraId="03734E4F" w14:textId="151A165D" w:rsidR="009A2FF3" w:rsidRPr="009A2FF3" w:rsidRDefault="009A2FF3"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12" w:space="0" w:color="auto"/>
              <w:left w:val="single" w:sz="18" w:space="0" w:color="FFFFFF" w:themeColor="background2"/>
            </w:tcBorders>
          </w:tcPr>
          <w:p w14:paraId="798FD981" w14:textId="24D8B232" w:rsidR="009A2FF3" w:rsidRPr="009A2FF3" w:rsidRDefault="009A2FF3"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r>
      <w:tr w:rsidR="008664C1" w:rsidRPr="00B81AE0" w14:paraId="2C1A94E0" w14:textId="77777777" w:rsidTr="00B85AE8">
        <w:trPr>
          <w:trHeight w:val="170"/>
        </w:trPr>
        <w:tc>
          <w:tcPr>
            <w:tcW w:w="2151" w:type="dxa"/>
          </w:tcPr>
          <w:p w14:paraId="4C64F903" w14:textId="77777777" w:rsidR="008664C1" w:rsidRPr="00B81AE0" w:rsidRDefault="008664C1" w:rsidP="00B85AE8">
            <w:pPr>
              <w:suppressAutoHyphens/>
              <w:autoSpaceDE w:val="0"/>
              <w:autoSpaceDN w:val="0"/>
              <w:adjustRightInd w:val="0"/>
              <w:spacing w:before="20" w:after="20" w:line="20" w:lineRule="atLeast"/>
              <w:textAlignment w:val="center"/>
              <w:rPr>
                <w:rFonts w:cs="Futura PT Book"/>
                <w:color w:val="1C1C1C"/>
                <w:sz w:val="14"/>
                <w:szCs w:val="14"/>
                <w:lang w:val="en-US"/>
              </w:rPr>
            </w:pPr>
            <w:r w:rsidRPr="00B81AE0">
              <w:rPr>
                <w:color w:val="1C1C1C"/>
                <w:sz w:val="14"/>
                <w:szCs w:val="14"/>
              </w:rPr>
              <w:t>Gross book value</w:t>
            </w:r>
          </w:p>
        </w:tc>
        <w:tc>
          <w:tcPr>
            <w:tcW w:w="976" w:type="dxa"/>
            <w:tcBorders>
              <w:right w:val="single" w:sz="18" w:space="0" w:color="FFFFFF" w:themeColor="background2"/>
            </w:tcBorders>
          </w:tcPr>
          <w:p w14:paraId="58B1C24D" w14:textId="1C8076B1"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 xml:space="preserve">6,884 </w:t>
            </w:r>
          </w:p>
        </w:tc>
        <w:tc>
          <w:tcPr>
            <w:tcW w:w="1134" w:type="dxa"/>
            <w:tcBorders>
              <w:left w:val="single" w:sz="18" w:space="0" w:color="FFFFFF" w:themeColor="background2"/>
              <w:right w:val="single" w:sz="18" w:space="0" w:color="FFFFFF" w:themeColor="background2"/>
            </w:tcBorders>
          </w:tcPr>
          <w:p w14:paraId="3677F87D" w14:textId="0CE95E52"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 xml:space="preserve">1,847 </w:t>
            </w:r>
          </w:p>
        </w:tc>
        <w:tc>
          <w:tcPr>
            <w:tcW w:w="992" w:type="dxa"/>
            <w:tcBorders>
              <w:left w:val="single" w:sz="18" w:space="0" w:color="FFFFFF" w:themeColor="background2"/>
              <w:right w:val="single" w:sz="18" w:space="0" w:color="FFFFFF" w:themeColor="background2"/>
            </w:tcBorders>
          </w:tcPr>
          <w:p w14:paraId="33849832" w14:textId="3AF1BB80"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 xml:space="preserve">6 </w:t>
            </w:r>
          </w:p>
        </w:tc>
        <w:tc>
          <w:tcPr>
            <w:tcW w:w="1134" w:type="dxa"/>
            <w:tcBorders>
              <w:left w:val="single" w:sz="18" w:space="0" w:color="FFFFFF" w:themeColor="background2"/>
              <w:right w:val="single" w:sz="18" w:space="0" w:color="FFFFFF" w:themeColor="background2"/>
            </w:tcBorders>
          </w:tcPr>
          <w:p w14:paraId="00CF8644" w14:textId="7BCA4AA2"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 xml:space="preserve">787 </w:t>
            </w:r>
          </w:p>
        </w:tc>
        <w:tc>
          <w:tcPr>
            <w:tcW w:w="992" w:type="dxa"/>
            <w:tcBorders>
              <w:left w:val="single" w:sz="18" w:space="0" w:color="FFFFFF" w:themeColor="background2"/>
            </w:tcBorders>
          </w:tcPr>
          <w:p w14:paraId="345E98D9" w14:textId="42713AA0"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 xml:space="preserve">9,524 </w:t>
            </w:r>
          </w:p>
        </w:tc>
      </w:tr>
      <w:tr w:rsidR="008664C1" w:rsidRPr="00B81AE0" w14:paraId="52152F22" w14:textId="77777777" w:rsidTr="00B85AE8">
        <w:trPr>
          <w:trHeight w:val="170"/>
        </w:trPr>
        <w:tc>
          <w:tcPr>
            <w:tcW w:w="2151" w:type="dxa"/>
          </w:tcPr>
          <w:p w14:paraId="12CE24C4" w14:textId="77777777" w:rsidR="008664C1" w:rsidRPr="00B81AE0" w:rsidRDefault="008664C1" w:rsidP="00B85AE8">
            <w:pPr>
              <w:suppressAutoHyphens/>
              <w:autoSpaceDE w:val="0"/>
              <w:autoSpaceDN w:val="0"/>
              <w:adjustRightInd w:val="0"/>
              <w:spacing w:before="20" w:after="20"/>
              <w:textAlignment w:val="center"/>
              <w:rPr>
                <w:rFonts w:cs="Futura PT Book"/>
                <w:color w:val="1C1C1C"/>
                <w:sz w:val="14"/>
                <w:szCs w:val="14"/>
                <w:lang w:val="en-US"/>
              </w:rPr>
            </w:pPr>
            <w:r w:rsidRPr="00B81AE0">
              <w:rPr>
                <w:color w:val="1C1C1C"/>
                <w:sz w:val="14"/>
                <w:szCs w:val="14"/>
              </w:rPr>
              <w:t xml:space="preserve">Accumulated depreciation, </w:t>
            </w:r>
            <w:proofErr w:type="spellStart"/>
            <w:r w:rsidRPr="00B81AE0">
              <w:rPr>
                <w:color w:val="1C1C1C"/>
                <w:sz w:val="14"/>
                <w:szCs w:val="14"/>
              </w:rPr>
              <w:t>amortisation</w:t>
            </w:r>
            <w:proofErr w:type="spellEnd"/>
            <w:r w:rsidRPr="00B81AE0">
              <w:rPr>
                <w:color w:val="1C1C1C"/>
                <w:sz w:val="14"/>
                <w:szCs w:val="14"/>
              </w:rPr>
              <w:t> and impairment</w:t>
            </w:r>
          </w:p>
        </w:tc>
        <w:tc>
          <w:tcPr>
            <w:tcW w:w="976" w:type="dxa"/>
            <w:tcBorders>
              <w:bottom w:val="single" w:sz="2" w:space="0" w:color="auto"/>
              <w:right w:val="single" w:sz="18" w:space="0" w:color="FFFFFF" w:themeColor="background2"/>
            </w:tcBorders>
          </w:tcPr>
          <w:p w14:paraId="096524B2" w14:textId="750AC404"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(772)</w:t>
            </w:r>
          </w:p>
        </w:tc>
        <w:tc>
          <w:tcPr>
            <w:tcW w:w="1134" w:type="dxa"/>
            <w:tcBorders>
              <w:left w:val="single" w:sz="18" w:space="0" w:color="FFFFFF" w:themeColor="background2"/>
              <w:bottom w:val="single" w:sz="2" w:space="0" w:color="auto"/>
              <w:right w:val="single" w:sz="18" w:space="0" w:color="FFFFFF" w:themeColor="background2"/>
            </w:tcBorders>
          </w:tcPr>
          <w:p w14:paraId="083D8650" w14:textId="0595F2FF"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(161)</w:t>
            </w:r>
          </w:p>
        </w:tc>
        <w:tc>
          <w:tcPr>
            <w:tcW w:w="992" w:type="dxa"/>
            <w:tcBorders>
              <w:left w:val="single" w:sz="18" w:space="0" w:color="FFFFFF" w:themeColor="background2"/>
              <w:bottom w:val="single" w:sz="2" w:space="0" w:color="auto"/>
              <w:right w:val="single" w:sz="18" w:space="0" w:color="FFFFFF" w:themeColor="background2"/>
            </w:tcBorders>
          </w:tcPr>
          <w:p w14:paraId="3B566B64" w14:textId="2DB46519"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(4)</w:t>
            </w:r>
          </w:p>
        </w:tc>
        <w:tc>
          <w:tcPr>
            <w:tcW w:w="1134" w:type="dxa"/>
            <w:tcBorders>
              <w:left w:val="single" w:sz="18" w:space="0" w:color="FFFFFF" w:themeColor="background2"/>
              <w:bottom w:val="single" w:sz="2" w:space="0" w:color="auto"/>
              <w:right w:val="single" w:sz="18" w:space="0" w:color="FFFFFF" w:themeColor="background2"/>
            </w:tcBorders>
          </w:tcPr>
          <w:p w14:paraId="7D629F9F" w14:textId="52FE9447"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(610)</w:t>
            </w:r>
          </w:p>
        </w:tc>
        <w:tc>
          <w:tcPr>
            <w:tcW w:w="992" w:type="dxa"/>
            <w:tcBorders>
              <w:left w:val="single" w:sz="18" w:space="0" w:color="FFFFFF" w:themeColor="background2"/>
              <w:bottom w:val="single" w:sz="2" w:space="0" w:color="auto"/>
            </w:tcBorders>
          </w:tcPr>
          <w:p w14:paraId="4B929970" w14:textId="77B53D48"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s="Futura PT Book"/>
                <w:color w:val="1C1C1C"/>
                <w:sz w:val="14"/>
                <w:szCs w:val="14"/>
                <w:lang w:val="en-US"/>
              </w:rPr>
            </w:pPr>
            <w:r w:rsidRPr="009A2FF3">
              <w:rPr>
                <w:rFonts w:asciiTheme="majorHAnsi" w:hAnsiTheme="majorHAnsi" w:cs="Calibri"/>
                <w:sz w:val="14"/>
                <w:szCs w:val="14"/>
              </w:rPr>
              <w:t>(1,547)</w:t>
            </w:r>
          </w:p>
        </w:tc>
      </w:tr>
      <w:tr w:rsidR="008664C1" w:rsidRPr="00B81AE0" w14:paraId="2D74BD18" w14:textId="77777777" w:rsidTr="00B85AE8">
        <w:trPr>
          <w:trHeight w:val="170"/>
        </w:trPr>
        <w:tc>
          <w:tcPr>
            <w:tcW w:w="2151" w:type="dxa"/>
          </w:tcPr>
          <w:p w14:paraId="11BE1634" w14:textId="2A45B1D6" w:rsidR="008664C1" w:rsidRPr="00B81AE0" w:rsidRDefault="008664C1" w:rsidP="00B85AE8">
            <w:pPr>
              <w:suppressAutoHyphens/>
              <w:autoSpaceDE w:val="0"/>
              <w:autoSpaceDN w:val="0"/>
              <w:adjustRightInd w:val="0"/>
              <w:spacing w:before="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1 July 20</w:t>
            </w:r>
            <w:r>
              <w:rPr>
                <w:rFonts w:asciiTheme="majorHAnsi" w:hAnsiTheme="majorHAnsi"/>
                <w:color w:val="1C1C1C"/>
                <w:sz w:val="14"/>
                <w:szCs w:val="14"/>
              </w:rPr>
              <w:t>20</w:t>
            </w:r>
          </w:p>
        </w:tc>
        <w:tc>
          <w:tcPr>
            <w:tcW w:w="976" w:type="dxa"/>
            <w:tcBorders>
              <w:top w:val="single" w:sz="2" w:space="0" w:color="auto"/>
              <w:bottom w:val="single" w:sz="2" w:space="0" w:color="auto"/>
              <w:right w:val="single" w:sz="18" w:space="0" w:color="FFFFFF" w:themeColor="background2"/>
            </w:tcBorders>
          </w:tcPr>
          <w:p w14:paraId="44667D1E" w14:textId="45CF47AC"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6,112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2ADAB287" w14:textId="05E84B5C"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1,686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tcPr>
          <w:p w14:paraId="22FFBB96" w14:textId="7ADE2DE1"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2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47CC3B77" w14:textId="7982A763"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177 </w:t>
            </w:r>
          </w:p>
        </w:tc>
        <w:tc>
          <w:tcPr>
            <w:tcW w:w="992" w:type="dxa"/>
            <w:tcBorders>
              <w:top w:val="single" w:sz="2" w:space="0" w:color="auto"/>
              <w:left w:val="single" w:sz="18" w:space="0" w:color="FFFFFF" w:themeColor="background2"/>
              <w:bottom w:val="single" w:sz="2" w:space="0" w:color="auto"/>
            </w:tcBorders>
          </w:tcPr>
          <w:p w14:paraId="01121322" w14:textId="08C92358"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 xml:space="preserve">7,977 </w:t>
            </w:r>
          </w:p>
        </w:tc>
      </w:tr>
      <w:tr w:rsidR="008664C1" w:rsidRPr="00B81AE0" w14:paraId="7500388F" w14:textId="77777777" w:rsidTr="00B85AE8">
        <w:trPr>
          <w:trHeight w:val="170"/>
        </w:trPr>
        <w:tc>
          <w:tcPr>
            <w:tcW w:w="2151" w:type="dxa"/>
          </w:tcPr>
          <w:p w14:paraId="3051F22F" w14:textId="77777777" w:rsidR="008664C1" w:rsidRPr="00B81AE0" w:rsidRDefault="008664C1" w:rsidP="00B85AE8">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Additions</w:t>
            </w:r>
          </w:p>
        </w:tc>
        <w:tc>
          <w:tcPr>
            <w:tcW w:w="976" w:type="dxa"/>
            <w:tcBorders>
              <w:top w:val="single" w:sz="2" w:space="0" w:color="auto"/>
              <w:right w:val="single" w:sz="18" w:space="0" w:color="FFFFFF" w:themeColor="background2"/>
            </w:tcBorders>
          </w:tcPr>
          <w:p w14:paraId="52C4CC5D" w14:textId="77777777"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p>
        </w:tc>
        <w:tc>
          <w:tcPr>
            <w:tcW w:w="1134" w:type="dxa"/>
            <w:tcBorders>
              <w:top w:val="single" w:sz="2" w:space="0" w:color="auto"/>
              <w:left w:val="single" w:sz="18" w:space="0" w:color="FFFFFF" w:themeColor="background2"/>
              <w:right w:val="single" w:sz="18" w:space="0" w:color="FFFFFF" w:themeColor="background2"/>
            </w:tcBorders>
          </w:tcPr>
          <w:p w14:paraId="62E0FD13" w14:textId="4D8D727D"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2" w:space="0" w:color="auto"/>
              <w:left w:val="single" w:sz="18" w:space="0" w:color="FFFFFF" w:themeColor="background2"/>
              <w:right w:val="single" w:sz="18" w:space="0" w:color="FFFFFF" w:themeColor="background2"/>
            </w:tcBorders>
          </w:tcPr>
          <w:p w14:paraId="6C59B451" w14:textId="07D44A2C"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1134" w:type="dxa"/>
            <w:tcBorders>
              <w:top w:val="single" w:sz="2" w:space="0" w:color="auto"/>
              <w:left w:val="single" w:sz="18" w:space="0" w:color="FFFFFF" w:themeColor="background2"/>
              <w:right w:val="single" w:sz="18" w:space="0" w:color="FFFFFF" w:themeColor="background2"/>
            </w:tcBorders>
          </w:tcPr>
          <w:p w14:paraId="48676F47" w14:textId="644AFCC5"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w:t>
            </w:r>
          </w:p>
        </w:tc>
        <w:tc>
          <w:tcPr>
            <w:tcW w:w="992" w:type="dxa"/>
            <w:tcBorders>
              <w:top w:val="single" w:sz="2" w:space="0" w:color="auto"/>
              <w:left w:val="single" w:sz="18" w:space="0" w:color="FFFFFF" w:themeColor="background2"/>
            </w:tcBorders>
          </w:tcPr>
          <w:p w14:paraId="4324C757" w14:textId="666959B4"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 </w:t>
            </w:r>
          </w:p>
        </w:tc>
      </w:tr>
      <w:tr w:rsidR="008664C1" w:rsidRPr="00B81AE0" w14:paraId="59F39E48" w14:textId="77777777" w:rsidTr="00B85AE8">
        <w:trPr>
          <w:trHeight w:val="170"/>
        </w:trPr>
        <w:tc>
          <w:tcPr>
            <w:tcW w:w="2151" w:type="dxa"/>
          </w:tcPr>
          <w:p w14:paraId="2486ABA1" w14:textId="108CEA56" w:rsidR="008664C1" w:rsidRPr="00B81AE0" w:rsidRDefault="00955AFF" w:rsidP="00B85AE8">
            <w:pPr>
              <w:suppressAutoHyphens/>
              <w:autoSpaceDE w:val="0"/>
              <w:autoSpaceDN w:val="0"/>
              <w:adjustRightInd w:val="0"/>
              <w:spacing w:before="20" w:after="20" w:line="20" w:lineRule="atLeast"/>
              <w:ind w:left="113"/>
              <w:textAlignment w:val="center"/>
              <w:rPr>
                <w:color w:val="1C1C1C"/>
                <w:sz w:val="14"/>
                <w:szCs w:val="14"/>
              </w:rPr>
            </w:pPr>
            <w:r>
              <w:rPr>
                <w:color w:val="1C1C1C"/>
                <w:sz w:val="14"/>
                <w:szCs w:val="14"/>
              </w:rPr>
              <w:t>Internally developed</w:t>
            </w:r>
          </w:p>
        </w:tc>
        <w:tc>
          <w:tcPr>
            <w:tcW w:w="976" w:type="dxa"/>
            <w:tcBorders>
              <w:right w:val="single" w:sz="18" w:space="0" w:color="FFFFFF" w:themeColor="background2"/>
            </w:tcBorders>
          </w:tcPr>
          <w:p w14:paraId="5D7305B2" w14:textId="7D027AC9"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20AE5F13" w14:textId="60A571BB"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right w:val="single" w:sz="18" w:space="0" w:color="FFFFFF" w:themeColor="background2"/>
            </w:tcBorders>
          </w:tcPr>
          <w:p w14:paraId="5C821479" w14:textId="5FB256A0"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0558451F" w14:textId="109465B7" w:rsidR="008664C1" w:rsidRPr="009A2FF3" w:rsidRDefault="00955AFF" w:rsidP="00B85AE8">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16</w:t>
            </w:r>
            <w:r w:rsidR="008664C1" w:rsidRPr="009A2FF3">
              <w:rPr>
                <w:rFonts w:asciiTheme="majorHAnsi" w:hAnsiTheme="majorHAnsi" w:cs="Calibri"/>
                <w:sz w:val="14"/>
                <w:szCs w:val="14"/>
              </w:rPr>
              <w:t xml:space="preserve"> </w:t>
            </w:r>
          </w:p>
        </w:tc>
        <w:tc>
          <w:tcPr>
            <w:tcW w:w="992" w:type="dxa"/>
            <w:tcBorders>
              <w:left w:val="single" w:sz="18" w:space="0" w:color="FFFFFF" w:themeColor="background2"/>
            </w:tcBorders>
          </w:tcPr>
          <w:p w14:paraId="26605D9A" w14:textId="39EF4AFF" w:rsidR="008664C1" w:rsidRPr="009A2FF3" w:rsidRDefault="00955AFF"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16</w:t>
            </w:r>
            <w:r w:rsidR="008664C1" w:rsidRPr="009A2FF3">
              <w:rPr>
                <w:rFonts w:asciiTheme="majorHAnsi" w:hAnsiTheme="majorHAnsi" w:cs="Calibri"/>
                <w:sz w:val="14"/>
                <w:szCs w:val="14"/>
              </w:rPr>
              <w:t xml:space="preserve"> </w:t>
            </w:r>
          </w:p>
        </w:tc>
      </w:tr>
      <w:tr w:rsidR="008664C1" w:rsidRPr="00B81AE0" w14:paraId="3211FFC7" w14:textId="77777777" w:rsidTr="00B85AE8">
        <w:trPr>
          <w:trHeight w:val="170"/>
        </w:trPr>
        <w:tc>
          <w:tcPr>
            <w:tcW w:w="2151" w:type="dxa"/>
          </w:tcPr>
          <w:p w14:paraId="720C18FA" w14:textId="77777777" w:rsidR="008664C1" w:rsidRPr="00B81AE0" w:rsidRDefault="008664C1" w:rsidP="00B85AE8">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 xml:space="preserve">Depreciation and </w:t>
            </w:r>
            <w:proofErr w:type="spellStart"/>
            <w:r w:rsidRPr="00B81AE0">
              <w:rPr>
                <w:color w:val="1C1C1C"/>
                <w:sz w:val="14"/>
                <w:szCs w:val="14"/>
              </w:rPr>
              <w:t>amortisation</w:t>
            </w:r>
            <w:proofErr w:type="spellEnd"/>
          </w:p>
        </w:tc>
        <w:tc>
          <w:tcPr>
            <w:tcW w:w="976" w:type="dxa"/>
            <w:tcBorders>
              <w:right w:val="single" w:sz="18" w:space="0" w:color="FFFFFF" w:themeColor="background2"/>
            </w:tcBorders>
          </w:tcPr>
          <w:p w14:paraId="55273371" w14:textId="31253CE1"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5BED635F" w14:textId="3CD0E04A"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Pr>
                <w:rFonts w:asciiTheme="majorHAnsi" w:hAnsiTheme="majorHAnsi" w:cs="Calibri"/>
                <w:sz w:val="14"/>
                <w:szCs w:val="14"/>
              </w:rPr>
              <w:t>578</w:t>
            </w:r>
            <w:r w:rsidRPr="009A2FF3">
              <w:rPr>
                <w:rFonts w:asciiTheme="majorHAnsi" w:hAnsiTheme="majorHAnsi" w:cs="Calibri"/>
                <w:sz w:val="14"/>
                <w:szCs w:val="14"/>
              </w:rPr>
              <w:t>)</w:t>
            </w:r>
          </w:p>
        </w:tc>
        <w:tc>
          <w:tcPr>
            <w:tcW w:w="992" w:type="dxa"/>
            <w:tcBorders>
              <w:left w:val="single" w:sz="18" w:space="0" w:color="FFFFFF" w:themeColor="background2"/>
              <w:right w:val="single" w:sz="18" w:space="0" w:color="FFFFFF" w:themeColor="background2"/>
            </w:tcBorders>
          </w:tcPr>
          <w:p w14:paraId="3D0A0DE0" w14:textId="17224C23"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w:t>
            </w:r>
          </w:p>
        </w:tc>
        <w:tc>
          <w:tcPr>
            <w:tcW w:w="1134" w:type="dxa"/>
            <w:tcBorders>
              <w:left w:val="single" w:sz="18" w:space="0" w:color="FFFFFF" w:themeColor="background2"/>
              <w:right w:val="single" w:sz="18" w:space="0" w:color="FFFFFF" w:themeColor="background2"/>
            </w:tcBorders>
          </w:tcPr>
          <w:p w14:paraId="45C32676" w14:textId="4ED30E54"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w:t>
            </w:r>
            <w:r>
              <w:rPr>
                <w:rFonts w:asciiTheme="majorHAnsi" w:hAnsiTheme="majorHAnsi" w:cs="Calibri"/>
                <w:sz w:val="14"/>
                <w:szCs w:val="14"/>
              </w:rPr>
              <w:t>02</w:t>
            </w:r>
            <w:r w:rsidRPr="009A2FF3">
              <w:rPr>
                <w:rFonts w:asciiTheme="majorHAnsi" w:hAnsiTheme="majorHAnsi" w:cs="Calibri"/>
                <w:sz w:val="14"/>
                <w:szCs w:val="14"/>
              </w:rPr>
              <w:t>)</w:t>
            </w:r>
          </w:p>
        </w:tc>
        <w:tc>
          <w:tcPr>
            <w:tcW w:w="992" w:type="dxa"/>
            <w:tcBorders>
              <w:left w:val="single" w:sz="18" w:space="0" w:color="FFFFFF" w:themeColor="background2"/>
            </w:tcBorders>
          </w:tcPr>
          <w:p w14:paraId="6AA75FC5" w14:textId="61FB579B"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w:t>
            </w:r>
            <w:r>
              <w:rPr>
                <w:rFonts w:asciiTheme="majorHAnsi" w:hAnsiTheme="majorHAnsi" w:cs="Calibri"/>
                <w:sz w:val="14"/>
                <w:szCs w:val="14"/>
              </w:rPr>
              <w:t>681</w:t>
            </w:r>
            <w:r w:rsidRPr="009A2FF3">
              <w:rPr>
                <w:rFonts w:asciiTheme="majorHAnsi" w:hAnsiTheme="majorHAnsi" w:cs="Calibri"/>
                <w:sz w:val="14"/>
                <w:szCs w:val="14"/>
              </w:rPr>
              <w:t>)</w:t>
            </w:r>
          </w:p>
        </w:tc>
      </w:tr>
      <w:tr w:rsidR="008664C1" w:rsidRPr="00B81AE0" w14:paraId="4CE77950" w14:textId="77777777" w:rsidTr="00B85AE8">
        <w:trPr>
          <w:trHeight w:val="170"/>
        </w:trPr>
        <w:tc>
          <w:tcPr>
            <w:tcW w:w="2151" w:type="dxa"/>
          </w:tcPr>
          <w:p w14:paraId="778E4EC1" w14:textId="77777777" w:rsidR="008664C1" w:rsidRPr="00B81AE0" w:rsidRDefault="008664C1" w:rsidP="00B85AE8">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Depreciation on right-of-use assets</w:t>
            </w:r>
          </w:p>
        </w:tc>
        <w:tc>
          <w:tcPr>
            <w:tcW w:w="976" w:type="dxa"/>
            <w:tcBorders>
              <w:right w:val="single" w:sz="18" w:space="0" w:color="FFFFFF" w:themeColor="background2"/>
            </w:tcBorders>
          </w:tcPr>
          <w:p w14:paraId="29703DAC" w14:textId="3D07E4D1"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(7</w:t>
            </w:r>
            <w:r>
              <w:rPr>
                <w:rFonts w:asciiTheme="majorHAnsi" w:hAnsiTheme="majorHAnsi" w:cs="Calibri"/>
                <w:sz w:val="14"/>
                <w:szCs w:val="14"/>
              </w:rPr>
              <w:t>56</w:t>
            </w:r>
            <w:r w:rsidRPr="009A2FF3">
              <w:rPr>
                <w:rFonts w:asciiTheme="majorHAnsi" w:hAnsiTheme="majorHAnsi" w:cs="Calibri"/>
                <w:sz w:val="14"/>
                <w:szCs w:val="14"/>
              </w:rPr>
              <w:t>)</w:t>
            </w:r>
          </w:p>
        </w:tc>
        <w:tc>
          <w:tcPr>
            <w:tcW w:w="1134" w:type="dxa"/>
            <w:tcBorders>
              <w:left w:val="single" w:sz="18" w:space="0" w:color="FFFFFF" w:themeColor="background2"/>
              <w:right w:val="single" w:sz="18" w:space="0" w:color="FFFFFF" w:themeColor="background2"/>
            </w:tcBorders>
          </w:tcPr>
          <w:p w14:paraId="51FAB731" w14:textId="619CBC35"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right w:val="single" w:sz="18" w:space="0" w:color="FFFFFF" w:themeColor="background2"/>
            </w:tcBorders>
          </w:tcPr>
          <w:p w14:paraId="1A52A620" w14:textId="27763B90"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right w:val="single" w:sz="18" w:space="0" w:color="FFFFFF" w:themeColor="background2"/>
            </w:tcBorders>
          </w:tcPr>
          <w:p w14:paraId="6FBBCC80" w14:textId="5C493E7A"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tcBorders>
          </w:tcPr>
          <w:p w14:paraId="12A13128" w14:textId="627BD31C"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(7</w:t>
            </w:r>
            <w:r>
              <w:rPr>
                <w:rFonts w:asciiTheme="majorHAnsi" w:hAnsiTheme="majorHAnsi" w:cs="Calibri"/>
                <w:sz w:val="14"/>
                <w:szCs w:val="14"/>
              </w:rPr>
              <w:t>56</w:t>
            </w:r>
            <w:r w:rsidRPr="009A2FF3">
              <w:rPr>
                <w:rFonts w:asciiTheme="majorHAnsi" w:hAnsiTheme="majorHAnsi" w:cs="Calibri"/>
                <w:sz w:val="14"/>
                <w:szCs w:val="14"/>
              </w:rPr>
              <w:t>)</w:t>
            </w:r>
          </w:p>
        </w:tc>
      </w:tr>
      <w:tr w:rsidR="008664C1" w:rsidRPr="00B81AE0" w14:paraId="1C165BB7" w14:textId="77777777" w:rsidTr="00B85AE8">
        <w:trPr>
          <w:trHeight w:val="170"/>
        </w:trPr>
        <w:tc>
          <w:tcPr>
            <w:tcW w:w="2151" w:type="dxa"/>
          </w:tcPr>
          <w:p w14:paraId="2D439D06" w14:textId="1B69FC30" w:rsidR="008664C1" w:rsidRPr="00B81AE0" w:rsidRDefault="008664C1" w:rsidP="00B85AE8">
            <w:pPr>
              <w:suppressAutoHyphens/>
              <w:autoSpaceDE w:val="0"/>
              <w:autoSpaceDN w:val="0"/>
              <w:adjustRightInd w:val="0"/>
              <w:spacing w:before="20" w:after="20" w:line="20" w:lineRule="atLeast"/>
              <w:textAlignment w:val="center"/>
              <w:rPr>
                <w:color w:val="1C1C1C"/>
                <w:sz w:val="14"/>
                <w:szCs w:val="14"/>
              </w:rPr>
            </w:pPr>
            <w:r w:rsidRPr="009A2FF3">
              <w:rPr>
                <w:color w:val="1C1C1C"/>
                <w:sz w:val="14"/>
                <w:szCs w:val="14"/>
              </w:rPr>
              <w:t>Adjustment to right-of-use assets from reassessing lease term</w:t>
            </w:r>
          </w:p>
        </w:tc>
        <w:tc>
          <w:tcPr>
            <w:tcW w:w="976" w:type="dxa"/>
            <w:tcBorders>
              <w:bottom w:val="single" w:sz="2" w:space="0" w:color="auto"/>
              <w:right w:val="single" w:sz="18" w:space="0" w:color="FFFFFF" w:themeColor="background2"/>
            </w:tcBorders>
          </w:tcPr>
          <w:p w14:paraId="15EBAA87" w14:textId="52D1EBDC"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(4,231)</w:t>
            </w:r>
          </w:p>
        </w:tc>
        <w:tc>
          <w:tcPr>
            <w:tcW w:w="1134" w:type="dxa"/>
            <w:tcBorders>
              <w:left w:val="single" w:sz="18" w:space="0" w:color="FFFFFF" w:themeColor="background2"/>
              <w:bottom w:val="single" w:sz="2" w:space="0" w:color="auto"/>
              <w:right w:val="single" w:sz="18" w:space="0" w:color="FFFFFF" w:themeColor="background2"/>
            </w:tcBorders>
          </w:tcPr>
          <w:p w14:paraId="0CF9AB21" w14:textId="205EA0E8"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bottom w:val="single" w:sz="2" w:space="0" w:color="auto"/>
              <w:right w:val="single" w:sz="18" w:space="0" w:color="FFFFFF" w:themeColor="background2"/>
            </w:tcBorders>
          </w:tcPr>
          <w:p w14:paraId="6126B94C" w14:textId="319F8F8F"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left w:val="single" w:sz="18" w:space="0" w:color="FFFFFF" w:themeColor="background2"/>
              <w:bottom w:val="single" w:sz="2" w:space="0" w:color="auto"/>
              <w:right w:val="single" w:sz="18" w:space="0" w:color="FFFFFF" w:themeColor="background2"/>
            </w:tcBorders>
          </w:tcPr>
          <w:p w14:paraId="259F8E2C" w14:textId="7DE40D01"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left w:val="single" w:sz="18" w:space="0" w:color="FFFFFF" w:themeColor="background2"/>
              <w:bottom w:val="single" w:sz="2" w:space="0" w:color="auto"/>
            </w:tcBorders>
          </w:tcPr>
          <w:p w14:paraId="751E0798" w14:textId="4A5A1940"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(4,231)</w:t>
            </w:r>
          </w:p>
        </w:tc>
      </w:tr>
      <w:tr w:rsidR="008664C1" w:rsidRPr="00B81AE0" w14:paraId="63E0C6E2" w14:textId="77777777" w:rsidTr="00B85AE8">
        <w:trPr>
          <w:trHeight w:val="170"/>
        </w:trPr>
        <w:tc>
          <w:tcPr>
            <w:tcW w:w="2151" w:type="dxa"/>
          </w:tcPr>
          <w:p w14:paraId="20C93AF2" w14:textId="587510F8" w:rsidR="008664C1" w:rsidRPr="00B81AE0" w:rsidRDefault="008664C1" w:rsidP="00B85AE8">
            <w:pPr>
              <w:suppressAutoHyphens/>
              <w:autoSpaceDE w:val="0"/>
              <w:autoSpaceDN w:val="0"/>
              <w:adjustRightInd w:val="0"/>
              <w:spacing w:before="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w:t>
            </w:r>
            <w:r>
              <w:rPr>
                <w:rFonts w:asciiTheme="majorHAnsi" w:hAnsiTheme="majorHAnsi"/>
                <w:color w:val="1C1C1C"/>
                <w:sz w:val="14"/>
                <w:szCs w:val="14"/>
              </w:rPr>
              <w:t>1</w:t>
            </w:r>
          </w:p>
        </w:tc>
        <w:tc>
          <w:tcPr>
            <w:tcW w:w="976" w:type="dxa"/>
            <w:tcBorders>
              <w:top w:val="single" w:sz="2" w:space="0" w:color="auto"/>
              <w:bottom w:val="single" w:sz="2" w:space="0" w:color="auto"/>
              <w:right w:val="single" w:sz="18" w:space="0" w:color="FFFFFF" w:themeColor="background2"/>
            </w:tcBorders>
          </w:tcPr>
          <w:p w14:paraId="62E729FB" w14:textId="426A18EF"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1,1</w:t>
            </w:r>
            <w:r>
              <w:rPr>
                <w:rFonts w:asciiTheme="majorHAnsi" w:hAnsiTheme="majorHAnsi" w:cs="Calibri"/>
                <w:sz w:val="14"/>
                <w:szCs w:val="14"/>
              </w:rPr>
              <w:t>2</w:t>
            </w:r>
            <w:r w:rsidR="00955AFF">
              <w:rPr>
                <w:rFonts w:asciiTheme="majorHAnsi" w:hAnsiTheme="majorHAnsi" w:cs="Calibri"/>
                <w:sz w:val="14"/>
                <w:szCs w:val="14"/>
              </w:rPr>
              <w:t>4</w:t>
            </w:r>
            <w:r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59427ABE" w14:textId="36BFCDAD"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1,10</w:t>
            </w:r>
            <w:r w:rsidR="00955AFF">
              <w:rPr>
                <w:rFonts w:asciiTheme="majorHAnsi" w:hAnsiTheme="majorHAnsi" w:cs="Calibri"/>
                <w:sz w:val="14"/>
                <w:szCs w:val="14"/>
              </w:rPr>
              <w:t>7</w:t>
            </w:r>
            <w:r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tcPr>
          <w:p w14:paraId="666BAED3" w14:textId="7488FD93"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1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tcPr>
          <w:p w14:paraId="4C1ED2C2" w14:textId="6FCF67F9" w:rsidR="008664C1" w:rsidRPr="009A2FF3" w:rsidRDefault="00955AFF" w:rsidP="00B85AE8">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92</w:t>
            </w:r>
            <w:r w:rsidR="008664C1"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tcBorders>
          </w:tcPr>
          <w:p w14:paraId="55882ADA" w14:textId="08999B5C"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2,</w:t>
            </w:r>
            <w:r w:rsidR="00955AFF">
              <w:rPr>
                <w:rFonts w:asciiTheme="majorHAnsi" w:hAnsiTheme="majorHAnsi" w:cs="Calibri"/>
                <w:sz w:val="14"/>
                <w:szCs w:val="14"/>
              </w:rPr>
              <w:t>324</w:t>
            </w:r>
            <w:r w:rsidRPr="009A2FF3">
              <w:rPr>
                <w:rFonts w:asciiTheme="majorHAnsi" w:hAnsiTheme="majorHAnsi" w:cs="Calibri"/>
                <w:sz w:val="14"/>
                <w:szCs w:val="14"/>
              </w:rPr>
              <w:t xml:space="preserve"> </w:t>
            </w:r>
          </w:p>
        </w:tc>
      </w:tr>
      <w:tr w:rsidR="008664C1" w:rsidRPr="00B81AE0" w14:paraId="482CEE4C" w14:textId="77777777" w:rsidTr="00B85AE8">
        <w:trPr>
          <w:trHeight w:val="397"/>
        </w:trPr>
        <w:tc>
          <w:tcPr>
            <w:tcW w:w="2151" w:type="dxa"/>
          </w:tcPr>
          <w:p w14:paraId="413AB633" w14:textId="3A36A19C" w:rsidR="008664C1" w:rsidRPr="00B81AE0" w:rsidRDefault="008664C1" w:rsidP="00B85AE8">
            <w:pPr>
              <w:suppressAutoHyphens/>
              <w:autoSpaceDE w:val="0"/>
              <w:autoSpaceDN w:val="0"/>
              <w:adjustRightInd w:val="0"/>
              <w:spacing w:before="120" w:after="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w:t>
            </w:r>
            <w:r>
              <w:rPr>
                <w:rFonts w:asciiTheme="majorHAnsi" w:hAnsiTheme="majorHAnsi"/>
                <w:color w:val="1C1C1C"/>
                <w:sz w:val="14"/>
                <w:szCs w:val="14"/>
              </w:rPr>
              <w:t>1</w:t>
            </w:r>
            <w:r w:rsidRPr="00B81AE0">
              <w:rPr>
                <w:rFonts w:asciiTheme="majorHAnsi" w:hAnsiTheme="majorHAnsi"/>
                <w:color w:val="1C1C1C"/>
                <w:sz w:val="14"/>
                <w:szCs w:val="14"/>
              </w:rPr>
              <w:t xml:space="preserve"> represented by</w:t>
            </w:r>
          </w:p>
        </w:tc>
        <w:tc>
          <w:tcPr>
            <w:tcW w:w="976" w:type="dxa"/>
            <w:tcBorders>
              <w:top w:val="single" w:sz="2" w:space="0" w:color="auto"/>
              <w:right w:val="single" w:sz="18" w:space="0" w:color="FFFFFF" w:themeColor="background2"/>
            </w:tcBorders>
          </w:tcPr>
          <w:p w14:paraId="046CA42A" w14:textId="77777777" w:rsidR="008664C1" w:rsidRPr="00B81AE0" w:rsidRDefault="008664C1" w:rsidP="00B85AE8">
            <w:pPr>
              <w:autoSpaceDE w:val="0"/>
              <w:autoSpaceDN w:val="0"/>
              <w:adjustRightInd w:val="0"/>
              <w:spacing w:before="120" w:after="20" w:line="20" w:lineRule="atLeast"/>
              <w:rPr>
                <w:rFonts w:asciiTheme="majorHAnsi" w:hAnsiTheme="majorHAnsi"/>
                <w:color w:val="1C1C1C"/>
                <w:sz w:val="14"/>
                <w:szCs w:val="14"/>
              </w:rPr>
            </w:pPr>
          </w:p>
        </w:tc>
        <w:tc>
          <w:tcPr>
            <w:tcW w:w="1134" w:type="dxa"/>
            <w:tcBorders>
              <w:top w:val="single" w:sz="2" w:space="0" w:color="auto"/>
              <w:left w:val="single" w:sz="18" w:space="0" w:color="FFFFFF" w:themeColor="background2"/>
              <w:right w:val="single" w:sz="18" w:space="0" w:color="FFFFFF" w:themeColor="background2"/>
            </w:tcBorders>
          </w:tcPr>
          <w:p w14:paraId="56E2865F" w14:textId="77777777" w:rsidR="008664C1" w:rsidRPr="00B81AE0" w:rsidRDefault="008664C1" w:rsidP="00B85AE8">
            <w:pPr>
              <w:autoSpaceDE w:val="0"/>
              <w:autoSpaceDN w:val="0"/>
              <w:adjustRightInd w:val="0"/>
              <w:spacing w:before="120" w:after="20" w:line="20" w:lineRule="atLeast"/>
              <w:rPr>
                <w:rFonts w:asciiTheme="majorHAnsi" w:hAnsiTheme="majorHAnsi"/>
                <w:color w:val="1C1C1C"/>
                <w:sz w:val="14"/>
                <w:szCs w:val="14"/>
              </w:rPr>
            </w:pPr>
          </w:p>
        </w:tc>
        <w:tc>
          <w:tcPr>
            <w:tcW w:w="992" w:type="dxa"/>
            <w:tcBorders>
              <w:top w:val="single" w:sz="2" w:space="0" w:color="auto"/>
              <w:left w:val="single" w:sz="18" w:space="0" w:color="FFFFFF" w:themeColor="background2"/>
              <w:right w:val="single" w:sz="18" w:space="0" w:color="FFFFFF" w:themeColor="background2"/>
            </w:tcBorders>
          </w:tcPr>
          <w:p w14:paraId="4B49BD4F" w14:textId="77777777" w:rsidR="008664C1" w:rsidRPr="00B81AE0" w:rsidRDefault="008664C1" w:rsidP="00B85AE8">
            <w:pPr>
              <w:autoSpaceDE w:val="0"/>
              <w:autoSpaceDN w:val="0"/>
              <w:adjustRightInd w:val="0"/>
              <w:spacing w:before="120" w:after="20" w:line="20" w:lineRule="atLeast"/>
              <w:rPr>
                <w:rFonts w:asciiTheme="majorHAnsi" w:hAnsiTheme="majorHAnsi"/>
                <w:color w:val="1C1C1C"/>
                <w:sz w:val="14"/>
                <w:szCs w:val="14"/>
              </w:rPr>
            </w:pPr>
          </w:p>
        </w:tc>
        <w:tc>
          <w:tcPr>
            <w:tcW w:w="1134" w:type="dxa"/>
            <w:tcBorders>
              <w:top w:val="single" w:sz="2" w:space="0" w:color="auto"/>
              <w:left w:val="single" w:sz="18" w:space="0" w:color="FFFFFF" w:themeColor="background2"/>
              <w:right w:val="single" w:sz="18" w:space="0" w:color="FFFFFF" w:themeColor="background2"/>
            </w:tcBorders>
          </w:tcPr>
          <w:p w14:paraId="66F04E86" w14:textId="77777777" w:rsidR="008664C1" w:rsidRPr="00B81AE0" w:rsidRDefault="008664C1" w:rsidP="00B85AE8">
            <w:pPr>
              <w:autoSpaceDE w:val="0"/>
              <w:autoSpaceDN w:val="0"/>
              <w:adjustRightInd w:val="0"/>
              <w:spacing w:before="120" w:after="20" w:line="20" w:lineRule="atLeast"/>
              <w:rPr>
                <w:rFonts w:asciiTheme="majorHAnsi" w:hAnsiTheme="majorHAnsi"/>
                <w:color w:val="1C1C1C"/>
                <w:sz w:val="14"/>
                <w:szCs w:val="14"/>
              </w:rPr>
            </w:pPr>
          </w:p>
        </w:tc>
        <w:tc>
          <w:tcPr>
            <w:tcW w:w="992" w:type="dxa"/>
            <w:tcBorders>
              <w:top w:val="single" w:sz="2" w:space="0" w:color="auto"/>
              <w:left w:val="single" w:sz="18" w:space="0" w:color="FFFFFF" w:themeColor="background2"/>
            </w:tcBorders>
          </w:tcPr>
          <w:p w14:paraId="2C0147D1" w14:textId="77777777" w:rsidR="008664C1" w:rsidRPr="00B81AE0" w:rsidRDefault="008664C1" w:rsidP="00B85AE8">
            <w:pPr>
              <w:suppressAutoHyphens/>
              <w:autoSpaceDE w:val="0"/>
              <w:autoSpaceDN w:val="0"/>
              <w:adjustRightInd w:val="0"/>
              <w:spacing w:before="120" w:after="20" w:line="20" w:lineRule="atLeast"/>
              <w:textAlignment w:val="center"/>
              <w:rPr>
                <w:rFonts w:asciiTheme="majorHAnsi" w:hAnsiTheme="majorHAnsi"/>
                <w:color w:val="1C1C1C"/>
                <w:sz w:val="14"/>
                <w:szCs w:val="14"/>
              </w:rPr>
            </w:pPr>
          </w:p>
        </w:tc>
      </w:tr>
      <w:tr w:rsidR="008664C1" w:rsidRPr="00B81AE0" w14:paraId="3B6E4D44" w14:textId="77777777" w:rsidTr="00B85AE8">
        <w:trPr>
          <w:trHeight w:val="170"/>
        </w:trPr>
        <w:tc>
          <w:tcPr>
            <w:tcW w:w="2151" w:type="dxa"/>
          </w:tcPr>
          <w:p w14:paraId="7EBEBD7C" w14:textId="77777777" w:rsidR="008664C1" w:rsidRPr="00B81AE0" w:rsidRDefault="008664C1" w:rsidP="00B85AE8">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Gross book value</w:t>
            </w:r>
          </w:p>
        </w:tc>
        <w:tc>
          <w:tcPr>
            <w:tcW w:w="976" w:type="dxa"/>
            <w:tcBorders>
              <w:right w:val="single" w:sz="18" w:space="0" w:color="FFFFFF" w:themeColor="background2"/>
            </w:tcBorders>
          </w:tcPr>
          <w:p w14:paraId="7678431E" w14:textId="169931D6"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2,653 </w:t>
            </w:r>
          </w:p>
        </w:tc>
        <w:tc>
          <w:tcPr>
            <w:tcW w:w="1134" w:type="dxa"/>
            <w:tcBorders>
              <w:left w:val="single" w:sz="18" w:space="0" w:color="FFFFFF" w:themeColor="background2"/>
              <w:right w:val="single" w:sz="18" w:space="0" w:color="FFFFFF" w:themeColor="background2"/>
            </w:tcBorders>
          </w:tcPr>
          <w:p w14:paraId="7EB3C683" w14:textId="150C7155"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1,84</w:t>
            </w:r>
            <w:r w:rsidR="00955AFF">
              <w:rPr>
                <w:rFonts w:asciiTheme="majorHAnsi" w:hAnsiTheme="majorHAnsi" w:cs="Calibri"/>
                <w:sz w:val="14"/>
                <w:szCs w:val="14"/>
              </w:rPr>
              <w:t>6</w:t>
            </w:r>
            <w:r w:rsidRPr="009A2FF3">
              <w:rPr>
                <w:rFonts w:asciiTheme="majorHAnsi" w:hAnsiTheme="majorHAnsi" w:cs="Calibri"/>
                <w:sz w:val="14"/>
                <w:szCs w:val="14"/>
              </w:rPr>
              <w:t xml:space="preserve"> </w:t>
            </w:r>
          </w:p>
        </w:tc>
        <w:tc>
          <w:tcPr>
            <w:tcW w:w="992" w:type="dxa"/>
            <w:tcBorders>
              <w:left w:val="single" w:sz="18" w:space="0" w:color="FFFFFF" w:themeColor="background2"/>
              <w:right w:val="single" w:sz="18" w:space="0" w:color="FFFFFF" w:themeColor="background2"/>
            </w:tcBorders>
          </w:tcPr>
          <w:p w14:paraId="51D39017" w14:textId="058062E2"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6 </w:t>
            </w:r>
          </w:p>
        </w:tc>
        <w:tc>
          <w:tcPr>
            <w:tcW w:w="1134" w:type="dxa"/>
            <w:tcBorders>
              <w:left w:val="single" w:sz="18" w:space="0" w:color="FFFFFF" w:themeColor="background2"/>
              <w:right w:val="single" w:sz="18" w:space="0" w:color="FFFFFF" w:themeColor="background2"/>
            </w:tcBorders>
          </w:tcPr>
          <w:p w14:paraId="3C4BAFFA" w14:textId="60BC1C3D" w:rsidR="008664C1" w:rsidRPr="009A2FF3" w:rsidRDefault="00955AFF" w:rsidP="00B85AE8">
            <w:pPr>
              <w:autoSpaceDE w:val="0"/>
              <w:autoSpaceDN w:val="0"/>
              <w:adjustRightInd w:val="0"/>
              <w:spacing w:before="20" w:after="20" w:line="20" w:lineRule="atLeast"/>
              <w:jc w:val="right"/>
              <w:rPr>
                <w:rFonts w:asciiTheme="majorHAnsi" w:hAnsiTheme="majorHAnsi"/>
                <w:color w:val="1C1C1C"/>
                <w:sz w:val="14"/>
                <w:szCs w:val="14"/>
              </w:rPr>
            </w:pPr>
            <w:r>
              <w:rPr>
                <w:rFonts w:asciiTheme="majorHAnsi" w:hAnsiTheme="majorHAnsi" w:cs="Calibri"/>
                <w:sz w:val="14"/>
                <w:szCs w:val="14"/>
              </w:rPr>
              <w:t>803</w:t>
            </w:r>
          </w:p>
        </w:tc>
        <w:tc>
          <w:tcPr>
            <w:tcW w:w="992" w:type="dxa"/>
            <w:tcBorders>
              <w:left w:val="single" w:sz="18" w:space="0" w:color="FFFFFF" w:themeColor="background2"/>
            </w:tcBorders>
          </w:tcPr>
          <w:p w14:paraId="3EAAD9B2" w14:textId="63250190"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Pr>
                <w:rFonts w:asciiTheme="majorHAnsi" w:hAnsiTheme="majorHAnsi" w:cs="Calibri"/>
                <w:sz w:val="14"/>
                <w:szCs w:val="14"/>
              </w:rPr>
              <w:t>5</w:t>
            </w:r>
            <w:r w:rsidRPr="009A2FF3">
              <w:rPr>
                <w:rFonts w:asciiTheme="majorHAnsi" w:hAnsiTheme="majorHAnsi" w:cs="Calibri"/>
                <w:sz w:val="14"/>
                <w:szCs w:val="14"/>
              </w:rPr>
              <w:t>,</w:t>
            </w:r>
            <w:r w:rsidR="00955AFF">
              <w:rPr>
                <w:rFonts w:asciiTheme="majorHAnsi" w:hAnsiTheme="majorHAnsi" w:cs="Calibri"/>
                <w:sz w:val="14"/>
                <w:szCs w:val="14"/>
              </w:rPr>
              <w:t>308</w:t>
            </w:r>
            <w:r w:rsidRPr="009A2FF3">
              <w:rPr>
                <w:rFonts w:asciiTheme="majorHAnsi" w:hAnsiTheme="majorHAnsi" w:cs="Calibri"/>
                <w:sz w:val="14"/>
                <w:szCs w:val="14"/>
              </w:rPr>
              <w:t xml:space="preserve"> </w:t>
            </w:r>
          </w:p>
        </w:tc>
      </w:tr>
      <w:tr w:rsidR="008664C1" w:rsidRPr="00B81AE0" w14:paraId="02B0C702" w14:textId="77777777" w:rsidTr="00B85AE8">
        <w:trPr>
          <w:trHeight w:val="170"/>
        </w:trPr>
        <w:tc>
          <w:tcPr>
            <w:tcW w:w="2151" w:type="dxa"/>
          </w:tcPr>
          <w:p w14:paraId="11970E1C" w14:textId="77777777" w:rsidR="008664C1" w:rsidRPr="00B81AE0" w:rsidRDefault="008664C1" w:rsidP="00B85AE8">
            <w:pPr>
              <w:suppressAutoHyphens/>
              <w:autoSpaceDE w:val="0"/>
              <w:autoSpaceDN w:val="0"/>
              <w:adjustRightInd w:val="0"/>
              <w:spacing w:before="20" w:after="20" w:line="20" w:lineRule="atLeast"/>
              <w:textAlignment w:val="center"/>
              <w:rPr>
                <w:color w:val="1C1C1C"/>
                <w:sz w:val="14"/>
                <w:szCs w:val="14"/>
              </w:rPr>
            </w:pPr>
            <w:r w:rsidRPr="00B81AE0">
              <w:rPr>
                <w:color w:val="1C1C1C"/>
                <w:sz w:val="14"/>
                <w:szCs w:val="14"/>
              </w:rPr>
              <w:t xml:space="preserve">Accumulated depreciation, </w:t>
            </w:r>
            <w:proofErr w:type="spellStart"/>
            <w:r w:rsidRPr="00B81AE0">
              <w:rPr>
                <w:color w:val="1C1C1C"/>
                <w:sz w:val="14"/>
                <w:szCs w:val="14"/>
              </w:rPr>
              <w:t>amortisation</w:t>
            </w:r>
            <w:proofErr w:type="spellEnd"/>
            <w:r w:rsidRPr="00B81AE0">
              <w:rPr>
                <w:color w:val="1C1C1C"/>
                <w:sz w:val="14"/>
                <w:szCs w:val="14"/>
              </w:rPr>
              <w:t> and impairment</w:t>
            </w:r>
          </w:p>
        </w:tc>
        <w:tc>
          <w:tcPr>
            <w:tcW w:w="976" w:type="dxa"/>
            <w:tcBorders>
              <w:bottom w:val="single" w:sz="2" w:space="0" w:color="auto"/>
              <w:right w:val="single" w:sz="18" w:space="0" w:color="FFFFFF" w:themeColor="background2"/>
            </w:tcBorders>
            <w:vAlign w:val="bottom"/>
          </w:tcPr>
          <w:p w14:paraId="6B050AEE" w14:textId="222C001B"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(1,5</w:t>
            </w:r>
            <w:r>
              <w:rPr>
                <w:rFonts w:asciiTheme="majorHAnsi" w:hAnsiTheme="majorHAnsi" w:cs="Calibri"/>
                <w:sz w:val="14"/>
                <w:szCs w:val="14"/>
              </w:rPr>
              <w:t>28</w:t>
            </w:r>
            <w:r w:rsidRPr="009A2FF3">
              <w:rPr>
                <w:rFonts w:asciiTheme="majorHAnsi" w:hAnsiTheme="majorHAnsi" w:cs="Calibri"/>
                <w:sz w:val="14"/>
                <w:szCs w:val="14"/>
              </w:rPr>
              <w:t>)</w:t>
            </w:r>
          </w:p>
        </w:tc>
        <w:tc>
          <w:tcPr>
            <w:tcW w:w="1134" w:type="dxa"/>
            <w:tcBorders>
              <w:left w:val="single" w:sz="18" w:space="0" w:color="FFFFFF" w:themeColor="background2"/>
              <w:bottom w:val="single" w:sz="2" w:space="0" w:color="auto"/>
              <w:right w:val="single" w:sz="18" w:space="0" w:color="FFFFFF" w:themeColor="background2"/>
            </w:tcBorders>
            <w:vAlign w:val="bottom"/>
          </w:tcPr>
          <w:p w14:paraId="3B814698" w14:textId="3D21848C"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w:t>
            </w:r>
            <w:r>
              <w:rPr>
                <w:rFonts w:asciiTheme="majorHAnsi" w:hAnsiTheme="majorHAnsi" w:cs="Calibri"/>
                <w:sz w:val="14"/>
                <w:szCs w:val="14"/>
              </w:rPr>
              <w:t>739</w:t>
            </w:r>
            <w:r w:rsidRPr="009A2FF3">
              <w:rPr>
                <w:rFonts w:asciiTheme="majorHAnsi" w:hAnsiTheme="majorHAnsi" w:cs="Calibri"/>
                <w:sz w:val="14"/>
                <w:szCs w:val="14"/>
              </w:rPr>
              <w:t>)</w:t>
            </w:r>
          </w:p>
        </w:tc>
        <w:tc>
          <w:tcPr>
            <w:tcW w:w="992" w:type="dxa"/>
            <w:tcBorders>
              <w:left w:val="single" w:sz="18" w:space="0" w:color="FFFFFF" w:themeColor="background2"/>
              <w:bottom w:val="single" w:sz="2" w:space="0" w:color="auto"/>
              <w:right w:val="single" w:sz="18" w:space="0" w:color="FFFFFF" w:themeColor="background2"/>
            </w:tcBorders>
            <w:vAlign w:val="bottom"/>
          </w:tcPr>
          <w:p w14:paraId="697E120D" w14:textId="3286910A"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(5)</w:t>
            </w:r>
          </w:p>
        </w:tc>
        <w:tc>
          <w:tcPr>
            <w:tcW w:w="1134" w:type="dxa"/>
            <w:tcBorders>
              <w:left w:val="single" w:sz="18" w:space="0" w:color="FFFFFF" w:themeColor="background2"/>
              <w:bottom w:val="single" w:sz="2" w:space="0" w:color="auto"/>
              <w:right w:val="single" w:sz="18" w:space="0" w:color="FFFFFF" w:themeColor="background2"/>
            </w:tcBorders>
            <w:vAlign w:val="bottom"/>
          </w:tcPr>
          <w:p w14:paraId="24877EF3" w14:textId="453FF61E"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(7</w:t>
            </w:r>
            <w:r>
              <w:rPr>
                <w:rFonts w:asciiTheme="majorHAnsi" w:hAnsiTheme="majorHAnsi" w:cs="Calibri"/>
                <w:sz w:val="14"/>
                <w:szCs w:val="14"/>
              </w:rPr>
              <w:t>12</w:t>
            </w:r>
            <w:r w:rsidRPr="009A2FF3">
              <w:rPr>
                <w:rFonts w:asciiTheme="majorHAnsi" w:hAnsiTheme="majorHAnsi" w:cs="Calibri"/>
                <w:sz w:val="14"/>
                <w:szCs w:val="14"/>
              </w:rPr>
              <w:t>)</w:t>
            </w:r>
          </w:p>
        </w:tc>
        <w:tc>
          <w:tcPr>
            <w:tcW w:w="992" w:type="dxa"/>
            <w:tcBorders>
              <w:left w:val="single" w:sz="18" w:space="0" w:color="FFFFFF" w:themeColor="background2"/>
              <w:bottom w:val="single" w:sz="2" w:space="0" w:color="auto"/>
            </w:tcBorders>
            <w:vAlign w:val="bottom"/>
          </w:tcPr>
          <w:p w14:paraId="7D1DFE46" w14:textId="27D4A5E2"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w:t>
            </w:r>
            <w:r>
              <w:rPr>
                <w:rFonts w:asciiTheme="majorHAnsi" w:hAnsiTheme="majorHAnsi" w:cs="Calibri"/>
                <w:sz w:val="14"/>
                <w:szCs w:val="14"/>
              </w:rPr>
              <w:t>2</w:t>
            </w:r>
            <w:r w:rsidRPr="009A2FF3">
              <w:rPr>
                <w:rFonts w:asciiTheme="majorHAnsi" w:hAnsiTheme="majorHAnsi" w:cs="Calibri"/>
                <w:sz w:val="14"/>
                <w:szCs w:val="14"/>
              </w:rPr>
              <w:t>,</w:t>
            </w:r>
            <w:r>
              <w:rPr>
                <w:rFonts w:asciiTheme="majorHAnsi" w:hAnsiTheme="majorHAnsi" w:cs="Calibri"/>
                <w:sz w:val="14"/>
                <w:szCs w:val="14"/>
              </w:rPr>
              <w:t>984</w:t>
            </w:r>
            <w:r w:rsidRPr="009A2FF3">
              <w:rPr>
                <w:rFonts w:asciiTheme="majorHAnsi" w:hAnsiTheme="majorHAnsi" w:cs="Calibri"/>
                <w:sz w:val="14"/>
                <w:szCs w:val="14"/>
              </w:rPr>
              <w:t>)</w:t>
            </w:r>
          </w:p>
        </w:tc>
      </w:tr>
      <w:tr w:rsidR="008664C1" w:rsidRPr="00B81AE0" w14:paraId="0672E385" w14:textId="77777777" w:rsidTr="00B85AE8">
        <w:trPr>
          <w:trHeight w:val="170"/>
        </w:trPr>
        <w:tc>
          <w:tcPr>
            <w:tcW w:w="2151" w:type="dxa"/>
          </w:tcPr>
          <w:p w14:paraId="52CF49B4" w14:textId="6BB1F3BB" w:rsidR="008664C1" w:rsidRPr="00B81AE0" w:rsidRDefault="008664C1" w:rsidP="00B85AE8">
            <w:pPr>
              <w:suppressAutoHyphens/>
              <w:autoSpaceDE w:val="0"/>
              <w:autoSpaceDN w:val="0"/>
              <w:adjustRightInd w:val="0"/>
              <w:spacing w:before="20" w:after="120" w:line="20" w:lineRule="atLeast"/>
              <w:textAlignment w:val="center"/>
              <w:rPr>
                <w:rFonts w:asciiTheme="majorHAnsi" w:hAnsiTheme="majorHAnsi"/>
                <w:color w:val="1C1C1C"/>
                <w:sz w:val="14"/>
                <w:szCs w:val="14"/>
              </w:rPr>
            </w:pPr>
            <w:r w:rsidRPr="00B81AE0">
              <w:rPr>
                <w:rFonts w:asciiTheme="majorHAnsi" w:hAnsiTheme="majorHAnsi"/>
                <w:color w:val="1C1C1C"/>
                <w:sz w:val="14"/>
                <w:szCs w:val="14"/>
              </w:rPr>
              <w:t>Total as at 30 June 202</w:t>
            </w:r>
            <w:r>
              <w:rPr>
                <w:rFonts w:asciiTheme="majorHAnsi" w:hAnsiTheme="majorHAnsi"/>
                <w:color w:val="1C1C1C"/>
                <w:sz w:val="14"/>
                <w:szCs w:val="14"/>
              </w:rPr>
              <w:t>1 represented by</w:t>
            </w:r>
          </w:p>
        </w:tc>
        <w:tc>
          <w:tcPr>
            <w:tcW w:w="976" w:type="dxa"/>
            <w:tcBorders>
              <w:top w:val="single" w:sz="2" w:space="0" w:color="auto"/>
              <w:bottom w:val="single" w:sz="2" w:space="0" w:color="auto"/>
              <w:right w:val="single" w:sz="18" w:space="0" w:color="FFFFFF" w:themeColor="background2"/>
            </w:tcBorders>
            <w:vAlign w:val="bottom"/>
          </w:tcPr>
          <w:p w14:paraId="754B5E26" w14:textId="456561E6" w:rsidR="008664C1" w:rsidRPr="009A2FF3" w:rsidRDefault="008664C1" w:rsidP="00B85AE8">
            <w:pPr>
              <w:autoSpaceDE w:val="0"/>
              <w:autoSpaceDN w:val="0"/>
              <w:adjustRightInd w:val="0"/>
              <w:spacing w:before="20" w:after="120" w:line="20" w:lineRule="atLeast"/>
              <w:jc w:val="right"/>
              <w:rPr>
                <w:rFonts w:asciiTheme="majorHAnsi" w:hAnsiTheme="majorHAnsi"/>
                <w:color w:val="1C1C1C"/>
                <w:sz w:val="14"/>
                <w:szCs w:val="14"/>
              </w:rPr>
            </w:pPr>
            <w:r w:rsidRPr="009A2FF3">
              <w:rPr>
                <w:rFonts w:asciiTheme="majorHAnsi" w:hAnsiTheme="majorHAnsi" w:cs="Calibri"/>
                <w:sz w:val="14"/>
                <w:szCs w:val="14"/>
              </w:rPr>
              <w:t>1,1</w:t>
            </w:r>
            <w:r>
              <w:rPr>
                <w:rFonts w:asciiTheme="majorHAnsi" w:hAnsiTheme="majorHAnsi" w:cs="Calibri"/>
                <w:sz w:val="14"/>
                <w:szCs w:val="14"/>
              </w:rPr>
              <w:t>24</w:t>
            </w:r>
            <w:r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6767CDE4" w14:textId="380C6D65" w:rsidR="008664C1" w:rsidRPr="009A2FF3" w:rsidRDefault="008664C1" w:rsidP="00B85AE8">
            <w:pPr>
              <w:autoSpaceDE w:val="0"/>
              <w:autoSpaceDN w:val="0"/>
              <w:adjustRightInd w:val="0"/>
              <w:spacing w:before="20" w:after="120" w:line="20" w:lineRule="atLeast"/>
              <w:jc w:val="right"/>
              <w:rPr>
                <w:rFonts w:asciiTheme="majorHAnsi" w:hAnsiTheme="majorHAnsi"/>
                <w:color w:val="1C1C1C"/>
                <w:sz w:val="14"/>
                <w:szCs w:val="14"/>
              </w:rPr>
            </w:pPr>
            <w:r>
              <w:rPr>
                <w:rFonts w:asciiTheme="majorHAnsi" w:hAnsiTheme="majorHAnsi" w:cs="Calibri"/>
                <w:sz w:val="14"/>
                <w:szCs w:val="14"/>
              </w:rPr>
              <w:t>1,107</w:t>
            </w:r>
            <w:r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145287DC" w14:textId="1C8118FF" w:rsidR="008664C1" w:rsidRPr="009A2FF3" w:rsidRDefault="008664C1" w:rsidP="00B85AE8">
            <w:pPr>
              <w:autoSpaceDE w:val="0"/>
              <w:autoSpaceDN w:val="0"/>
              <w:adjustRightInd w:val="0"/>
              <w:spacing w:before="20" w:after="1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1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3D32C935" w14:textId="35DE67E4" w:rsidR="008664C1" w:rsidRPr="009A2FF3" w:rsidRDefault="00955AFF" w:rsidP="00B85AE8">
            <w:pPr>
              <w:autoSpaceDE w:val="0"/>
              <w:autoSpaceDN w:val="0"/>
              <w:adjustRightInd w:val="0"/>
              <w:spacing w:before="20" w:after="120" w:line="20" w:lineRule="atLeast"/>
              <w:jc w:val="right"/>
              <w:rPr>
                <w:rFonts w:asciiTheme="majorHAnsi" w:hAnsiTheme="majorHAnsi"/>
                <w:color w:val="1C1C1C"/>
                <w:sz w:val="14"/>
                <w:szCs w:val="14"/>
              </w:rPr>
            </w:pPr>
            <w:r>
              <w:rPr>
                <w:rFonts w:asciiTheme="majorHAnsi" w:hAnsiTheme="majorHAnsi" w:cs="Calibri"/>
                <w:sz w:val="14"/>
                <w:szCs w:val="14"/>
              </w:rPr>
              <w:t>92</w:t>
            </w:r>
            <w:r w:rsidR="008664C1" w:rsidRPr="009A2FF3">
              <w:rPr>
                <w:rFonts w:asciiTheme="majorHAnsi" w:hAnsiTheme="majorHAnsi" w:cs="Calibri"/>
                <w:sz w:val="14"/>
                <w:szCs w:val="14"/>
              </w:rPr>
              <w:t xml:space="preserve"> </w:t>
            </w:r>
          </w:p>
        </w:tc>
        <w:tc>
          <w:tcPr>
            <w:tcW w:w="992" w:type="dxa"/>
            <w:tcBorders>
              <w:top w:val="single" w:sz="2" w:space="0" w:color="auto"/>
              <w:left w:val="single" w:sz="18" w:space="0" w:color="FFFFFF" w:themeColor="background2"/>
              <w:bottom w:val="single" w:sz="2" w:space="0" w:color="auto"/>
            </w:tcBorders>
            <w:vAlign w:val="bottom"/>
          </w:tcPr>
          <w:p w14:paraId="605DB844" w14:textId="204DC70D" w:rsidR="008664C1" w:rsidRPr="009A2FF3" w:rsidRDefault="008664C1" w:rsidP="00B85AE8">
            <w:pPr>
              <w:suppressAutoHyphens/>
              <w:autoSpaceDE w:val="0"/>
              <w:autoSpaceDN w:val="0"/>
              <w:adjustRightInd w:val="0"/>
              <w:spacing w:before="20" w:after="1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2,</w:t>
            </w:r>
            <w:r w:rsidR="00955AFF">
              <w:rPr>
                <w:rFonts w:asciiTheme="majorHAnsi" w:hAnsiTheme="majorHAnsi" w:cs="Calibri"/>
                <w:sz w:val="14"/>
                <w:szCs w:val="14"/>
              </w:rPr>
              <w:t>324</w:t>
            </w:r>
            <w:r w:rsidRPr="009A2FF3">
              <w:rPr>
                <w:rFonts w:asciiTheme="majorHAnsi" w:hAnsiTheme="majorHAnsi" w:cs="Calibri"/>
                <w:sz w:val="14"/>
                <w:szCs w:val="14"/>
              </w:rPr>
              <w:t xml:space="preserve"> </w:t>
            </w:r>
          </w:p>
        </w:tc>
      </w:tr>
      <w:tr w:rsidR="008664C1" w:rsidRPr="00B81AE0" w14:paraId="67D386EE" w14:textId="77777777" w:rsidTr="00B85AE8">
        <w:trPr>
          <w:trHeight w:val="170"/>
        </w:trPr>
        <w:tc>
          <w:tcPr>
            <w:tcW w:w="2151" w:type="dxa"/>
          </w:tcPr>
          <w:p w14:paraId="008F1E7E" w14:textId="77777777" w:rsidR="008664C1" w:rsidRPr="00B81AE0" w:rsidRDefault="008664C1" w:rsidP="00B85AE8">
            <w:pPr>
              <w:suppressAutoHyphens/>
              <w:autoSpaceDE w:val="0"/>
              <w:autoSpaceDN w:val="0"/>
              <w:adjustRightInd w:val="0"/>
              <w:spacing w:before="20" w:after="20" w:line="20" w:lineRule="atLeast"/>
              <w:textAlignment w:val="center"/>
              <w:rPr>
                <w:b/>
                <w:bCs/>
                <w:color w:val="1C1C1C"/>
                <w:sz w:val="14"/>
                <w:szCs w:val="14"/>
              </w:rPr>
            </w:pPr>
            <w:r w:rsidRPr="00B81AE0">
              <w:rPr>
                <w:b/>
                <w:bCs/>
                <w:color w:val="1C1C1C"/>
                <w:sz w:val="14"/>
                <w:szCs w:val="14"/>
              </w:rPr>
              <w:t>Carrying amount of right-</w:t>
            </w:r>
            <w:r w:rsidRPr="00B81AE0">
              <w:rPr>
                <w:rFonts w:ascii="Arial" w:hAnsi="Arial" w:cs="Arial" w:hint="cs"/>
                <w:b/>
                <w:bCs/>
                <w:color w:val="1C1C1C"/>
                <w:sz w:val="14"/>
                <w:szCs w:val="14"/>
                <w:rtl/>
              </w:rPr>
              <w:t>‍</w:t>
            </w:r>
            <w:r w:rsidRPr="00B81AE0">
              <w:rPr>
                <w:b/>
                <w:bCs/>
                <w:color w:val="1C1C1C"/>
                <w:sz w:val="14"/>
                <w:szCs w:val="14"/>
              </w:rPr>
              <w:t>of-</w:t>
            </w:r>
            <w:r w:rsidRPr="00B81AE0">
              <w:rPr>
                <w:rFonts w:ascii="Arial" w:hAnsi="Arial" w:cs="Arial" w:hint="cs"/>
                <w:b/>
                <w:bCs/>
                <w:color w:val="1C1C1C"/>
                <w:sz w:val="14"/>
                <w:szCs w:val="14"/>
                <w:rtl/>
              </w:rPr>
              <w:t>‍</w:t>
            </w:r>
            <w:r w:rsidRPr="00B81AE0">
              <w:rPr>
                <w:b/>
                <w:bCs/>
                <w:color w:val="1C1C1C"/>
                <w:sz w:val="14"/>
                <w:szCs w:val="14"/>
              </w:rPr>
              <w:t>use assets</w:t>
            </w:r>
          </w:p>
        </w:tc>
        <w:tc>
          <w:tcPr>
            <w:tcW w:w="976" w:type="dxa"/>
            <w:tcBorders>
              <w:top w:val="single" w:sz="2" w:space="0" w:color="auto"/>
              <w:bottom w:val="single" w:sz="2" w:space="0" w:color="auto"/>
              <w:right w:val="single" w:sz="18" w:space="0" w:color="FFFFFF" w:themeColor="background2"/>
            </w:tcBorders>
            <w:vAlign w:val="bottom"/>
          </w:tcPr>
          <w:p w14:paraId="0D916B98" w14:textId="3E9EBE7C"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1,1</w:t>
            </w:r>
            <w:r>
              <w:rPr>
                <w:rFonts w:asciiTheme="majorHAnsi" w:hAnsiTheme="majorHAnsi" w:cs="Calibri"/>
                <w:sz w:val="14"/>
                <w:szCs w:val="14"/>
              </w:rPr>
              <w:t>24</w:t>
            </w:r>
            <w:r w:rsidRPr="009A2FF3">
              <w:rPr>
                <w:rFonts w:asciiTheme="majorHAnsi" w:hAnsiTheme="majorHAnsi" w:cs="Calibri"/>
                <w:sz w:val="14"/>
                <w:szCs w:val="14"/>
              </w:rPr>
              <w:t xml:space="preserve">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1ED952F4" w14:textId="3E80BE04"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12502A7B" w14:textId="509E75F3"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1134" w:type="dxa"/>
            <w:tcBorders>
              <w:top w:val="single" w:sz="2" w:space="0" w:color="auto"/>
              <w:left w:val="single" w:sz="18" w:space="0" w:color="FFFFFF" w:themeColor="background2"/>
              <w:bottom w:val="single" w:sz="2" w:space="0" w:color="auto"/>
              <w:right w:val="single" w:sz="18" w:space="0" w:color="FFFFFF" w:themeColor="background2"/>
            </w:tcBorders>
            <w:vAlign w:val="bottom"/>
          </w:tcPr>
          <w:p w14:paraId="287A659F" w14:textId="6218C7B4" w:rsidR="008664C1" w:rsidRPr="009A2FF3" w:rsidRDefault="008664C1" w:rsidP="00B85AE8">
            <w:pPr>
              <w:autoSpaceDE w:val="0"/>
              <w:autoSpaceDN w:val="0"/>
              <w:adjustRightInd w:val="0"/>
              <w:spacing w:before="20" w:after="20" w:line="20" w:lineRule="atLeast"/>
              <w:jc w:val="right"/>
              <w:rPr>
                <w:rFonts w:asciiTheme="majorHAnsi" w:hAnsiTheme="majorHAnsi"/>
                <w:color w:val="1C1C1C"/>
                <w:sz w:val="14"/>
                <w:szCs w:val="14"/>
              </w:rPr>
            </w:pPr>
            <w:r w:rsidRPr="009A2FF3">
              <w:rPr>
                <w:rFonts w:asciiTheme="majorHAnsi" w:hAnsiTheme="majorHAnsi" w:cs="Calibri"/>
                <w:sz w:val="14"/>
                <w:szCs w:val="14"/>
              </w:rPr>
              <w:t xml:space="preserve"> - </w:t>
            </w:r>
          </w:p>
        </w:tc>
        <w:tc>
          <w:tcPr>
            <w:tcW w:w="992" w:type="dxa"/>
            <w:tcBorders>
              <w:top w:val="single" w:sz="2" w:space="0" w:color="auto"/>
              <w:left w:val="single" w:sz="18" w:space="0" w:color="FFFFFF" w:themeColor="background2"/>
              <w:bottom w:val="single" w:sz="2" w:space="0" w:color="auto"/>
            </w:tcBorders>
            <w:vAlign w:val="bottom"/>
          </w:tcPr>
          <w:p w14:paraId="7A99580B" w14:textId="2E242DBE" w:rsidR="008664C1" w:rsidRPr="009A2FF3" w:rsidRDefault="008664C1" w:rsidP="00B85AE8">
            <w:pPr>
              <w:suppressAutoHyphens/>
              <w:autoSpaceDE w:val="0"/>
              <w:autoSpaceDN w:val="0"/>
              <w:adjustRightInd w:val="0"/>
              <w:spacing w:before="20" w:after="20" w:line="20" w:lineRule="atLeast"/>
              <w:jc w:val="right"/>
              <w:textAlignment w:val="center"/>
              <w:rPr>
                <w:rFonts w:asciiTheme="majorHAnsi" w:hAnsiTheme="majorHAnsi"/>
                <w:color w:val="1C1C1C"/>
                <w:sz w:val="14"/>
                <w:szCs w:val="14"/>
              </w:rPr>
            </w:pPr>
            <w:r w:rsidRPr="009A2FF3">
              <w:rPr>
                <w:rFonts w:asciiTheme="majorHAnsi" w:hAnsiTheme="majorHAnsi" w:cs="Calibri"/>
                <w:sz w:val="14"/>
                <w:szCs w:val="14"/>
              </w:rPr>
              <w:t>1,1</w:t>
            </w:r>
            <w:r>
              <w:rPr>
                <w:rFonts w:asciiTheme="majorHAnsi" w:hAnsiTheme="majorHAnsi" w:cs="Calibri"/>
                <w:sz w:val="14"/>
                <w:szCs w:val="14"/>
              </w:rPr>
              <w:t>24</w:t>
            </w:r>
            <w:r w:rsidRPr="009A2FF3">
              <w:rPr>
                <w:rFonts w:asciiTheme="majorHAnsi" w:hAnsiTheme="majorHAnsi" w:cs="Calibri"/>
                <w:sz w:val="14"/>
                <w:szCs w:val="14"/>
              </w:rPr>
              <w:t xml:space="preserve"> </w:t>
            </w:r>
          </w:p>
        </w:tc>
      </w:tr>
      <w:tr w:rsidR="00C77501" w:rsidRPr="00B81AE0" w14:paraId="725AC5C2" w14:textId="77777777" w:rsidTr="00B85AE8">
        <w:trPr>
          <w:trHeight w:val="57"/>
        </w:trPr>
        <w:tc>
          <w:tcPr>
            <w:tcW w:w="2151" w:type="dxa"/>
          </w:tcPr>
          <w:p w14:paraId="312EDC2E" w14:textId="77777777" w:rsidR="00C77501" w:rsidRPr="00C77501" w:rsidRDefault="00C77501" w:rsidP="00B85AE8">
            <w:pPr>
              <w:suppressAutoHyphens/>
              <w:autoSpaceDE w:val="0"/>
              <w:autoSpaceDN w:val="0"/>
              <w:adjustRightInd w:val="0"/>
              <w:spacing w:before="20" w:after="20" w:line="20" w:lineRule="atLeast"/>
              <w:textAlignment w:val="center"/>
              <w:rPr>
                <w:color w:val="1C1C1C"/>
                <w:sz w:val="6"/>
                <w:szCs w:val="6"/>
              </w:rPr>
            </w:pPr>
          </w:p>
        </w:tc>
        <w:tc>
          <w:tcPr>
            <w:tcW w:w="976" w:type="dxa"/>
            <w:tcBorders>
              <w:top w:val="single" w:sz="2" w:space="0" w:color="auto"/>
              <w:right w:val="single" w:sz="18" w:space="0" w:color="FFFFFF" w:themeColor="background2"/>
            </w:tcBorders>
          </w:tcPr>
          <w:p w14:paraId="6DC1AA8C" w14:textId="77777777" w:rsidR="00C77501" w:rsidRPr="00C77501" w:rsidRDefault="00C77501" w:rsidP="00B85AE8">
            <w:pPr>
              <w:autoSpaceDE w:val="0"/>
              <w:autoSpaceDN w:val="0"/>
              <w:adjustRightInd w:val="0"/>
              <w:spacing w:before="20" w:after="20" w:line="20" w:lineRule="atLeast"/>
              <w:jc w:val="right"/>
              <w:rPr>
                <w:rFonts w:asciiTheme="majorHAnsi" w:hAnsiTheme="majorHAnsi" w:cs="Calibri"/>
                <w:sz w:val="6"/>
                <w:szCs w:val="6"/>
              </w:rPr>
            </w:pPr>
          </w:p>
        </w:tc>
        <w:tc>
          <w:tcPr>
            <w:tcW w:w="1134" w:type="dxa"/>
            <w:tcBorders>
              <w:top w:val="single" w:sz="2" w:space="0" w:color="auto"/>
              <w:left w:val="single" w:sz="18" w:space="0" w:color="FFFFFF" w:themeColor="background2"/>
              <w:right w:val="single" w:sz="18" w:space="0" w:color="FFFFFF" w:themeColor="background2"/>
            </w:tcBorders>
          </w:tcPr>
          <w:p w14:paraId="39B8B4E5" w14:textId="77777777" w:rsidR="00C77501" w:rsidRPr="00C77501" w:rsidRDefault="00C77501" w:rsidP="00B85AE8">
            <w:pPr>
              <w:autoSpaceDE w:val="0"/>
              <w:autoSpaceDN w:val="0"/>
              <w:adjustRightInd w:val="0"/>
              <w:spacing w:before="20" w:after="20" w:line="20" w:lineRule="atLeast"/>
              <w:jc w:val="right"/>
              <w:rPr>
                <w:rFonts w:asciiTheme="majorHAnsi" w:hAnsiTheme="majorHAnsi" w:cs="Calibri"/>
                <w:sz w:val="6"/>
                <w:szCs w:val="6"/>
              </w:rPr>
            </w:pPr>
          </w:p>
        </w:tc>
        <w:tc>
          <w:tcPr>
            <w:tcW w:w="992" w:type="dxa"/>
            <w:tcBorders>
              <w:top w:val="single" w:sz="2" w:space="0" w:color="auto"/>
              <w:left w:val="single" w:sz="18" w:space="0" w:color="FFFFFF" w:themeColor="background2"/>
              <w:right w:val="single" w:sz="18" w:space="0" w:color="FFFFFF" w:themeColor="background2"/>
            </w:tcBorders>
          </w:tcPr>
          <w:p w14:paraId="7E008EBA" w14:textId="77777777" w:rsidR="00C77501" w:rsidRPr="00C77501" w:rsidRDefault="00C77501" w:rsidP="00B85AE8">
            <w:pPr>
              <w:autoSpaceDE w:val="0"/>
              <w:autoSpaceDN w:val="0"/>
              <w:adjustRightInd w:val="0"/>
              <w:spacing w:before="20" w:after="20" w:line="20" w:lineRule="atLeast"/>
              <w:jc w:val="right"/>
              <w:rPr>
                <w:rFonts w:asciiTheme="majorHAnsi" w:hAnsiTheme="majorHAnsi" w:cs="Calibri"/>
                <w:sz w:val="6"/>
                <w:szCs w:val="6"/>
              </w:rPr>
            </w:pPr>
          </w:p>
        </w:tc>
        <w:tc>
          <w:tcPr>
            <w:tcW w:w="1134" w:type="dxa"/>
            <w:tcBorders>
              <w:top w:val="single" w:sz="2" w:space="0" w:color="auto"/>
              <w:left w:val="single" w:sz="18" w:space="0" w:color="FFFFFF" w:themeColor="background2"/>
              <w:right w:val="single" w:sz="18" w:space="0" w:color="FFFFFF" w:themeColor="background2"/>
            </w:tcBorders>
          </w:tcPr>
          <w:p w14:paraId="76707818" w14:textId="77777777" w:rsidR="00C77501" w:rsidRPr="00C77501" w:rsidRDefault="00C77501" w:rsidP="00B85AE8">
            <w:pPr>
              <w:autoSpaceDE w:val="0"/>
              <w:autoSpaceDN w:val="0"/>
              <w:adjustRightInd w:val="0"/>
              <w:spacing w:before="20" w:after="20" w:line="20" w:lineRule="atLeast"/>
              <w:jc w:val="right"/>
              <w:rPr>
                <w:rFonts w:asciiTheme="majorHAnsi" w:hAnsiTheme="majorHAnsi" w:cs="Calibri"/>
                <w:sz w:val="6"/>
                <w:szCs w:val="6"/>
              </w:rPr>
            </w:pPr>
          </w:p>
        </w:tc>
        <w:tc>
          <w:tcPr>
            <w:tcW w:w="992" w:type="dxa"/>
            <w:tcBorders>
              <w:top w:val="single" w:sz="2" w:space="0" w:color="auto"/>
              <w:left w:val="single" w:sz="18" w:space="0" w:color="FFFFFF" w:themeColor="background2"/>
            </w:tcBorders>
          </w:tcPr>
          <w:p w14:paraId="53BC1ABE" w14:textId="77777777" w:rsidR="00C77501" w:rsidRPr="00C77501" w:rsidRDefault="00C77501" w:rsidP="00B85AE8">
            <w:pPr>
              <w:suppressAutoHyphens/>
              <w:autoSpaceDE w:val="0"/>
              <w:autoSpaceDN w:val="0"/>
              <w:adjustRightInd w:val="0"/>
              <w:spacing w:before="20" w:after="20" w:line="20" w:lineRule="atLeast"/>
              <w:jc w:val="right"/>
              <w:textAlignment w:val="center"/>
              <w:rPr>
                <w:rFonts w:asciiTheme="majorHAnsi" w:hAnsiTheme="majorHAnsi" w:cs="Calibri"/>
                <w:sz w:val="6"/>
                <w:szCs w:val="6"/>
              </w:rPr>
            </w:pPr>
          </w:p>
        </w:tc>
      </w:tr>
      <w:tr w:rsidR="009A2FF3" w:rsidRPr="00B81AE0" w14:paraId="06887F8D" w14:textId="77777777" w:rsidTr="00B85AE8">
        <w:trPr>
          <w:trHeight w:val="170"/>
        </w:trPr>
        <w:tc>
          <w:tcPr>
            <w:tcW w:w="7379" w:type="dxa"/>
            <w:gridSpan w:val="6"/>
          </w:tcPr>
          <w:p w14:paraId="38EC5478" w14:textId="62DA10E4" w:rsidR="009A2FF3" w:rsidRDefault="009A2FF3" w:rsidP="00B85AE8">
            <w:pPr>
              <w:suppressAutoHyphens/>
              <w:autoSpaceDE w:val="0"/>
              <w:autoSpaceDN w:val="0"/>
              <w:adjustRightInd w:val="0"/>
              <w:spacing w:before="20" w:after="120" w:line="288" w:lineRule="auto"/>
              <w:textAlignment w:val="center"/>
              <w:rPr>
                <w:color w:val="1C1C1C"/>
                <w:sz w:val="14"/>
                <w:szCs w:val="14"/>
              </w:rPr>
            </w:pPr>
            <w:r w:rsidRPr="00B81AE0">
              <w:rPr>
                <w:color w:val="1C1C1C"/>
                <w:sz w:val="14"/>
                <w:szCs w:val="14"/>
              </w:rPr>
              <w:t>No indicators of impairment were found for property, plant and equipment or intangibles.</w:t>
            </w:r>
          </w:p>
          <w:p w14:paraId="48711185" w14:textId="77777777" w:rsidR="00955AFF" w:rsidRPr="00955AFF" w:rsidRDefault="00955AFF" w:rsidP="00B85AE8">
            <w:pPr>
              <w:suppressAutoHyphens/>
              <w:autoSpaceDE w:val="0"/>
              <w:autoSpaceDN w:val="0"/>
              <w:adjustRightInd w:val="0"/>
              <w:spacing w:before="20" w:after="120" w:line="288" w:lineRule="auto"/>
              <w:textAlignment w:val="center"/>
              <w:rPr>
                <w:b/>
                <w:bCs/>
                <w:color w:val="1C1C1C"/>
                <w:sz w:val="14"/>
                <w:szCs w:val="14"/>
              </w:rPr>
            </w:pPr>
            <w:r w:rsidRPr="00955AFF">
              <w:rPr>
                <w:b/>
                <w:bCs/>
                <w:color w:val="1C1C1C"/>
                <w:sz w:val="14"/>
                <w:szCs w:val="14"/>
              </w:rPr>
              <w:t>Adjustment to right-of-use assets from reassessing lease term:</w:t>
            </w:r>
          </w:p>
          <w:p w14:paraId="62C6EC7E" w14:textId="6A8ABF3B" w:rsidR="00955AFF" w:rsidRPr="00B81AE0" w:rsidRDefault="00955AFF" w:rsidP="00B85AE8">
            <w:pPr>
              <w:suppressAutoHyphens/>
              <w:autoSpaceDE w:val="0"/>
              <w:autoSpaceDN w:val="0"/>
              <w:adjustRightInd w:val="0"/>
              <w:spacing w:before="20" w:after="120" w:line="288" w:lineRule="auto"/>
              <w:textAlignment w:val="center"/>
              <w:rPr>
                <w:color w:val="1C1C1C"/>
                <w:sz w:val="14"/>
                <w:szCs w:val="14"/>
              </w:rPr>
            </w:pPr>
            <w:r w:rsidRPr="00955AFF">
              <w:rPr>
                <w:color w:val="1C1C1C"/>
                <w:sz w:val="14"/>
                <w:szCs w:val="14"/>
              </w:rPr>
              <w:t>On the 1 June 2018, IHPA in its capacity as lessee entered into a 5 year lease (with 5 year extension option) for office space. On</w:t>
            </w:r>
            <w:r>
              <w:rPr>
                <w:color w:val="1C1C1C"/>
                <w:sz w:val="14"/>
                <w:szCs w:val="14"/>
              </w:rPr>
              <w:t> </w:t>
            </w:r>
            <w:r w:rsidRPr="00955AFF">
              <w:rPr>
                <w:color w:val="1C1C1C"/>
                <w:sz w:val="14"/>
                <w:szCs w:val="14"/>
              </w:rPr>
              <w:t>1</w:t>
            </w:r>
            <w:r>
              <w:rPr>
                <w:color w:val="1C1C1C"/>
                <w:sz w:val="14"/>
                <w:szCs w:val="14"/>
              </w:rPr>
              <w:t> </w:t>
            </w:r>
            <w:r w:rsidRPr="00955AFF">
              <w:rPr>
                <w:color w:val="1C1C1C"/>
                <w:sz w:val="14"/>
                <w:szCs w:val="14"/>
              </w:rPr>
              <w:t xml:space="preserve">June 2021, IHPA reassessed the end of the lease term from 31 May 2028 to 31 May 2023 and as a result reduced the lease liability and the right-of-use asset by $4.231m in accordance with AASB 16 </w:t>
            </w:r>
            <w:r w:rsidRPr="00955AFF">
              <w:rPr>
                <w:i/>
                <w:iCs/>
                <w:color w:val="1C1C1C"/>
                <w:sz w:val="14"/>
                <w:szCs w:val="14"/>
              </w:rPr>
              <w:t>Leases</w:t>
            </w:r>
            <w:r w:rsidRPr="00955AFF">
              <w:rPr>
                <w:color w:val="1C1C1C"/>
                <w:sz w:val="14"/>
                <w:szCs w:val="14"/>
              </w:rPr>
              <w:t>. IHPA is reasonably certain that the extension option will not be exercised due to a larger office space requirements to accommodate increased staff levels as a result of government decisions announced in the 2021</w:t>
            </w:r>
            <w:r>
              <w:rPr>
                <w:color w:val="1C1C1C"/>
                <w:sz w:val="14"/>
                <w:szCs w:val="14"/>
              </w:rPr>
              <w:t>–</w:t>
            </w:r>
            <w:r w:rsidRPr="00955AFF">
              <w:rPr>
                <w:color w:val="1C1C1C"/>
                <w:sz w:val="14"/>
                <w:szCs w:val="14"/>
              </w:rPr>
              <w:t>22 budget.</w:t>
            </w:r>
          </w:p>
          <w:p w14:paraId="5EBCA811" w14:textId="798BB32D" w:rsidR="009A2FF3" w:rsidRPr="00B81AE0" w:rsidRDefault="009A2FF3" w:rsidP="00B85AE8">
            <w:pPr>
              <w:suppressAutoHyphens/>
              <w:autoSpaceDE w:val="0"/>
              <w:autoSpaceDN w:val="0"/>
              <w:adjustRightInd w:val="0"/>
              <w:spacing w:before="20" w:after="20"/>
              <w:textAlignment w:val="center"/>
              <w:rPr>
                <w:color w:val="1C1C1C"/>
                <w:sz w:val="14"/>
                <w:szCs w:val="14"/>
              </w:rPr>
            </w:pPr>
          </w:p>
        </w:tc>
      </w:tr>
    </w:tbl>
    <w:p w14:paraId="7604D480" w14:textId="77777777" w:rsidR="009A2FF3" w:rsidRDefault="009A2FF3" w:rsidP="009A2FF3">
      <w:pPr>
        <w:pStyle w:val="Body"/>
        <w:spacing w:after="0"/>
        <w:rPr>
          <w:color w:val="292929"/>
        </w:rPr>
        <w:sectPr w:rsidR="009A2FF3" w:rsidSect="00C77501">
          <w:footerReference w:type="default" r:id="rId208"/>
          <w:pgSz w:w="9979" w:h="14175"/>
          <w:pgMar w:top="1135" w:right="1134" w:bottom="1134" w:left="1134" w:header="709" w:footer="709" w:gutter="0"/>
          <w:cols w:space="708"/>
          <w:docGrid w:linePitch="360"/>
        </w:sectPr>
      </w:pPr>
    </w:p>
    <w:p w14:paraId="7544EE72" w14:textId="77777777" w:rsidR="009A2FF3" w:rsidRDefault="009A2FF3" w:rsidP="00156309">
      <w:pPr>
        <w:pStyle w:val="Body"/>
        <w:rPr>
          <w:color w:val="292929"/>
        </w:rPr>
        <w:sectPr w:rsidR="009A2FF3" w:rsidSect="00C77501">
          <w:type w:val="continuous"/>
          <w:pgSz w:w="9979" w:h="14175"/>
          <w:pgMar w:top="1134" w:right="1134" w:bottom="1134" w:left="1134" w:header="709" w:footer="709" w:gutter="0"/>
          <w:cols w:space="708"/>
          <w:docGrid w:linePitch="360"/>
        </w:sectPr>
      </w:pPr>
    </w:p>
    <w:tbl>
      <w:tblPr>
        <w:tblStyle w:val="TableGrid1"/>
        <w:tblW w:w="5000" w:type="pct"/>
        <w:tblCellMar>
          <w:top w:w="57" w:type="dxa"/>
          <w:bottom w:w="57" w:type="dxa"/>
        </w:tblCellMar>
        <w:tblLook w:val="04A0" w:firstRow="1" w:lastRow="0" w:firstColumn="1" w:lastColumn="0" w:noHBand="0" w:noVBand="1"/>
        <w:tblCaption w:val="Note 2.2A"/>
        <w:tblDescription w:val="Accounting policy"/>
      </w:tblPr>
      <w:tblGrid>
        <w:gridCol w:w="7701"/>
      </w:tblGrid>
      <w:tr w:rsidR="008766F8" w14:paraId="10F35D35" w14:textId="77777777" w:rsidTr="00F21F53">
        <w:trPr>
          <w:tblHeader/>
        </w:trPr>
        <w:tc>
          <w:tcPr>
            <w:tcW w:w="5000" w:type="pct"/>
          </w:tcPr>
          <w:p w14:paraId="108D751F" w14:textId="77777777" w:rsidR="00D92577" w:rsidRPr="005300C0" w:rsidRDefault="00D92577" w:rsidP="00D92577">
            <w:pPr>
              <w:pStyle w:val="Body"/>
              <w:spacing w:after="120" w:line="288" w:lineRule="auto"/>
              <w:rPr>
                <w:rFonts w:asciiTheme="majorHAnsi" w:hAnsiTheme="majorHAnsi"/>
              </w:rPr>
            </w:pPr>
            <w:r w:rsidRPr="005300C0">
              <w:rPr>
                <w:rFonts w:asciiTheme="majorHAnsi" w:hAnsiTheme="majorHAnsi"/>
              </w:rPr>
              <w:lastRenderedPageBreak/>
              <w:t>Accounting Policy</w:t>
            </w:r>
          </w:p>
          <w:p w14:paraId="1DD2CD60" w14:textId="77777777" w:rsidR="00D92577" w:rsidRPr="00303955" w:rsidRDefault="00D92577" w:rsidP="00D92577">
            <w:pPr>
              <w:pStyle w:val="Body"/>
              <w:spacing w:after="120"/>
              <w:rPr>
                <w:b/>
                <w:bCs/>
              </w:rPr>
            </w:pPr>
            <w:r w:rsidRPr="00303955">
              <w:rPr>
                <w:b/>
                <w:bCs/>
              </w:rPr>
              <w:t>Property, plant and equipment, and intangibles</w:t>
            </w:r>
          </w:p>
          <w:p w14:paraId="3B1DAEAC" w14:textId="043B0F67" w:rsidR="00D92577" w:rsidRPr="008766F8" w:rsidRDefault="00BD5C17" w:rsidP="00D92577">
            <w:pPr>
              <w:pStyle w:val="Body"/>
              <w:spacing w:after="120"/>
            </w:pPr>
            <w:r w:rsidRPr="00BD5C17">
              <w:rPr>
                <w:lang w:val="en-AU"/>
              </w:rPr>
              <w:t>Assets are recorded at cost on acquisition except as stated below.</w:t>
            </w:r>
            <w:r>
              <w:rPr>
                <w:lang w:val="en-AU"/>
              </w:rPr>
              <w:t xml:space="preserve"> </w:t>
            </w:r>
            <w:r w:rsidRPr="00BD5C17">
              <w:rPr>
                <w:lang w:val="en-AU"/>
              </w:rPr>
              <w:t>The cost on acquisition includes the fair value of assets transferred in exchange and liabilities undertaken.</w:t>
            </w:r>
            <w:r>
              <w:rPr>
                <w:lang w:val="en-AU"/>
              </w:rPr>
              <w:t xml:space="preserve"> </w:t>
            </w:r>
            <w:r w:rsidRPr="00BD5C17">
              <w:rPr>
                <w:lang w:val="en-AU"/>
              </w:rPr>
              <w:t>Financial assets are initially measured at their fair value plus transaction costs where appropriate.</w:t>
            </w:r>
          </w:p>
          <w:p w14:paraId="7CC2CB4E" w14:textId="10E49E33" w:rsidR="00D92577" w:rsidRPr="008766F8" w:rsidRDefault="00BD5C17" w:rsidP="00D92577">
            <w:pPr>
              <w:pStyle w:val="Body"/>
              <w:spacing w:after="120"/>
            </w:pPr>
            <w:r w:rsidRPr="00BD5C17">
              <w:rPr>
                <w:lang w:val="en-AU"/>
              </w:rPr>
              <w:t>Assets acquired at no cost, or for nominal consideration, are initially recognised as assets and income at their fair value at the date of acquisition, unless acquired as a consequence of restructuring of administrative arrangements.</w:t>
            </w:r>
            <w:r>
              <w:rPr>
                <w:lang w:val="en-AU"/>
              </w:rPr>
              <w:t xml:space="preserve"> </w:t>
            </w:r>
            <w:r w:rsidRPr="00BD5C17">
              <w:rPr>
                <w:lang w:val="en-AU"/>
              </w:rPr>
              <w:t xml:space="preserve">In the latter case, assets are initially recognised as contributions by owners at the amounts at which they were recognised in the transferor’s accounts immediately prior to the restructuring. </w:t>
            </w:r>
          </w:p>
          <w:p w14:paraId="57FE72D5" w14:textId="77777777" w:rsidR="00D92577" w:rsidRPr="00303955" w:rsidRDefault="00D92577" w:rsidP="00D92577">
            <w:pPr>
              <w:pStyle w:val="Body"/>
              <w:spacing w:after="120"/>
              <w:rPr>
                <w:b/>
                <w:bCs/>
                <w:lang w:val="en-AU"/>
              </w:rPr>
            </w:pPr>
            <w:r w:rsidRPr="00303955">
              <w:rPr>
                <w:b/>
                <w:bCs/>
                <w:lang w:val="en-AU"/>
              </w:rPr>
              <w:t>Asset recognition threshold</w:t>
            </w:r>
          </w:p>
          <w:p w14:paraId="57884D30" w14:textId="58115218" w:rsidR="00D92577" w:rsidRDefault="00BD5C17" w:rsidP="00D92577">
            <w:pPr>
              <w:pStyle w:val="Body"/>
              <w:spacing w:after="120"/>
              <w:rPr>
                <w:lang w:val="en-AU"/>
              </w:rPr>
            </w:pPr>
            <w:r w:rsidRPr="00BD5C17">
              <w:rPr>
                <w:lang w:val="en-AU"/>
              </w:rPr>
              <w:t>Purchases of property, plant and equipment are recognised initially at cost in the statement of financial position, except for purchases costing less than $5,000, which are expensed in the year of acquisition (other than where they form part of a group of similar items which are significant in total).</w:t>
            </w:r>
          </w:p>
          <w:p w14:paraId="389A2B88" w14:textId="77777777" w:rsidR="00BD5C17" w:rsidRDefault="00BD5C17" w:rsidP="00BD5C17">
            <w:pPr>
              <w:pStyle w:val="Body"/>
              <w:spacing w:after="120"/>
              <w:rPr>
                <w:b/>
                <w:bCs/>
              </w:rPr>
            </w:pPr>
            <w:r w:rsidRPr="00BD5C17">
              <w:rPr>
                <w:b/>
                <w:bCs/>
              </w:rPr>
              <w:t>Lease Right of Use (ROU) Assets</w:t>
            </w:r>
          </w:p>
          <w:p w14:paraId="5FC898C5" w14:textId="05ADFB81" w:rsidR="00BD5C17" w:rsidRPr="00BD5C17" w:rsidRDefault="00BD5C17" w:rsidP="00BD5C17">
            <w:pPr>
              <w:pStyle w:val="Body"/>
              <w:spacing w:after="120"/>
              <w:rPr>
                <w:lang w:val="en-AU"/>
              </w:rPr>
            </w:pPr>
            <w:r w:rsidRPr="00BD5C17">
              <w:rPr>
                <w:lang w:val="en-AU"/>
              </w:rPr>
              <w:t>Leased ROU assets are capitalised at the commencement date of the lease and comprise of the initial lease liability amount, initial direct costs incurred when entering into the lease less any lease incentives received. These assets are accounted for by Commonwealth lessees as separate asset classes to corresponding assets owned outright, but included in the same column as where the corresponding underlying assets would be presented if they were owned.</w:t>
            </w:r>
            <w:r>
              <w:rPr>
                <w:lang w:val="en-AU"/>
              </w:rPr>
              <w:t xml:space="preserve"> </w:t>
            </w:r>
            <w:r w:rsidRPr="00BD5C17">
              <w:rPr>
                <w:lang w:val="en-AU"/>
              </w:rPr>
              <w:t>Lease ROU assets continue to be measured at cost after initial recognition.</w:t>
            </w:r>
          </w:p>
          <w:p w14:paraId="2306154A" w14:textId="36AB2C20" w:rsidR="00D92577" w:rsidRPr="00303955" w:rsidRDefault="00D92577" w:rsidP="00D92577">
            <w:pPr>
              <w:pStyle w:val="Body"/>
              <w:spacing w:after="120"/>
              <w:rPr>
                <w:b/>
                <w:bCs/>
              </w:rPr>
            </w:pPr>
            <w:r w:rsidRPr="00303955">
              <w:rPr>
                <w:b/>
                <w:bCs/>
              </w:rPr>
              <w:t>Revaluations</w:t>
            </w:r>
          </w:p>
          <w:p w14:paraId="3B6B6C1C" w14:textId="5308DB61" w:rsidR="00D92577" w:rsidRPr="008766F8" w:rsidRDefault="00BD5C17" w:rsidP="00D92577">
            <w:pPr>
              <w:pStyle w:val="Body"/>
              <w:spacing w:after="120"/>
            </w:pPr>
            <w:r w:rsidRPr="00BD5C17">
              <w:rPr>
                <w:lang w:val="en-AU"/>
              </w:rPr>
              <w:t>Following initial recognition at cost, property, plant and equipment (excluding ROU assets) are carried at fair value less subsequent accumulated depreciation and accumulated impairment losses. Valuations are conducted with sufficient frequency to ensure that the carrying amounts of assets did not differ materially from the assets’ fair values as at the reporting date. The regularity of independent valuations depended upon the volatility of movements in market values for the relevant assets.</w:t>
            </w:r>
          </w:p>
          <w:p w14:paraId="231F38CD" w14:textId="15D50AA8" w:rsidR="00D92577" w:rsidRPr="008766F8" w:rsidRDefault="00BD5C17" w:rsidP="00D92577">
            <w:pPr>
              <w:pStyle w:val="Body"/>
              <w:spacing w:after="120"/>
            </w:pPr>
            <w:r w:rsidRPr="00BD5C17">
              <w:rPr>
                <w:lang w:val="en-AU"/>
              </w:rPr>
              <w:t>Revaluation adjustments are made on a class basis. Any revaluation increment is credited to equity under the heading of asset revaluation reserve except to the extent that it reversed a previous revaluation decrement of the same asset class that was previously recognised in the surplus/deficit. Revaluation decrements for a class of assets are recognised directly in the surplus/deficit except to the extent that they reversed a previous revaluation increment for that class.</w:t>
            </w:r>
          </w:p>
          <w:p w14:paraId="7FD2E703" w14:textId="7F47E119" w:rsidR="00D92577" w:rsidRPr="008766F8" w:rsidRDefault="00BD5C17" w:rsidP="00D92577">
            <w:pPr>
              <w:pStyle w:val="Body"/>
              <w:spacing w:after="120"/>
            </w:pPr>
            <w:r w:rsidRPr="00BD5C17">
              <w:rPr>
                <w:lang w:val="en-AU"/>
              </w:rPr>
              <w:t>Any accumulated depreciation as at the revaluation date is eliminated against the gross carrying amount of the asset and the asset restated to the revalued amount.</w:t>
            </w:r>
          </w:p>
          <w:p w14:paraId="58F5566C" w14:textId="77777777" w:rsidR="00D92577" w:rsidRPr="00303955" w:rsidRDefault="00D92577" w:rsidP="00D92577">
            <w:pPr>
              <w:pStyle w:val="Body"/>
              <w:spacing w:after="120"/>
              <w:rPr>
                <w:b/>
                <w:bCs/>
              </w:rPr>
            </w:pPr>
            <w:r w:rsidRPr="00303955">
              <w:rPr>
                <w:b/>
                <w:bCs/>
              </w:rPr>
              <w:t>Depreciation</w:t>
            </w:r>
          </w:p>
          <w:p w14:paraId="570162A5" w14:textId="41565D95" w:rsidR="00D92577" w:rsidRPr="008766F8" w:rsidRDefault="00BD5C17" w:rsidP="00D92577">
            <w:pPr>
              <w:pStyle w:val="Body"/>
              <w:spacing w:after="120"/>
            </w:pPr>
            <w:r w:rsidRPr="00BD5C17">
              <w:rPr>
                <w:lang w:val="en-AU"/>
              </w:rPr>
              <w:t>Depreciable property, plant and equipment assets are written-off to their estimated residual values over their estimated useful lives to the entity using, in all cases, the straight-line method of depreciation. Depreciation rates (useful lives), residual values and methods are reviewed at each reporting date and necessary adjustments are recognised in the current, or current and future reporting periods, as appropriate.</w:t>
            </w:r>
          </w:p>
          <w:p w14:paraId="6B3245FB" w14:textId="52F9B88E" w:rsidR="00D92577" w:rsidRDefault="00BD5C17" w:rsidP="00D92577">
            <w:pPr>
              <w:pStyle w:val="Body"/>
              <w:spacing w:after="120"/>
            </w:pPr>
            <w:r w:rsidRPr="00BD5C17">
              <w:rPr>
                <w:lang w:val="en-AU"/>
              </w:rPr>
              <w:t>Depreciation rates applying to each class of depreciable asset are based on the following useful lives:</w:t>
            </w:r>
          </w:p>
          <w:tbl>
            <w:tblPr>
              <w:tblStyle w:val="TableGrid"/>
              <w:tblW w:w="2996" w:type="pct"/>
              <w:shd w:val="clear" w:color="auto" w:fill="FFFFFF" w:themeFill="background2"/>
              <w:tblLook w:val="04A0" w:firstRow="1" w:lastRow="0" w:firstColumn="1" w:lastColumn="0" w:noHBand="0" w:noVBand="1"/>
            </w:tblPr>
            <w:tblGrid>
              <w:gridCol w:w="2028"/>
              <w:gridCol w:w="1229"/>
              <w:gridCol w:w="1228"/>
            </w:tblGrid>
            <w:tr w:rsidR="00D92577" w14:paraId="7CED640E" w14:textId="77777777" w:rsidTr="006544B5">
              <w:trPr>
                <w:cnfStyle w:val="100000000000" w:firstRow="1" w:lastRow="0" w:firstColumn="0" w:lastColumn="0" w:oddVBand="0" w:evenVBand="0" w:oddHBand="0" w:evenHBand="0" w:firstRowFirstColumn="0" w:firstRowLastColumn="0" w:lastRowFirstColumn="0" w:lastRowLastColumn="0"/>
                <w:trHeight w:val="113"/>
              </w:trPr>
              <w:tc>
                <w:tcPr>
                  <w:tcW w:w="2261" w:type="pct"/>
                  <w:shd w:val="clear" w:color="auto" w:fill="FFFFFF" w:themeFill="background2"/>
                  <w:vAlign w:val="center"/>
                </w:tcPr>
                <w:p w14:paraId="02B3998F" w14:textId="77777777" w:rsidR="00D92577" w:rsidRPr="00327CD3" w:rsidRDefault="00D92577" w:rsidP="00D92577">
                  <w:pPr>
                    <w:pStyle w:val="Body"/>
                    <w:rPr>
                      <w:sz w:val="16"/>
                      <w:szCs w:val="16"/>
                    </w:rPr>
                  </w:pPr>
                </w:p>
              </w:tc>
              <w:tc>
                <w:tcPr>
                  <w:tcW w:w="1370" w:type="pct"/>
                  <w:tcBorders>
                    <w:bottom w:val="single" w:sz="4" w:space="0" w:color="292929"/>
                    <w:right w:val="single" w:sz="18" w:space="0" w:color="FFFFFF" w:themeColor="background2"/>
                  </w:tcBorders>
                  <w:shd w:val="clear" w:color="auto" w:fill="FFFFFF" w:themeFill="background2"/>
                  <w:vAlign w:val="center"/>
                </w:tcPr>
                <w:p w14:paraId="3F16C1AA" w14:textId="77777777" w:rsidR="00D92577" w:rsidRPr="00700BE1" w:rsidRDefault="00D92577" w:rsidP="00D92577">
                  <w:pPr>
                    <w:pStyle w:val="Body"/>
                    <w:rPr>
                      <w:b/>
                      <w:bCs/>
                      <w:sz w:val="16"/>
                      <w:szCs w:val="16"/>
                    </w:rPr>
                  </w:pPr>
                  <w:r w:rsidRPr="00700BE1">
                    <w:rPr>
                      <w:b/>
                      <w:bCs/>
                      <w:sz w:val="16"/>
                      <w:szCs w:val="16"/>
                    </w:rPr>
                    <w:t>202</w:t>
                  </w:r>
                  <w:r>
                    <w:rPr>
                      <w:b/>
                      <w:bCs/>
                      <w:sz w:val="16"/>
                      <w:szCs w:val="16"/>
                    </w:rPr>
                    <w:t>1</w:t>
                  </w:r>
                </w:p>
              </w:tc>
              <w:tc>
                <w:tcPr>
                  <w:tcW w:w="1369" w:type="pct"/>
                  <w:tcBorders>
                    <w:left w:val="single" w:sz="18" w:space="0" w:color="FFFFFF" w:themeColor="background2"/>
                    <w:bottom w:val="single" w:sz="4" w:space="0" w:color="292929"/>
                  </w:tcBorders>
                  <w:shd w:val="clear" w:color="auto" w:fill="FFFFFF" w:themeFill="background2"/>
                  <w:vAlign w:val="center"/>
                </w:tcPr>
                <w:p w14:paraId="671071DF" w14:textId="77777777" w:rsidR="00D92577" w:rsidRPr="00700BE1" w:rsidRDefault="00D92577" w:rsidP="00D92577">
                  <w:pPr>
                    <w:pStyle w:val="Body"/>
                    <w:rPr>
                      <w:b/>
                      <w:bCs/>
                      <w:sz w:val="16"/>
                      <w:szCs w:val="16"/>
                    </w:rPr>
                  </w:pPr>
                  <w:r w:rsidRPr="00700BE1">
                    <w:rPr>
                      <w:b/>
                      <w:bCs/>
                      <w:sz w:val="16"/>
                      <w:szCs w:val="16"/>
                    </w:rPr>
                    <w:t>20</w:t>
                  </w:r>
                  <w:r>
                    <w:rPr>
                      <w:b/>
                      <w:bCs/>
                      <w:sz w:val="16"/>
                      <w:szCs w:val="16"/>
                    </w:rPr>
                    <w:t>20</w:t>
                  </w:r>
                </w:p>
              </w:tc>
            </w:tr>
            <w:tr w:rsidR="00D92577" w14:paraId="6B35B03B" w14:textId="77777777" w:rsidTr="006544B5">
              <w:trPr>
                <w:cnfStyle w:val="100000000000" w:firstRow="1" w:lastRow="0" w:firstColumn="0" w:lastColumn="0" w:oddVBand="0" w:evenVBand="0" w:oddHBand="0" w:evenHBand="0" w:firstRowFirstColumn="0" w:firstRowLastColumn="0" w:lastRowFirstColumn="0" w:lastRowLastColumn="0"/>
                <w:trHeight w:val="113"/>
              </w:trPr>
              <w:tc>
                <w:tcPr>
                  <w:tcW w:w="2261" w:type="pct"/>
                  <w:shd w:val="clear" w:color="auto" w:fill="FFFFFF" w:themeFill="background2"/>
                  <w:vAlign w:val="center"/>
                </w:tcPr>
                <w:p w14:paraId="3A246A71" w14:textId="77777777" w:rsidR="00D92577" w:rsidRPr="00327CD3" w:rsidRDefault="00D92577" w:rsidP="00D92577">
                  <w:pPr>
                    <w:pStyle w:val="Body"/>
                    <w:rPr>
                      <w:sz w:val="16"/>
                      <w:szCs w:val="16"/>
                    </w:rPr>
                  </w:pPr>
                  <w:r>
                    <w:rPr>
                      <w:sz w:val="16"/>
                      <w:szCs w:val="16"/>
                    </w:rPr>
                    <w:t>Leasehold improvements</w:t>
                  </w:r>
                </w:p>
              </w:tc>
              <w:tc>
                <w:tcPr>
                  <w:tcW w:w="1370" w:type="pct"/>
                  <w:tcBorders>
                    <w:top w:val="single" w:sz="4" w:space="0" w:color="292929"/>
                    <w:right w:val="single" w:sz="18" w:space="0" w:color="FFFFFF" w:themeColor="background2"/>
                  </w:tcBorders>
                  <w:shd w:val="clear" w:color="auto" w:fill="FFFFFF" w:themeFill="background2"/>
                  <w:vAlign w:val="center"/>
                </w:tcPr>
                <w:p w14:paraId="2214468C" w14:textId="77777777" w:rsidR="00D92577" w:rsidRPr="00327CD3" w:rsidRDefault="00D92577" w:rsidP="00D92577">
                  <w:pPr>
                    <w:pStyle w:val="Body"/>
                    <w:rPr>
                      <w:sz w:val="16"/>
                      <w:szCs w:val="16"/>
                    </w:rPr>
                  </w:pPr>
                  <w:r>
                    <w:rPr>
                      <w:sz w:val="16"/>
                      <w:szCs w:val="16"/>
                    </w:rPr>
                    <w:t>Lease terms</w:t>
                  </w:r>
                </w:p>
              </w:tc>
              <w:tc>
                <w:tcPr>
                  <w:tcW w:w="1369" w:type="pct"/>
                  <w:tcBorders>
                    <w:top w:val="single" w:sz="4" w:space="0" w:color="292929"/>
                    <w:left w:val="single" w:sz="18" w:space="0" w:color="FFFFFF" w:themeColor="background2"/>
                  </w:tcBorders>
                  <w:shd w:val="clear" w:color="auto" w:fill="FFFFFF" w:themeFill="background2"/>
                  <w:vAlign w:val="center"/>
                </w:tcPr>
                <w:p w14:paraId="7EE325FF" w14:textId="77777777" w:rsidR="00D92577" w:rsidRPr="00327CD3" w:rsidRDefault="00D92577" w:rsidP="00D92577">
                  <w:pPr>
                    <w:pStyle w:val="Body"/>
                    <w:rPr>
                      <w:sz w:val="16"/>
                      <w:szCs w:val="16"/>
                    </w:rPr>
                  </w:pPr>
                  <w:r>
                    <w:rPr>
                      <w:sz w:val="16"/>
                      <w:szCs w:val="16"/>
                    </w:rPr>
                    <w:t>Lease terms</w:t>
                  </w:r>
                </w:p>
              </w:tc>
            </w:tr>
            <w:tr w:rsidR="00D92577" w14:paraId="23FAC9A6" w14:textId="77777777" w:rsidTr="006544B5">
              <w:trPr>
                <w:cnfStyle w:val="100000000000" w:firstRow="1" w:lastRow="0" w:firstColumn="0" w:lastColumn="0" w:oddVBand="0" w:evenVBand="0" w:oddHBand="0" w:evenHBand="0" w:firstRowFirstColumn="0" w:firstRowLastColumn="0" w:lastRowFirstColumn="0" w:lastRowLastColumn="0"/>
                <w:trHeight w:val="113"/>
              </w:trPr>
              <w:tc>
                <w:tcPr>
                  <w:tcW w:w="2261" w:type="pct"/>
                  <w:shd w:val="clear" w:color="auto" w:fill="FFFFFF" w:themeFill="background2"/>
                  <w:vAlign w:val="center"/>
                </w:tcPr>
                <w:p w14:paraId="05B6A65F" w14:textId="77777777" w:rsidR="00D92577" w:rsidRPr="00327CD3" w:rsidRDefault="00D92577" w:rsidP="00D92577">
                  <w:pPr>
                    <w:pStyle w:val="Body"/>
                    <w:rPr>
                      <w:sz w:val="16"/>
                      <w:szCs w:val="16"/>
                    </w:rPr>
                  </w:pPr>
                  <w:r>
                    <w:rPr>
                      <w:sz w:val="16"/>
                      <w:szCs w:val="16"/>
                    </w:rPr>
                    <w:t>Plant and equipment</w:t>
                  </w:r>
                </w:p>
              </w:tc>
              <w:tc>
                <w:tcPr>
                  <w:tcW w:w="1370" w:type="pct"/>
                  <w:shd w:val="clear" w:color="auto" w:fill="FFFFFF" w:themeFill="background2"/>
                  <w:vAlign w:val="center"/>
                </w:tcPr>
                <w:p w14:paraId="4B194362" w14:textId="77777777" w:rsidR="00D92577" w:rsidRPr="00327CD3" w:rsidRDefault="00D92577" w:rsidP="00D92577">
                  <w:pPr>
                    <w:pStyle w:val="Body"/>
                    <w:rPr>
                      <w:sz w:val="16"/>
                      <w:szCs w:val="16"/>
                    </w:rPr>
                  </w:pPr>
                  <w:r>
                    <w:rPr>
                      <w:sz w:val="16"/>
                      <w:szCs w:val="16"/>
                    </w:rPr>
                    <w:t>3 to 6 years</w:t>
                  </w:r>
                </w:p>
              </w:tc>
              <w:tc>
                <w:tcPr>
                  <w:tcW w:w="1369" w:type="pct"/>
                  <w:shd w:val="clear" w:color="auto" w:fill="FFFFFF" w:themeFill="background2"/>
                  <w:vAlign w:val="center"/>
                </w:tcPr>
                <w:p w14:paraId="233ADB46" w14:textId="77777777" w:rsidR="00D92577" w:rsidRPr="00327CD3" w:rsidRDefault="00D92577" w:rsidP="00D92577">
                  <w:pPr>
                    <w:pStyle w:val="Body"/>
                    <w:rPr>
                      <w:sz w:val="16"/>
                      <w:szCs w:val="16"/>
                    </w:rPr>
                  </w:pPr>
                  <w:r>
                    <w:rPr>
                      <w:sz w:val="16"/>
                      <w:szCs w:val="16"/>
                    </w:rPr>
                    <w:t>3 to 6 years</w:t>
                  </w:r>
                </w:p>
              </w:tc>
            </w:tr>
          </w:tbl>
          <w:p w14:paraId="646850DF" w14:textId="77777777" w:rsidR="008766F8" w:rsidRDefault="008766F8" w:rsidP="006544B5">
            <w:pPr>
              <w:pStyle w:val="Body"/>
              <w:spacing w:after="120"/>
            </w:pPr>
          </w:p>
        </w:tc>
      </w:tr>
    </w:tbl>
    <w:p w14:paraId="0D462003" w14:textId="08327EF8" w:rsidR="009A2FF3" w:rsidRDefault="009A2FF3" w:rsidP="00156309">
      <w:pPr>
        <w:pStyle w:val="Body"/>
        <w:rPr>
          <w:color w:val="292929"/>
        </w:rPr>
      </w:pPr>
    </w:p>
    <w:p w14:paraId="31853D83" w14:textId="77777777" w:rsidR="008766F8" w:rsidRDefault="008766F8" w:rsidP="00156309">
      <w:pPr>
        <w:pStyle w:val="Body"/>
        <w:rPr>
          <w:color w:val="292929"/>
        </w:rPr>
        <w:sectPr w:rsidR="008766F8" w:rsidSect="00BD5C17">
          <w:footerReference w:type="default" r:id="rId209"/>
          <w:pgSz w:w="9979" w:h="14175"/>
          <w:pgMar w:top="993" w:right="1134" w:bottom="1134" w:left="1134" w:header="709" w:footer="709" w:gutter="0"/>
          <w:cols w:space="708"/>
          <w:docGrid w:linePitch="360"/>
        </w:sectPr>
      </w:pPr>
    </w:p>
    <w:tbl>
      <w:tblPr>
        <w:tblStyle w:val="TableGrid1"/>
        <w:tblW w:w="4993" w:type="pct"/>
        <w:tblCellMar>
          <w:top w:w="57" w:type="dxa"/>
          <w:bottom w:w="57" w:type="dxa"/>
        </w:tblCellMar>
        <w:tblLook w:val="04A0" w:firstRow="1" w:lastRow="0" w:firstColumn="1" w:lastColumn="0" w:noHBand="0" w:noVBand="1"/>
        <w:tblCaption w:val="Note 2.2A"/>
        <w:tblDescription w:val="Accounting policy continuation"/>
      </w:tblPr>
      <w:tblGrid>
        <w:gridCol w:w="7690"/>
      </w:tblGrid>
      <w:tr w:rsidR="008766F8" w14:paraId="64C0D064" w14:textId="77777777" w:rsidTr="00F21F53">
        <w:trPr>
          <w:tblHeader/>
        </w:trPr>
        <w:tc>
          <w:tcPr>
            <w:tcW w:w="5000" w:type="pct"/>
          </w:tcPr>
          <w:p w14:paraId="1FB40B33" w14:textId="77777777" w:rsidR="001611CF" w:rsidRPr="00303955" w:rsidRDefault="001611CF" w:rsidP="001611CF">
            <w:pPr>
              <w:pStyle w:val="Body"/>
              <w:spacing w:after="120"/>
              <w:rPr>
                <w:b/>
                <w:bCs/>
              </w:rPr>
            </w:pPr>
            <w:bookmarkStart w:id="192" w:name="_Hlk82518086"/>
            <w:r w:rsidRPr="00303955">
              <w:rPr>
                <w:b/>
                <w:bCs/>
              </w:rPr>
              <w:lastRenderedPageBreak/>
              <w:t>Impairment</w:t>
            </w:r>
          </w:p>
          <w:p w14:paraId="591E7546" w14:textId="2A05ED0D" w:rsidR="001611CF" w:rsidRPr="008766F8" w:rsidRDefault="00BD5C17" w:rsidP="001611CF">
            <w:pPr>
              <w:pStyle w:val="Body"/>
              <w:spacing w:after="120"/>
            </w:pPr>
            <w:r w:rsidRPr="00BD5C17">
              <w:rPr>
                <w:lang w:val="en-AU"/>
              </w:rPr>
              <w:t>All assets were assessed for impairment at 30 June 2021. Where indications of impairment exist, the assets recoverable amount is estimated and an impairment adjustment made if the asset’s recoverable amount is less than its carrying amount.</w:t>
            </w:r>
          </w:p>
          <w:p w14:paraId="0085DECB" w14:textId="2460F6B6" w:rsidR="001611CF" w:rsidRPr="008766F8" w:rsidRDefault="00BD5C17" w:rsidP="001611CF">
            <w:pPr>
              <w:pStyle w:val="Body"/>
              <w:spacing w:after="120"/>
            </w:pPr>
            <w:r w:rsidRPr="00BD5C17">
              <w:rPr>
                <w:lang w:val="en-AU"/>
              </w:rPr>
              <w:t>The recoverable amount of an asset is the higher of its fair value less costs of disposal and its value in use. Value in use is the present value of the future cash flows expected to be derived from the asset. Where the future economic benefit of an asset is not primarily dependent on the asset’s ability to generate future cash flows, and the asset would be replaced if the entity were deprived of the asset, its value in use is taken to be its depreciated replacement cost.</w:t>
            </w:r>
          </w:p>
          <w:p w14:paraId="2AC0B57D" w14:textId="77777777" w:rsidR="001611CF" w:rsidRPr="00303955" w:rsidRDefault="001611CF" w:rsidP="001611CF">
            <w:pPr>
              <w:pStyle w:val="AlphabetListL2"/>
              <w:numPr>
                <w:ilvl w:val="0"/>
                <w:numId w:val="0"/>
              </w:numPr>
              <w:spacing w:after="120"/>
              <w:rPr>
                <w:b/>
                <w:bCs/>
              </w:rPr>
            </w:pPr>
            <w:r w:rsidRPr="00303955">
              <w:rPr>
                <w:b/>
                <w:bCs/>
                <w:lang w:val="en-AU"/>
              </w:rPr>
              <w:t>Derecognition</w:t>
            </w:r>
          </w:p>
          <w:p w14:paraId="4B0538C2" w14:textId="77777777" w:rsidR="008766F8" w:rsidRDefault="00BD5C17" w:rsidP="001611CF">
            <w:pPr>
              <w:pStyle w:val="AlphabetListL2"/>
              <w:numPr>
                <w:ilvl w:val="0"/>
                <w:numId w:val="0"/>
              </w:numPr>
              <w:spacing w:after="120"/>
              <w:rPr>
                <w:lang w:val="en-AU"/>
              </w:rPr>
            </w:pPr>
            <w:r w:rsidRPr="00BD5C17">
              <w:rPr>
                <w:lang w:val="en-AU"/>
              </w:rPr>
              <w:t>An item of property, plant and equipment is derecognised upon disposal or when no further future economic benefits are expected from its use or disposal.</w:t>
            </w:r>
          </w:p>
          <w:p w14:paraId="2D86356D" w14:textId="77777777" w:rsidR="00892971" w:rsidRPr="00303955" w:rsidRDefault="00892971" w:rsidP="00892971">
            <w:pPr>
              <w:pStyle w:val="AlphabetListL2"/>
              <w:numPr>
                <w:ilvl w:val="0"/>
                <w:numId w:val="0"/>
              </w:numPr>
              <w:spacing w:after="120"/>
              <w:rPr>
                <w:b/>
                <w:bCs/>
              </w:rPr>
            </w:pPr>
            <w:r w:rsidRPr="00303955">
              <w:rPr>
                <w:b/>
                <w:bCs/>
              </w:rPr>
              <w:t>Intangibles</w:t>
            </w:r>
          </w:p>
          <w:p w14:paraId="10BC71B7" w14:textId="77777777" w:rsidR="00892971" w:rsidRDefault="00892971" w:rsidP="00892971">
            <w:pPr>
              <w:pStyle w:val="AlphabetListL2"/>
              <w:numPr>
                <w:ilvl w:val="0"/>
                <w:numId w:val="0"/>
              </w:numPr>
              <w:spacing w:after="120"/>
            </w:pPr>
            <w:r w:rsidRPr="00BD5C17">
              <w:t xml:space="preserve">The entity's intangibles comprise internally developed software for internal use. These assets are carried at cost less accumulated </w:t>
            </w:r>
            <w:proofErr w:type="spellStart"/>
            <w:r w:rsidRPr="00BD5C17">
              <w:t>amortisation</w:t>
            </w:r>
            <w:proofErr w:type="spellEnd"/>
            <w:r w:rsidRPr="00BD5C17">
              <w:t xml:space="preserve"> and accumulated impairment losses.</w:t>
            </w:r>
          </w:p>
          <w:p w14:paraId="74DD317F" w14:textId="3F2814CB" w:rsidR="00892971" w:rsidRPr="00BD5C17" w:rsidRDefault="00892971" w:rsidP="001611CF">
            <w:pPr>
              <w:pStyle w:val="AlphabetListL2"/>
              <w:numPr>
                <w:ilvl w:val="0"/>
                <w:numId w:val="0"/>
              </w:numPr>
              <w:spacing w:after="120"/>
              <w:rPr>
                <w:lang w:val="en-AU"/>
              </w:rPr>
            </w:pPr>
            <w:r w:rsidRPr="00BD5C17">
              <w:t xml:space="preserve">Software is </w:t>
            </w:r>
            <w:proofErr w:type="spellStart"/>
            <w:r w:rsidRPr="00BD5C17">
              <w:t>amortised</w:t>
            </w:r>
            <w:proofErr w:type="spellEnd"/>
            <w:r w:rsidRPr="00BD5C17">
              <w:t xml:space="preserve"> on a straight-line basis over its anticipated useful life. The useful lives of the entity's software are 1 to 6 years (2020: 1 to 4 years). All software assets were assessed for indications of impairment as at 30 June 2021.</w:t>
            </w:r>
          </w:p>
        </w:tc>
      </w:tr>
      <w:bookmarkEnd w:id="192"/>
    </w:tbl>
    <w:p w14:paraId="38186B82" w14:textId="77777777" w:rsidR="00BD5C17" w:rsidRDefault="00BD5C17" w:rsidP="00156309">
      <w:pPr>
        <w:pStyle w:val="Body"/>
        <w:rPr>
          <w:color w:val="292929"/>
        </w:rPr>
      </w:pPr>
    </w:p>
    <w:p w14:paraId="6D13C209" w14:textId="77777777" w:rsidR="00285DF7" w:rsidRDefault="00285DF7" w:rsidP="00156309">
      <w:pPr>
        <w:pStyle w:val="Body"/>
        <w:rPr>
          <w:color w:val="292929"/>
        </w:rPr>
        <w:sectPr w:rsidR="00285DF7" w:rsidSect="00441579">
          <w:footerReference w:type="default" r:id="rId210"/>
          <w:pgSz w:w="9979" w:h="14175"/>
          <w:pgMar w:top="1134" w:right="1134" w:bottom="1134" w:left="1134" w:header="709" w:footer="709" w:gutter="0"/>
          <w:cols w:space="708"/>
          <w:docGrid w:linePitch="360"/>
        </w:sectPr>
      </w:pPr>
    </w:p>
    <w:p w14:paraId="0F1F8F68" w14:textId="77777777" w:rsidR="00005752" w:rsidRDefault="00005752" w:rsidP="00005752">
      <w:pPr>
        <w:pStyle w:val="H4Financials"/>
      </w:pPr>
      <w:bookmarkStart w:id="193" w:name="_Toc83220569"/>
      <w:r>
        <w:lastRenderedPageBreak/>
        <w:t>Note 2.3 Payables</w:t>
      </w:r>
      <w:bookmarkEnd w:id="193"/>
    </w:p>
    <w:tbl>
      <w:tblPr>
        <w:tblStyle w:val="IHPA"/>
        <w:tblW w:w="7096" w:type="dxa"/>
        <w:tblLayout w:type="fixed"/>
        <w:tblLook w:val="0020" w:firstRow="1" w:lastRow="0" w:firstColumn="0" w:lastColumn="0" w:noHBand="0" w:noVBand="0"/>
        <w:tblCaption w:val="Note 2.3"/>
        <w:tblDescription w:val="Payables"/>
      </w:tblPr>
      <w:tblGrid>
        <w:gridCol w:w="5111"/>
        <w:gridCol w:w="992"/>
        <w:gridCol w:w="993"/>
      </w:tblGrid>
      <w:tr w:rsidR="00005752" w:rsidRPr="00873FE9" w14:paraId="5A688912" w14:textId="77777777" w:rsidTr="00805671">
        <w:trPr>
          <w:trHeight w:val="340"/>
        </w:trPr>
        <w:tc>
          <w:tcPr>
            <w:tcW w:w="5111" w:type="dxa"/>
          </w:tcPr>
          <w:p w14:paraId="48CD366A" w14:textId="77777777" w:rsidR="00005752" w:rsidRPr="00873FE9" w:rsidRDefault="00005752" w:rsidP="00805671">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03AD4BBD" w14:textId="61FE9E5B" w:rsidR="00005752" w:rsidRPr="00873FE9" w:rsidRDefault="00005752" w:rsidP="0080567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873FE9">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2A3F5339" w14:textId="58E7B24F" w:rsidR="00005752" w:rsidRPr="00873FE9" w:rsidRDefault="00005752" w:rsidP="0080567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873FE9">
              <w:rPr>
                <w:rFonts w:asciiTheme="majorHAnsi" w:hAnsiTheme="majorHAnsi" w:cs="Futura PT Heavy"/>
                <w:color w:val="1C1C1C"/>
                <w:sz w:val="16"/>
                <w:szCs w:val="16"/>
                <w:lang w:val="en-US"/>
              </w:rPr>
              <w:br/>
              <w:t>$’000</w:t>
            </w:r>
          </w:p>
        </w:tc>
      </w:tr>
      <w:tr w:rsidR="00005752" w:rsidRPr="00873FE9" w14:paraId="7C97CCD1" w14:textId="77777777" w:rsidTr="00805671">
        <w:trPr>
          <w:trHeight w:val="170"/>
        </w:trPr>
        <w:tc>
          <w:tcPr>
            <w:tcW w:w="5111" w:type="dxa"/>
          </w:tcPr>
          <w:p w14:paraId="775F6FCC" w14:textId="77777777" w:rsidR="00005752" w:rsidRPr="00873FE9" w:rsidRDefault="00005752" w:rsidP="00805671">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Note 2.3A: Suppliers</w:t>
            </w:r>
          </w:p>
        </w:tc>
        <w:tc>
          <w:tcPr>
            <w:tcW w:w="992" w:type="dxa"/>
            <w:tcBorders>
              <w:top w:val="single" w:sz="12" w:space="0" w:color="auto"/>
              <w:right w:val="single" w:sz="18" w:space="0" w:color="FFFFFF" w:themeColor="background2"/>
            </w:tcBorders>
          </w:tcPr>
          <w:p w14:paraId="2350D368" w14:textId="77777777" w:rsidR="00005752" w:rsidRPr="00873FE9"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6ECAFEA4" w14:textId="77777777" w:rsidR="00005752" w:rsidRPr="00873FE9" w:rsidRDefault="00005752" w:rsidP="00805671">
            <w:pPr>
              <w:autoSpaceDE w:val="0"/>
              <w:autoSpaceDN w:val="0"/>
              <w:adjustRightInd w:val="0"/>
              <w:spacing w:before="20" w:after="20"/>
              <w:jc w:val="right"/>
              <w:rPr>
                <w:color w:val="1C1C1C"/>
                <w:sz w:val="14"/>
                <w:szCs w:val="14"/>
              </w:rPr>
            </w:pPr>
          </w:p>
        </w:tc>
      </w:tr>
      <w:tr w:rsidR="008664C1" w:rsidRPr="00873FE9" w14:paraId="481A1270" w14:textId="77777777" w:rsidTr="00805671">
        <w:trPr>
          <w:trHeight w:val="170"/>
        </w:trPr>
        <w:tc>
          <w:tcPr>
            <w:tcW w:w="5111" w:type="dxa"/>
          </w:tcPr>
          <w:p w14:paraId="669955D9" w14:textId="77777777" w:rsidR="008664C1" w:rsidRPr="00873FE9" w:rsidRDefault="008664C1" w:rsidP="00805671">
            <w:pPr>
              <w:suppressAutoHyphens/>
              <w:autoSpaceDE w:val="0"/>
              <w:autoSpaceDN w:val="0"/>
              <w:adjustRightInd w:val="0"/>
              <w:spacing w:before="20" w:after="20"/>
              <w:textAlignment w:val="center"/>
              <w:rPr>
                <w:rFonts w:cs="Futura PT Book"/>
                <w:color w:val="1C1C1C"/>
                <w:sz w:val="14"/>
                <w:szCs w:val="14"/>
                <w:lang w:val="en-US"/>
              </w:rPr>
            </w:pPr>
            <w:r w:rsidRPr="00873FE9">
              <w:rPr>
                <w:color w:val="1C1C1C"/>
                <w:sz w:val="14"/>
                <w:szCs w:val="14"/>
              </w:rPr>
              <w:t>Trade creditors and accruals</w:t>
            </w:r>
          </w:p>
        </w:tc>
        <w:tc>
          <w:tcPr>
            <w:tcW w:w="992" w:type="dxa"/>
            <w:tcBorders>
              <w:bottom w:val="single" w:sz="2" w:space="0" w:color="auto"/>
              <w:right w:val="single" w:sz="18" w:space="0" w:color="FFFFFF" w:themeColor="background2"/>
            </w:tcBorders>
          </w:tcPr>
          <w:p w14:paraId="237F63A4" w14:textId="61305C78" w:rsidR="008664C1" w:rsidRPr="00BE3928" w:rsidRDefault="00BD5C17" w:rsidP="00805671">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Pr>
                <w:rFonts w:asciiTheme="majorHAnsi" w:hAnsiTheme="majorHAnsi" w:cs="Calibri"/>
                <w:sz w:val="14"/>
                <w:szCs w:val="14"/>
              </w:rPr>
              <w:t>1</w:t>
            </w:r>
            <w:r w:rsidR="008664C1" w:rsidRPr="00BE3928">
              <w:rPr>
                <w:rFonts w:asciiTheme="majorHAnsi" w:hAnsiTheme="majorHAnsi" w:cs="Calibri"/>
                <w:sz w:val="14"/>
                <w:szCs w:val="14"/>
              </w:rPr>
              <w:t>,</w:t>
            </w:r>
            <w:r>
              <w:rPr>
                <w:rFonts w:asciiTheme="majorHAnsi" w:hAnsiTheme="majorHAnsi" w:cs="Calibri"/>
                <w:sz w:val="14"/>
                <w:szCs w:val="14"/>
              </w:rPr>
              <w:t>737</w:t>
            </w:r>
            <w:r w:rsidR="008664C1" w:rsidRPr="00BE3928">
              <w:rPr>
                <w:rFonts w:asciiTheme="majorHAnsi" w:hAnsiTheme="majorHAnsi" w:cs="Calibri"/>
                <w:sz w:val="14"/>
                <w:szCs w:val="14"/>
              </w:rPr>
              <w:t xml:space="preserve"> </w:t>
            </w:r>
          </w:p>
        </w:tc>
        <w:tc>
          <w:tcPr>
            <w:tcW w:w="993" w:type="dxa"/>
            <w:tcBorders>
              <w:left w:val="single" w:sz="18" w:space="0" w:color="FFFFFF" w:themeColor="background2"/>
              <w:bottom w:val="single" w:sz="2" w:space="0" w:color="auto"/>
            </w:tcBorders>
          </w:tcPr>
          <w:p w14:paraId="691E3D14" w14:textId="0AE17ACD" w:rsidR="008664C1" w:rsidRPr="00BE3928" w:rsidRDefault="008664C1" w:rsidP="00805671">
            <w:pPr>
              <w:suppressAutoHyphens/>
              <w:autoSpaceDE w:val="0"/>
              <w:autoSpaceDN w:val="0"/>
              <w:adjustRightInd w:val="0"/>
              <w:spacing w:before="20" w:after="20"/>
              <w:jc w:val="right"/>
              <w:textAlignment w:val="center"/>
              <w:rPr>
                <w:rFonts w:cs="Futura PT Book"/>
                <w:color w:val="1C1C1C"/>
                <w:sz w:val="14"/>
                <w:szCs w:val="14"/>
                <w:lang w:val="en-US"/>
              </w:rPr>
            </w:pPr>
            <w:r w:rsidRPr="00BE3928">
              <w:rPr>
                <w:rFonts w:cs="Calibri"/>
                <w:sz w:val="14"/>
                <w:szCs w:val="14"/>
              </w:rPr>
              <w:t xml:space="preserve">2,416 </w:t>
            </w:r>
          </w:p>
        </w:tc>
      </w:tr>
      <w:tr w:rsidR="008664C1" w:rsidRPr="00873FE9" w14:paraId="72404A2E" w14:textId="77777777" w:rsidTr="00805671">
        <w:trPr>
          <w:trHeight w:val="170"/>
        </w:trPr>
        <w:tc>
          <w:tcPr>
            <w:tcW w:w="5111" w:type="dxa"/>
          </w:tcPr>
          <w:p w14:paraId="2B423B4A" w14:textId="77777777" w:rsidR="008664C1" w:rsidRPr="00873FE9" w:rsidRDefault="008664C1" w:rsidP="00805671">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Total suppliers</w:t>
            </w:r>
          </w:p>
        </w:tc>
        <w:tc>
          <w:tcPr>
            <w:tcW w:w="992" w:type="dxa"/>
            <w:tcBorders>
              <w:top w:val="single" w:sz="2" w:space="0" w:color="auto"/>
              <w:bottom w:val="single" w:sz="2" w:space="0" w:color="auto"/>
              <w:right w:val="single" w:sz="18" w:space="0" w:color="FFFFFF" w:themeColor="background2"/>
            </w:tcBorders>
          </w:tcPr>
          <w:p w14:paraId="26E94F3D" w14:textId="3C265286" w:rsidR="008664C1" w:rsidRPr="00BE3928" w:rsidRDefault="00BD5C17" w:rsidP="00805671">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w:t>
            </w:r>
            <w:r w:rsidR="008664C1" w:rsidRPr="00BE3928">
              <w:rPr>
                <w:rFonts w:asciiTheme="majorHAnsi" w:hAnsiTheme="majorHAnsi" w:cs="Calibri"/>
                <w:sz w:val="14"/>
                <w:szCs w:val="14"/>
              </w:rPr>
              <w:t>,</w:t>
            </w:r>
            <w:r>
              <w:rPr>
                <w:rFonts w:asciiTheme="majorHAnsi" w:hAnsiTheme="majorHAnsi" w:cs="Calibri"/>
                <w:sz w:val="14"/>
                <w:szCs w:val="14"/>
              </w:rPr>
              <w:t>737</w:t>
            </w:r>
            <w:r w:rsidR="008664C1" w:rsidRPr="00BE3928">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5F91AA54" w14:textId="73D317F6" w:rsidR="008664C1" w:rsidRPr="00BE3928" w:rsidRDefault="008664C1" w:rsidP="00805671">
            <w:pPr>
              <w:suppressAutoHyphens/>
              <w:autoSpaceDE w:val="0"/>
              <w:autoSpaceDN w:val="0"/>
              <w:adjustRightInd w:val="0"/>
              <w:spacing w:before="20" w:after="20"/>
              <w:jc w:val="right"/>
              <w:textAlignment w:val="center"/>
              <w:rPr>
                <w:rFonts w:cs="Futura PT Book"/>
                <w:color w:val="1C1C1C"/>
                <w:sz w:val="14"/>
                <w:szCs w:val="14"/>
                <w:lang w:val="en-US"/>
              </w:rPr>
            </w:pPr>
            <w:r w:rsidRPr="00BE3928">
              <w:rPr>
                <w:rFonts w:cs="Calibri"/>
                <w:sz w:val="14"/>
                <w:szCs w:val="14"/>
              </w:rPr>
              <w:t xml:space="preserve">2,416 </w:t>
            </w:r>
          </w:p>
        </w:tc>
      </w:tr>
      <w:tr w:rsidR="00005752" w:rsidRPr="00873FE9" w14:paraId="77AB8F54" w14:textId="77777777" w:rsidTr="00805671">
        <w:trPr>
          <w:trHeight w:val="170"/>
        </w:trPr>
        <w:tc>
          <w:tcPr>
            <w:tcW w:w="5111" w:type="dxa"/>
          </w:tcPr>
          <w:p w14:paraId="276AB59B" w14:textId="77777777" w:rsidR="00005752" w:rsidRPr="00873FE9" w:rsidRDefault="00005752" w:rsidP="00805671">
            <w:pPr>
              <w:suppressAutoHyphens/>
              <w:autoSpaceDE w:val="0"/>
              <w:autoSpaceDN w:val="0"/>
              <w:adjustRightInd w:val="0"/>
              <w:spacing w:before="20" w:after="20"/>
              <w:textAlignment w:val="center"/>
              <w:rPr>
                <w:color w:val="1C1C1C"/>
                <w:sz w:val="14"/>
                <w:szCs w:val="14"/>
              </w:rPr>
            </w:pPr>
          </w:p>
        </w:tc>
        <w:tc>
          <w:tcPr>
            <w:tcW w:w="992" w:type="dxa"/>
            <w:tcBorders>
              <w:top w:val="single" w:sz="2" w:space="0" w:color="auto"/>
              <w:right w:val="single" w:sz="18" w:space="0" w:color="FFFFFF" w:themeColor="background2"/>
            </w:tcBorders>
          </w:tcPr>
          <w:p w14:paraId="43C5CE8E" w14:textId="77777777" w:rsidR="00005752" w:rsidRPr="00873FE9"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1691EFDC" w14:textId="77777777" w:rsidR="00005752" w:rsidRPr="00873FE9" w:rsidRDefault="00005752" w:rsidP="00805671">
            <w:pPr>
              <w:suppressAutoHyphens/>
              <w:autoSpaceDE w:val="0"/>
              <w:autoSpaceDN w:val="0"/>
              <w:adjustRightInd w:val="0"/>
              <w:spacing w:before="20" w:after="20"/>
              <w:jc w:val="right"/>
              <w:textAlignment w:val="center"/>
              <w:rPr>
                <w:color w:val="1C1C1C"/>
                <w:sz w:val="14"/>
                <w:szCs w:val="14"/>
              </w:rPr>
            </w:pPr>
          </w:p>
        </w:tc>
      </w:tr>
      <w:tr w:rsidR="00005752" w:rsidRPr="00873FE9" w14:paraId="3CEFAB5D" w14:textId="77777777" w:rsidTr="00805671">
        <w:trPr>
          <w:trHeight w:val="170"/>
        </w:trPr>
        <w:tc>
          <w:tcPr>
            <w:tcW w:w="5111" w:type="dxa"/>
          </w:tcPr>
          <w:p w14:paraId="0BA68381" w14:textId="4B380845" w:rsidR="00005752" w:rsidRPr="00873FE9" w:rsidRDefault="00101AD9" w:rsidP="00805671">
            <w:pPr>
              <w:suppressAutoHyphens/>
              <w:autoSpaceDE w:val="0"/>
              <w:autoSpaceDN w:val="0"/>
              <w:adjustRightInd w:val="0"/>
              <w:spacing w:before="20" w:after="20"/>
              <w:textAlignment w:val="center"/>
              <w:rPr>
                <w:color w:val="1C1C1C"/>
                <w:sz w:val="14"/>
                <w:szCs w:val="14"/>
              </w:rPr>
            </w:pPr>
            <w:r>
              <w:rPr>
                <w:color w:val="1C1C1C"/>
                <w:sz w:val="14"/>
                <w:szCs w:val="14"/>
              </w:rPr>
              <w:t>S</w:t>
            </w:r>
            <w:r w:rsidR="00005752" w:rsidRPr="00873FE9">
              <w:rPr>
                <w:color w:val="1C1C1C"/>
                <w:sz w:val="14"/>
                <w:szCs w:val="14"/>
              </w:rPr>
              <w:t>ettle</w:t>
            </w:r>
            <w:r w:rsidR="00C963EA">
              <w:rPr>
                <w:color w:val="1C1C1C"/>
                <w:sz w:val="14"/>
                <w:szCs w:val="14"/>
              </w:rPr>
              <w:t>ment terms are 30 days</w:t>
            </w:r>
            <w:r w:rsidR="00005752" w:rsidRPr="00873FE9">
              <w:rPr>
                <w:color w:val="1C1C1C"/>
                <w:sz w:val="14"/>
                <w:szCs w:val="14"/>
              </w:rPr>
              <w:t>.</w:t>
            </w:r>
          </w:p>
        </w:tc>
        <w:tc>
          <w:tcPr>
            <w:tcW w:w="992" w:type="dxa"/>
            <w:tcBorders>
              <w:right w:val="single" w:sz="18" w:space="0" w:color="FFFFFF" w:themeColor="background2"/>
            </w:tcBorders>
          </w:tcPr>
          <w:p w14:paraId="0E0F9441" w14:textId="77777777" w:rsidR="00005752" w:rsidRPr="00873FE9"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06B7316C" w14:textId="77777777" w:rsidR="00005752" w:rsidRPr="00873FE9" w:rsidRDefault="00005752" w:rsidP="00805671">
            <w:pPr>
              <w:suppressAutoHyphens/>
              <w:autoSpaceDE w:val="0"/>
              <w:autoSpaceDN w:val="0"/>
              <w:adjustRightInd w:val="0"/>
              <w:spacing w:before="20" w:after="20"/>
              <w:jc w:val="right"/>
              <w:textAlignment w:val="center"/>
              <w:rPr>
                <w:color w:val="1C1C1C"/>
                <w:sz w:val="14"/>
                <w:szCs w:val="14"/>
              </w:rPr>
            </w:pPr>
          </w:p>
        </w:tc>
      </w:tr>
      <w:tr w:rsidR="00005752" w:rsidRPr="00873FE9" w14:paraId="310430E2" w14:textId="77777777" w:rsidTr="00805671">
        <w:trPr>
          <w:trHeight w:val="170"/>
        </w:trPr>
        <w:tc>
          <w:tcPr>
            <w:tcW w:w="5111" w:type="dxa"/>
          </w:tcPr>
          <w:p w14:paraId="518DF24A" w14:textId="77777777" w:rsidR="00005752" w:rsidRPr="00873FE9" w:rsidRDefault="00005752" w:rsidP="00805671">
            <w:pPr>
              <w:suppressAutoHyphens/>
              <w:autoSpaceDE w:val="0"/>
              <w:autoSpaceDN w:val="0"/>
              <w:adjustRightInd w:val="0"/>
              <w:spacing w:before="20" w:after="20"/>
              <w:textAlignment w:val="center"/>
              <w:rPr>
                <w:color w:val="1C1C1C"/>
                <w:sz w:val="14"/>
                <w:szCs w:val="14"/>
              </w:rPr>
            </w:pPr>
          </w:p>
        </w:tc>
        <w:tc>
          <w:tcPr>
            <w:tcW w:w="992" w:type="dxa"/>
            <w:tcBorders>
              <w:right w:val="single" w:sz="18" w:space="0" w:color="FFFFFF" w:themeColor="background2"/>
            </w:tcBorders>
          </w:tcPr>
          <w:p w14:paraId="4D94E31D" w14:textId="77777777" w:rsidR="00005752" w:rsidRPr="00873FE9"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63D9AE64" w14:textId="77777777" w:rsidR="00005752" w:rsidRPr="00873FE9" w:rsidRDefault="00005752" w:rsidP="00805671">
            <w:pPr>
              <w:suppressAutoHyphens/>
              <w:autoSpaceDE w:val="0"/>
              <w:autoSpaceDN w:val="0"/>
              <w:adjustRightInd w:val="0"/>
              <w:spacing w:before="20" w:after="20"/>
              <w:jc w:val="right"/>
              <w:textAlignment w:val="center"/>
              <w:rPr>
                <w:color w:val="1C1C1C"/>
                <w:sz w:val="14"/>
                <w:szCs w:val="14"/>
              </w:rPr>
            </w:pPr>
          </w:p>
        </w:tc>
      </w:tr>
      <w:tr w:rsidR="00005752" w:rsidRPr="00873FE9" w14:paraId="1843C59D" w14:textId="77777777" w:rsidTr="00805671">
        <w:trPr>
          <w:trHeight w:val="170"/>
        </w:trPr>
        <w:tc>
          <w:tcPr>
            <w:tcW w:w="5111" w:type="dxa"/>
          </w:tcPr>
          <w:p w14:paraId="08D41FED" w14:textId="77777777" w:rsidR="00005752" w:rsidRPr="00873FE9" w:rsidRDefault="00005752" w:rsidP="00805671">
            <w:pPr>
              <w:suppressAutoHyphens/>
              <w:autoSpaceDE w:val="0"/>
              <w:autoSpaceDN w:val="0"/>
              <w:adjustRightInd w:val="0"/>
              <w:spacing w:before="20" w:after="20"/>
              <w:textAlignment w:val="center"/>
              <w:rPr>
                <w:rFonts w:asciiTheme="majorHAnsi" w:hAnsiTheme="majorHAnsi"/>
                <w:color w:val="1C1C1C"/>
                <w:sz w:val="14"/>
                <w:szCs w:val="14"/>
              </w:rPr>
            </w:pPr>
            <w:r w:rsidRPr="00873FE9">
              <w:rPr>
                <w:rFonts w:asciiTheme="majorHAnsi" w:hAnsiTheme="majorHAnsi"/>
                <w:color w:val="1C1C1C"/>
                <w:sz w:val="14"/>
                <w:szCs w:val="14"/>
              </w:rPr>
              <w:t>Note 2.3B: Other Payables</w:t>
            </w:r>
          </w:p>
        </w:tc>
        <w:tc>
          <w:tcPr>
            <w:tcW w:w="992" w:type="dxa"/>
            <w:tcBorders>
              <w:right w:val="single" w:sz="18" w:space="0" w:color="FFFFFF" w:themeColor="background2"/>
            </w:tcBorders>
          </w:tcPr>
          <w:p w14:paraId="4CD9880F" w14:textId="77777777" w:rsidR="00005752" w:rsidRPr="00873FE9"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504593CB" w14:textId="77777777" w:rsidR="00005752" w:rsidRPr="00873FE9" w:rsidRDefault="00005752" w:rsidP="00805671">
            <w:pPr>
              <w:suppressAutoHyphens/>
              <w:autoSpaceDE w:val="0"/>
              <w:autoSpaceDN w:val="0"/>
              <w:adjustRightInd w:val="0"/>
              <w:spacing w:before="20" w:after="20"/>
              <w:jc w:val="right"/>
              <w:textAlignment w:val="center"/>
              <w:rPr>
                <w:color w:val="1C1C1C"/>
                <w:sz w:val="14"/>
                <w:szCs w:val="14"/>
              </w:rPr>
            </w:pPr>
          </w:p>
        </w:tc>
      </w:tr>
      <w:tr w:rsidR="00BE3928" w:rsidRPr="00873FE9" w14:paraId="3DA06C59" w14:textId="77777777" w:rsidTr="00805671">
        <w:trPr>
          <w:trHeight w:val="170"/>
        </w:trPr>
        <w:tc>
          <w:tcPr>
            <w:tcW w:w="5111" w:type="dxa"/>
          </w:tcPr>
          <w:p w14:paraId="7B00DCF7" w14:textId="77777777" w:rsidR="00BE3928" w:rsidRPr="00873FE9" w:rsidRDefault="00BE3928" w:rsidP="00805671">
            <w:pPr>
              <w:suppressAutoHyphens/>
              <w:autoSpaceDE w:val="0"/>
              <w:autoSpaceDN w:val="0"/>
              <w:adjustRightInd w:val="0"/>
              <w:spacing w:before="20" w:after="20"/>
              <w:textAlignment w:val="center"/>
              <w:rPr>
                <w:color w:val="1C1C1C"/>
                <w:sz w:val="14"/>
                <w:szCs w:val="14"/>
              </w:rPr>
            </w:pPr>
            <w:r w:rsidRPr="00873FE9">
              <w:rPr>
                <w:color w:val="1C1C1C"/>
                <w:sz w:val="14"/>
                <w:szCs w:val="14"/>
              </w:rPr>
              <w:t>Payable to Department of Health</w:t>
            </w:r>
          </w:p>
        </w:tc>
        <w:tc>
          <w:tcPr>
            <w:tcW w:w="992" w:type="dxa"/>
            <w:tcBorders>
              <w:right w:val="single" w:sz="18" w:space="0" w:color="FFFFFF" w:themeColor="background2"/>
            </w:tcBorders>
          </w:tcPr>
          <w:p w14:paraId="6B29F420" w14:textId="6562F0F7" w:rsidR="00BE3928" w:rsidRPr="00BE3928" w:rsidRDefault="00BE3928" w:rsidP="00805671">
            <w:pPr>
              <w:autoSpaceDE w:val="0"/>
              <w:autoSpaceDN w:val="0"/>
              <w:adjustRightInd w:val="0"/>
              <w:spacing w:before="20" w:after="20"/>
              <w:jc w:val="right"/>
              <w:rPr>
                <w:rFonts w:asciiTheme="majorHAnsi" w:hAnsiTheme="majorHAnsi"/>
                <w:color w:val="1C1C1C"/>
                <w:sz w:val="14"/>
                <w:szCs w:val="14"/>
              </w:rPr>
            </w:pPr>
            <w:r w:rsidRPr="00BE3928">
              <w:rPr>
                <w:rFonts w:asciiTheme="majorHAnsi" w:hAnsiTheme="majorHAnsi"/>
                <w:sz w:val="14"/>
                <w:szCs w:val="14"/>
              </w:rPr>
              <w:t xml:space="preserve"> - </w:t>
            </w:r>
          </w:p>
        </w:tc>
        <w:tc>
          <w:tcPr>
            <w:tcW w:w="993" w:type="dxa"/>
            <w:tcBorders>
              <w:left w:val="single" w:sz="18" w:space="0" w:color="FFFFFF" w:themeColor="background2"/>
            </w:tcBorders>
          </w:tcPr>
          <w:p w14:paraId="43876E54" w14:textId="1D395A2E" w:rsidR="00BE3928" w:rsidRPr="00BE3928" w:rsidRDefault="00BE3928" w:rsidP="00805671">
            <w:pPr>
              <w:suppressAutoHyphens/>
              <w:autoSpaceDE w:val="0"/>
              <w:autoSpaceDN w:val="0"/>
              <w:adjustRightInd w:val="0"/>
              <w:spacing w:before="20" w:after="20"/>
              <w:jc w:val="right"/>
              <w:textAlignment w:val="center"/>
              <w:rPr>
                <w:color w:val="1C1C1C"/>
                <w:sz w:val="14"/>
                <w:szCs w:val="14"/>
              </w:rPr>
            </w:pPr>
            <w:r w:rsidRPr="00BE3928">
              <w:rPr>
                <w:sz w:val="14"/>
                <w:szCs w:val="14"/>
              </w:rPr>
              <w:t xml:space="preserve">2 </w:t>
            </w:r>
          </w:p>
        </w:tc>
      </w:tr>
      <w:tr w:rsidR="00BE3928" w:rsidRPr="00873FE9" w14:paraId="0C99C984" w14:textId="77777777" w:rsidTr="00805671">
        <w:trPr>
          <w:trHeight w:val="170"/>
        </w:trPr>
        <w:tc>
          <w:tcPr>
            <w:tcW w:w="5111" w:type="dxa"/>
          </w:tcPr>
          <w:p w14:paraId="4E697862" w14:textId="77777777" w:rsidR="00BE3928" w:rsidRPr="00873FE9" w:rsidRDefault="00BE3928" w:rsidP="00805671">
            <w:pPr>
              <w:suppressAutoHyphens/>
              <w:autoSpaceDE w:val="0"/>
              <w:autoSpaceDN w:val="0"/>
              <w:adjustRightInd w:val="0"/>
              <w:spacing w:before="20" w:after="20"/>
              <w:textAlignment w:val="center"/>
              <w:rPr>
                <w:color w:val="1C1C1C"/>
                <w:sz w:val="14"/>
                <w:szCs w:val="14"/>
              </w:rPr>
            </w:pPr>
            <w:r w:rsidRPr="00873FE9">
              <w:rPr>
                <w:color w:val="1C1C1C"/>
                <w:sz w:val="14"/>
                <w:szCs w:val="14"/>
              </w:rPr>
              <w:t>Salaries and wages</w:t>
            </w:r>
          </w:p>
        </w:tc>
        <w:tc>
          <w:tcPr>
            <w:tcW w:w="992" w:type="dxa"/>
            <w:tcBorders>
              <w:bottom w:val="single" w:sz="2" w:space="0" w:color="auto"/>
              <w:right w:val="single" w:sz="18" w:space="0" w:color="FFFFFF" w:themeColor="background2"/>
            </w:tcBorders>
          </w:tcPr>
          <w:p w14:paraId="3F3C3094" w14:textId="4E188D1C" w:rsidR="00BE3928" w:rsidRPr="00BE3928" w:rsidRDefault="00BE3928" w:rsidP="00805671">
            <w:pPr>
              <w:autoSpaceDE w:val="0"/>
              <w:autoSpaceDN w:val="0"/>
              <w:adjustRightInd w:val="0"/>
              <w:spacing w:before="20" w:after="20"/>
              <w:jc w:val="right"/>
              <w:rPr>
                <w:rFonts w:asciiTheme="majorHAnsi" w:hAnsiTheme="majorHAnsi"/>
                <w:color w:val="1C1C1C"/>
                <w:sz w:val="14"/>
                <w:szCs w:val="14"/>
              </w:rPr>
            </w:pPr>
            <w:r w:rsidRPr="00BE3928">
              <w:rPr>
                <w:rFonts w:asciiTheme="majorHAnsi" w:hAnsiTheme="majorHAnsi"/>
                <w:sz w:val="14"/>
                <w:szCs w:val="14"/>
              </w:rPr>
              <w:t xml:space="preserve">18 </w:t>
            </w:r>
          </w:p>
        </w:tc>
        <w:tc>
          <w:tcPr>
            <w:tcW w:w="993" w:type="dxa"/>
            <w:tcBorders>
              <w:left w:val="single" w:sz="18" w:space="0" w:color="FFFFFF" w:themeColor="background2"/>
              <w:bottom w:val="single" w:sz="2" w:space="0" w:color="auto"/>
            </w:tcBorders>
          </w:tcPr>
          <w:p w14:paraId="0320639A" w14:textId="1F20D656" w:rsidR="00BE3928" w:rsidRPr="00BE3928" w:rsidRDefault="00BE3928" w:rsidP="00805671">
            <w:pPr>
              <w:suppressAutoHyphens/>
              <w:autoSpaceDE w:val="0"/>
              <w:autoSpaceDN w:val="0"/>
              <w:adjustRightInd w:val="0"/>
              <w:spacing w:before="20" w:after="20"/>
              <w:jc w:val="right"/>
              <w:textAlignment w:val="center"/>
              <w:rPr>
                <w:color w:val="1C1C1C"/>
                <w:sz w:val="14"/>
                <w:szCs w:val="14"/>
              </w:rPr>
            </w:pPr>
            <w:r w:rsidRPr="00BE3928">
              <w:rPr>
                <w:sz w:val="14"/>
                <w:szCs w:val="14"/>
              </w:rPr>
              <w:t xml:space="preserve">10 </w:t>
            </w:r>
          </w:p>
        </w:tc>
      </w:tr>
      <w:tr w:rsidR="00BE3928" w:rsidRPr="00873FE9" w14:paraId="7D2422EA" w14:textId="77777777" w:rsidTr="00805671">
        <w:trPr>
          <w:trHeight w:val="170"/>
        </w:trPr>
        <w:tc>
          <w:tcPr>
            <w:tcW w:w="5111" w:type="dxa"/>
          </w:tcPr>
          <w:p w14:paraId="4B9CB5A6" w14:textId="77777777" w:rsidR="00BE3928" w:rsidRPr="00873FE9" w:rsidRDefault="00BE3928" w:rsidP="00805671">
            <w:pPr>
              <w:suppressAutoHyphens/>
              <w:autoSpaceDE w:val="0"/>
              <w:autoSpaceDN w:val="0"/>
              <w:adjustRightInd w:val="0"/>
              <w:spacing w:before="20" w:after="20"/>
              <w:textAlignment w:val="center"/>
              <w:rPr>
                <w:rFonts w:asciiTheme="majorHAnsi" w:hAnsiTheme="majorHAnsi"/>
                <w:color w:val="1C1C1C"/>
                <w:sz w:val="14"/>
                <w:szCs w:val="14"/>
              </w:rPr>
            </w:pPr>
            <w:r w:rsidRPr="00873FE9">
              <w:rPr>
                <w:rFonts w:asciiTheme="majorHAnsi" w:hAnsiTheme="majorHAnsi"/>
                <w:color w:val="1C1C1C"/>
                <w:sz w:val="14"/>
                <w:szCs w:val="14"/>
              </w:rPr>
              <w:t>Total other payables</w:t>
            </w:r>
          </w:p>
        </w:tc>
        <w:tc>
          <w:tcPr>
            <w:tcW w:w="992" w:type="dxa"/>
            <w:tcBorders>
              <w:top w:val="single" w:sz="2" w:space="0" w:color="auto"/>
              <w:bottom w:val="single" w:sz="2" w:space="0" w:color="auto"/>
              <w:right w:val="single" w:sz="18" w:space="0" w:color="FFFFFF" w:themeColor="background2"/>
            </w:tcBorders>
          </w:tcPr>
          <w:p w14:paraId="55F16CC2" w14:textId="085702AB" w:rsidR="00BE3928" w:rsidRPr="00BE3928" w:rsidRDefault="00BE3928" w:rsidP="00805671">
            <w:pPr>
              <w:autoSpaceDE w:val="0"/>
              <w:autoSpaceDN w:val="0"/>
              <w:adjustRightInd w:val="0"/>
              <w:spacing w:before="20" w:after="20"/>
              <w:jc w:val="right"/>
              <w:rPr>
                <w:rFonts w:asciiTheme="majorHAnsi" w:hAnsiTheme="majorHAnsi"/>
                <w:color w:val="1C1C1C"/>
                <w:sz w:val="14"/>
                <w:szCs w:val="14"/>
              </w:rPr>
            </w:pPr>
            <w:r w:rsidRPr="00BE3928">
              <w:rPr>
                <w:rFonts w:asciiTheme="majorHAnsi" w:hAnsiTheme="majorHAnsi"/>
                <w:sz w:val="14"/>
                <w:szCs w:val="14"/>
              </w:rPr>
              <w:t>1</w:t>
            </w:r>
            <w:r w:rsidR="00BD5C17">
              <w:rPr>
                <w:rFonts w:asciiTheme="majorHAnsi" w:hAnsiTheme="majorHAnsi"/>
                <w:sz w:val="14"/>
                <w:szCs w:val="14"/>
              </w:rPr>
              <w:t>8</w:t>
            </w:r>
            <w:r w:rsidRPr="00BE3928">
              <w:rPr>
                <w:rFonts w:asciiTheme="majorHAnsi" w:hAnsiTheme="majorHAns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29E624F2" w14:textId="6B078F0B" w:rsidR="00BE3928" w:rsidRPr="00BE3928" w:rsidRDefault="00BE3928" w:rsidP="00805671">
            <w:pPr>
              <w:suppressAutoHyphens/>
              <w:autoSpaceDE w:val="0"/>
              <w:autoSpaceDN w:val="0"/>
              <w:adjustRightInd w:val="0"/>
              <w:spacing w:before="20" w:after="20"/>
              <w:jc w:val="right"/>
              <w:textAlignment w:val="center"/>
              <w:rPr>
                <w:color w:val="1C1C1C"/>
                <w:sz w:val="14"/>
                <w:szCs w:val="14"/>
              </w:rPr>
            </w:pPr>
            <w:r w:rsidRPr="00BE3928">
              <w:rPr>
                <w:sz w:val="14"/>
                <w:szCs w:val="14"/>
              </w:rPr>
              <w:t xml:space="preserve">12 </w:t>
            </w:r>
          </w:p>
        </w:tc>
      </w:tr>
      <w:tr w:rsidR="00005752" w:rsidRPr="00873FE9" w14:paraId="57263729" w14:textId="77777777" w:rsidTr="00805671">
        <w:trPr>
          <w:trHeight w:val="57"/>
        </w:trPr>
        <w:tc>
          <w:tcPr>
            <w:tcW w:w="5111" w:type="dxa"/>
          </w:tcPr>
          <w:p w14:paraId="6557FCDA" w14:textId="77777777" w:rsidR="00005752" w:rsidRPr="00873FE9" w:rsidRDefault="00005752" w:rsidP="00805671">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7B8C15AD" w14:textId="77777777" w:rsidR="00005752" w:rsidRPr="00873FE9" w:rsidRDefault="00005752" w:rsidP="00805671">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8288FEC" w14:textId="77777777" w:rsidR="00005752" w:rsidRPr="00873FE9" w:rsidRDefault="00005752" w:rsidP="00805671">
            <w:pPr>
              <w:suppressAutoHyphens/>
              <w:autoSpaceDE w:val="0"/>
              <w:autoSpaceDN w:val="0"/>
              <w:adjustRightInd w:val="0"/>
              <w:spacing w:before="20" w:after="20"/>
              <w:jc w:val="right"/>
              <w:textAlignment w:val="center"/>
              <w:rPr>
                <w:color w:val="1C1C1C"/>
                <w:sz w:val="4"/>
                <w:szCs w:val="4"/>
              </w:rPr>
            </w:pPr>
          </w:p>
        </w:tc>
      </w:tr>
    </w:tbl>
    <w:p w14:paraId="701F0558" w14:textId="77777777" w:rsidR="00005752" w:rsidRDefault="00005752" w:rsidP="00005752">
      <w:pPr>
        <w:pStyle w:val="Body"/>
      </w:pPr>
    </w:p>
    <w:p w14:paraId="711CFEEC" w14:textId="77777777" w:rsidR="00005752" w:rsidRDefault="00005752" w:rsidP="00005752">
      <w:pPr>
        <w:pStyle w:val="H4Financials"/>
      </w:pPr>
      <w:bookmarkStart w:id="194" w:name="_Toc83220570"/>
      <w:r>
        <w:t>Note 2.4 Interest bearing liabilities</w:t>
      </w:r>
      <w:bookmarkEnd w:id="194"/>
    </w:p>
    <w:tbl>
      <w:tblPr>
        <w:tblStyle w:val="IHPA"/>
        <w:tblW w:w="7096" w:type="dxa"/>
        <w:tblLayout w:type="fixed"/>
        <w:tblLook w:val="0020" w:firstRow="1" w:lastRow="0" w:firstColumn="0" w:lastColumn="0" w:noHBand="0" w:noVBand="0"/>
        <w:tblCaption w:val="Note 2.4"/>
        <w:tblDescription w:val="Interest bearing liabilities"/>
      </w:tblPr>
      <w:tblGrid>
        <w:gridCol w:w="5111"/>
        <w:gridCol w:w="992"/>
        <w:gridCol w:w="993"/>
      </w:tblGrid>
      <w:tr w:rsidR="00005752" w:rsidRPr="004E463E" w14:paraId="2AB4801C" w14:textId="77777777" w:rsidTr="00545486">
        <w:trPr>
          <w:trHeight w:val="340"/>
        </w:trPr>
        <w:tc>
          <w:tcPr>
            <w:tcW w:w="5111" w:type="dxa"/>
          </w:tcPr>
          <w:p w14:paraId="006C8A9D" w14:textId="77777777" w:rsidR="00005752" w:rsidRPr="004E463E" w:rsidRDefault="00005752" w:rsidP="00805671">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5F0E6BA5" w14:textId="47D60E92" w:rsidR="00005752" w:rsidRPr="004E463E" w:rsidRDefault="00005752" w:rsidP="0080567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4E463E">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4E463E">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47448524" w14:textId="0BB0C7AA" w:rsidR="00005752" w:rsidRPr="004E463E" w:rsidRDefault="00005752" w:rsidP="00805671">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4E463E">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4E463E">
              <w:rPr>
                <w:rFonts w:asciiTheme="majorHAnsi" w:hAnsiTheme="majorHAnsi" w:cs="Futura PT Heavy"/>
                <w:color w:val="1C1C1C"/>
                <w:sz w:val="16"/>
                <w:szCs w:val="16"/>
                <w:lang w:val="en-US"/>
              </w:rPr>
              <w:br/>
              <w:t>$’000</w:t>
            </w:r>
          </w:p>
        </w:tc>
      </w:tr>
      <w:tr w:rsidR="00005752" w:rsidRPr="004E463E" w14:paraId="27F3D7B2" w14:textId="77777777" w:rsidTr="00545486">
        <w:trPr>
          <w:trHeight w:val="170"/>
        </w:trPr>
        <w:tc>
          <w:tcPr>
            <w:tcW w:w="5111" w:type="dxa"/>
          </w:tcPr>
          <w:p w14:paraId="69A37754" w14:textId="77777777" w:rsidR="00005752" w:rsidRPr="004E463E" w:rsidRDefault="00005752" w:rsidP="00805671">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4E463E">
              <w:rPr>
                <w:rFonts w:asciiTheme="majorHAnsi" w:hAnsiTheme="majorHAnsi"/>
                <w:color w:val="1C1C1C"/>
                <w:sz w:val="14"/>
                <w:szCs w:val="14"/>
              </w:rPr>
              <w:t>Note 2.4A: Lease liabilities</w:t>
            </w:r>
          </w:p>
        </w:tc>
        <w:tc>
          <w:tcPr>
            <w:tcW w:w="992" w:type="dxa"/>
            <w:tcBorders>
              <w:top w:val="single" w:sz="12" w:space="0" w:color="auto"/>
              <w:right w:val="single" w:sz="18" w:space="0" w:color="FFFFFF" w:themeColor="background2"/>
            </w:tcBorders>
          </w:tcPr>
          <w:p w14:paraId="3F25C475" w14:textId="77777777" w:rsidR="00005752" w:rsidRPr="004E463E"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26EE8868" w14:textId="77777777" w:rsidR="00005752" w:rsidRPr="004E463E" w:rsidRDefault="00005752" w:rsidP="00805671">
            <w:pPr>
              <w:autoSpaceDE w:val="0"/>
              <w:autoSpaceDN w:val="0"/>
              <w:adjustRightInd w:val="0"/>
              <w:spacing w:before="20" w:after="20"/>
              <w:jc w:val="right"/>
              <w:rPr>
                <w:color w:val="1C1C1C"/>
                <w:sz w:val="14"/>
                <w:szCs w:val="14"/>
              </w:rPr>
            </w:pPr>
          </w:p>
        </w:tc>
      </w:tr>
      <w:tr w:rsidR="00005752" w:rsidRPr="004E463E" w14:paraId="0C2927E1" w14:textId="77777777" w:rsidTr="00545486">
        <w:trPr>
          <w:trHeight w:val="170"/>
        </w:trPr>
        <w:tc>
          <w:tcPr>
            <w:tcW w:w="5111" w:type="dxa"/>
          </w:tcPr>
          <w:p w14:paraId="50A6A04E" w14:textId="77777777" w:rsidR="00005752" w:rsidRPr="004E463E" w:rsidRDefault="00005752" w:rsidP="00805671">
            <w:pPr>
              <w:suppressAutoHyphens/>
              <w:autoSpaceDE w:val="0"/>
              <w:autoSpaceDN w:val="0"/>
              <w:adjustRightInd w:val="0"/>
              <w:spacing w:before="20" w:after="20"/>
              <w:textAlignment w:val="center"/>
              <w:rPr>
                <w:rFonts w:cs="Futura PT Book"/>
                <w:color w:val="1C1C1C"/>
                <w:sz w:val="14"/>
                <w:szCs w:val="14"/>
                <w:lang w:val="en-US"/>
              </w:rPr>
            </w:pPr>
            <w:r w:rsidRPr="004E463E">
              <w:rPr>
                <w:color w:val="1C1C1C"/>
                <w:sz w:val="14"/>
                <w:szCs w:val="14"/>
              </w:rPr>
              <w:t>Lease liability (office space)</w:t>
            </w:r>
          </w:p>
        </w:tc>
        <w:tc>
          <w:tcPr>
            <w:tcW w:w="992" w:type="dxa"/>
            <w:tcBorders>
              <w:bottom w:val="single" w:sz="2" w:space="0" w:color="auto"/>
              <w:right w:val="single" w:sz="18" w:space="0" w:color="FFFFFF" w:themeColor="background2"/>
            </w:tcBorders>
          </w:tcPr>
          <w:p w14:paraId="2360A59B" w14:textId="25D51148" w:rsidR="00005752" w:rsidRPr="00005752" w:rsidRDefault="00005752" w:rsidP="00805671">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005752">
              <w:rPr>
                <w:rFonts w:asciiTheme="majorHAnsi" w:hAnsiTheme="majorHAnsi"/>
                <w:sz w:val="14"/>
                <w:szCs w:val="14"/>
              </w:rPr>
              <w:t xml:space="preserve">1,519 </w:t>
            </w:r>
          </w:p>
        </w:tc>
        <w:tc>
          <w:tcPr>
            <w:tcW w:w="993" w:type="dxa"/>
            <w:tcBorders>
              <w:left w:val="single" w:sz="18" w:space="0" w:color="FFFFFF" w:themeColor="background2"/>
              <w:bottom w:val="single" w:sz="2" w:space="0" w:color="auto"/>
            </w:tcBorders>
          </w:tcPr>
          <w:p w14:paraId="4DBDF9E8" w14:textId="23B070E2" w:rsidR="00005752" w:rsidRPr="00005752" w:rsidRDefault="00005752" w:rsidP="00805671">
            <w:pPr>
              <w:suppressAutoHyphens/>
              <w:autoSpaceDE w:val="0"/>
              <w:autoSpaceDN w:val="0"/>
              <w:adjustRightInd w:val="0"/>
              <w:spacing w:before="20" w:after="20"/>
              <w:jc w:val="right"/>
              <w:textAlignment w:val="center"/>
              <w:rPr>
                <w:rFonts w:cs="Futura PT Book"/>
                <w:color w:val="1C1C1C"/>
                <w:sz w:val="14"/>
                <w:szCs w:val="14"/>
                <w:lang w:val="en-US"/>
              </w:rPr>
            </w:pPr>
            <w:r w:rsidRPr="00005752">
              <w:rPr>
                <w:sz w:val="14"/>
                <w:szCs w:val="14"/>
              </w:rPr>
              <w:t xml:space="preserve">6,433 </w:t>
            </w:r>
          </w:p>
        </w:tc>
      </w:tr>
      <w:tr w:rsidR="00005752" w:rsidRPr="004E463E" w14:paraId="1BF76D39" w14:textId="77777777" w:rsidTr="00545486">
        <w:trPr>
          <w:trHeight w:val="170"/>
        </w:trPr>
        <w:tc>
          <w:tcPr>
            <w:tcW w:w="5111" w:type="dxa"/>
          </w:tcPr>
          <w:p w14:paraId="21EB9A1D" w14:textId="77777777" w:rsidR="00005752" w:rsidRPr="004E463E" w:rsidRDefault="00005752" w:rsidP="00805671">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4E463E">
              <w:rPr>
                <w:rFonts w:asciiTheme="majorHAnsi" w:hAnsiTheme="majorHAnsi"/>
                <w:color w:val="1C1C1C"/>
                <w:sz w:val="14"/>
                <w:szCs w:val="14"/>
              </w:rPr>
              <w:t>Total lease liabilities</w:t>
            </w:r>
          </w:p>
        </w:tc>
        <w:tc>
          <w:tcPr>
            <w:tcW w:w="992" w:type="dxa"/>
            <w:tcBorders>
              <w:top w:val="single" w:sz="2" w:space="0" w:color="auto"/>
              <w:bottom w:val="single" w:sz="2" w:space="0" w:color="auto"/>
              <w:right w:val="single" w:sz="18" w:space="0" w:color="FFFFFF" w:themeColor="background2"/>
            </w:tcBorders>
          </w:tcPr>
          <w:p w14:paraId="668406ED" w14:textId="3F16020E" w:rsidR="00005752" w:rsidRPr="00005752" w:rsidRDefault="00005752" w:rsidP="00805671">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sz w:val="14"/>
                <w:szCs w:val="14"/>
              </w:rPr>
              <w:t xml:space="preserve">1,519 </w:t>
            </w:r>
          </w:p>
        </w:tc>
        <w:tc>
          <w:tcPr>
            <w:tcW w:w="993" w:type="dxa"/>
            <w:tcBorders>
              <w:top w:val="single" w:sz="2" w:space="0" w:color="auto"/>
              <w:left w:val="single" w:sz="18" w:space="0" w:color="FFFFFF" w:themeColor="background2"/>
              <w:bottom w:val="single" w:sz="2" w:space="0" w:color="auto"/>
            </w:tcBorders>
          </w:tcPr>
          <w:p w14:paraId="720A9B5F" w14:textId="6DB90CDA" w:rsidR="00005752" w:rsidRPr="00005752" w:rsidRDefault="00005752" w:rsidP="00805671">
            <w:pPr>
              <w:suppressAutoHyphens/>
              <w:autoSpaceDE w:val="0"/>
              <w:autoSpaceDN w:val="0"/>
              <w:adjustRightInd w:val="0"/>
              <w:spacing w:before="20" w:after="20"/>
              <w:jc w:val="right"/>
              <w:textAlignment w:val="center"/>
              <w:rPr>
                <w:rFonts w:cs="Futura PT Book"/>
                <w:color w:val="1C1C1C"/>
                <w:sz w:val="14"/>
                <w:szCs w:val="14"/>
                <w:lang w:val="en-US"/>
              </w:rPr>
            </w:pPr>
            <w:r w:rsidRPr="00005752">
              <w:rPr>
                <w:sz w:val="14"/>
                <w:szCs w:val="14"/>
              </w:rPr>
              <w:t xml:space="preserve">6,433 </w:t>
            </w:r>
          </w:p>
        </w:tc>
      </w:tr>
      <w:tr w:rsidR="00005752" w:rsidRPr="004E463E" w14:paraId="7F5358A8" w14:textId="77777777" w:rsidTr="00545486">
        <w:trPr>
          <w:trHeight w:val="170"/>
        </w:trPr>
        <w:tc>
          <w:tcPr>
            <w:tcW w:w="5111" w:type="dxa"/>
          </w:tcPr>
          <w:p w14:paraId="7E25D1C9" w14:textId="77777777" w:rsidR="00005752" w:rsidRPr="004E463E" w:rsidRDefault="00005752" w:rsidP="00805671">
            <w:pPr>
              <w:suppressAutoHyphens/>
              <w:autoSpaceDE w:val="0"/>
              <w:autoSpaceDN w:val="0"/>
              <w:adjustRightInd w:val="0"/>
              <w:spacing w:before="20" w:after="20"/>
              <w:textAlignment w:val="center"/>
              <w:rPr>
                <w:color w:val="1C1C1C"/>
                <w:sz w:val="14"/>
                <w:szCs w:val="14"/>
              </w:rPr>
            </w:pPr>
          </w:p>
        </w:tc>
        <w:tc>
          <w:tcPr>
            <w:tcW w:w="992" w:type="dxa"/>
            <w:tcBorders>
              <w:top w:val="single" w:sz="2" w:space="0" w:color="auto"/>
              <w:right w:val="single" w:sz="18" w:space="0" w:color="FFFFFF" w:themeColor="background2"/>
            </w:tcBorders>
          </w:tcPr>
          <w:p w14:paraId="0BEE0110" w14:textId="77777777" w:rsidR="00005752" w:rsidRPr="004E463E"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44AB6BCC" w14:textId="77777777" w:rsidR="00005752" w:rsidRPr="004E463E" w:rsidRDefault="00005752" w:rsidP="00805671">
            <w:pPr>
              <w:suppressAutoHyphens/>
              <w:autoSpaceDE w:val="0"/>
              <w:autoSpaceDN w:val="0"/>
              <w:adjustRightInd w:val="0"/>
              <w:spacing w:before="20" w:after="20"/>
              <w:jc w:val="right"/>
              <w:textAlignment w:val="center"/>
              <w:rPr>
                <w:color w:val="1C1C1C"/>
                <w:sz w:val="14"/>
                <w:szCs w:val="14"/>
              </w:rPr>
            </w:pPr>
          </w:p>
        </w:tc>
      </w:tr>
      <w:tr w:rsidR="00005752" w:rsidRPr="004E463E" w14:paraId="3BF8BFE3" w14:textId="77777777" w:rsidTr="00545486">
        <w:trPr>
          <w:trHeight w:val="170"/>
        </w:trPr>
        <w:tc>
          <w:tcPr>
            <w:tcW w:w="7096" w:type="dxa"/>
            <w:gridSpan w:val="3"/>
          </w:tcPr>
          <w:p w14:paraId="34F1D157" w14:textId="71B05B48" w:rsidR="00005752" w:rsidRPr="004E463E" w:rsidRDefault="00005752" w:rsidP="00805671">
            <w:pPr>
              <w:suppressAutoHyphens/>
              <w:autoSpaceDE w:val="0"/>
              <w:autoSpaceDN w:val="0"/>
              <w:adjustRightInd w:val="0"/>
              <w:spacing w:before="20" w:after="20"/>
              <w:textAlignment w:val="center"/>
              <w:rPr>
                <w:color w:val="1C1C1C"/>
                <w:sz w:val="14"/>
                <w:szCs w:val="14"/>
              </w:rPr>
            </w:pPr>
            <w:r w:rsidRPr="00005752">
              <w:rPr>
                <w:color w:val="1C1C1C"/>
                <w:sz w:val="14"/>
                <w:szCs w:val="14"/>
              </w:rPr>
              <w:t>Total cash outflow for leases for the year ended 30 June 2021 was $0.74</w:t>
            </w:r>
            <w:r w:rsidR="00BD5C17">
              <w:rPr>
                <w:color w:val="1C1C1C"/>
                <w:sz w:val="14"/>
                <w:szCs w:val="14"/>
              </w:rPr>
              <w:t>6</w:t>
            </w:r>
            <w:r w:rsidRPr="00005752">
              <w:rPr>
                <w:color w:val="1C1C1C"/>
                <w:sz w:val="14"/>
                <w:szCs w:val="14"/>
              </w:rPr>
              <w:t>m (2020: $0.713m)</w:t>
            </w:r>
          </w:p>
        </w:tc>
      </w:tr>
      <w:tr w:rsidR="00005752" w:rsidRPr="004E463E" w14:paraId="3C270C9F" w14:textId="77777777" w:rsidTr="00545486">
        <w:trPr>
          <w:trHeight w:val="170"/>
        </w:trPr>
        <w:tc>
          <w:tcPr>
            <w:tcW w:w="5111" w:type="dxa"/>
          </w:tcPr>
          <w:p w14:paraId="70BA6D38" w14:textId="77777777" w:rsidR="00005752" w:rsidRPr="004E463E" w:rsidRDefault="00005752" w:rsidP="00805671">
            <w:pPr>
              <w:suppressAutoHyphens/>
              <w:autoSpaceDE w:val="0"/>
              <w:autoSpaceDN w:val="0"/>
              <w:adjustRightInd w:val="0"/>
              <w:spacing w:before="20" w:after="20"/>
              <w:textAlignment w:val="center"/>
              <w:rPr>
                <w:color w:val="1C1C1C"/>
                <w:sz w:val="14"/>
                <w:szCs w:val="14"/>
              </w:rPr>
            </w:pPr>
          </w:p>
        </w:tc>
        <w:tc>
          <w:tcPr>
            <w:tcW w:w="992" w:type="dxa"/>
          </w:tcPr>
          <w:p w14:paraId="3AFCE439" w14:textId="77777777" w:rsidR="00005752" w:rsidRPr="004E463E"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Pr>
          <w:p w14:paraId="12CC2152" w14:textId="77777777" w:rsidR="00005752" w:rsidRPr="004E463E" w:rsidRDefault="00005752" w:rsidP="00805671">
            <w:pPr>
              <w:suppressAutoHyphens/>
              <w:autoSpaceDE w:val="0"/>
              <w:autoSpaceDN w:val="0"/>
              <w:adjustRightInd w:val="0"/>
              <w:spacing w:before="20" w:after="20"/>
              <w:jc w:val="right"/>
              <w:textAlignment w:val="center"/>
              <w:rPr>
                <w:color w:val="1C1C1C"/>
                <w:sz w:val="14"/>
                <w:szCs w:val="14"/>
              </w:rPr>
            </w:pPr>
          </w:p>
        </w:tc>
      </w:tr>
      <w:tr w:rsidR="00005752" w:rsidRPr="004E463E" w14:paraId="619CA280" w14:textId="77777777" w:rsidTr="00545486">
        <w:trPr>
          <w:trHeight w:val="170"/>
        </w:trPr>
        <w:tc>
          <w:tcPr>
            <w:tcW w:w="5111" w:type="dxa"/>
          </w:tcPr>
          <w:p w14:paraId="3B7D2648" w14:textId="47CC0271" w:rsidR="00005752" w:rsidRPr="004E463E" w:rsidRDefault="00005752" w:rsidP="00805671">
            <w:pPr>
              <w:suppressAutoHyphens/>
              <w:autoSpaceDE w:val="0"/>
              <w:autoSpaceDN w:val="0"/>
              <w:adjustRightInd w:val="0"/>
              <w:spacing w:before="20" w:after="20"/>
              <w:textAlignment w:val="center"/>
              <w:rPr>
                <w:rFonts w:asciiTheme="majorHAnsi" w:hAnsiTheme="majorHAnsi"/>
                <w:color w:val="1C1C1C"/>
                <w:sz w:val="14"/>
                <w:szCs w:val="14"/>
              </w:rPr>
            </w:pPr>
            <w:r w:rsidRPr="00005752">
              <w:rPr>
                <w:rFonts w:asciiTheme="majorHAnsi" w:hAnsiTheme="majorHAnsi"/>
                <w:color w:val="1C1C1C"/>
                <w:sz w:val="14"/>
                <w:szCs w:val="14"/>
              </w:rPr>
              <w:t>Maturity analysis - contractual undiscounted cash flows</w:t>
            </w:r>
          </w:p>
        </w:tc>
        <w:tc>
          <w:tcPr>
            <w:tcW w:w="992" w:type="dxa"/>
            <w:tcBorders>
              <w:right w:val="single" w:sz="18" w:space="0" w:color="FFFFFF" w:themeColor="background2"/>
            </w:tcBorders>
          </w:tcPr>
          <w:p w14:paraId="4B327EBC" w14:textId="77777777" w:rsidR="00005752" w:rsidRPr="004E463E" w:rsidRDefault="00005752" w:rsidP="00805671">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6B34BF52" w14:textId="77777777" w:rsidR="00005752" w:rsidRPr="004E463E" w:rsidRDefault="00005752" w:rsidP="00805671">
            <w:pPr>
              <w:suppressAutoHyphens/>
              <w:autoSpaceDE w:val="0"/>
              <w:autoSpaceDN w:val="0"/>
              <w:adjustRightInd w:val="0"/>
              <w:spacing w:before="20" w:after="20"/>
              <w:jc w:val="right"/>
              <w:textAlignment w:val="center"/>
              <w:rPr>
                <w:color w:val="1C1C1C"/>
                <w:sz w:val="14"/>
                <w:szCs w:val="14"/>
              </w:rPr>
            </w:pPr>
          </w:p>
        </w:tc>
      </w:tr>
      <w:tr w:rsidR="008664C1" w:rsidRPr="004E463E" w14:paraId="2CEE449C" w14:textId="77777777" w:rsidTr="00545486">
        <w:trPr>
          <w:trHeight w:val="170"/>
        </w:trPr>
        <w:tc>
          <w:tcPr>
            <w:tcW w:w="5111" w:type="dxa"/>
          </w:tcPr>
          <w:p w14:paraId="5112F020" w14:textId="7FD48B5C" w:rsidR="008664C1" w:rsidRPr="004E463E" w:rsidRDefault="008664C1" w:rsidP="00805671">
            <w:pPr>
              <w:suppressAutoHyphens/>
              <w:autoSpaceDE w:val="0"/>
              <w:autoSpaceDN w:val="0"/>
              <w:adjustRightInd w:val="0"/>
              <w:spacing w:before="20" w:after="20"/>
              <w:textAlignment w:val="center"/>
              <w:rPr>
                <w:color w:val="1C1C1C"/>
                <w:sz w:val="14"/>
                <w:szCs w:val="14"/>
              </w:rPr>
            </w:pPr>
            <w:r>
              <w:rPr>
                <w:color w:val="1C1C1C"/>
                <w:sz w:val="14"/>
                <w:szCs w:val="14"/>
              </w:rPr>
              <w:t>Within 1 year</w:t>
            </w:r>
          </w:p>
        </w:tc>
        <w:tc>
          <w:tcPr>
            <w:tcW w:w="992" w:type="dxa"/>
            <w:tcBorders>
              <w:right w:val="single" w:sz="18" w:space="0" w:color="FFFFFF" w:themeColor="background2"/>
            </w:tcBorders>
          </w:tcPr>
          <w:p w14:paraId="5E92DD7B" w14:textId="4EC6B370" w:rsidR="008664C1" w:rsidRPr="00005752" w:rsidRDefault="008664C1" w:rsidP="00805671">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cs="Calibri"/>
                <w:sz w:val="14"/>
                <w:szCs w:val="14"/>
              </w:rPr>
              <w:t>77</w:t>
            </w:r>
            <w:r>
              <w:rPr>
                <w:rFonts w:asciiTheme="majorHAnsi" w:hAnsiTheme="majorHAnsi" w:cs="Calibri"/>
                <w:sz w:val="14"/>
                <w:szCs w:val="14"/>
              </w:rPr>
              <w:t>7</w:t>
            </w:r>
            <w:r w:rsidRPr="00005752">
              <w:rPr>
                <w:rFonts w:asciiTheme="majorHAnsi" w:hAnsiTheme="majorHAnsi" w:cs="Calibri"/>
                <w:sz w:val="14"/>
                <w:szCs w:val="14"/>
              </w:rPr>
              <w:t xml:space="preserve"> </w:t>
            </w:r>
          </w:p>
        </w:tc>
        <w:tc>
          <w:tcPr>
            <w:tcW w:w="993" w:type="dxa"/>
            <w:tcBorders>
              <w:left w:val="single" w:sz="18" w:space="0" w:color="FFFFFF" w:themeColor="background2"/>
            </w:tcBorders>
          </w:tcPr>
          <w:p w14:paraId="43479A11" w14:textId="77BDC7CF" w:rsidR="008664C1" w:rsidRPr="00005752" w:rsidRDefault="008664C1" w:rsidP="00805671">
            <w:pPr>
              <w:suppressAutoHyphens/>
              <w:autoSpaceDE w:val="0"/>
              <w:autoSpaceDN w:val="0"/>
              <w:adjustRightInd w:val="0"/>
              <w:spacing w:before="20" w:after="20"/>
              <w:jc w:val="right"/>
              <w:textAlignment w:val="center"/>
              <w:rPr>
                <w:color w:val="1C1C1C"/>
                <w:sz w:val="14"/>
                <w:szCs w:val="14"/>
              </w:rPr>
            </w:pPr>
            <w:r w:rsidRPr="00005752">
              <w:rPr>
                <w:rFonts w:cs="Calibri"/>
                <w:sz w:val="14"/>
                <w:szCs w:val="14"/>
              </w:rPr>
              <w:t xml:space="preserve">677 </w:t>
            </w:r>
          </w:p>
        </w:tc>
      </w:tr>
      <w:tr w:rsidR="008664C1" w:rsidRPr="004E463E" w14:paraId="6CEF13F4" w14:textId="77777777" w:rsidTr="00545486">
        <w:trPr>
          <w:trHeight w:val="170"/>
        </w:trPr>
        <w:tc>
          <w:tcPr>
            <w:tcW w:w="5111" w:type="dxa"/>
          </w:tcPr>
          <w:p w14:paraId="2F8A5FC5" w14:textId="4A6C2681" w:rsidR="008664C1" w:rsidRPr="004E463E" w:rsidRDefault="008664C1" w:rsidP="00805671">
            <w:pPr>
              <w:suppressAutoHyphens/>
              <w:autoSpaceDE w:val="0"/>
              <w:autoSpaceDN w:val="0"/>
              <w:adjustRightInd w:val="0"/>
              <w:spacing w:before="20" w:after="20"/>
              <w:textAlignment w:val="center"/>
              <w:rPr>
                <w:color w:val="1C1C1C"/>
                <w:sz w:val="14"/>
                <w:szCs w:val="14"/>
              </w:rPr>
            </w:pPr>
            <w:r>
              <w:rPr>
                <w:color w:val="1C1C1C"/>
                <w:sz w:val="14"/>
                <w:szCs w:val="14"/>
              </w:rPr>
              <w:t>Between 1 to 5 years</w:t>
            </w:r>
          </w:p>
        </w:tc>
        <w:tc>
          <w:tcPr>
            <w:tcW w:w="992" w:type="dxa"/>
            <w:tcBorders>
              <w:right w:val="single" w:sz="18" w:space="0" w:color="FFFFFF" w:themeColor="background2"/>
            </w:tcBorders>
          </w:tcPr>
          <w:p w14:paraId="6A88CA20" w14:textId="1CD28503" w:rsidR="008664C1" w:rsidRPr="00005752" w:rsidRDefault="008664C1" w:rsidP="00805671">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cs="Calibri"/>
                <w:sz w:val="14"/>
                <w:szCs w:val="14"/>
              </w:rPr>
              <w:t xml:space="preserve">742 </w:t>
            </w:r>
          </w:p>
        </w:tc>
        <w:tc>
          <w:tcPr>
            <w:tcW w:w="993" w:type="dxa"/>
            <w:tcBorders>
              <w:left w:val="single" w:sz="18" w:space="0" w:color="FFFFFF" w:themeColor="background2"/>
            </w:tcBorders>
          </w:tcPr>
          <w:p w14:paraId="1CBF2B5B" w14:textId="2B732290" w:rsidR="008664C1" w:rsidRPr="00005752" w:rsidRDefault="008664C1" w:rsidP="00805671">
            <w:pPr>
              <w:suppressAutoHyphens/>
              <w:autoSpaceDE w:val="0"/>
              <w:autoSpaceDN w:val="0"/>
              <w:adjustRightInd w:val="0"/>
              <w:spacing w:before="20" w:after="20"/>
              <w:jc w:val="right"/>
              <w:textAlignment w:val="center"/>
              <w:rPr>
                <w:color w:val="1C1C1C"/>
                <w:sz w:val="14"/>
                <w:szCs w:val="14"/>
              </w:rPr>
            </w:pPr>
            <w:r w:rsidRPr="00005752">
              <w:rPr>
                <w:rFonts w:cs="Calibri"/>
                <w:sz w:val="14"/>
                <w:szCs w:val="14"/>
              </w:rPr>
              <w:t xml:space="preserve">4,062 </w:t>
            </w:r>
          </w:p>
        </w:tc>
      </w:tr>
      <w:tr w:rsidR="008664C1" w:rsidRPr="004E463E" w14:paraId="6219E164" w14:textId="77777777" w:rsidTr="00545486">
        <w:trPr>
          <w:trHeight w:val="170"/>
        </w:trPr>
        <w:tc>
          <w:tcPr>
            <w:tcW w:w="5111" w:type="dxa"/>
          </w:tcPr>
          <w:p w14:paraId="4BCAE49F" w14:textId="718C739A" w:rsidR="008664C1" w:rsidRPr="004E463E" w:rsidRDefault="008664C1" w:rsidP="00805671">
            <w:pPr>
              <w:suppressAutoHyphens/>
              <w:autoSpaceDE w:val="0"/>
              <w:autoSpaceDN w:val="0"/>
              <w:adjustRightInd w:val="0"/>
              <w:spacing w:before="20" w:after="20"/>
              <w:textAlignment w:val="center"/>
              <w:rPr>
                <w:color w:val="1C1C1C"/>
                <w:sz w:val="14"/>
                <w:szCs w:val="14"/>
              </w:rPr>
            </w:pPr>
            <w:r w:rsidRPr="004E463E">
              <w:rPr>
                <w:color w:val="1C1C1C"/>
                <w:sz w:val="14"/>
                <w:szCs w:val="14"/>
              </w:rPr>
              <w:t xml:space="preserve">More than </w:t>
            </w:r>
            <w:r>
              <w:rPr>
                <w:color w:val="1C1C1C"/>
                <w:sz w:val="14"/>
                <w:szCs w:val="14"/>
              </w:rPr>
              <w:t>5 years</w:t>
            </w:r>
          </w:p>
        </w:tc>
        <w:tc>
          <w:tcPr>
            <w:tcW w:w="992" w:type="dxa"/>
            <w:tcBorders>
              <w:bottom w:val="single" w:sz="2" w:space="0" w:color="auto"/>
              <w:right w:val="single" w:sz="18" w:space="0" w:color="FFFFFF" w:themeColor="background2"/>
            </w:tcBorders>
          </w:tcPr>
          <w:p w14:paraId="41B17A55" w14:textId="0E7C70F0" w:rsidR="008664C1" w:rsidRPr="00005752" w:rsidRDefault="008664C1" w:rsidP="00805671">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cs="Calibri"/>
                <w:sz w:val="14"/>
                <w:szCs w:val="14"/>
              </w:rPr>
              <w:t xml:space="preserve"> - </w:t>
            </w:r>
          </w:p>
        </w:tc>
        <w:tc>
          <w:tcPr>
            <w:tcW w:w="993" w:type="dxa"/>
            <w:tcBorders>
              <w:left w:val="single" w:sz="18" w:space="0" w:color="FFFFFF" w:themeColor="background2"/>
              <w:bottom w:val="single" w:sz="2" w:space="0" w:color="auto"/>
            </w:tcBorders>
          </w:tcPr>
          <w:p w14:paraId="50AEEF29" w14:textId="04D2ADA8" w:rsidR="008664C1" w:rsidRPr="00005752" w:rsidRDefault="008664C1" w:rsidP="00805671">
            <w:pPr>
              <w:suppressAutoHyphens/>
              <w:autoSpaceDE w:val="0"/>
              <w:autoSpaceDN w:val="0"/>
              <w:adjustRightInd w:val="0"/>
              <w:spacing w:before="20" w:after="20"/>
              <w:jc w:val="right"/>
              <w:textAlignment w:val="center"/>
              <w:rPr>
                <w:color w:val="1C1C1C"/>
                <w:sz w:val="14"/>
                <w:szCs w:val="14"/>
              </w:rPr>
            </w:pPr>
            <w:r w:rsidRPr="00005752">
              <w:rPr>
                <w:rFonts w:cs="Calibri"/>
                <w:sz w:val="14"/>
                <w:szCs w:val="14"/>
              </w:rPr>
              <w:t xml:space="preserve">1,694 </w:t>
            </w:r>
          </w:p>
        </w:tc>
      </w:tr>
      <w:tr w:rsidR="008664C1" w:rsidRPr="004E463E" w14:paraId="399B014E" w14:textId="77777777" w:rsidTr="00545486">
        <w:trPr>
          <w:trHeight w:val="170"/>
        </w:trPr>
        <w:tc>
          <w:tcPr>
            <w:tcW w:w="5111" w:type="dxa"/>
          </w:tcPr>
          <w:p w14:paraId="15E8AFF1" w14:textId="2C994C0E" w:rsidR="008664C1" w:rsidRPr="004E463E" w:rsidRDefault="008664C1" w:rsidP="00805671">
            <w:pPr>
              <w:suppressAutoHyphens/>
              <w:autoSpaceDE w:val="0"/>
              <w:autoSpaceDN w:val="0"/>
              <w:adjustRightInd w:val="0"/>
              <w:spacing w:before="20" w:after="20"/>
              <w:textAlignment w:val="center"/>
              <w:rPr>
                <w:rFonts w:asciiTheme="majorHAnsi" w:hAnsiTheme="majorHAnsi"/>
                <w:color w:val="1C1C1C"/>
                <w:sz w:val="14"/>
                <w:szCs w:val="14"/>
              </w:rPr>
            </w:pPr>
            <w:r w:rsidRPr="004E463E">
              <w:rPr>
                <w:rFonts w:asciiTheme="majorHAnsi" w:hAnsiTheme="majorHAnsi"/>
                <w:color w:val="1C1C1C"/>
                <w:sz w:val="14"/>
                <w:szCs w:val="14"/>
              </w:rPr>
              <w:t>Total lease</w:t>
            </w:r>
          </w:p>
        </w:tc>
        <w:tc>
          <w:tcPr>
            <w:tcW w:w="992" w:type="dxa"/>
            <w:tcBorders>
              <w:top w:val="single" w:sz="2" w:space="0" w:color="auto"/>
              <w:bottom w:val="single" w:sz="2" w:space="0" w:color="auto"/>
              <w:right w:val="single" w:sz="18" w:space="0" w:color="FFFFFF" w:themeColor="background2"/>
            </w:tcBorders>
          </w:tcPr>
          <w:p w14:paraId="1AB278A2" w14:textId="7C9909A8" w:rsidR="008664C1" w:rsidRPr="00005752" w:rsidRDefault="008664C1" w:rsidP="00805671">
            <w:pPr>
              <w:autoSpaceDE w:val="0"/>
              <w:autoSpaceDN w:val="0"/>
              <w:adjustRightInd w:val="0"/>
              <w:spacing w:before="20" w:after="20"/>
              <w:jc w:val="right"/>
              <w:rPr>
                <w:rFonts w:asciiTheme="majorHAnsi" w:hAnsiTheme="majorHAnsi"/>
                <w:color w:val="1C1C1C"/>
                <w:sz w:val="14"/>
                <w:szCs w:val="14"/>
              </w:rPr>
            </w:pPr>
            <w:r w:rsidRPr="00005752">
              <w:rPr>
                <w:rFonts w:asciiTheme="majorHAnsi" w:hAnsiTheme="majorHAnsi" w:cs="Calibri"/>
                <w:sz w:val="14"/>
                <w:szCs w:val="14"/>
              </w:rPr>
              <w:t>1,51</w:t>
            </w:r>
            <w:r>
              <w:rPr>
                <w:rFonts w:asciiTheme="majorHAnsi" w:hAnsiTheme="majorHAnsi" w:cs="Calibri"/>
                <w:sz w:val="14"/>
                <w:szCs w:val="14"/>
              </w:rPr>
              <w:t>9</w:t>
            </w:r>
            <w:r w:rsidRPr="00005752">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4BCAAEA6" w14:textId="262D9F0D" w:rsidR="008664C1" w:rsidRPr="00005752" w:rsidRDefault="008664C1" w:rsidP="00805671">
            <w:pPr>
              <w:suppressAutoHyphens/>
              <w:autoSpaceDE w:val="0"/>
              <w:autoSpaceDN w:val="0"/>
              <w:adjustRightInd w:val="0"/>
              <w:spacing w:before="20" w:after="20"/>
              <w:jc w:val="right"/>
              <w:textAlignment w:val="center"/>
              <w:rPr>
                <w:color w:val="1C1C1C"/>
                <w:sz w:val="14"/>
                <w:szCs w:val="14"/>
              </w:rPr>
            </w:pPr>
            <w:r w:rsidRPr="00005752">
              <w:rPr>
                <w:rFonts w:cs="Calibri"/>
                <w:sz w:val="14"/>
                <w:szCs w:val="14"/>
              </w:rPr>
              <w:t xml:space="preserve">6,433 </w:t>
            </w:r>
          </w:p>
        </w:tc>
      </w:tr>
      <w:tr w:rsidR="00005752" w:rsidRPr="004E463E" w14:paraId="7B71E77A" w14:textId="77777777" w:rsidTr="00545486">
        <w:trPr>
          <w:trHeight w:val="57"/>
        </w:trPr>
        <w:tc>
          <w:tcPr>
            <w:tcW w:w="5111" w:type="dxa"/>
          </w:tcPr>
          <w:p w14:paraId="0A8DCF80" w14:textId="77777777" w:rsidR="00005752" w:rsidRPr="004E463E" w:rsidRDefault="00005752" w:rsidP="00805671">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7D5E23E2" w14:textId="77777777" w:rsidR="00005752" w:rsidRPr="004E463E" w:rsidRDefault="00005752" w:rsidP="00805671">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1F9392C2" w14:textId="77777777" w:rsidR="00005752" w:rsidRPr="004E463E" w:rsidRDefault="00005752" w:rsidP="00805671">
            <w:pPr>
              <w:suppressAutoHyphens/>
              <w:autoSpaceDE w:val="0"/>
              <w:autoSpaceDN w:val="0"/>
              <w:adjustRightInd w:val="0"/>
              <w:spacing w:before="20" w:after="20"/>
              <w:jc w:val="right"/>
              <w:textAlignment w:val="center"/>
              <w:rPr>
                <w:color w:val="1C1C1C"/>
                <w:sz w:val="4"/>
                <w:szCs w:val="4"/>
              </w:rPr>
            </w:pPr>
          </w:p>
        </w:tc>
      </w:tr>
    </w:tbl>
    <w:p w14:paraId="5BCA2CB4" w14:textId="77777777" w:rsidR="00005752" w:rsidRDefault="00005752" w:rsidP="00005752">
      <w:pPr>
        <w:pStyle w:val="Body"/>
      </w:pPr>
    </w:p>
    <w:tbl>
      <w:tblPr>
        <w:tblStyle w:val="TableGrid1"/>
        <w:tblW w:w="4993" w:type="pct"/>
        <w:tblCellMar>
          <w:top w:w="57" w:type="dxa"/>
          <w:bottom w:w="57" w:type="dxa"/>
        </w:tblCellMar>
        <w:tblLook w:val="04A0" w:firstRow="1" w:lastRow="0" w:firstColumn="1" w:lastColumn="0" w:noHBand="0" w:noVBand="1"/>
        <w:tblCaption w:val="Note 2.4A"/>
        <w:tblDescription w:val="On the 1 June 2018, IHPA in its capacity as lessee entered into a 5 year lease (with 5 year extension option) for office space. On 1 June 2021, IHPA reassessed the end of the lease term from 31 May 2028 to 31 May 2023 and as a result reduced the lease liability and the right-of-use asset by $4.231m in accordance with AASB 16 Leases.&#10;IHPA is reasonably certain that the extension option will not be exercised due to a larger office space requirements to accommodate increased staff levels as a result of government decisions announced in the 2021–22 budget.&#10;"/>
      </w:tblPr>
      <w:tblGrid>
        <w:gridCol w:w="7690"/>
      </w:tblGrid>
      <w:tr w:rsidR="00005752" w14:paraId="0B934B0A" w14:textId="77777777" w:rsidTr="00F01C9B">
        <w:trPr>
          <w:tblHeader/>
        </w:trPr>
        <w:tc>
          <w:tcPr>
            <w:tcW w:w="5000" w:type="pct"/>
          </w:tcPr>
          <w:p w14:paraId="66FFFD06" w14:textId="794FEB90" w:rsidR="00005752" w:rsidRDefault="00BD5C17" w:rsidP="006544B5">
            <w:pPr>
              <w:pStyle w:val="AlphabetListL2"/>
              <w:numPr>
                <w:ilvl w:val="0"/>
                <w:numId w:val="0"/>
              </w:numPr>
              <w:spacing w:after="120"/>
              <w:rPr>
                <w:lang w:val="en-AU"/>
              </w:rPr>
            </w:pPr>
            <w:r w:rsidRPr="00BD5C17">
              <w:rPr>
                <w:lang w:val="en-AU"/>
              </w:rPr>
              <w:t>On the 1 June 2018, IHPA in its capacity as lessee entered into a 5 year lease (with 5 year extension option) for office space. On 1 June 2021, IHPA reassessed the end of the lease term from 31 May 2028 to</w:t>
            </w:r>
            <w:r>
              <w:rPr>
                <w:lang w:val="en-AU"/>
              </w:rPr>
              <w:t> </w:t>
            </w:r>
            <w:r w:rsidRPr="00BD5C17">
              <w:rPr>
                <w:lang w:val="en-AU"/>
              </w:rPr>
              <w:t xml:space="preserve">31 May 2023 and as a result reduced the lease liability and the right-of-use asset by $4.231m in accordance with AASB 16 </w:t>
            </w:r>
            <w:r w:rsidRPr="00BD5C17">
              <w:rPr>
                <w:i/>
                <w:iCs/>
                <w:lang w:val="en-AU"/>
              </w:rPr>
              <w:t>Leases</w:t>
            </w:r>
            <w:r w:rsidRPr="00BD5C17">
              <w:rPr>
                <w:lang w:val="en-AU"/>
              </w:rPr>
              <w:t>.</w:t>
            </w:r>
          </w:p>
          <w:p w14:paraId="7621D91E" w14:textId="2FD8BF03" w:rsidR="00314AED" w:rsidRDefault="00314AED" w:rsidP="006544B5">
            <w:pPr>
              <w:pStyle w:val="AlphabetListL2"/>
              <w:numPr>
                <w:ilvl w:val="0"/>
                <w:numId w:val="0"/>
              </w:numPr>
              <w:spacing w:after="120"/>
            </w:pPr>
            <w:r w:rsidRPr="00314AED">
              <w:t>I</w:t>
            </w:r>
            <w:r w:rsidR="00BD5C17" w:rsidRPr="00BD5C17">
              <w:t>HPA is reasonably certain that the extension option will not be exercised due to a larger office space requirements to accommodate increased staff levels as a result of government decisions announced in the 2021</w:t>
            </w:r>
            <w:r w:rsidR="00BD5C17">
              <w:t>–</w:t>
            </w:r>
            <w:r w:rsidR="00BD5C17" w:rsidRPr="00BD5C17">
              <w:t>22 budget.</w:t>
            </w:r>
          </w:p>
        </w:tc>
      </w:tr>
    </w:tbl>
    <w:p w14:paraId="6CC47E04" w14:textId="7FA7F792" w:rsidR="00285DF7" w:rsidRDefault="00285DF7" w:rsidP="00156309">
      <w:pPr>
        <w:pStyle w:val="Body"/>
        <w:rPr>
          <w:color w:val="292929"/>
        </w:rPr>
      </w:pPr>
    </w:p>
    <w:p w14:paraId="4104E5FB" w14:textId="77777777" w:rsidR="00DF792C" w:rsidRDefault="00DF792C" w:rsidP="00156309">
      <w:pPr>
        <w:pStyle w:val="Body"/>
        <w:rPr>
          <w:color w:val="292929"/>
        </w:rPr>
        <w:sectPr w:rsidR="00DF792C" w:rsidSect="00441579">
          <w:footerReference w:type="default" r:id="rId211"/>
          <w:pgSz w:w="9979" w:h="14175"/>
          <w:pgMar w:top="1134" w:right="1134" w:bottom="1134" w:left="1134" w:header="709" w:footer="709" w:gutter="0"/>
          <w:cols w:space="708"/>
          <w:docGrid w:linePitch="360"/>
        </w:sectPr>
      </w:pPr>
    </w:p>
    <w:p w14:paraId="3F67ED36" w14:textId="77777777" w:rsidR="00F673BF" w:rsidRDefault="00F673BF" w:rsidP="00F673BF">
      <w:pPr>
        <w:pStyle w:val="H3Financials"/>
        <w:spacing w:before="0"/>
      </w:pPr>
      <w:bookmarkStart w:id="195" w:name="_Toc83220571"/>
      <w:r>
        <w:lastRenderedPageBreak/>
        <w:t>People and Relationships</w:t>
      </w:r>
      <w:bookmarkEnd w:id="195"/>
    </w:p>
    <w:p w14:paraId="0359C33A" w14:textId="77777777" w:rsidR="00F673BF" w:rsidRPr="00F673BF" w:rsidRDefault="00F673BF" w:rsidP="00F673BF">
      <w:pPr>
        <w:rPr>
          <w:color w:val="1C1C1C"/>
          <w:sz w:val="18"/>
          <w:szCs w:val="18"/>
        </w:rPr>
      </w:pPr>
      <w:r w:rsidRPr="00F673BF">
        <w:rPr>
          <w:color w:val="1C1C1C"/>
          <w:sz w:val="18"/>
          <w:szCs w:val="18"/>
        </w:rPr>
        <w:t>This section describes a range of employment and post-employment benefits provided to our people and our relationships with other key people.</w:t>
      </w:r>
    </w:p>
    <w:p w14:paraId="62FAFD35" w14:textId="77777777" w:rsidR="00F673BF" w:rsidRDefault="00F673BF" w:rsidP="00F673BF">
      <w:pPr>
        <w:pStyle w:val="H4Financials"/>
        <w:spacing w:after="0"/>
      </w:pPr>
      <w:bookmarkStart w:id="196" w:name="_Toc83220572"/>
      <w:r>
        <w:t>Note 3.1 Employee provisions</w:t>
      </w:r>
      <w:bookmarkEnd w:id="196"/>
    </w:p>
    <w:tbl>
      <w:tblPr>
        <w:tblStyle w:val="IHPA"/>
        <w:tblW w:w="7096" w:type="dxa"/>
        <w:tblLayout w:type="fixed"/>
        <w:tblLook w:val="0020" w:firstRow="1" w:lastRow="0" w:firstColumn="0" w:lastColumn="0" w:noHBand="0" w:noVBand="0"/>
        <w:tblCaption w:val="Note 3.1"/>
        <w:tblDescription w:val="Employee provisions"/>
      </w:tblPr>
      <w:tblGrid>
        <w:gridCol w:w="5111"/>
        <w:gridCol w:w="992"/>
        <w:gridCol w:w="993"/>
      </w:tblGrid>
      <w:tr w:rsidR="00F673BF" w:rsidRPr="008D0A40" w14:paraId="231B7812" w14:textId="77777777" w:rsidTr="009268F3">
        <w:trPr>
          <w:trHeight w:val="340"/>
        </w:trPr>
        <w:tc>
          <w:tcPr>
            <w:tcW w:w="5111" w:type="dxa"/>
          </w:tcPr>
          <w:p w14:paraId="51D0D49C" w14:textId="77777777" w:rsidR="00F673BF" w:rsidRPr="008D0A40" w:rsidRDefault="00F673BF" w:rsidP="00545486">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53795643" w14:textId="00C32BF6" w:rsidR="00F673BF" w:rsidRPr="008D0A40" w:rsidRDefault="00F673BF" w:rsidP="00545486">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D0A40">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8D0A40">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70EF3043" w14:textId="15427399" w:rsidR="00F673BF" w:rsidRPr="008D0A40" w:rsidRDefault="00F673BF" w:rsidP="00545486">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D0A40">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8D0A40">
              <w:rPr>
                <w:rFonts w:asciiTheme="majorHAnsi" w:hAnsiTheme="majorHAnsi" w:cs="Futura PT Heavy"/>
                <w:color w:val="1C1C1C"/>
                <w:sz w:val="16"/>
                <w:szCs w:val="16"/>
                <w:lang w:val="en-US"/>
              </w:rPr>
              <w:br/>
              <w:t>$’000</w:t>
            </w:r>
          </w:p>
        </w:tc>
      </w:tr>
      <w:tr w:rsidR="00F673BF" w:rsidRPr="008D0A40" w14:paraId="22D3E427" w14:textId="77777777" w:rsidTr="009268F3">
        <w:trPr>
          <w:trHeight w:val="170"/>
        </w:trPr>
        <w:tc>
          <w:tcPr>
            <w:tcW w:w="5111" w:type="dxa"/>
          </w:tcPr>
          <w:p w14:paraId="6FDA1C95" w14:textId="77777777" w:rsidR="00F673BF" w:rsidRPr="008D0A40" w:rsidRDefault="00F673BF" w:rsidP="00545486">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Note 3.1A: Employee provisions</w:t>
            </w:r>
          </w:p>
        </w:tc>
        <w:tc>
          <w:tcPr>
            <w:tcW w:w="992" w:type="dxa"/>
            <w:tcBorders>
              <w:top w:val="single" w:sz="12" w:space="0" w:color="auto"/>
              <w:right w:val="single" w:sz="18" w:space="0" w:color="FFFFFF" w:themeColor="background2"/>
            </w:tcBorders>
          </w:tcPr>
          <w:p w14:paraId="1D877C5D" w14:textId="77777777" w:rsidR="00F673BF" w:rsidRPr="008D0A40" w:rsidRDefault="00F673BF" w:rsidP="00545486">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71BAB58D" w14:textId="77777777" w:rsidR="00F673BF" w:rsidRPr="008D0A40" w:rsidRDefault="00F673BF" w:rsidP="00545486">
            <w:pPr>
              <w:autoSpaceDE w:val="0"/>
              <w:autoSpaceDN w:val="0"/>
              <w:adjustRightInd w:val="0"/>
              <w:spacing w:before="20" w:after="20"/>
              <w:jc w:val="right"/>
              <w:rPr>
                <w:color w:val="1C1C1C"/>
                <w:sz w:val="14"/>
                <w:szCs w:val="14"/>
              </w:rPr>
            </w:pPr>
          </w:p>
        </w:tc>
      </w:tr>
      <w:tr w:rsidR="008664C1" w:rsidRPr="008D0A40" w14:paraId="2A95FE95" w14:textId="77777777" w:rsidTr="009268F3">
        <w:trPr>
          <w:trHeight w:val="170"/>
        </w:trPr>
        <w:tc>
          <w:tcPr>
            <w:tcW w:w="5111" w:type="dxa"/>
          </w:tcPr>
          <w:p w14:paraId="35E45E72" w14:textId="77777777" w:rsidR="008664C1" w:rsidRPr="008D0A40" w:rsidRDefault="008664C1" w:rsidP="00545486">
            <w:pPr>
              <w:suppressAutoHyphens/>
              <w:autoSpaceDE w:val="0"/>
              <w:autoSpaceDN w:val="0"/>
              <w:adjustRightInd w:val="0"/>
              <w:spacing w:before="20" w:after="20"/>
              <w:textAlignment w:val="center"/>
              <w:rPr>
                <w:rFonts w:cs="Futura PT Book"/>
                <w:color w:val="1C1C1C"/>
                <w:sz w:val="14"/>
                <w:szCs w:val="14"/>
                <w:lang w:val="en-US"/>
              </w:rPr>
            </w:pPr>
            <w:r w:rsidRPr="008D0A40">
              <w:rPr>
                <w:color w:val="1C1C1C"/>
                <w:sz w:val="14"/>
                <w:szCs w:val="14"/>
              </w:rPr>
              <w:t>Leave</w:t>
            </w:r>
          </w:p>
        </w:tc>
        <w:tc>
          <w:tcPr>
            <w:tcW w:w="992" w:type="dxa"/>
            <w:tcBorders>
              <w:bottom w:val="single" w:sz="2" w:space="0" w:color="auto"/>
              <w:right w:val="single" w:sz="18" w:space="0" w:color="FFFFFF" w:themeColor="background2"/>
            </w:tcBorders>
          </w:tcPr>
          <w:p w14:paraId="150810AF" w14:textId="1789C588" w:rsidR="008664C1" w:rsidRPr="00F673BF" w:rsidRDefault="008664C1" w:rsidP="00545486">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F673BF">
              <w:rPr>
                <w:rFonts w:asciiTheme="majorHAnsi" w:hAnsiTheme="majorHAnsi"/>
                <w:sz w:val="14"/>
                <w:szCs w:val="14"/>
              </w:rPr>
              <w:t>10</w:t>
            </w:r>
            <w:r>
              <w:rPr>
                <w:rFonts w:asciiTheme="majorHAnsi" w:hAnsiTheme="majorHAnsi"/>
                <w:sz w:val="14"/>
                <w:szCs w:val="14"/>
              </w:rPr>
              <w:t>6</w:t>
            </w:r>
            <w:r w:rsidRPr="00F673BF">
              <w:rPr>
                <w:rFonts w:asciiTheme="majorHAnsi" w:hAnsiTheme="majorHAnsi"/>
                <w:sz w:val="14"/>
                <w:szCs w:val="14"/>
              </w:rPr>
              <w:t xml:space="preserve"> </w:t>
            </w:r>
          </w:p>
        </w:tc>
        <w:tc>
          <w:tcPr>
            <w:tcW w:w="993" w:type="dxa"/>
            <w:tcBorders>
              <w:left w:val="single" w:sz="18" w:space="0" w:color="FFFFFF" w:themeColor="background2"/>
              <w:bottom w:val="single" w:sz="2" w:space="0" w:color="auto"/>
            </w:tcBorders>
          </w:tcPr>
          <w:p w14:paraId="7174D82C" w14:textId="0E54236B" w:rsidR="008664C1" w:rsidRPr="00F673BF" w:rsidRDefault="008664C1" w:rsidP="00545486">
            <w:pPr>
              <w:suppressAutoHyphens/>
              <w:autoSpaceDE w:val="0"/>
              <w:autoSpaceDN w:val="0"/>
              <w:adjustRightInd w:val="0"/>
              <w:spacing w:before="20" w:after="20"/>
              <w:jc w:val="right"/>
              <w:textAlignment w:val="center"/>
              <w:rPr>
                <w:rFonts w:cs="Futura PT Book"/>
                <w:color w:val="1C1C1C"/>
                <w:sz w:val="14"/>
                <w:szCs w:val="14"/>
                <w:lang w:val="en-US"/>
              </w:rPr>
            </w:pPr>
            <w:r w:rsidRPr="00F673BF">
              <w:rPr>
                <w:sz w:val="14"/>
                <w:szCs w:val="14"/>
              </w:rPr>
              <w:t xml:space="preserve">101 </w:t>
            </w:r>
          </w:p>
        </w:tc>
      </w:tr>
      <w:tr w:rsidR="008664C1" w:rsidRPr="008D0A40" w14:paraId="4DB5222C" w14:textId="77777777" w:rsidTr="009268F3">
        <w:trPr>
          <w:trHeight w:val="170"/>
        </w:trPr>
        <w:tc>
          <w:tcPr>
            <w:tcW w:w="5111" w:type="dxa"/>
          </w:tcPr>
          <w:p w14:paraId="57545180" w14:textId="77777777" w:rsidR="008664C1" w:rsidRPr="008D0A40" w:rsidRDefault="008664C1" w:rsidP="00545486">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D0A40">
              <w:rPr>
                <w:rFonts w:asciiTheme="majorHAnsi" w:hAnsiTheme="majorHAnsi"/>
                <w:color w:val="1C1C1C"/>
                <w:sz w:val="14"/>
                <w:szCs w:val="14"/>
              </w:rPr>
              <w:t>Total employee provisions</w:t>
            </w:r>
          </w:p>
        </w:tc>
        <w:tc>
          <w:tcPr>
            <w:tcW w:w="992" w:type="dxa"/>
            <w:tcBorders>
              <w:top w:val="single" w:sz="2" w:space="0" w:color="auto"/>
              <w:bottom w:val="single" w:sz="2" w:space="0" w:color="auto"/>
              <w:right w:val="single" w:sz="18" w:space="0" w:color="FFFFFF" w:themeColor="background2"/>
            </w:tcBorders>
          </w:tcPr>
          <w:p w14:paraId="58C77E41" w14:textId="36D1270B" w:rsidR="008664C1" w:rsidRPr="00F673BF" w:rsidRDefault="008664C1" w:rsidP="00545486">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F673BF">
              <w:rPr>
                <w:rFonts w:asciiTheme="majorHAnsi" w:hAnsiTheme="majorHAnsi"/>
                <w:sz w:val="14"/>
                <w:szCs w:val="14"/>
              </w:rPr>
              <w:t>10</w:t>
            </w:r>
            <w:r>
              <w:rPr>
                <w:rFonts w:asciiTheme="majorHAnsi" w:hAnsiTheme="majorHAnsi"/>
                <w:sz w:val="14"/>
                <w:szCs w:val="14"/>
              </w:rPr>
              <w:t>6</w:t>
            </w:r>
            <w:r w:rsidRPr="00F673BF">
              <w:rPr>
                <w:rFonts w:asciiTheme="majorHAnsi" w:hAnsiTheme="majorHAns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78436CE2" w14:textId="221FD2FF" w:rsidR="008664C1" w:rsidRPr="00F673BF" w:rsidRDefault="008664C1" w:rsidP="00545486">
            <w:pPr>
              <w:suppressAutoHyphens/>
              <w:autoSpaceDE w:val="0"/>
              <w:autoSpaceDN w:val="0"/>
              <w:adjustRightInd w:val="0"/>
              <w:spacing w:before="20" w:after="20"/>
              <w:jc w:val="right"/>
              <w:textAlignment w:val="center"/>
              <w:rPr>
                <w:rFonts w:cs="Futura PT Book"/>
                <w:color w:val="1C1C1C"/>
                <w:sz w:val="14"/>
                <w:szCs w:val="14"/>
                <w:lang w:val="en-US"/>
              </w:rPr>
            </w:pPr>
            <w:r w:rsidRPr="00F673BF">
              <w:rPr>
                <w:sz w:val="14"/>
                <w:szCs w:val="14"/>
              </w:rPr>
              <w:t xml:space="preserve">101 </w:t>
            </w:r>
          </w:p>
        </w:tc>
      </w:tr>
      <w:tr w:rsidR="00F673BF" w:rsidRPr="008D0A40" w14:paraId="7EA1486C" w14:textId="77777777" w:rsidTr="009268F3">
        <w:trPr>
          <w:trHeight w:val="57"/>
        </w:trPr>
        <w:tc>
          <w:tcPr>
            <w:tcW w:w="5111" w:type="dxa"/>
          </w:tcPr>
          <w:p w14:paraId="7BCBC853" w14:textId="77777777" w:rsidR="00F673BF" w:rsidRPr="008D0A40" w:rsidRDefault="00F673BF" w:rsidP="00545486">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53D11E46" w14:textId="77777777" w:rsidR="00F673BF" w:rsidRPr="008D0A40" w:rsidRDefault="00F673BF" w:rsidP="00545486">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188342AB" w14:textId="77777777" w:rsidR="00F673BF" w:rsidRPr="008D0A40" w:rsidRDefault="00F673BF" w:rsidP="00545486">
            <w:pPr>
              <w:suppressAutoHyphens/>
              <w:autoSpaceDE w:val="0"/>
              <w:autoSpaceDN w:val="0"/>
              <w:adjustRightInd w:val="0"/>
              <w:spacing w:before="20" w:after="20"/>
              <w:jc w:val="right"/>
              <w:textAlignment w:val="center"/>
              <w:rPr>
                <w:color w:val="1C1C1C"/>
                <w:sz w:val="4"/>
                <w:szCs w:val="4"/>
              </w:rPr>
            </w:pPr>
          </w:p>
        </w:tc>
      </w:tr>
    </w:tbl>
    <w:p w14:paraId="0C64612E" w14:textId="77777777" w:rsidR="00F673BF" w:rsidRDefault="00F673BF" w:rsidP="00F673BF">
      <w:pPr>
        <w:pStyle w:val="Body"/>
        <w:spacing w:after="0"/>
      </w:pPr>
    </w:p>
    <w:tbl>
      <w:tblPr>
        <w:tblStyle w:val="TableGrid1"/>
        <w:tblW w:w="5000" w:type="pct"/>
        <w:tblCellMar>
          <w:top w:w="57" w:type="dxa"/>
          <w:bottom w:w="57" w:type="dxa"/>
        </w:tblCellMar>
        <w:tblLook w:val="04A0" w:firstRow="1" w:lastRow="0" w:firstColumn="1" w:lastColumn="0" w:noHBand="0" w:noVBand="1"/>
        <w:tblCaption w:val="Note 3.1"/>
        <w:tblDescription w:val="Accounting policy"/>
      </w:tblPr>
      <w:tblGrid>
        <w:gridCol w:w="7701"/>
      </w:tblGrid>
      <w:tr w:rsidR="00F673BF" w14:paraId="66DBB694" w14:textId="77777777" w:rsidTr="009B4449">
        <w:trPr>
          <w:tblHeader/>
        </w:trPr>
        <w:tc>
          <w:tcPr>
            <w:tcW w:w="5000" w:type="pct"/>
          </w:tcPr>
          <w:p w14:paraId="01F0E4A0" w14:textId="77777777" w:rsidR="00F673BF" w:rsidRPr="005300C0" w:rsidRDefault="00F673BF" w:rsidP="006544B5">
            <w:pPr>
              <w:pStyle w:val="Body"/>
              <w:spacing w:after="80"/>
              <w:rPr>
                <w:rFonts w:asciiTheme="majorHAnsi" w:hAnsiTheme="majorHAnsi"/>
              </w:rPr>
            </w:pPr>
            <w:r w:rsidRPr="005300C0">
              <w:rPr>
                <w:rFonts w:asciiTheme="majorHAnsi" w:hAnsiTheme="majorHAnsi"/>
              </w:rPr>
              <w:t>Accounting Policy</w:t>
            </w:r>
          </w:p>
          <w:p w14:paraId="117F8979" w14:textId="77777777" w:rsidR="00F673BF" w:rsidRPr="00303955" w:rsidRDefault="00F673BF" w:rsidP="006544B5">
            <w:pPr>
              <w:pStyle w:val="Body"/>
              <w:spacing w:after="80"/>
              <w:rPr>
                <w:b/>
                <w:bCs/>
              </w:rPr>
            </w:pPr>
            <w:r w:rsidRPr="00303955">
              <w:rPr>
                <w:b/>
                <w:bCs/>
              </w:rPr>
              <w:t>Employee provisions</w:t>
            </w:r>
          </w:p>
          <w:p w14:paraId="71D12C29" w14:textId="77777777" w:rsidR="00F673BF" w:rsidRDefault="00F673BF" w:rsidP="006544B5">
            <w:pPr>
              <w:pStyle w:val="Body"/>
              <w:spacing w:after="80"/>
            </w:pPr>
            <w:r w:rsidRPr="00F673BF">
              <w:t xml:space="preserve">Liabilities for short-term employee benefits and termination benefits expected within 12 months of the end of reporting period are measured at their nominal amounts. </w:t>
            </w:r>
          </w:p>
          <w:p w14:paraId="15436F0C" w14:textId="77777777" w:rsidR="00F673BF" w:rsidRDefault="00F673BF" w:rsidP="006544B5">
            <w:pPr>
              <w:pStyle w:val="Body"/>
              <w:spacing w:after="80"/>
            </w:pPr>
            <w:r w:rsidRPr="00F673BF">
              <w:t xml:space="preserve">Other long-term employee benefits are measured as net total of the present value of the defined benefit obligation at the end of the reporting period, minus the fair value at the end of the reporting period of plan assets (if any), out of which the obligations are to be settled directly. </w:t>
            </w:r>
          </w:p>
          <w:p w14:paraId="32987132" w14:textId="43790862" w:rsidR="00F673BF" w:rsidRPr="00303955" w:rsidRDefault="00F673BF" w:rsidP="006544B5">
            <w:pPr>
              <w:pStyle w:val="Body"/>
              <w:spacing w:after="80"/>
              <w:rPr>
                <w:b/>
                <w:bCs/>
              </w:rPr>
            </w:pPr>
            <w:r w:rsidRPr="00303955">
              <w:rPr>
                <w:b/>
                <w:bCs/>
              </w:rPr>
              <w:t>Leave</w:t>
            </w:r>
          </w:p>
          <w:p w14:paraId="276E6188" w14:textId="77777777" w:rsidR="00F673BF" w:rsidRDefault="00F673BF" w:rsidP="006544B5">
            <w:pPr>
              <w:pStyle w:val="Body"/>
              <w:spacing w:after="80"/>
            </w:pPr>
            <w:r w:rsidRPr="00F673BF">
              <w:t>The liability for employee benefits includes provision for annual leave and long service leave.</w:t>
            </w:r>
          </w:p>
          <w:p w14:paraId="0C2BFEDD" w14:textId="77777777" w:rsidR="00F673BF" w:rsidRDefault="00F673BF" w:rsidP="006544B5">
            <w:pPr>
              <w:pStyle w:val="Body"/>
              <w:spacing w:after="80"/>
            </w:pPr>
            <w:r w:rsidRPr="00F673BF">
              <w:t>The leave liabilities are calculated on the basis of employees’ remuneration at the estimated salary rates that will be applied at the time the leave is taken, including the entity’s employer superannuation contribution rates to the extent that the leave is likely to be taken during service rather than paid out on termination. The estimate of the present value of the liability takes into account attrition rates, and pay increases through promotion and inflation.</w:t>
            </w:r>
          </w:p>
          <w:p w14:paraId="75FAE6C8" w14:textId="3BFDA191" w:rsidR="00F673BF" w:rsidRPr="00303955" w:rsidRDefault="00F673BF" w:rsidP="006544B5">
            <w:pPr>
              <w:pStyle w:val="Body"/>
              <w:spacing w:after="80"/>
              <w:rPr>
                <w:b/>
                <w:bCs/>
              </w:rPr>
            </w:pPr>
            <w:r w:rsidRPr="00303955">
              <w:rPr>
                <w:b/>
                <w:bCs/>
              </w:rPr>
              <w:t>Superannuation</w:t>
            </w:r>
          </w:p>
          <w:p w14:paraId="0D288883" w14:textId="77777777" w:rsidR="00F673BF" w:rsidRDefault="00F673BF" w:rsidP="006544B5">
            <w:pPr>
              <w:pStyle w:val="Body"/>
              <w:spacing w:after="80"/>
            </w:pPr>
            <w:r w:rsidRPr="00F673BF">
              <w:t>The entity's staff are members of the Commonwealth Superannuation Scheme (CSS), the Public Sector Superannuation Scheme (PSS), or the PSS accumulation plan (</w:t>
            </w:r>
            <w:proofErr w:type="spellStart"/>
            <w:r w:rsidRPr="00F673BF">
              <w:t>PSSap</w:t>
            </w:r>
            <w:proofErr w:type="spellEnd"/>
            <w:r w:rsidRPr="00F673BF">
              <w:t xml:space="preserve">), or other superannuation funds held outside the Australian Government. The CSS and PSS are defined benefit schemes for the Australian Government. The </w:t>
            </w:r>
            <w:proofErr w:type="spellStart"/>
            <w:r w:rsidRPr="00F673BF">
              <w:t>PSSap</w:t>
            </w:r>
            <w:proofErr w:type="spellEnd"/>
            <w:r w:rsidRPr="00F673BF">
              <w:t xml:space="preserve"> is a defined contribution scheme.</w:t>
            </w:r>
          </w:p>
          <w:p w14:paraId="41733387" w14:textId="77777777" w:rsidR="00F673BF" w:rsidRDefault="00F673BF" w:rsidP="006544B5">
            <w:pPr>
              <w:pStyle w:val="Body"/>
              <w:spacing w:after="80"/>
            </w:pPr>
            <w:r w:rsidRPr="00F673BF">
              <w:t xml:space="preserve">The liability for defined benefits is </w:t>
            </w:r>
            <w:proofErr w:type="spellStart"/>
            <w:r w:rsidRPr="00F673BF">
              <w:t>recognised</w:t>
            </w:r>
            <w:proofErr w:type="spellEnd"/>
            <w:r w:rsidRPr="00F673BF">
              <w:t xml:space="preserve"> in the financial statements of the Australian Government and is settled by the Australian Government in due course. This liability is reported in the Department of Finance’s administered schedules and notes.</w:t>
            </w:r>
          </w:p>
          <w:p w14:paraId="724FBA94" w14:textId="77777777" w:rsidR="00F673BF" w:rsidRDefault="00F673BF" w:rsidP="00F673BF">
            <w:pPr>
              <w:pStyle w:val="Body"/>
              <w:spacing w:after="80"/>
            </w:pPr>
            <w:r>
              <w:t>The entity makes employer contributions to the employees' defined benefit superannuation scheme at rates determined by an actuary to be sufficient to meet the current cost to the Government. The entity accounts for the contributions as if they were contributions to defined contribution plans.</w:t>
            </w:r>
          </w:p>
          <w:p w14:paraId="36654A2F" w14:textId="77B5C1A4" w:rsidR="00F673BF" w:rsidRDefault="00F673BF" w:rsidP="00F673BF">
            <w:pPr>
              <w:pStyle w:val="Body"/>
              <w:spacing w:after="80"/>
            </w:pPr>
            <w:r>
              <w:t xml:space="preserve">The liability for superannuation </w:t>
            </w:r>
            <w:proofErr w:type="spellStart"/>
            <w:r>
              <w:t>recognised</w:t>
            </w:r>
            <w:proofErr w:type="spellEnd"/>
            <w:r>
              <w:t xml:space="preserve"> as at 30 June represents outstanding contributions.</w:t>
            </w:r>
          </w:p>
        </w:tc>
      </w:tr>
    </w:tbl>
    <w:p w14:paraId="65464373" w14:textId="77777777" w:rsidR="00925509" w:rsidRDefault="00925509" w:rsidP="00156309">
      <w:pPr>
        <w:pStyle w:val="Body"/>
        <w:rPr>
          <w:color w:val="292929"/>
        </w:rPr>
        <w:sectPr w:rsidR="00925509" w:rsidSect="00441579">
          <w:footerReference w:type="default" r:id="rId212"/>
          <w:pgSz w:w="9979" w:h="14175"/>
          <w:pgMar w:top="1134" w:right="1134" w:bottom="1134" w:left="1134" w:header="709" w:footer="709" w:gutter="0"/>
          <w:cols w:space="708"/>
          <w:docGrid w:linePitch="360"/>
        </w:sectPr>
      </w:pPr>
    </w:p>
    <w:p w14:paraId="71BC4D2D" w14:textId="77777777" w:rsidR="001D6773" w:rsidRDefault="001D6773" w:rsidP="001D6773">
      <w:pPr>
        <w:pStyle w:val="H4Financials"/>
      </w:pPr>
      <w:bookmarkStart w:id="197" w:name="_Toc83220573"/>
      <w:r>
        <w:lastRenderedPageBreak/>
        <w:t xml:space="preserve">Note 3.2 </w:t>
      </w:r>
      <w:r w:rsidRPr="003A322E">
        <w:t>Key management personnel remuneration</w:t>
      </w:r>
      <w:bookmarkEnd w:id="197"/>
    </w:p>
    <w:p w14:paraId="11B78300" w14:textId="22769109" w:rsidR="001D6773" w:rsidRDefault="001D6773" w:rsidP="001D6773">
      <w:pPr>
        <w:pStyle w:val="Body"/>
      </w:pPr>
      <w:r w:rsidRPr="001D6773">
        <w:t>Key management personnel are those persons having authority and responsibility for planning, directing and</w:t>
      </w:r>
      <w:r w:rsidR="001450F2">
        <w:t> </w:t>
      </w:r>
      <w:r w:rsidRPr="001D6773">
        <w:t>controlling the activities of the entity, directly or indirectly, including any Pricing Authority member. The</w:t>
      </w:r>
      <w:r w:rsidR="001450F2">
        <w:t> </w:t>
      </w:r>
      <w:r w:rsidRPr="001D6773">
        <w:t>entity</w:t>
      </w:r>
      <w:r w:rsidR="001450F2">
        <w:t> </w:t>
      </w:r>
      <w:r w:rsidRPr="001D6773">
        <w:t>has determined the key management personnel to be the Chief Executive Officer and the Pricing</w:t>
      </w:r>
      <w:r w:rsidR="0096235A">
        <w:t> </w:t>
      </w:r>
      <w:r w:rsidRPr="001D6773">
        <w:t>Authority</w:t>
      </w:r>
      <w:r w:rsidR="001450F2">
        <w:t> </w:t>
      </w:r>
      <w:r w:rsidRPr="001D6773">
        <w:t>members.</w:t>
      </w:r>
    </w:p>
    <w:p w14:paraId="21988BFA" w14:textId="0AC70FD8" w:rsidR="001D6773" w:rsidRPr="003A322E" w:rsidRDefault="001D6773" w:rsidP="001D6773">
      <w:pPr>
        <w:pStyle w:val="Body"/>
        <w:rPr>
          <w:rFonts w:asciiTheme="majorHAnsi" w:hAnsiTheme="majorHAnsi"/>
        </w:rPr>
      </w:pPr>
      <w:r w:rsidRPr="003A322E">
        <w:rPr>
          <w:rFonts w:asciiTheme="majorHAnsi" w:hAnsiTheme="majorHAnsi"/>
        </w:rPr>
        <w:t>Key management personnel remuneration is reported in the table below:</w:t>
      </w:r>
    </w:p>
    <w:tbl>
      <w:tblPr>
        <w:tblStyle w:val="IHPA"/>
        <w:tblW w:w="7096" w:type="dxa"/>
        <w:tblLayout w:type="fixed"/>
        <w:tblLook w:val="0020" w:firstRow="1" w:lastRow="0" w:firstColumn="0" w:lastColumn="0" w:noHBand="0" w:noVBand="0"/>
        <w:tblCaption w:val="Note 3.2"/>
        <w:tblDescription w:val="Key management personnel remuneration"/>
      </w:tblPr>
      <w:tblGrid>
        <w:gridCol w:w="5111"/>
        <w:gridCol w:w="992"/>
        <w:gridCol w:w="993"/>
      </w:tblGrid>
      <w:tr w:rsidR="001D6773" w:rsidRPr="001C147F" w14:paraId="4453837C" w14:textId="77777777" w:rsidTr="009268F3">
        <w:trPr>
          <w:trHeight w:val="340"/>
        </w:trPr>
        <w:tc>
          <w:tcPr>
            <w:tcW w:w="5111" w:type="dxa"/>
          </w:tcPr>
          <w:p w14:paraId="743EACD1" w14:textId="77777777" w:rsidR="001D6773" w:rsidRPr="001C147F" w:rsidRDefault="001D6773" w:rsidP="009268F3">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2378B434" w14:textId="7379D7B9" w:rsidR="001D6773" w:rsidRPr="001C147F" w:rsidRDefault="001D6773" w:rsidP="009268F3">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1C147F">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1C147F">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68A6067B" w14:textId="7E02B537" w:rsidR="001D6773" w:rsidRPr="001C147F" w:rsidRDefault="001D6773" w:rsidP="009268F3">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1C147F">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1C147F">
              <w:rPr>
                <w:rFonts w:asciiTheme="majorHAnsi" w:hAnsiTheme="majorHAnsi" w:cs="Futura PT Heavy"/>
                <w:color w:val="1C1C1C"/>
                <w:sz w:val="16"/>
                <w:szCs w:val="16"/>
                <w:lang w:val="en-US"/>
              </w:rPr>
              <w:br/>
              <w:t>$’000</w:t>
            </w:r>
          </w:p>
        </w:tc>
      </w:tr>
      <w:tr w:rsidR="008664C1" w:rsidRPr="001C147F" w14:paraId="1B9986EF" w14:textId="77777777" w:rsidTr="009268F3">
        <w:trPr>
          <w:trHeight w:val="170"/>
        </w:trPr>
        <w:tc>
          <w:tcPr>
            <w:tcW w:w="5111" w:type="dxa"/>
          </w:tcPr>
          <w:p w14:paraId="52E80DFA" w14:textId="77777777" w:rsidR="008664C1" w:rsidRPr="001C147F" w:rsidRDefault="008664C1" w:rsidP="009268F3">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1C147F">
              <w:rPr>
                <w:color w:val="1C1C1C"/>
                <w:sz w:val="14"/>
                <w:szCs w:val="14"/>
              </w:rPr>
              <w:t>Short-term employee benefits</w:t>
            </w:r>
          </w:p>
        </w:tc>
        <w:tc>
          <w:tcPr>
            <w:tcW w:w="992" w:type="dxa"/>
            <w:tcBorders>
              <w:top w:val="single" w:sz="12" w:space="0" w:color="auto"/>
              <w:right w:val="single" w:sz="18" w:space="0" w:color="FFFFFF" w:themeColor="background2"/>
            </w:tcBorders>
          </w:tcPr>
          <w:p w14:paraId="2B6D192C" w14:textId="729B2F85" w:rsidR="008664C1" w:rsidRPr="008664C1" w:rsidRDefault="008664C1" w:rsidP="009268F3">
            <w:pPr>
              <w:autoSpaceDE w:val="0"/>
              <w:autoSpaceDN w:val="0"/>
              <w:adjustRightInd w:val="0"/>
              <w:spacing w:before="20" w:after="20"/>
              <w:jc w:val="right"/>
              <w:rPr>
                <w:rFonts w:asciiTheme="majorHAnsi" w:hAnsiTheme="majorHAnsi"/>
                <w:color w:val="292929"/>
                <w:sz w:val="14"/>
                <w:szCs w:val="14"/>
              </w:rPr>
            </w:pPr>
            <w:r w:rsidRPr="008664C1">
              <w:rPr>
                <w:rFonts w:asciiTheme="majorHAnsi" w:hAnsiTheme="majorHAnsi"/>
                <w:color w:val="292929"/>
                <w:sz w:val="14"/>
                <w:szCs w:val="14"/>
              </w:rPr>
              <w:t>758</w:t>
            </w:r>
          </w:p>
        </w:tc>
        <w:tc>
          <w:tcPr>
            <w:tcW w:w="993" w:type="dxa"/>
            <w:tcBorders>
              <w:top w:val="single" w:sz="12" w:space="0" w:color="auto"/>
              <w:left w:val="single" w:sz="18" w:space="0" w:color="FFFFFF" w:themeColor="background2"/>
            </w:tcBorders>
          </w:tcPr>
          <w:p w14:paraId="136B6F4D" w14:textId="7874975F" w:rsidR="008664C1" w:rsidRPr="008664C1" w:rsidRDefault="008664C1" w:rsidP="009268F3">
            <w:pPr>
              <w:autoSpaceDE w:val="0"/>
              <w:autoSpaceDN w:val="0"/>
              <w:adjustRightInd w:val="0"/>
              <w:spacing w:before="20" w:after="20"/>
              <w:jc w:val="right"/>
              <w:rPr>
                <w:color w:val="292929"/>
                <w:sz w:val="14"/>
                <w:szCs w:val="14"/>
              </w:rPr>
            </w:pPr>
            <w:r w:rsidRPr="008664C1">
              <w:rPr>
                <w:color w:val="292929"/>
                <w:sz w:val="14"/>
                <w:szCs w:val="14"/>
              </w:rPr>
              <w:t xml:space="preserve">774 </w:t>
            </w:r>
          </w:p>
        </w:tc>
      </w:tr>
      <w:tr w:rsidR="008664C1" w:rsidRPr="001C147F" w14:paraId="37EC6977" w14:textId="77777777" w:rsidTr="009268F3">
        <w:trPr>
          <w:trHeight w:val="170"/>
        </w:trPr>
        <w:tc>
          <w:tcPr>
            <w:tcW w:w="5111" w:type="dxa"/>
          </w:tcPr>
          <w:p w14:paraId="6BDA4DDF" w14:textId="77777777" w:rsidR="008664C1" w:rsidRPr="001C147F" w:rsidRDefault="008664C1" w:rsidP="009268F3">
            <w:pPr>
              <w:suppressAutoHyphens/>
              <w:autoSpaceDE w:val="0"/>
              <w:autoSpaceDN w:val="0"/>
              <w:adjustRightInd w:val="0"/>
              <w:spacing w:before="20" w:after="20"/>
              <w:textAlignment w:val="center"/>
              <w:rPr>
                <w:rFonts w:cs="Futura PT Book"/>
                <w:color w:val="1C1C1C"/>
                <w:sz w:val="14"/>
                <w:szCs w:val="14"/>
                <w:lang w:val="en-US"/>
              </w:rPr>
            </w:pPr>
            <w:r w:rsidRPr="001C147F">
              <w:rPr>
                <w:color w:val="1C1C1C"/>
                <w:sz w:val="14"/>
                <w:szCs w:val="14"/>
              </w:rPr>
              <w:t>Post-employment benefits</w:t>
            </w:r>
          </w:p>
        </w:tc>
        <w:tc>
          <w:tcPr>
            <w:tcW w:w="992" w:type="dxa"/>
            <w:tcBorders>
              <w:right w:val="single" w:sz="18" w:space="0" w:color="FFFFFF" w:themeColor="background2"/>
            </w:tcBorders>
          </w:tcPr>
          <w:p w14:paraId="30EA560E" w14:textId="4BC75E29" w:rsidR="008664C1" w:rsidRPr="008664C1" w:rsidRDefault="008664C1" w:rsidP="009268F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664C1">
              <w:rPr>
                <w:rFonts w:asciiTheme="majorHAnsi" w:hAnsiTheme="majorHAnsi"/>
                <w:color w:val="292929"/>
                <w:sz w:val="14"/>
                <w:szCs w:val="14"/>
              </w:rPr>
              <w:t>53</w:t>
            </w:r>
          </w:p>
        </w:tc>
        <w:tc>
          <w:tcPr>
            <w:tcW w:w="993" w:type="dxa"/>
            <w:tcBorders>
              <w:left w:val="single" w:sz="18" w:space="0" w:color="FFFFFF" w:themeColor="background2"/>
            </w:tcBorders>
          </w:tcPr>
          <w:p w14:paraId="28F41C3F" w14:textId="1481342C" w:rsidR="008664C1" w:rsidRPr="008664C1" w:rsidRDefault="008664C1" w:rsidP="009268F3">
            <w:pPr>
              <w:suppressAutoHyphens/>
              <w:autoSpaceDE w:val="0"/>
              <w:autoSpaceDN w:val="0"/>
              <w:adjustRightInd w:val="0"/>
              <w:spacing w:before="20" w:after="20"/>
              <w:jc w:val="right"/>
              <w:textAlignment w:val="center"/>
              <w:rPr>
                <w:rFonts w:cs="Futura PT Book"/>
                <w:color w:val="292929"/>
                <w:sz w:val="14"/>
                <w:szCs w:val="14"/>
                <w:lang w:val="en-US"/>
              </w:rPr>
            </w:pPr>
            <w:r w:rsidRPr="008664C1">
              <w:rPr>
                <w:color w:val="292929"/>
                <w:sz w:val="14"/>
                <w:szCs w:val="14"/>
              </w:rPr>
              <w:t xml:space="preserve">53 </w:t>
            </w:r>
          </w:p>
        </w:tc>
      </w:tr>
      <w:tr w:rsidR="008664C1" w:rsidRPr="001C147F" w14:paraId="7B312A3C" w14:textId="77777777" w:rsidTr="009268F3">
        <w:trPr>
          <w:trHeight w:val="170"/>
        </w:trPr>
        <w:tc>
          <w:tcPr>
            <w:tcW w:w="5111" w:type="dxa"/>
          </w:tcPr>
          <w:p w14:paraId="0396C623" w14:textId="77777777" w:rsidR="008664C1" w:rsidRPr="001C147F" w:rsidRDefault="008664C1" w:rsidP="009268F3">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1C147F">
              <w:rPr>
                <w:color w:val="1C1C1C"/>
                <w:sz w:val="14"/>
                <w:szCs w:val="14"/>
              </w:rPr>
              <w:t>Other long-term benefits</w:t>
            </w:r>
          </w:p>
        </w:tc>
        <w:tc>
          <w:tcPr>
            <w:tcW w:w="992" w:type="dxa"/>
            <w:tcBorders>
              <w:right w:val="single" w:sz="18" w:space="0" w:color="FFFFFF" w:themeColor="background2"/>
            </w:tcBorders>
          </w:tcPr>
          <w:p w14:paraId="4A3BE044" w14:textId="16077FD4" w:rsidR="008664C1" w:rsidRPr="008664C1" w:rsidRDefault="008664C1" w:rsidP="009268F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664C1">
              <w:rPr>
                <w:rFonts w:asciiTheme="majorHAnsi" w:hAnsiTheme="majorHAnsi"/>
                <w:color w:val="292929"/>
                <w:sz w:val="14"/>
                <w:szCs w:val="14"/>
              </w:rPr>
              <w:t>7</w:t>
            </w:r>
          </w:p>
        </w:tc>
        <w:tc>
          <w:tcPr>
            <w:tcW w:w="993" w:type="dxa"/>
            <w:tcBorders>
              <w:left w:val="single" w:sz="18" w:space="0" w:color="FFFFFF" w:themeColor="background2"/>
            </w:tcBorders>
          </w:tcPr>
          <w:p w14:paraId="76176957" w14:textId="2AD995A5" w:rsidR="008664C1" w:rsidRPr="008664C1" w:rsidRDefault="008664C1" w:rsidP="009268F3">
            <w:pPr>
              <w:suppressAutoHyphens/>
              <w:autoSpaceDE w:val="0"/>
              <w:autoSpaceDN w:val="0"/>
              <w:adjustRightInd w:val="0"/>
              <w:spacing w:before="20" w:after="20"/>
              <w:jc w:val="right"/>
              <w:textAlignment w:val="center"/>
              <w:rPr>
                <w:rFonts w:cs="Futura PT Book"/>
                <w:color w:val="292929"/>
                <w:sz w:val="14"/>
                <w:szCs w:val="14"/>
                <w:lang w:val="en-US"/>
              </w:rPr>
            </w:pPr>
            <w:r w:rsidRPr="008664C1">
              <w:rPr>
                <w:color w:val="292929"/>
                <w:sz w:val="14"/>
                <w:szCs w:val="14"/>
              </w:rPr>
              <w:t xml:space="preserve">9 </w:t>
            </w:r>
          </w:p>
        </w:tc>
      </w:tr>
      <w:tr w:rsidR="008664C1" w:rsidRPr="001C147F" w14:paraId="073C877C" w14:textId="77777777" w:rsidTr="009268F3">
        <w:trPr>
          <w:trHeight w:val="170"/>
        </w:trPr>
        <w:tc>
          <w:tcPr>
            <w:tcW w:w="5111" w:type="dxa"/>
          </w:tcPr>
          <w:p w14:paraId="282E34E9" w14:textId="77777777" w:rsidR="008664C1" w:rsidRPr="001C147F" w:rsidRDefault="008664C1" w:rsidP="009268F3">
            <w:pPr>
              <w:suppressAutoHyphens/>
              <w:autoSpaceDE w:val="0"/>
              <w:autoSpaceDN w:val="0"/>
              <w:adjustRightInd w:val="0"/>
              <w:spacing w:before="20" w:after="20"/>
              <w:textAlignment w:val="center"/>
              <w:rPr>
                <w:color w:val="1C1C1C"/>
                <w:sz w:val="14"/>
                <w:szCs w:val="14"/>
              </w:rPr>
            </w:pPr>
            <w:r w:rsidRPr="001C147F">
              <w:rPr>
                <w:color w:val="1C1C1C"/>
                <w:sz w:val="14"/>
                <w:szCs w:val="14"/>
              </w:rPr>
              <w:t>Termination benefits</w:t>
            </w:r>
          </w:p>
        </w:tc>
        <w:tc>
          <w:tcPr>
            <w:tcW w:w="992" w:type="dxa"/>
            <w:tcBorders>
              <w:right w:val="single" w:sz="18" w:space="0" w:color="FFFFFF" w:themeColor="background2"/>
            </w:tcBorders>
          </w:tcPr>
          <w:p w14:paraId="0FB0A4E4" w14:textId="7AC2B922" w:rsidR="008664C1" w:rsidRPr="008664C1" w:rsidRDefault="008664C1" w:rsidP="009268F3">
            <w:pPr>
              <w:suppressAutoHyphens/>
              <w:autoSpaceDE w:val="0"/>
              <w:autoSpaceDN w:val="0"/>
              <w:adjustRightInd w:val="0"/>
              <w:spacing w:before="20" w:after="20"/>
              <w:jc w:val="right"/>
              <w:textAlignment w:val="center"/>
              <w:rPr>
                <w:rFonts w:asciiTheme="majorHAnsi" w:hAnsiTheme="majorHAnsi" w:cs="Futura PT Book"/>
                <w:color w:val="292929"/>
                <w:sz w:val="14"/>
                <w:szCs w:val="14"/>
                <w:lang w:val="en-US"/>
              </w:rPr>
            </w:pPr>
            <w:r w:rsidRPr="008664C1">
              <w:rPr>
                <w:rFonts w:asciiTheme="majorHAnsi" w:hAnsiTheme="majorHAnsi"/>
                <w:color w:val="292929"/>
                <w:sz w:val="14"/>
                <w:szCs w:val="14"/>
              </w:rPr>
              <w:t>-</w:t>
            </w:r>
          </w:p>
        </w:tc>
        <w:tc>
          <w:tcPr>
            <w:tcW w:w="993" w:type="dxa"/>
            <w:tcBorders>
              <w:left w:val="single" w:sz="18" w:space="0" w:color="FFFFFF" w:themeColor="background2"/>
            </w:tcBorders>
          </w:tcPr>
          <w:p w14:paraId="06B274EE" w14:textId="4A223056" w:rsidR="008664C1" w:rsidRPr="008664C1" w:rsidRDefault="008664C1" w:rsidP="009268F3">
            <w:pPr>
              <w:suppressAutoHyphens/>
              <w:autoSpaceDE w:val="0"/>
              <w:autoSpaceDN w:val="0"/>
              <w:adjustRightInd w:val="0"/>
              <w:spacing w:before="20" w:after="20"/>
              <w:jc w:val="right"/>
              <w:textAlignment w:val="center"/>
              <w:rPr>
                <w:color w:val="292929"/>
                <w:sz w:val="14"/>
                <w:szCs w:val="14"/>
              </w:rPr>
            </w:pPr>
            <w:r w:rsidRPr="008664C1">
              <w:rPr>
                <w:color w:val="292929"/>
                <w:sz w:val="14"/>
                <w:szCs w:val="14"/>
              </w:rPr>
              <w:t xml:space="preserve"> - </w:t>
            </w:r>
          </w:p>
        </w:tc>
      </w:tr>
      <w:tr w:rsidR="008664C1" w:rsidRPr="001C147F" w14:paraId="018034F2" w14:textId="77777777" w:rsidTr="009268F3">
        <w:trPr>
          <w:trHeight w:val="57"/>
        </w:trPr>
        <w:tc>
          <w:tcPr>
            <w:tcW w:w="5111" w:type="dxa"/>
          </w:tcPr>
          <w:p w14:paraId="38265C4A" w14:textId="77777777" w:rsidR="008664C1" w:rsidRPr="001C147F" w:rsidRDefault="008664C1" w:rsidP="009268F3">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bottom w:val="single" w:sz="2" w:space="0" w:color="auto"/>
              <w:right w:val="single" w:sz="18" w:space="0" w:color="FFFFFF" w:themeColor="background2"/>
            </w:tcBorders>
          </w:tcPr>
          <w:p w14:paraId="32AF5E39" w14:textId="77777777" w:rsidR="008664C1" w:rsidRPr="008664C1" w:rsidRDefault="008664C1" w:rsidP="009268F3">
            <w:pPr>
              <w:autoSpaceDE w:val="0"/>
              <w:autoSpaceDN w:val="0"/>
              <w:adjustRightInd w:val="0"/>
              <w:spacing w:before="20" w:after="20"/>
              <w:jc w:val="right"/>
              <w:rPr>
                <w:rFonts w:asciiTheme="majorHAnsi" w:hAnsiTheme="majorHAnsi"/>
                <w:color w:val="292929"/>
                <w:sz w:val="4"/>
                <w:szCs w:val="4"/>
              </w:rPr>
            </w:pPr>
          </w:p>
        </w:tc>
        <w:tc>
          <w:tcPr>
            <w:tcW w:w="993" w:type="dxa"/>
            <w:tcBorders>
              <w:left w:val="single" w:sz="18" w:space="0" w:color="FFFFFF" w:themeColor="background2"/>
              <w:bottom w:val="single" w:sz="2" w:space="0" w:color="auto"/>
            </w:tcBorders>
          </w:tcPr>
          <w:p w14:paraId="0CBE744C" w14:textId="77777777" w:rsidR="008664C1" w:rsidRPr="008664C1" w:rsidRDefault="008664C1" w:rsidP="009268F3">
            <w:pPr>
              <w:autoSpaceDE w:val="0"/>
              <w:autoSpaceDN w:val="0"/>
              <w:adjustRightInd w:val="0"/>
              <w:spacing w:before="20" w:after="20"/>
              <w:jc w:val="right"/>
              <w:rPr>
                <w:color w:val="292929"/>
                <w:sz w:val="4"/>
                <w:szCs w:val="4"/>
              </w:rPr>
            </w:pPr>
          </w:p>
        </w:tc>
      </w:tr>
      <w:tr w:rsidR="008664C1" w:rsidRPr="001C147F" w14:paraId="51BEA583" w14:textId="77777777" w:rsidTr="009268F3">
        <w:trPr>
          <w:trHeight w:val="170"/>
        </w:trPr>
        <w:tc>
          <w:tcPr>
            <w:tcW w:w="5111" w:type="dxa"/>
          </w:tcPr>
          <w:p w14:paraId="2E7BD745" w14:textId="77777777" w:rsidR="008664C1" w:rsidRPr="001C147F" w:rsidRDefault="008664C1" w:rsidP="009268F3">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1C147F">
              <w:rPr>
                <w:rFonts w:asciiTheme="majorHAnsi" w:hAnsiTheme="majorHAnsi"/>
                <w:color w:val="1C1C1C"/>
                <w:sz w:val="14"/>
                <w:szCs w:val="14"/>
              </w:rPr>
              <w:t>Total key management personnel remuneration expenses</w:t>
            </w:r>
            <w:r w:rsidRPr="001C147F">
              <w:rPr>
                <w:rFonts w:asciiTheme="majorHAnsi" w:hAnsiTheme="majorHAnsi"/>
                <w:color w:val="1C1C1C"/>
                <w:sz w:val="14"/>
                <w:szCs w:val="14"/>
                <w:vertAlign w:val="superscript"/>
              </w:rPr>
              <w:t>1</w:t>
            </w:r>
          </w:p>
        </w:tc>
        <w:tc>
          <w:tcPr>
            <w:tcW w:w="992" w:type="dxa"/>
            <w:tcBorders>
              <w:top w:val="single" w:sz="2" w:space="0" w:color="auto"/>
              <w:bottom w:val="single" w:sz="2" w:space="0" w:color="auto"/>
              <w:right w:val="single" w:sz="18" w:space="0" w:color="FFFFFF" w:themeColor="background2"/>
            </w:tcBorders>
          </w:tcPr>
          <w:p w14:paraId="5FFE441D" w14:textId="08466A3A" w:rsidR="008664C1" w:rsidRPr="008664C1" w:rsidRDefault="008664C1" w:rsidP="009268F3">
            <w:pPr>
              <w:autoSpaceDE w:val="0"/>
              <w:autoSpaceDN w:val="0"/>
              <w:adjustRightInd w:val="0"/>
              <w:spacing w:before="20" w:after="20"/>
              <w:jc w:val="right"/>
              <w:rPr>
                <w:rFonts w:asciiTheme="majorHAnsi" w:hAnsiTheme="majorHAnsi"/>
                <w:color w:val="292929"/>
                <w:sz w:val="14"/>
                <w:szCs w:val="14"/>
              </w:rPr>
            </w:pPr>
            <w:r w:rsidRPr="008664C1">
              <w:rPr>
                <w:rFonts w:asciiTheme="majorHAnsi" w:hAnsiTheme="majorHAnsi"/>
                <w:color w:val="292929"/>
                <w:sz w:val="14"/>
                <w:szCs w:val="14"/>
              </w:rPr>
              <w:t>818</w:t>
            </w:r>
          </w:p>
        </w:tc>
        <w:tc>
          <w:tcPr>
            <w:tcW w:w="993" w:type="dxa"/>
            <w:tcBorders>
              <w:top w:val="single" w:sz="2" w:space="0" w:color="auto"/>
              <w:left w:val="single" w:sz="18" w:space="0" w:color="FFFFFF" w:themeColor="background2"/>
              <w:bottom w:val="single" w:sz="2" w:space="0" w:color="auto"/>
            </w:tcBorders>
          </w:tcPr>
          <w:p w14:paraId="3887EDE8" w14:textId="2FF13E8B" w:rsidR="008664C1" w:rsidRPr="008664C1" w:rsidRDefault="008664C1" w:rsidP="009268F3">
            <w:pPr>
              <w:autoSpaceDE w:val="0"/>
              <w:autoSpaceDN w:val="0"/>
              <w:adjustRightInd w:val="0"/>
              <w:spacing w:before="20" w:after="20"/>
              <w:jc w:val="right"/>
              <w:rPr>
                <w:color w:val="292929"/>
                <w:sz w:val="14"/>
                <w:szCs w:val="14"/>
              </w:rPr>
            </w:pPr>
            <w:r w:rsidRPr="008664C1">
              <w:rPr>
                <w:color w:val="292929"/>
                <w:sz w:val="14"/>
                <w:szCs w:val="14"/>
              </w:rPr>
              <w:t>836</w:t>
            </w:r>
          </w:p>
        </w:tc>
      </w:tr>
      <w:tr w:rsidR="001D6773" w:rsidRPr="001C147F" w14:paraId="5E6F944A" w14:textId="77777777" w:rsidTr="009268F3">
        <w:trPr>
          <w:trHeight w:val="57"/>
        </w:trPr>
        <w:tc>
          <w:tcPr>
            <w:tcW w:w="5111" w:type="dxa"/>
          </w:tcPr>
          <w:p w14:paraId="19E07054" w14:textId="77777777" w:rsidR="001D6773" w:rsidRPr="001C147F" w:rsidRDefault="001D6773" w:rsidP="009268F3">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524202E8" w14:textId="77777777" w:rsidR="001D6773" w:rsidRPr="001C147F" w:rsidRDefault="001D6773" w:rsidP="009268F3">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976678E" w14:textId="77777777" w:rsidR="001D6773" w:rsidRPr="001C147F" w:rsidRDefault="001D6773" w:rsidP="009268F3">
            <w:pPr>
              <w:autoSpaceDE w:val="0"/>
              <w:autoSpaceDN w:val="0"/>
              <w:adjustRightInd w:val="0"/>
              <w:spacing w:before="20" w:after="20"/>
              <w:jc w:val="right"/>
              <w:rPr>
                <w:color w:val="1C1C1C"/>
                <w:sz w:val="4"/>
                <w:szCs w:val="4"/>
              </w:rPr>
            </w:pPr>
          </w:p>
        </w:tc>
      </w:tr>
    </w:tbl>
    <w:p w14:paraId="7998D5B0" w14:textId="4A25D2CA" w:rsidR="001D6773" w:rsidRDefault="001D6773" w:rsidP="001D6773">
      <w:pPr>
        <w:pStyle w:val="Body"/>
      </w:pPr>
      <w:r>
        <w:br/>
      </w:r>
      <w:r w:rsidRPr="00F51674">
        <w:t xml:space="preserve">The total number of key management personnel that are included in the above table is </w:t>
      </w:r>
      <w:r w:rsidR="00A03076">
        <w:t>9</w:t>
      </w:r>
      <w:r w:rsidRPr="00F51674">
        <w:t xml:space="preserve"> (20</w:t>
      </w:r>
      <w:r>
        <w:t>20</w:t>
      </w:r>
      <w:r w:rsidRPr="00F51674">
        <w:t>: 10).</w:t>
      </w:r>
    </w:p>
    <w:p w14:paraId="774AB5F9" w14:textId="77777777" w:rsidR="001D6773" w:rsidRDefault="001D6773" w:rsidP="001D6773">
      <w:pPr>
        <w:pStyle w:val="Body"/>
      </w:pPr>
      <w:r>
        <w:rPr>
          <w:noProof/>
          <w:lang w:val="en-AU" w:eastAsia="en-AU"/>
        </w:rPr>
        <mc:AlternateContent>
          <mc:Choice Requires="wps">
            <w:drawing>
              <wp:anchor distT="0" distB="0" distL="114300" distR="114300" simplePos="0" relativeHeight="251659264" behindDoc="0" locked="0" layoutInCell="1" allowOverlap="1" wp14:anchorId="18B378F0" wp14:editId="38335F70">
                <wp:simplePos x="0" y="0"/>
                <wp:positionH relativeFrom="column">
                  <wp:posOffset>13970</wp:posOffset>
                </wp:positionH>
                <wp:positionV relativeFrom="paragraph">
                  <wp:posOffset>115588</wp:posOffset>
                </wp:positionV>
                <wp:extent cx="1792586" cy="0"/>
                <wp:effectExtent l="0" t="0" r="0" b="0"/>
                <wp:wrapNone/>
                <wp:docPr id="49" name="Straight Connector 49" descr="P3617#y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92586" cy="0"/>
                        </a:xfrm>
                        <a:prstGeom prst="line">
                          <a:avLst/>
                        </a:prstGeom>
                        <a:ln w="9525">
                          <a:solidFill>
                            <a:srgbClr val="08080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08FA9B" id="Straight Connector 49" o:spid="_x0000_s1026" alt="&quot;&quot;"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pt,9.1pt" to="142.25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" strokecolor="#080808">
                <v:stroke joinstyle="miter"/>
              </v:line>
            </w:pict>
          </mc:Fallback>
        </mc:AlternateContent>
      </w:r>
    </w:p>
    <w:p w14:paraId="0834072C" w14:textId="70EC741F" w:rsidR="001D6773" w:rsidRDefault="001D6773" w:rsidP="001D6773">
      <w:pPr>
        <w:pStyle w:val="Body"/>
      </w:pPr>
      <w:r w:rsidRPr="001D6773">
        <w:rPr>
          <w:vertAlign w:val="superscript"/>
        </w:rPr>
        <w:t>1</w:t>
      </w:r>
      <w:r w:rsidRPr="001D6773">
        <w:rPr>
          <w:rStyle w:val="FootnotesChar"/>
        </w:rPr>
        <w:t>The above key management personnel remuneration excludes the remuneration and other benefits of the Portfolio Ministers whose remuneration and other benefits are set by the Remuneration Tribunal and are not paid by the entity.</w:t>
      </w:r>
    </w:p>
    <w:p w14:paraId="4F03E43F" w14:textId="77777777" w:rsidR="001D6773" w:rsidRDefault="001D6773" w:rsidP="001D6773">
      <w:pPr>
        <w:pStyle w:val="H4Financials"/>
      </w:pPr>
    </w:p>
    <w:p w14:paraId="635826BE" w14:textId="77777777" w:rsidR="001D6773" w:rsidRDefault="001D6773" w:rsidP="001D6773">
      <w:pPr>
        <w:pStyle w:val="H4Financials"/>
      </w:pPr>
      <w:bookmarkStart w:id="198" w:name="_Toc83220574"/>
      <w:r>
        <w:t xml:space="preserve">Note 3.3 </w:t>
      </w:r>
      <w:r w:rsidRPr="008F25A5">
        <w:t>Related party disclosures</w:t>
      </w:r>
      <w:bookmarkEnd w:id="198"/>
    </w:p>
    <w:p w14:paraId="47D32967" w14:textId="77777777" w:rsidR="001D6773" w:rsidRPr="008F25A5" w:rsidRDefault="001D6773" w:rsidP="001D6773">
      <w:pPr>
        <w:pStyle w:val="Body"/>
        <w:rPr>
          <w:rFonts w:asciiTheme="majorHAnsi" w:hAnsiTheme="majorHAnsi"/>
        </w:rPr>
      </w:pPr>
      <w:r w:rsidRPr="008F25A5">
        <w:rPr>
          <w:rFonts w:asciiTheme="majorHAnsi" w:hAnsiTheme="majorHAnsi"/>
        </w:rPr>
        <w:t>Related party relationships:</w:t>
      </w:r>
    </w:p>
    <w:p w14:paraId="21DECA11" w14:textId="472FFE10" w:rsidR="001D6773" w:rsidRDefault="001D6773" w:rsidP="001D6773">
      <w:pPr>
        <w:pStyle w:val="Body"/>
      </w:pPr>
      <w:r w:rsidRPr="001D6773">
        <w:t>The entity is an Australian Government controlled entity. Related parties to this entity are the key management</w:t>
      </w:r>
      <w:r w:rsidR="00E004E6">
        <w:t> </w:t>
      </w:r>
      <w:r w:rsidRPr="001D6773">
        <w:t>personnel as per Note 3.2 Key Management Personnel Remuneration and other Australian</w:t>
      </w:r>
      <w:r w:rsidR="00EA22A9">
        <w:t> </w:t>
      </w:r>
      <w:r w:rsidRPr="001D6773">
        <w:t>Government</w:t>
      </w:r>
      <w:r w:rsidR="00E004E6">
        <w:t> </w:t>
      </w:r>
      <w:r w:rsidRPr="001D6773">
        <w:t>entities.</w:t>
      </w:r>
    </w:p>
    <w:p w14:paraId="0B1AAAEF" w14:textId="3B6B63C1" w:rsidR="001D6773" w:rsidRPr="008F25A5" w:rsidRDefault="001D6773" w:rsidP="001D6773">
      <w:pPr>
        <w:pStyle w:val="Body"/>
        <w:rPr>
          <w:rFonts w:asciiTheme="majorHAnsi" w:hAnsiTheme="majorHAnsi"/>
        </w:rPr>
      </w:pPr>
      <w:r w:rsidRPr="008F25A5">
        <w:rPr>
          <w:rFonts w:asciiTheme="majorHAnsi" w:hAnsiTheme="majorHAnsi"/>
        </w:rPr>
        <w:t>Transactions with related parties:</w:t>
      </w:r>
    </w:p>
    <w:p w14:paraId="5C25C25D" w14:textId="7C17E9CB" w:rsidR="001D6773" w:rsidRDefault="00A03076" w:rsidP="001D6773">
      <w:pPr>
        <w:pStyle w:val="Body"/>
      </w:pPr>
      <w:r w:rsidRPr="00A03076">
        <w:t>Given the breadth of Government activities, related parties may transact with the Government sector in the same capacity as ordinary citizens. Such transactions include the payment or refund of taxes, receipt of a Medicare rebate or higher education loans. These transactions have not been separately disclosed in this note.</w:t>
      </w:r>
    </w:p>
    <w:p w14:paraId="69D19D96" w14:textId="4BF5916E" w:rsidR="00BE3928" w:rsidRDefault="00A03076" w:rsidP="00156309">
      <w:pPr>
        <w:pStyle w:val="Body"/>
      </w:pPr>
      <w:r w:rsidRPr="00A03076">
        <w:t>Giving consideration to relationships with related entities, and transactions entered into during the reporting</w:t>
      </w:r>
      <w:r w:rsidR="00EA22A9">
        <w:t> </w:t>
      </w:r>
      <w:r w:rsidRPr="00A03076">
        <w:t>period by the entity, it has been determined that there are no related party transactions to be separately</w:t>
      </w:r>
      <w:r w:rsidR="00EA22A9">
        <w:t> </w:t>
      </w:r>
      <w:r w:rsidRPr="00A03076">
        <w:t>disclosed.</w:t>
      </w:r>
    </w:p>
    <w:p w14:paraId="45E3D36D" w14:textId="464B71BE" w:rsidR="001D6773" w:rsidRDefault="001D6773" w:rsidP="00156309">
      <w:pPr>
        <w:pStyle w:val="Body"/>
      </w:pPr>
    </w:p>
    <w:p w14:paraId="6DC24866" w14:textId="77777777" w:rsidR="00D628F0" w:rsidRDefault="00D628F0" w:rsidP="00156309">
      <w:pPr>
        <w:pStyle w:val="Body"/>
        <w:rPr>
          <w:color w:val="292929"/>
        </w:rPr>
        <w:sectPr w:rsidR="00D628F0" w:rsidSect="00441579">
          <w:footerReference w:type="default" r:id="rId213"/>
          <w:pgSz w:w="9979" w:h="14175"/>
          <w:pgMar w:top="1134" w:right="1134" w:bottom="1134" w:left="1134" w:header="709" w:footer="709" w:gutter="0"/>
          <w:cols w:space="708"/>
          <w:docGrid w:linePitch="360"/>
        </w:sectPr>
      </w:pPr>
    </w:p>
    <w:p w14:paraId="54DC8DFB" w14:textId="77777777" w:rsidR="00A147BC" w:rsidRDefault="00A147BC" w:rsidP="00A147BC">
      <w:pPr>
        <w:pStyle w:val="H3Financials"/>
        <w:spacing w:before="0"/>
      </w:pPr>
      <w:bookmarkStart w:id="199" w:name="_Toc83220575"/>
      <w:r>
        <w:lastRenderedPageBreak/>
        <w:t>Managing uncertainties</w:t>
      </w:r>
      <w:bookmarkEnd w:id="199"/>
    </w:p>
    <w:p w14:paraId="2C3FBC2A" w14:textId="77777777" w:rsidR="00A147BC" w:rsidRPr="00C577EA" w:rsidRDefault="00A147BC" w:rsidP="00A147BC">
      <w:pPr>
        <w:rPr>
          <w:color w:val="1C1C1C"/>
          <w:sz w:val="18"/>
          <w:szCs w:val="18"/>
        </w:rPr>
      </w:pPr>
      <w:r w:rsidRPr="009541BF">
        <w:rPr>
          <w:color w:val="1C1C1C"/>
          <w:sz w:val="18"/>
          <w:szCs w:val="18"/>
        </w:rPr>
        <w:t>This section analyses how IHPA manages financial risks within its operating environment.</w:t>
      </w:r>
    </w:p>
    <w:p w14:paraId="242252E7" w14:textId="77777777" w:rsidR="00A147BC" w:rsidRDefault="00A147BC" w:rsidP="00A147BC">
      <w:pPr>
        <w:pStyle w:val="H4Financials"/>
      </w:pPr>
      <w:bookmarkStart w:id="200" w:name="_Toc83220576"/>
      <w:r>
        <w:t xml:space="preserve">Note 4.1 </w:t>
      </w:r>
      <w:r w:rsidRPr="009541BF">
        <w:t>Contingent assets and liabilities</w:t>
      </w:r>
      <w:bookmarkEnd w:id="200"/>
    </w:p>
    <w:p w14:paraId="53D331DF" w14:textId="77777777" w:rsidR="00A147BC" w:rsidRPr="009541BF" w:rsidRDefault="00A147BC" w:rsidP="00A147BC">
      <w:pPr>
        <w:pStyle w:val="Body"/>
        <w:rPr>
          <w:rFonts w:asciiTheme="majorHAnsi" w:hAnsiTheme="majorHAnsi"/>
        </w:rPr>
      </w:pPr>
      <w:r w:rsidRPr="009541BF">
        <w:rPr>
          <w:rFonts w:asciiTheme="majorHAnsi" w:hAnsiTheme="majorHAnsi"/>
        </w:rPr>
        <w:t>Quantifiable contingencies</w:t>
      </w:r>
    </w:p>
    <w:p w14:paraId="682D1C90" w14:textId="0079081F" w:rsidR="00A147BC" w:rsidRDefault="00A147BC" w:rsidP="00A147BC">
      <w:pPr>
        <w:pStyle w:val="Body"/>
      </w:pPr>
      <w:r>
        <w:t>There were no quantifiable contingent assets or liabilities in this reporting period (2020: nil).</w:t>
      </w:r>
    </w:p>
    <w:p w14:paraId="25ADB760" w14:textId="77777777" w:rsidR="00A147BC" w:rsidRPr="009541BF" w:rsidRDefault="00A147BC" w:rsidP="00A147BC">
      <w:pPr>
        <w:pStyle w:val="Body"/>
        <w:rPr>
          <w:rFonts w:asciiTheme="majorHAnsi" w:hAnsiTheme="majorHAnsi"/>
        </w:rPr>
      </w:pPr>
      <w:r w:rsidRPr="009541BF">
        <w:rPr>
          <w:rFonts w:asciiTheme="majorHAnsi" w:hAnsiTheme="majorHAnsi"/>
        </w:rPr>
        <w:t>Unquantifiable contingencies</w:t>
      </w:r>
    </w:p>
    <w:p w14:paraId="1460A968" w14:textId="6F4CB92D" w:rsidR="00A147BC" w:rsidRDefault="00A147BC" w:rsidP="00A147BC">
      <w:pPr>
        <w:pStyle w:val="Body"/>
      </w:pPr>
      <w:r>
        <w:t>There were no unquantifiable contingent assets or liabilities in this reporting period (2020: nil)</w:t>
      </w:r>
    </w:p>
    <w:p w14:paraId="5B4FB1DA" w14:textId="77777777" w:rsidR="00A147BC" w:rsidRPr="009541BF" w:rsidRDefault="00A147BC" w:rsidP="00A147BC">
      <w:pPr>
        <w:pStyle w:val="Body"/>
        <w:rPr>
          <w:rFonts w:asciiTheme="majorHAnsi" w:hAnsiTheme="majorHAnsi"/>
        </w:rPr>
      </w:pPr>
      <w:r w:rsidRPr="009541BF">
        <w:rPr>
          <w:rFonts w:asciiTheme="majorHAnsi" w:hAnsiTheme="majorHAnsi"/>
        </w:rPr>
        <w:t>Significant remote contingencies</w:t>
      </w:r>
    </w:p>
    <w:p w14:paraId="1B66E571" w14:textId="2515A15C" w:rsidR="00A147BC" w:rsidRDefault="00A147BC" w:rsidP="00A147BC">
      <w:pPr>
        <w:pStyle w:val="Body"/>
      </w:pPr>
      <w:r>
        <w:t>There were no significant remote contingent assets or liabilities in this reporting period (2020: nil).</w:t>
      </w:r>
    </w:p>
    <w:tbl>
      <w:tblPr>
        <w:tblStyle w:val="TableGrid1"/>
        <w:tblW w:w="4993" w:type="pct"/>
        <w:tblCellMar>
          <w:top w:w="57" w:type="dxa"/>
          <w:bottom w:w="57" w:type="dxa"/>
        </w:tblCellMar>
        <w:tblLook w:val="04A0" w:firstRow="1" w:lastRow="0" w:firstColumn="1" w:lastColumn="0" w:noHBand="0" w:noVBand="1"/>
        <w:tblCaption w:val="Note 4.1"/>
        <w:tblDescription w:val="Accounting policy"/>
      </w:tblPr>
      <w:tblGrid>
        <w:gridCol w:w="7690"/>
      </w:tblGrid>
      <w:tr w:rsidR="00A147BC" w14:paraId="30214B9E" w14:textId="77777777" w:rsidTr="009B4449">
        <w:trPr>
          <w:tblHeader/>
        </w:trPr>
        <w:tc>
          <w:tcPr>
            <w:tcW w:w="5000" w:type="pct"/>
          </w:tcPr>
          <w:p w14:paraId="557CF372" w14:textId="77777777" w:rsidR="00A147BC" w:rsidRPr="005300C0" w:rsidRDefault="00A147BC" w:rsidP="006544B5">
            <w:pPr>
              <w:pStyle w:val="Body"/>
              <w:spacing w:after="120" w:line="288" w:lineRule="auto"/>
              <w:rPr>
                <w:rFonts w:asciiTheme="majorHAnsi" w:hAnsiTheme="majorHAnsi"/>
              </w:rPr>
            </w:pPr>
            <w:r w:rsidRPr="005300C0">
              <w:rPr>
                <w:rFonts w:asciiTheme="majorHAnsi" w:hAnsiTheme="majorHAnsi"/>
              </w:rPr>
              <w:t>Accounting Policy</w:t>
            </w:r>
          </w:p>
          <w:p w14:paraId="35943C9F" w14:textId="77777777" w:rsidR="00A147BC" w:rsidRPr="00303955" w:rsidRDefault="00A147BC" w:rsidP="006544B5">
            <w:pPr>
              <w:pStyle w:val="Body"/>
              <w:spacing w:after="120" w:line="288" w:lineRule="auto"/>
              <w:rPr>
                <w:b/>
                <w:bCs/>
              </w:rPr>
            </w:pPr>
            <w:r w:rsidRPr="00303955">
              <w:rPr>
                <w:b/>
                <w:bCs/>
              </w:rPr>
              <w:t>Contingent asset and liabilities</w:t>
            </w:r>
          </w:p>
          <w:p w14:paraId="12E6824C" w14:textId="603F4AAA" w:rsidR="00A147BC" w:rsidRPr="00E668C6" w:rsidRDefault="00A03076" w:rsidP="006544B5">
            <w:pPr>
              <w:pStyle w:val="Body"/>
              <w:spacing w:line="288" w:lineRule="auto"/>
              <w:rPr>
                <w:lang w:val="en-AU"/>
              </w:rPr>
            </w:pPr>
            <w:r w:rsidRPr="00A03076">
              <w:rPr>
                <w:lang w:val="en-AU"/>
              </w:rPr>
              <w:t>Contingent liabilities and contingent assets are not recognised in the statement of financial position but are reported in the notes. They may arise from uncertainty as to the existence of a liability or asset, or represent an asset or liability in respect of which the amount cannot be reliably measured. Contingent assets are disclosed when settlement is probable but not virtually certain, and contingent liabilities are disclosed when</w:t>
            </w:r>
            <w:r w:rsidR="00D8425D">
              <w:rPr>
                <w:lang w:val="en-AU"/>
              </w:rPr>
              <w:t> </w:t>
            </w:r>
            <w:r w:rsidRPr="00A03076">
              <w:rPr>
                <w:lang w:val="en-AU"/>
              </w:rPr>
              <w:t>settlement is greater than remote.</w:t>
            </w:r>
          </w:p>
        </w:tc>
      </w:tr>
    </w:tbl>
    <w:p w14:paraId="085EB41C" w14:textId="77777777" w:rsidR="00A147BC" w:rsidRDefault="00A147BC" w:rsidP="00A147BC">
      <w:pPr>
        <w:pStyle w:val="Body"/>
      </w:pPr>
    </w:p>
    <w:p w14:paraId="6055E615" w14:textId="77777777" w:rsidR="000C36F9" w:rsidRDefault="000C36F9" w:rsidP="00156309">
      <w:pPr>
        <w:pStyle w:val="Body"/>
        <w:rPr>
          <w:color w:val="292929"/>
        </w:rPr>
        <w:sectPr w:rsidR="000C36F9" w:rsidSect="00441579">
          <w:footerReference w:type="default" r:id="rId214"/>
          <w:pgSz w:w="9979" w:h="14175"/>
          <w:pgMar w:top="1134" w:right="1134" w:bottom="1134" w:left="1134" w:header="709" w:footer="709" w:gutter="0"/>
          <w:cols w:space="708"/>
          <w:docGrid w:linePitch="360"/>
        </w:sectPr>
      </w:pPr>
    </w:p>
    <w:p w14:paraId="1F0AE80A" w14:textId="21C5274C" w:rsidR="00A360AA" w:rsidRDefault="00A360AA" w:rsidP="00A360AA">
      <w:pPr>
        <w:pStyle w:val="H4Financials"/>
        <w:spacing w:after="0"/>
      </w:pPr>
      <w:bookmarkStart w:id="201" w:name="_Toc83220577"/>
      <w:r>
        <w:lastRenderedPageBreak/>
        <w:t xml:space="preserve">Note 4.2 </w:t>
      </w:r>
      <w:r w:rsidR="007267B6">
        <w:t>F</w:t>
      </w:r>
      <w:r w:rsidRPr="002E2C31">
        <w:t>inancial instruments</w:t>
      </w:r>
      <w:bookmarkEnd w:id="201"/>
    </w:p>
    <w:tbl>
      <w:tblPr>
        <w:tblStyle w:val="IHPA"/>
        <w:tblW w:w="7096" w:type="dxa"/>
        <w:tblLayout w:type="fixed"/>
        <w:tblLook w:val="0020" w:firstRow="1" w:lastRow="0" w:firstColumn="0" w:lastColumn="0" w:noHBand="0" w:noVBand="0"/>
        <w:tblCaption w:val="Note 4.2"/>
        <w:tblDescription w:val="Financial instruments"/>
      </w:tblPr>
      <w:tblGrid>
        <w:gridCol w:w="5111"/>
        <w:gridCol w:w="992"/>
        <w:gridCol w:w="993"/>
      </w:tblGrid>
      <w:tr w:rsidR="00A360AA" w:rsidRPr="002C126E" w14:paraId="100CC4FA" w14:textId="77777777" w:rsidTr="008D15BE">
        <w:trPr>
          <w:trHeight w:val="340"/>
        </w:trPr>
        <w:tc>
          <w:tcPr>
            <w:tcW w:w="5111" w:type="dxa"/>
          </w:tcPr>
          <w:p w14:paraId="00748946" w14:textId="77777777" w:rsidR="00A360AA" w:rsidRPr="002C126E" w:rsidRDefault="00A360AA" w:rsidP="00E75F74">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11C2FA67" w14:textId="32F544CB" w:rsidR="00A360AA" w:rsidRPr="002C126E" w:rsidRDefault="00A360AA" w:rsidP="00E75F7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2C126E">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2C126E">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000D0F33" w14:textId="76831316" w:rsidR="00A360AA" w:rsidRPr="002C126E" w:rsidRDefault="00A360AA" w:rsidP="00E75F74">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2C126E">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2C126E">
              <w:rPr>
                <w:rFonts w:asciiTheme="majorHAnsi" w:hAnsiTheme="majorHAnsi" w:cs="Futura PT Heavy"/>
                <w:color w:val="1C1C1C"/>
                <w:sz w:val="16"/>
                <w:szCs w:val="16"/>
                <w:lang w:val="en-US"/>
              </w:rPr>
              <w:br/>
              <w:t>$’000</w:t>
            </w:r>
          </w:p>
        </w:tc>
      </w:tr>
      <w:tr w:rsidR="00A360AA" w:rsidRPr="002C126E" w14:paraId="21F54292" w14:textId="77777777" w:rsidTr="008D15BE">
        <w:trPr>
          <w:trHeight w:val="170"/>
        </w:trPr>
        <w:tc>
          <w:tcPr>
            <w:tcW w:w="5111" w:type="dxa"/>
          </w:tcPr>
          <w:p w14:paraId="7BC3185B" w14:textId="16927824" w:rsidR="00A360AA" w:rsidRPr="002C126E" w:rsidRDefault="00A360AA" w:rsidP="00E75F7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Note 4.2</w:t>
            </w:r>
            <w:r w:rsidR="0029672B">
              <w:rPr>
                <w:rFonts w:asciiTheme="majorHAnsi" w:hAnsiTheme="majorHAnsi"/>
                <w:color w:val="1C1C1C"/>
                <w:sz w:val="14"/>
                <w:szCs w:val="14"/>
              </w:rPr>
              <w:t>A</w:t>
            </w:r>
            <w:r w:rsidRPr="002C126E">
              <w:rPr>
                <w:rFonts w:asciiTheme="majorHAnsi" w:hAnsiTheme="majorHAnsi"/>
                <w:color w:val="1C1C1C"/>
                <w:sz w:val="14"/>
                <w:szCs w:val="14"/>
              </w:rPr>
              <w:t>: Financial instruments (assets)</w:t>
            </w:r>
          </w:p>
        </w:tc>
        <w:tc>
          <w:tcPr>
            <w:tcW w:w="992" w:type="dxa"/>
            <w:tcBorders>
              <w:top w:val="single" w:sz="12" w:space="0" w:color="auto"/>
              <w:right w:val="single" w:sz="18" w:space="0" w:color="FFFFFF" w:themeColor="background2"/>
            </w:tcBorders>
          </w:tcPr>
          <w:p w14:paraId="068A4469" w14:textId="77777777" w:rsidR="00A360AA" w:rsidRPr="002C126E" w:rsidRDefault="00A360AA" w:rsidP="00E75F7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p>
        </w:tc>
        <w:tc>
          <w:tcPr>
            <w:tcW w:w="993" w:type="dxa"/>
            <w:tcBorders>
              <w:top w:val="single" w:sz="12" w:space="0" w:color="auto"/>
              <w:left w:val="single" w:sz="18" w:space="0" w:color="FFFFFF" w:themeColor="background2"/>
            </w:tcBorders>
          </w:tcPr>
          <w:p w14:paraId="016F329C" w14:textId="77777777" w:rsidR="00A360AA" w:rsidRPr="002C126E" w:rsidRDefault="00A360AA" w:rsidP="00E75F74">
            <w:pPr>
              <w:suppressAutoHyphens/>
              <w:autoSpaceDE w:val="0"/>
              <w:autoSpaceDN w:val="0"/>
              <w:adjustRightInd w:val="0"/>
              <w:spacing w:before="20" w:after="20"/>
              <w:jc w:val="right"/>
              <w:textAlignment w:val="center"/>
              <w:rPr>
                <w:color w:val="1C1C1C"/>
                <w:sz w:val="14"/>
                <w:szCs w:val="14"/>
              </w:rPr>
            </w:pPr>
          </w:p>
        </w:tc>
      </w:tr>
      <w:tr w:rsidR="00A360AA" w:rsidRPr="002C126E" w14:paraId="139606C7" w14:textId="77777777" w:rsidTr="008D15BE">
        <w:trPr>
          <w:trHeight w:val="170"/>
        </w:trPr>
        <w:tc>
          <w:tcPr>
            <w:tcW w:w="5111" w:type="dxa"/>
          </w:tcPr>
          <w:p w14:paraId="5907A1D9" w14:textId="77777777" w:rsidR="00A360AA" w:rsidRPr="002C126E" w:rsidRDefault="00A360AA" w:rsidP="00E75F7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 xml:space="preserve">Financial assets at </w:t>
            </w:r>
            <w:proofErr w:type="spellStart"/>
            <w:r w:rsidRPr="002C126E">
              <w:rPr>
                <w:rFonts w:asciiTheme="majorHAnsi" w:hAnsiTheme="majorHAnsi"/>
                <w:color w:val="1C1C1C"/>
                <w:sz w:val="14"/>
                <w:szCs w:val="14"/>
              </w:rPr>
              <w:t>amortised</w:t>
            </w:r>
            <w:proofErr w:type="spellEnd"/>
            <w:r w:rsidRPr="002C126E">
              <w:rPr>
                <w:rFonts w:asciiTheme="majorHAnsi" w:hAnsiTheme="majorHAnsi"/>
                <w:color w:val="1C1C1C"/>
                <w:sz w:val="14"/>
                <w:szCs w:val="14"/>
              </w:rPr>
              <w:t xml:space="preserve"> cost</w:t>
            </w:r>
          </w:p>
        </w:tc>
        <w:tc>
          <w:tcPr>
            <w:tcW w:w="992" w:type="dxa"/>
            <w:tcBorders>
              <w:right w:val="single" w:sz="18" w:space="0" w:color="FFFFFF" w:themeColor="background2"/>
            </w:tcBorders>
          </w:tcPr>
          <w:p w14:paraId="14D8D9C3" w14:textId="77777777" w:rsidR="00A360AA" w:rsidRPr="002C126E" w:rsidRDefault="00A360AA" w:rsidP="00E75F7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5E26DA6A" w14:textId="77777777" w:rsidR="00A360AA" w:rsidRPr="002C126E" w:rsidRDefault="00A360AA" w:rsidP="00E75F74">
            <w:pPr>
              <w:autoSpaceDE w:val="0"/>
              <w:autoSpaceDN w:val="0"/>
              <w:adjustRightInd w:val="0"/>
              <w:spacing w:before="20" w:after="20"/>
              <w:jc w:val="right"/>
              <w:rPr>
                <w:color w:val="1C1C1C"/>
                <w:sz w:val="14"/>
                <w:szCs w:val="14"/>
              </w:rPr>
            </w:pPr>
          </w:p>
        </w:tc>
      </w:tr>
      <w:tr w:rsidR="0029672B" w:rsidRPr="002C126E" w14:paraId="2CDFB0C4" w14:textId="77777777" w:rsidTr="008D15BE">
        <w:trPr>
          <w:trHeight w:val="170"/>
        </w:trPr>
        <w:tc>
          <w:tcPr>
            <w:tcW w:w="5111" w:type="dxa"/>
          </w:tcPr>
          <w:p w14:paraId="21E1EC2A" w14:textId="0590243B" w:rsidR="0029672B" w:rsidRPr="002C126E" w:rsidRDefault="0029672B" w:rsidP="00E75F74">
            <w:pPr>
              <w:suppressAutoHyphens/>
              <w:autoSpaceDE w:val="0"/>
              <w:autoSpaceDN w:val="0"/>
              <w:adjustRightInd w:val="0"/>
              <w:spacing w:before="20" w:after="20"/>
              <w:ind w:left="113"/>
              <w:textAlignment w:val="center"/>
              <w:rPr>
                <w:color w:val="1C1C1C"/>
                <w:sz w:val="14"/>
                <w:szCs w:val="14"/>
              </w:rPr>
            </w:pPr>
            <w:r>
              <w:rPr>
                <w:color w:val="1C1C1C"/>
                <w:sz w:val="14"/>
                <w:szCs w:val="14"/>
              </w:rPr>
              <w:t>Cash and cash equivalents</w:t>
            </w:r>
          </w:p>
        </w:tc>
        <w:tc>
          <w:tcPr>
            <w:tcW w:w="992" w:type="dxa"/>
            <w:tcBorders>
              <w:right w:val="single" w:sz="18" w:space="0" w:color="FFFFFF" w:themeColor="background2"/>
            </w:tcBorders>
          </w:tcPr>
          <w:p w14:paraId="732DC9B7" w14:textId="1A603A02" w:rsidR="0029672B" w:rsidRDefault="0029672B" w:rsidP="00E75F7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16,251</w:t>
            </w:r>
          </w:p>
        </w:tc>
        <w:tc>
          <w:tcPr>
            <w:tcW w:w="993" w:type="dxa"/>
            <w:tcBorders>
              <w:left w:val="single" w:sz="18" w:space="0" w:color="FFFFFF" w:themeColor="background2"/>
            </w:tcBorders>
          </w:tcPr>
          <w:p w14:paraId="3EA0761B" w14:textId="3D65CE0E" w:rsidR="0029672B" w:rsidRDefault="0029672B" w:rsidP="00E75F74">
            <w:pPr>
              <w:autoSpaceDE w:val="0"/>
              <w:autoSpaceDN w:val="0"/>
              <w:adjustRightInd w:val="0"/>
              <w:spacing w:before="20" w:after="20"/>
              <w:jc w:val="right"/>
              <w:rPr>
                <w:color w:val="1C1C1C"/>
                <w:sz w:val="14"/>
                <w:szCs w:val="14"/>
              </w:rPr>
            </w:pPr>
            <w:r>
              <w:rPr>
                <w:color w:val="1C1C1C"/>
                <w:sz w:val="14"/>
                <w:szCs w:val="14"/>
              </w:rPr>
              <w:t>14,119</w:t>
            </w:r>
          </w:p>
        </w:tc>
      </w:tr>
      <w:tr w:rsidR="00A360AA" w:rsidRPr="002C126E" w14:paraId="3116D686" w14:textId="77777777" w:rsidTr="008D15BE">
        <w:trPr>
          <w:trHeight w:val="170"/>
        </w:trPr>
        <w:tc>
          <w:tcPr>
            <w:tcW w:w="5111" w:type="dxa"/>
          </w:tcPr>
          <w:p w14:paraId="7D8EB3D7" w14:textId="77777777" w:rsidR="00A360AA" w:rsidRPr="002C126E" w:rsidRDefault="00A360AA" w:rsidP="00E75F74">
            <w:pPr>
              <w:suppressAutoHyphens/>
              <w:autoSpaceDE w:val="0"/>
              <w:autoSpaceDN w:val="0"/>
              <w:adjustRightInd w:val="0"/>
              <w:spacing w:before="20" w:after="20"/>
              <w:ind w:left="113"/>
              <w:textAlignment w:val="center"/>
              <w:rPr>
                <w:rFonts w:cs="Futura PT Book"/>
                <w:color w:val="1C1C1C"/>
                <w:sz w:val="14"/>
                <w:szCs w:val="14"/>
                <w:lang w:val="en-US"/>
              </w:rPr>
            </w:pPr>
            <w:r w:rsidRPr="002C126E">
              <w:rPr>
                <w:color w:val="1C1C1C"/>
                <w:sz w:val="14"/>
                <w:szCs w:val="14"/>
              </w:rPr>
              <w:t>Trade and other receivables</w:t>
            </w:r>
          </w:p>
        </w:tc>
        <w:tc>
          <w:tcPr>
            <w:tcW w:w="992" w:type="dxa"/>
            <w:tcBorders>
              <w:right w:val="single" w:sz="18" w:space="0" w:color="FFFFFF" w:themeColor="background2"/>
            </w:tcBorders>
          </w:tcPr>
          <w:p w14:paraId="66963E1B" w14:textId="364D0C41" w:rsidR="00A360AA" w:rsidRPr="002C126E" w:rsidRDefault="00A360AA" w:rsidP="00E75F7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3</w:t>
            </w:r>
            <w:r w:rsidR="0029672B">
              <w:rPr>
                <w:rFonts w:asciiTheme="majorHAnsi" w:hAnsiTheme="majorHAnsi"/>
                <w:color w:val="1C1C1C"/>
                <w:sz w:val="14"/>
                <w:szCs w:val="14"/>
              </w:rPr>
              <w:t>1</w:t>
            </w:r>
          </w:p>
        </w:tc>
        <w:tc>
          <w:tcPr>
            <w:tcW w:w="993" w:type="dxa"/>
            <w:tcBorders>
              <w:left w:val="single" w:sz="18" w:space="0" w:color="FFFFFF" w:themeColor="background2"/>
            </w:tcBorders>
          </w:tcPr>
          <w:p w14:paraId="2CD98D84" w14:textId="2A0E5AC6" w:rsidR="00A360AA" w:rsidRPr="002C126E" w:rsidRDefault="00A360AA" w:rsidP="00E75F74">
            <w:pPr>
              <w:autoSpaceDE w:val="0"/>
              <w:autoSpaceDN w:val="0"/>
              <w:adjustRightInd w:val="0"/>
              <w:spacing w:before="20" w:after="20"/>
              <w:jc w:val="right"/>
              <w:rPr>
                <w:color w:val="1C1C1C"/>
                <w:sz w:val="14"/>
                <w:szCs w:val="14"/>
              </w:rPr>
            </w:pPr>
            <w:r>
              <w:rPr>
                <w:color w:val="1C1C1C"/>
                <w:sz w:val="14"/>
                <w:szCs w:val="14"/>
              </w:rPr>
              <w:t>12</w:t>
            </w:r>
          </w:p>
        </w:tc>
      </w:tr>
      <w:tr w:rsidR="00A360AA" w:rsidRPr="002C126E" w14:paraId="3314A766" w14:textId="77777777" w:rsidTr="008D15BE">
        <w:trPr>
          <w:trHeight w:val="170"/>
        </w:trPr>
        <w:tc>
          <w:tcPr>
            <w:tcW w:w="5111" w:type="dxa"/>
          </w:tcPr>
          <w:p w14:paraId="543096CA" w14:textId="77777777" w:rsidR="00A360AA" w:rsidRPr="002C126E" w:rsidRDefault="00A360AA" w:rsidP="00E75F74">
            <w:pPr>
              <w:suppressAutoHyphens/>
              <w:autoSpaceDE w:val="0"/>
              <w:autoSpaceDN w:val="0"/>
              <w:adjustRightInd w:val="0"/>
              <w:spacing w:before="20" w:after="20"/>
              <w:ind w:left="113"/>
              <w:textAlignment w:val="center"/>
              <w:rPr>
                <w:rFonts w:cs="Futura PT Book"/>
                <w:color w:val="1C1C1C"/>
                <w:sz w:val="14"/>
                <w:szCs w:val="14"/>
                <w:lang w:val="en-US"/>
              </w:rPr>
            </w:pPr>
            <w:r w:rsidRPr="002C126E">
              <w:rPr>
                <w:color w:val="1C1C1C"/>
                <w:sz w:val="14"/>
                <w:szCs w:val="14"/>
              </w:rPr>
              <w:t>Less: Impairment allowance</w:t>
            </w:r>
          </w:p>
        </w:tc>
        <w:tc>
          <w:tcPr>
            <w:tcW w:w="992" w:type="dxa"/>
            <w:tcBorders>
              <w:bottom w:val="single" w:sz="2" w:space="0" w:color="auto"/>
              <w:right w:val="single" w:sz="18" w:space="0" w:color="FFFFFF" w:themeColor="background2"/>
            </w:tcBorders>
          </w:tcPr>
          <w:p w14:paraId="6715A17E" w14:textId="77777777" w:rsidR="00A360AA" w:rsidRPr="002C126E" w:rsidRDefault="00A360AA" w:rsidP="00E75F74">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2C126E">
              <w:rPr>
                <w:rFonts w:asciiTheme="majorHAnsi" w:hAnsiTheme="majorHAnsi" w:cs="Futura PT Book"/>
                <w:color w:val="1C1C1C"/>
                <w:sz w:val="14"/>
                <w:szCs w:val="14"/>
                <w:lang w:val="en-US"/>
              </w:rPr>
              <w:t>-</w:t>
            </w:r>
          </w:p>
        </w:tc>
        <w:tc>
          <w:tcPr>
            <w:tcW w:w="993" w:type="dxa"/>
            <w:tcBorders>
              <w:left w:val="single" w:sz="18" w:space="0" w:color="FFFFFF" w:themeColor="background2"/>
              <w:bottom w:val="single" w:sz="2" w:space="0" w:color="auto"/>
            </w:tcBorders>
          </w:tcPr>
          <w:p w14:paraId="43E13E02" w14:textId="77777777" w:rsidR="00A360AA" w:rsidRPr="002C126E" w:rsidRDefault="00A360AA" w:rsidP="00E75F74">
            <w:pPr>
              <w:suppressAutoHyphens/>
              <w:autoSpaceDE w:val="0"/>
              <w:autoSpaceDN w:val="0"/>
              <w:adjustRightInd w:val="0"/>
              <w:spacing w:before="20" w:after="20"/>
              <w:jc w:val="right"/>
              <w:textAlignment w:val="center"/>
              <w:rPr>
                <w:rFonts w:cs="Futura PT Book"/>
                <w:color w:val="1C1C1C"/>
                <w:sz w:val="14"/>
                <w:szCs w:val="14"/>
                <w:lang w:val="en-US"/>
              </w:rPr>
            </w:pPr>
            <w:r w:rsidRPr="002C126E">
              <w:rPr>
                <w:color w:val="1C1C1C"/>
                <w:sz w:val="14"/>
                <w:szCs w:val="14"/>
              </w:rPr>
              <w:t>-</w:t>
            </w:r>
          </w:p>
        </w:tc>
      </w:tr>
      <w:tr w:rsidR="00A360AA" w:rsidRPr="002C126E" w14:paraId="4EE97B9E" w14:textId="77777777" w:rsidTr="008D15BE">
        <w:trPr>
          <w:trHeight w:val="170"/>
        </w:trPr>
        <w:tc>
          <w:tcPr>
            <w:tcW w:w="5111" w:type="dxa"/>
          </w:tcPr>
          <w:p w14:paraId="3A66B146" w14:textId="6BFC561F" w:rsidR="00A360AA" w:rsidRPr="002C126E" w:rsidRDefault="00A360AA" w:rsidP="00E75F74">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2C126E">
              <w:rPr>
                <w:rFonts w:asciiTheme="majorHAnsi" w:hAnsiTheme="majorHAnsi"/>
                <w:color w:val="1C1C1C"/>
                <w:sz w:val="14"/>
                <w:szCs w:val="14"/>
              </w:rPr>
              <w:t xml:space="preserve">Total </w:t>
            </w:r>
            <w:r w:rsidR="0029672B">
              <w:rPr>
                <w:rFonts w:asciiTheme="majorHAnsi" w:hAnsiTheme="majorHAnsi"/>
                <w:color w:val="1C1C1C"/>
                <w:sz w:val="14"/>
                <w:szCs w:val="14"/>
              </w:rPr>
              <w:t xml:space="preserve">financial </w:t>
            </w:r>
            <w:r w:rsidRPr="002C126E">
              <w:rPr>
                <w:rFonts w:asciiTheme="majorHAnsi" w:hAnsiTheme="majorHAnsi"/>
                <w:color w:val="1C1C1C"/>
                <w:sz w:val="14"/>
                <w:szCs w:val="14"/>
              </w:rPr>
              <w:t xml:space="preserve">assets at </w:t>
            </w:r>
            <w:proofErr w:type="spellStart"/>
            <w:r w:rsidRPr="002C126E">
              <w:rPr>
                <w:rFonts w:asciiTheme="majorHAnsi" w:hAnsiTheme="majorHAnsi"/>
                <w:color w:val="1C1C1C"/>
                <w:sz w:val="14"/>
                <w:szCs w:val="14"/>
              </w:rPr>
              <w:t>amortised</w:t>
            </w:r>
            <w:proofErr w:type="spellEnd"/>
            <w:r w:rsidRPr="002C126E">
              <w:rPr>
                <w:rFonts w:asciiTheme="majorHAnsi" w:hAnsiTheme="majorHAnsi"/>
                <w:color w:val="1C1C1C"/>
                <w:sz w:val="14"/>
                <w:szCs w:val="14"/>
              </w:rPr>
              <w:t xml:space="preserve"> cost</w:t>
            </w:r>
          </w:p>
        </w:tc>
        <w:tc>
          <w:tcPr>
            <w:tcW w:w="992" w:type="dxa"/>
            <w:tcBorders>
              <w:top w:val="single" w:sz="2" w:space="0" w:color="auto"/>
              <w:bottom w:val="single" w:sz="2" w:space="0" w:color="auto"/>
              <w:right w:val="single" w:sz="18" w:space="0" w:color="FFFFFF" w:themeColor="background2"/>
            </w:tcBorders>
          </w:tcPr>
          <w:p w14:paraId="10AB8D45" w14:textId="31BC63E7" w:rsidR="00A360AA" w:rsidRPr="002C126E" w:rsidRDefault="0029672B" w:rsidP="00E75F7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16,282</w:t>
            </w:r>
          </w:p>
        </w:tc>
        <w:tc>
          <w:tcPr>
            <w:tcW w:w="993" w:type="dxa"/>
            <w:tcBorders>
              <w:top w:val="single" w:sz="2" w:space="0" w:color="auto"/>
              <w:left w:val="single" w:sz="18" w:space="0" w:color="FFFFFF" w:themeColor="background2"/>
              <w:bottom w:val="single" w:sz="2" w:space="0" w:color="auto"/>
            </w:tcBorders>
          </w:tcPr>
          <w:p w14:paraId="20574472" w14:textId="2392FD8F" w:rsidR="00A360AA" w:rsidRPr="002C126E" w:rsidRDefault="0029672B" w:rsidP="00E75F74">
            <w:pPr>
              <w:suppressAutoHyphens/>
              <w:autoSpaceDE w:val="0"/>
              <w:autoSpaceDN w:val="0"/>
              <w:adjustRightInd w:val="0"/>
              <w:spacing w:before="20" w:after="20"/>
              <w:jc w:val="right"/>
              <w:textAlignment w:val="center"/>
              <w:rPr>
                <w:rFonts w:cs="Futura PT Book"/>
                <w:color w:val="1C1C1C"/>
                <w:sz w:val="14"/>
                <w:szCs w:val="14"/>
                <w:lang w:val="en-US"/>
              </w:rPr>
            </w:pPr>
            <w:r>
              <w:rPr>
                <w:color w:val="1C1C1C"/>
                <w:sz w:val="14"/>
                <w:szCs w:val="14"/>
              </w:rPr>
              <w:t>14,131</w:t>
            </w:r>
          </w:p>
        </w:tc>
      </w:tr>
      <w:tr w:rsidR="00A360AA" w:rsidRPr="002C126E" w14:paraId="7C04B3A3" w14:textId="77777777" w:rsidTr="008D15BE">
        <w:trPr>
          <w:trHeight w:val="57"/>
        </w:trPr>
        <w:tc>
          <w:tcPr>
            <w:tcW w:w="5111" w:type="dxa"/>
          </w:tcPr>
          <w:p w14:paraId="6E382AB2" w14:textId="77777777" w:rsidR="00A360AA" w:rsidRPr="002C126E" w:rsidRDefault="00A360AA" w:rsidP="00E75F7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7BCAE7BF" w14:textId="77777777" w:rsidR="00A360AA" w:rsidRPr="002C126E" w:rsidRDefault="00A360AA" w:rsidP="00E75F7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3229789B" w14:textId="77777777" w:rsidR="00A360AA" w:rsidRPr="002C126E" w:rsidRDefault="00A360AA" w:rsidP="00E75F74">
            <w:pPr>
              <w:suppressAutoHyphens/>
              <w:autoSpaceDE w:val="0"/>
              <w:autoSpaceDN w:val="0"/>
              <w:adjustRightInd w:val="0"/>
              <w:spacing w:before="20" w:after="20"/>
              <w:jc w:val="right"/>
              <w:textAlignment w:val="center"/>
              <w:rPr>
                <w:color w:val="1C1C1C"/>
                <w:sz w:val="4"/>
                <w:szCs w:val="4"/>
              </w:rPr>
            </w:pPr>
          </w:p>
        </w:tc>
      </w:tr>
      <w:tr w:rsidR="00A360AA" w:rsidRPr="002C126E" w14:paraId="5C891867" w14:textId="77777777" w:rsidTr="008D15BE">
        <w:trPr>
          <w:trHeight w:val="170"/>
        </w:trPr>
        <w:tc>
          <w:tcPr>
            <w:tcW w:w="5111" w:type="dxa"/>
          </w:tcPr>
          <w:p w14:paraId="5B6C728B" w14:textId="77777777" w:rsidR="00A360AA" w:rsidRPr="002C126E" w:rsidRDefault="00A360AA" w:rsidP="00E75F74">
            <w:pPr>
              <w:suppressAutoHyphens/>
              <w:autoSpaceDE w:val="0"/>
              <w:autoSpaceDN w:val="0"/>
              <w:adjustRightInd w:val="0"/>
              <w:spacing w:before="20" w:after="20"/>
              <w:textAlignment w:val="center"/>
              <w:rPr>
                <w:color w:val="1C1C1C"/>
                <w:sz w:val="14"/>
                <w:szCs w:val="14"/>
              </w:rPr>
            </w:pPr>
          </w:p>
        </w:tc>
        <w:tc>
          <w:tcPr>
            <w:tcW w:w="992" w:type="dxa"/>
            <w:tcBorders>
              <w:right w:val="single" w:sz="18" w:space="0" w:color="FFFFFF" w:themeColor="background2"/>
            </w:tcBorders>
          </w:tcPr>
          <w:p w14:paraId="6A7321EC" w14:textId="77777777" w:rsidR="00A360AA" w:rsidRPr="002C126E" w:rsidRDefault="00A360AA" w:rsidP="00E75F7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5DE95C5C" w14:textId="77777777" w:rsidR="00A360AA" w:rsidRPr="002C126E" w:rsidRDefault="00A360AA" w:rsidP="00E75F74">
            <w:pPr>
              <w:suppressAutoHyphens/>
              <w:autoSpaceDE w:val="0"/>
              <w:autoSpaceDN w:val="0"/>
              <w:adjustRightInd w:val="0"/>
              <w:spacing w:before="20" w:after="20"/>
              <w:jc w:val="right"/>
              <w:textAlignment w:val="center"/>
              <w:rPr>
                <w:color w:val="1C1C1C"/>
                <w:sz w:val="14"/>
                <w:szCs w:val="14"/>
              </w:rPr>
            </w:pPr>
          </w:p>
        </w:tc>
      </w:tr>
      <w:tr w:rsidR="00A360AA" w:rsidRPr="002C126E" w14:paraId="4BE45C90" w14:textId="77777777" w:rsidTr="008D15BE">
        <w:trPr>
          <w:trHeight w:val="170"/>
        </w:trPr>
        <w:tc>
          <w:tcPr>
            <w:tcW w:w="5111" w:type="dxa"/>
          </w:tcPr>
          <w:p w14:paraId="1279FF3D" w14:textId="4CB76895" w:rsidR="00A360AA" w:rsidRPr="002C126E" w:rsidRDefault="00A360AA" w:rsidP="00E75F7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Note 4.2</w:t>
            </w:r>
            <w:r w:rsidR="0029672B">
              <w:rPr>
                <w:rFonts w:asciiTheme="majorHAnsi" w:hAnsiTheme="majorHAnsi"/>
                <w:color w:val="1C1C1C"/>
                <w:sz w:val="14"/>
                <w:szCs w:val="14"/>
              </w:rPr>
              <w:t>B</w:t>
            </w:r>
            <w:r w:rsidRPr="002C126E">
              <w:rPr>
                <w:rFonts w:asciiTheme="majorHAnsi" w:hAnsiTheme="majorHAnsi"/>
                <w:color w:val="1C1C1C"/>
                <w:sz w:val="14"/>
                <w:szCs w:val="14"/>
              </w:rPr>
              <w:t>: Financial instruments (liabilities)</w:t>
            </w:r>
          </w:p>
        </w:tc>
        <w:tc>
          <w:tcPr>
            <w:tcW w:w="992" w:type="dxa"/>
            <w:tcBorders>
              <w:right w:val="single" w:sz="18" w:space="0" w:color="FFFFFF" w:themeColor="background2"/>
            </w:tcBorders>
          </w:tcPr>
          <w:p w14:paraId="6D417623" w14:textId="77777777" w:rsidR="00A360AA" w:rsidRPr="002C126E" w:rsidRDefault="00A360AA" w:rsidP="00E75F7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035E18A6" w14:textId="77777777" w:rsidR="00A360AA" w:rsidRPr="002C126E" w:rsidRDefault="00A360AA" w:rsidP="00E75F74">
            <w:pPr>
              <w:suppressAutoHyphens/>
              <w:autoSpaceDE w:val="0"/>
              <w:autoSpaceDN w:val="0"/>
              <w:adjustRightInd w:val="0"/>
              <w:spacing w:before="20" w:after="20"/>
              <w:jc w:val="right"/>
              <w:textAlignment w:val="center"/>
              <w:rPr>
                <w:color w:val="1C1C1C"/>
                <w:sz w:val="14"/>
                <w:szCs w:val="14"/>
              </w:rPr>
            </w:pPr>
          </w:p>
        </w:tc>
      </w:tr>
      <w:tr w:rsidR="00A360AA" w:rsidRPr="002C126E" w14:paraId="59F017A2" w14:textId="77777777" w:rsidTr="008D15BE">
        <w:trPr>
          <w:trHeight w:val="170"/>
        </w:trPr>
        <w:tc>
          <w:tcPr>
            <w:tcW w:w="5111" w:type="dxa"/>
          </w:tcPr>
          <w:p w14:paraId="12BFEC5D" w14:textId="77777777" w:rsidR="00A360AA" w:rsidRPr="002C126E" w:rsidRDefault="00A360AA" w:rsidP="00E75F7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 xml:space="preserve">Financial liabilities measured at </w:t>
            </w:r>
            <w:proofErr w:type="spellStart"/>
            <w:r w:rsidRPr="002C126E">
              <w:rPr>
                <w:rFonts w:asciiTheme="majorHAnsi" w:hAnsiTheme="majorHAnsi"/>
                <w:color w:val="1C1C1C"/>
                <w:sz w:val="14"/>
                <w:szCs w:val="14"/>
              </w:rPr>
              <w:t>amortised</w:t>
            </w:r>
            <w:proofErr w:type="spellEnd"/>
            <w:r w:rsidRPr="002C126E">
              <w:rPr>
                <w:rFonts w:asciiTheme="majorHAnsi" w:hAnsiTheme="majorHAnsi"/>
                <w:color w:val="1C1C1C"/>
                <w:sz w:val="14"/>
                <w:szCs w:val="14"/>
              </w:rPr>
              <w:t xml:space="preserve"> cost</w:t>
            </w:r>
          </w:p>
        </w:tc>
        <w:tc>
          <w:tcPr>
            <w:tcW w:w="992" w:type="dxa"/>
            <w:tcBorders>
              <w:right w:val="single" w:sz="18" w:space="0" w:color="FFFFFF" w:themeColor="background2"/>
            </w:tcBorders>
          </w:tcPr>
          <w:p w14:paraId="67DB5C69" w14:textId="77777777" w:rsidR="00A360AA" w:rsidRPr="002C126E" w:rsidRDefault="00A360AA" w:rsidP="00E75F74">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657523ED" w14:textId="77777777" w:rsidR="00A360AA" w:rsidRPr="002C126E" w:rsidRDefault="00A360AA" w:rsidP="00E75F74">
            <w:pPr>
              <w:suppressAutoHyphens/>
              <w:autoSpaceDE w:val="0"/>
              <w:autoSpaceDN w:val="0"/>
              <w:adjustRightInd w:val="0"/>
              <w:spacing w:before="20" w:after="20"/>
              <w:jc w:val="right"/>
              <w:textAlignment w:val="center"/>
              <w:rPr>
                <w:color w:val="1C1C1C"/>
                <w:sz w:val="14"/>
                <w:szCs w:val="14"/>
              </w:rPr>
            </w:pPr>
          </w:p>
        </w:tc>
      </w:tr>
      <w:tr w:rsidR="008664C1" w:rsidRPr="002C126E" w14:paraId="2A631FCB" w14:textId="77777777" w:rsidTr="008D15BE">
        <w:trPr>
          <w:trHeight w:val="170"/>
        </w:trPr>
        <w:tc>
          <w:tcPr>
            <w:tcW w:w="5111" w:type="dxa"/>
          </w:tcPr>
          <w:p w14:paraId="6AC78834" w14:textId="77777777" w:rsidR="008664C1" w:rsidRPr="002C126E" w:rsidRDefault="008664C1" w:rsidP="00E75F74">
            <w:pPr>
              <w:suppressAutoHyphens/>
              <w:autoSpaceDE w:val="0"/>
              <w:autoSpaceDN w:val="0"/>
              <w:adjustRightInd w:val="0"/>
              <w:spacing w:before="20" w:after="20"/>
              <w:ind w:left="113"/>
              <w:textAlignment w:val="center"/>
              <w:rPr>
                <w:color w:val="1C1C1C"/>
                <w:sz w:val="14"/>
                <w:szCs w:val="14"/>
              </w:rPr>
            </w:pPr>
            <w:r w:rsidRPr="002C126E">
              <w:rPr>
                <w:color w:val="1C1C1C"/>
                <w:sz w:val="14"/>
                <w:szCs w:val="14"/>
              </w:rPr>
              <w:t>Trade creditors and accruals</w:t>
            </w:r>
          </w:p>
        </w:tc>
        <w:tc>
          <w:tcPr>
            <w:tcW w:w="992" w:type="dxa"/>
            <w:tcBorders>
              <w:bottom w:val="single" w:sz="2" w:space="0" w:color="auto"/>
              <w:right w:val="single" w:sz="18" w:space="0" w:color="FFFFFF" w:themeColor="background2"/>
            </w:tcBorders>
          </w:tcPr>
          <w:p w14:paraId="03C11161" w14:textId="53D0BF68" w:rsidR="008664C1" w:rsidRPr="002C126E" w:rsidRDefault="0029672B" w:rsidP="00E75F7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1,737</w:t>
            </w:r>
          </w:p>
        </w:tc>
        <w:tc>
          <w:tcPr>
            <w:tcW w:w="993" w:type="dxa"/>
            <w:tcBorders>
              <w:left w:val="single" w:sz="18" w:space="0" w:color="FFFFFF" w:themeColor="background2"/>
              <w:bottom w:val="single" w:sz="2" w:space="0" w:color="auto"/>
            </w:tcBorders>
          </w:tcPr>
          <w:p w14:paraId="20C46BAA" w14:textId="6CF5E1B8" w:rsidR="008664C1" w:rsidRPr="002C126E" w:rsidRDefault="008664C1" w:rsidP="00E75F74">
            <w:pPr>
              <w:suppressAutoHyphens/>
              <w:autoSpaceDE w:val="0"/>
              <w:autoSpaceDN w:val="0"/>
              <w:adjustRightInd w:val="0"/>
              <w:spacing w:before="20" w:after="20"/>
              <w:jc w:val="right"/>
              <w:textAlignment w:val="center"/>
              <w:rPr>
                <w:color w:val="1C1C1C"/>
                <w:sz w:val="14"/>
                <w:szCs w:val="14"/>
              </w:rPr>
            </w:pPr>
            <w:r>
              <w:rPr>
                <w:color w:val="1C1C1C"/>
                <w:sz w:val="14"/>
                <w:szCs w:val="14"/>
              </w:rPr>
              <w:t>2,416</w:t>
            </w:r>
          </w:p>
        </w:tc>
      </w:tr>
      <w:tr w:rsidR="008664C1" w:rsidRPr="002C126E" w14:paraId="1C990311" w14:textId="77777777" w:rsidTr="008D15BE">
        <w:trPr>
          <w:trHeight w:val="170"/>
        </w:trPr>
        <w:tc>
          <w:tcPr>
            <w:tcW w:w="5111" w:type="dxa"/>
          </w:tcPr>
          <w:p w14:paraId="37C769B7" w14:textId="77777777" w:rsidR="008664C1" w:rsidRPr="002C126E" w:rsidRDefault="008664C1" w:rsidP="00E75F74">
            <w:pPr>
              <w:suppressAutoHyphens/>
              <w:autoSpaceDE w:val="0"/>
              <w:autoSpaceDN w:val="0"/>
              <w:adjustRightInd w:val="0"/>
              <w:spacing w:before="20" w:after="20"/>
              <w:textAlignment w:val="center"/>
              <w:rPr>
                <w:rFonts w:asciiTheme="majorHAnsi" w:hAnsiTheme="majorHAnsi"/>
                <w:color w:val="1C1C1C"/>
                <w:sz w:val="14"/>
                <w:szCs w:val="14"/>
              </w:rPr>
            </w:pPr>
            <w:r w:rsidRPr="002C126E">
              <w:rPr>
                <w:rFonts w:asciiTheme="majorHAnsi" w:hAnsiTheme="majorHAnsi"/>
                <w:color w:val="1C1C1C"/>
                <w:sz w:val="14"/>
                <w:szCs w:val="14"/>
              </w:rPr>
              <w:t xml:space="preserve">Total financial liabilities measured at </w:t>
            </w:r>
            <w:proofErr w:type="spellStart"/>
            <w:r w:rsidRPr="002C126E">
              <w:rPr>
                <w:rFonts w:asciiTheme="majorHAnsi" w:hAnsiTheme="majorHAnsi"/>
                <w:color w:val="1C1C1C"/>
                <w:sz w:val="14"/>
                <w:szCs w:val="14"/>
              </w:rPr>
              <w:t>amortised</w:t>
            </w:r>
            <w:proofErr w:type="spellEnd"/>
            <w:r w:rsidRPr="002C126E">
              <w:rPr>
                <w:rFonts w:asciiTheme="majorHAnsi" w:hAnsiTheme="majorHAnsi"/>
                <w:color w:val="1C1C1C"/>
                <w:sz w:val="14"/>
                <w:szCs w:val="14"/>
              </w:rPr>
              <w:t xml:space="preserve"> cost</w:t>
            </w:r>
          </w:p>
        </w:tc>
        <w:tc>
          <w:tcPr>
            <w:tcW w:w="992" w:type="dxa"/>
            <w:tcBorders>
              <w:top w:val="single" w:sz="2" w:space="0" w:color="auto"/>
              <w:bottom w:val="single" w:sz="2" w:space="0" w:color="auto"/>
              <w:right w:val="single" w:sz="18" w:space="0" w:color="FFFFFF" w:themeColor="background2"/>
            </w:tcBorders>
          </w:tcPr>
          <w:p w14:paraId="782F6971" w14:textId="0B83D54E" w:rsidR="008664C1" w:rsidRPr="002C126E" w:rsidRDefault="0029672B" w:rsidP="00E75F74">
            <w:pPr>
              <w:autoSpaceDE w:val="0"/>
              <w:autoSpaceDN w:val="0"/>
              <w:adjustRightInd w:val="0"/>
              <w:spacing w:before="20" w:after="20"/>
              <w:jc w:val="right"/>
              <w:rPr>
                <w:rFonts w:asciiTheme="majorHAnsi" w:hAnsiTheme="majorHAnsi"/>
                <w:color w:val="1C1C1C"/>
                <w:sz w:val="14"/>
                <w:szCs w:val="14"/>
              </w:rPr>
            </w:pPr>
            <w:r>
              <w:rPr>
                <w:rFonts w:asciiTheme="majorHAnsi" w:hAnsiTheme="majorHAnsi"/>
                <w:color w:val="1C1C1C"/>
                <w:sz w:val="14"/>
                <w:szCs w:val="14"/>
              </w:rPr>
              <w:t>1,737</w:t>
            </w:r>
          </w:p>
        </w:tc>
        <w:tc>
          <w:tcPr>
            <w:tcW w:w="993" w:type="dxa"/>
            <w:tcBorders>
              <w:top w:val="single" w:sz="2" w:space="0" w:color="auto"/>
              <w:left w:val="single" w:sz="18" w:space="0" w:color="FFFFFF" w:themeColor="background2"/>
              <w:bottom w:val="single" w:sz="2" w:space="0" w:color="auto"/>
            </w:tcBorders>
          </w:tcPr>
          <w:p w14:paraId="4DED1DB2" w14:textId="65725B49" w:rsidR="008664C1" w:rsidRPr="002C126E" w:rsidRDefault="008664C1" w:rsidP="00E75F74">
            <w:pPr>
              <w:suppressAutoHyphens/>
              <w:autoSpaceDE w:val="0"/>
              <w:autoSpaceDN w:val="0"/>
              <w:adjustRightInd w:val="0"/>
              <w:spacing w:before="20" w:after="20"/>
              <w:jc w:val="right"/>
              <w:textAlignment w:val="center"/>
              <w:rPr>
                <w:color w:val="1C1C1C"/>
                <w:sz w:val="14"/>
                <w:szCs w:val="14"/>
              </w:rPr>
            </w:pPr>
            <w:r>
              <w:rPr>
                <w:color w:val="1C1C1C"/>
                <w:sz w:val="14"/>
                <w:szCs w:val="14"/>
              </w:rPr>
              <w:t>2,416</w:t>
            </w:r>
          </w:p>
        </w:tc>
      </w:tr>
      <w:tr w:rsidR="00A360AA" w:rsidRPr="002C126E" w14:paraId="0ADB36C4" w14:textId="77777777" w:rsidTr="008D15BE">
        <w:trPr>
          <w:trHeight w:val="57"/>
        </w:trPr>
        <w:tc>
          <w:tcPr>
            <w:tcW w:w="5111" w:type="dxa"/>
          </w:tcPr>
          <w:p w14:paraId="35176F01" w14:textId="77777777" w:rsidR="00A360AA" w:rsidRPr="002C126E" w:rsidRDefault="00A360AA" w:rsidP="00E75F74">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5F0A4C4F" w14:textId="77777777" w:rsidR="00A360AA" w:rsidRPr="002C126E" w:rsidRDefault="00A360AA" w:rsidP="00E75F74">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291E4F76" w14:textId="77777777" w:rsidR="00A360AA" w:rsidRPr="002C126E" w:rsidRDefault="00A360AA" w:rsidP="00E75F74">
            <w:pPr>
              <w:suppressAutoHyphens/>
              <w:autoSpaceDE w:val="0"/>
              <w:autoSpaceDN w:val="0"/>
              <w:adjustRightInd w:val="0"/>
              <w:spacing w:before="20" w:after="20"/>
              <w:jc w:val="right"/>
              <w:textAlignment w:val="center"/>
              <w:rPr>
                <w:color w:val="1C1C1C"/>
                <w:sz w:val="4"/>
                <w:szCs w:val="4"/>
              </w:rPr>
            </w:pPr>
          </w:p>
        </w:tc>
      </w:tr>
    </w:tbl>
    <w:p w14:paraId="16D0A8F7" w14:textId="77777777" w:rsidR="00A360AA" w:rsidRDefault="00A360AA" w:rsidP="00A360AA">
      <w:pPr>
        <w:pStyle w:val="Body"/>
      </w:pPr>
    </w:p>
    <w:tbl>
      <w:tblPr>
        <w:tblStyle w:val="TableGrid1"/>
        <w:tblW w:w="5000" w:type="pct"/>
        <w:tblCellMar>
          <w:top w:w="57" w:type="dxa"/>
          <w:bottom w:w="57" w:type="dxa"/>
        </w:tblCellMar>
        <w:tblLook w:val="04A0" w:firstRow="1" w:lastRow="0" w:firstColumn="1" w:lastColumn="0" w:noHBand="0" w:noVBand="1"/>
        <w:tblCaption w:val="Note 4.2"/>
        <w:tblDescription w:val="Accounting Policy"/>
      </w:tblPr>
      <w:tblGrid>
        <w:gridCol w:w="7701"/>
      </w:tblGrid>
      <w:tr w:rsidR="00A360AA" w14:paraId="4FF0C8F2" w14:textId="77777777" w:rsidTr="009B4449">
        <w:trPr>
          <w:tblHeader/>
        </w:trPr>
        <w:tc>
          <w:tcPr>
            <w:tcW w:w="5000" w:type="pct"/>
          </w:tcPr>
          <w:p w14:paraId="5DEEC234" w14:textId="77777777" w:rsidR="00A360AA" w:rsidRPr="005300C0" w:rsidRDefault="00A360AA" w:rsidP="006544B5">
            <w:pPr>
              <w:pStyle w:val="Body"/>
              <w:spacing w:after="120"/>
              <w:rPr>
                <w:rFonts w:asciiTheme="majorHAnsi" w:hAnsiTheme="majorHAnsi"/>
              </w:rPr>
            </w:pPr>
            <w:r w:rsidRPr="005300C0">
              <w:rPr>
                <w:rFonts w:asciiTheme="majorHAnsi" w:hAnsiTheme="majorHAnsi"/>
              </w:rPr>
              <w:t>Accounting Policy</w:t>
            </w:r>
          </w:p>
          <w:p w14:paraId="2B9D20C1" w14:textId="77777777" w:rsidR="00A360AA" w:rsidRPr="00303955" w:rsidRDefault="00A360AA" w:rsidP="006544B5">
            <w:pPr>
              <w:pStyle w:val="Body"/>
              <w:spacing w:after="80"/>
              <w:rPr>
                <w:b/>
                <w:bCs/>
              </w:rPr>
            </w:pPr>
            <w:r w:rsidRPr="00303955">
              <w:rPr>
                <w:b/>
                <w:bCs/>
              </w:rPr>
              <w:t>Cash and cash equivalents</w:t>
            </w:r>
          </w:p>
          <w:p w14:paraId="697F3E1F" w14:textId="1A1FD1A3" w:rsidR="0029672B" w:rsidRDefault="0029672B" w:rsidP="0029672B">
            <w:pPr>
              <w:pStyle w:val="Body"/>
              <w:spacing w:after="80"/>
            </w:pPr>
            <w:r>
              <w:t xml:space="preserve">Cash is </w:t>
            </w:r>
            <w:proofErr w:type="spellStart"/>
            <w:r>
              <w:t>recognised</w:t>
            </w:r>
            <w:proofErr w:type="spellEnd"/>
            <w:r>
              <w:t xml:space="preserve"> at its nominal amount. Cash and cash equivalents includes:  </w:t>
            </w:r>
          </w:p>
          <w:p w14:paraId="517F2671" w14:textId="2A786DCD" w:rsidR="0029672B" w:rsidRDefault="0029672B" w:rsidP="0029672B">
            <w:pPr>
              <w:pStyle w:val="AlphabetListL2"/>
              <w:numPr>
                <w:ilvl w:val="0"/>
                <w:numId w:val="29"/>
              </w:numPr>
            </w:pPr>
            <w:r>
              <w:t>cash on hand, and</w:t>
            </w:r>
          </w:p>
          <w:p w14:paraId="45FE5A1D" w14:textId="1B9150CA" w:rsidR="00A360AA" w:rsidRPr="00152335" w:rsidRDefault="0029672B" w:rsidP="0089645E">
            <w:pPr>
              <w:pStyle w:val="AlphabetListL2"/>
              <w:numPr>
                <w:ilvl w:val="0"/>
                <w:numId w:val="29"/>
              </w:numPr>
              <w:spacing w:after="120"/>
            </w:pPr>
            <w:r>
              <w:t>demand deposits in bank accounts with an original maturity of 3 months or less that are readily convertible to known amounts of cash and subject to insignificant risk of changes in value.</w:t>
            </w:r>
          </w:p>
          <w:p w14:paraId="49D3E7BF" w14:textId="77777777" w:rsidR="00A360AA" w:rsidRPr="00303955" w:rsidRDefault="00A360AA" w:rsidP="006544B5">
            <w:pPr>
              <w:pStyle w:val="Body"/>
              <w:spacing w:after="80"/>
              <w:rPr>
                <w:b/>
                <w:bCs/>
              </w:rPr>
            </w:pPr>
            <w:r w:rsidRPr="00303955">
              <w:rPr>
                <w:b/>
                <w:bCs/>
              </w:rPr>
              <w:t>Classification and measurement</w:t>
            </w:r>
          </w:p>
          <w:p w14:paraId="616E62BA" w14:textId="2FB1698B" w:rsidR="00A360AA" w:rsidRDefault="0029672B" w:rsidP="006544B5">
            <w:pPr>
              <w:pStyle w:val="Body"/>
              <w:spacing w:after="80"/>
            </w:pPr>
            <w:r w:rsidRPr="0029672B">
              <w:t xml:space="preserve">The classification and measurement of IHPA's financial assets under AASB 9 is determined by its business model for managing its financial assets and the contractual cash flow </w:t>
            </w:r>
            <w:proofErr w:type="spellStart"/>
            <w:r w:rsidRPr="0029672B">
              <w:t>characterisitcs</w:t>
            </w:r>
            <w:proofErr w:type="spellEnd"/>
            <w:r w:rsidRPr="0029672B">
              <w:t xml:space="preserve"> of those assets.</w:t>
            </w:r>
          </w:p>
          <w:p w14:paraId="62CE5954" w14:textId="77777777" w:rsidR="00A360AA" w:rsidRPr="00303955" w:rsidRDefault="00A360AA" w:rsidP="006544B5">
            <w:pPr>
              <w:pStyle w:val="Body"/>
              <w:spacing w:after="80"/>
              <w:rPr>
                <w:b/>
                <w:bCs/>
              </w:rPr>
            </w:pPr>
            <w:r w:rsidRPr="00303955">
              <w:rPr>
                <w:b/>
                <w:bCs/>
              </w:rPr>
              <w:t>Financial assets</w:t>
            </w:r>
          </w:p>
          <w:p w14:paraId="2145CA9A" w14:textId="75AB00B8" w:rsidR="00A360AA" w:rsidRDefault="0029672B" w:rsidP="006544B5">
            <w:pPr>
              <w:pStyle w:val="Body"/>
              <w:spacing w:after="80"/>
            </w:pPr>
            <w:r w:rsidRPr="0029672B">
              <w:t>IHPA's financial assets are comprised of trade receivables and other receivables that are held for the purpose of collecting the contractual cash flows. All of IHPA's financial assets are measured, and carried, at</w:t>
            </w:r>
            <w:r>
              <w:t> </w:t>
            </w:r>
            <w:proofErr w:type="spellStart"/>
            <w:r w:rsidRPr="0029672B">
              <w:t>amortised</w:t>
            </w:r>
            <w:proofErr w:type="spellEnd"/>
            <w:r w:rsidRPr="0029672B">
              <w:t xml:space="preserve"> cost.</w:t>
            </w:r>
            <w:r w:rsidR="00A360AA">
              <w:tab/>
            </w:r>
          </w:p>
          <w:p w14:paraId="0D7A3CAE" w14:textId="77777777" w:rsidR="00A360AA" w:rsidRPr="00303955" w:rsidRDefault="00A360AA" w:rsidP="006544B5">
            <w:pPr>
              <w:pStyle w:val="Body"/>
              <w:spacing w:after="80"/>
              <w:rPr>
                <w:b/>
                <w:bCs/>
              </w:rPr>
            </w:pPr>
            <w:r w:rsidRPr="00303955">
              <w:rPr>
                <w:b/>
                <w:bCs/>
              </w:rPr>
              <w:t>Financial liabilities</w:t>
            </w:r>
          </w:p>
          <w:p w14:paraId="578E9F57" w14:textId="60173D36" w:rsidR="00A360AA" w:rsidRDefault="00A360AA" w:rsidP="006544B5">
            <w:pPr>
              <w:pStyle w:val="Body"/>
              <w:spacing w:after="80"/>
            </w:pPr>
            <w:r w:rsidRPr="00A360AA">
              <w:t>I</w:t>
            </w:r>
            <w:r w:rsidR="0029672B" w:rsidRPr="0029672B">
              <w:t xml:space="preserve">HPA's financial liabilities are measured, and carried, at </w:t>
            </w:r>
            <w:proofErr w:type="spellStart"/>
            <w:r w:rsidR="0029672B" w:rsidRPr="0029672B">
              <w:t>amortised</w:t>
            </w:r>
            <w:proofErr w:type="spellEnd"/>
            <w:r w:rsidR="0029672B" w:rsidRPr="0029672B">
              <w:t xml:space="preserve"> cost. Supplier and other payables are</w:t>
            </w:r>
            <w:r w:rsidR="0029672B">
              <w:t> </w:t>
            </w:r>
            <w:proofErr w:type="spellStart"/>
            <w:r w:rsidR="0029672B" w:rsidRPr="0029672B">
              <w:t>recognised</w:t>
            </w:r>
            <w:proofErr w:type="spellEnd"/>
            <w:r w:rsidR="0029672B" w:rsidRPr="0029672B">
              <w:t xml:space="preserve"> to the extent that the goods or services have been received, irrespective of having been</w:t>
            </w:r>
            <w:r w:rsidR="0029672B">
              <w:t> </w:t>
            </w:r>
            <w:r w:rsidR="0029672B" w:rsidRPr="0029672B">
              <w:t>invoiced. Lease liabilities are measured using the effective interest method.</w:t>
            </w:r>
          </w:p>
          <w:p w14:paraId="53981C92" w14:textId="46FF9F49" w:rsidR="00A360AA" w:rsidRPr="00303955" w:rsidRDefault="00A360AA" w:rsidP="006544B5">
            <w:pPr>
              <w:pStyle w:val="Body"/>
              <w:spacing w:after="80"/>
              <w:rPr>
                <w:b/>
                <w:bCs/>
              </w:rPr>
            </w:pPr>
            <w:r w:rsidRPr="00303955">
              <w:rPr>
                <w:b/>
                <w:bCs/>
              </w:rPr>
              <w:t>Impairment</w:t>
            </w:r>
          </w:p>
          <w:p w14:paraId="52E52B9A" w14:textId="3C0B54DA" w:rsidR="00A360AA" w:rsidRDefault="0029672B" w:rsidP="006544B5">
            <w:pPr>
              <w:pStyle w:val="Body"/>
              <w:spacing w:after="80"/>
            </w:pPr>
            <w:r w:rsidRPr="0029672B">
              <w:t>AASB 9 requires IHPA to impair its financial assets by applying the 'expected credit losses' (ECL) model.  IHPA has taken advantage of the practical expedient which allows the use of a Provision Matrix to calculate expected credit losses on trade receivables. IHPA has assessed the loss allowance for its financial assets at an amount equal to lifetime expected credit losses.</w:t>
            </w:r>
          </w:p>
          <w:p w14:paraId="72B2C9B3" w14:textId="6A267304" w:rsidR="00A360AA" w:rsidRDefault="0029672B" w:rsidP="006544B5">
            <w:pPr>
              <w:pStyle w:val="Body"/>
              <w:spacing w:after="80"/>
            </w:pPr>
            <w:r w:rsidRPr="0029672B">
              <w:t>Due to the nature of IHPA's receivables, a nil loss allowance has been calculated. There is no impairment of IHPA's financial assets</w:t>
            </w:r>
            <w:r w:rsidR="00A360AA" w:rsidRPr="00A360AA">
              <w:t xml:space="preserve"> for 2020</w:t>
            </w:r>
            <w:r w:rsidR="0025629F">
              <w:t>–</w:t>
            </w:r>
            <w:r w:rsidR="00A360AA" w:rsidRPr="00A360AA">
              <w:t>21.</w:t>
            </w:r>
          </w:p>
        </w:tc>
      </w:tr>
    </w:tbl>
    <w:p w14:paraId="57575226" w14:textId="203FECDE" w:rsidR="00D628F0" w:rsidRDefault="00D628F0" w:rsidP="00156309">
      <w:pPr>
        <w:pStyle w:val="Body"/>
        <w:rPr>
          <w:color w:val="292929"/>
        </w:rPr>
      </w:pPr>
    </w:p>
    <w:p w14:paraId="2301AB59" w14:textId="77777777" w:rsidR="00425456" w:rsidRDefault="00425456" w:rsidP="00156309">
      <w:pPr>
        <w:pStyle w:val="Body"/>
        <w:rPr>
          <w:color w:val="292929"/>
        </w:rPr>
        <w:sectPr w:rsidR="00425456" w:rsidSect="00441579">
          <w:footerReference w:type="default" r:id="rId215"/>
          <w:pgSz w:w="9979" w:h="14175"/>
          <w:pgMar w:top="1134" w:right="1134" w:bottom="1134" w:left="1134" w:header="709" w:footer="709" w:gutter="0"/>
          <w:cols w:space="708"/>
          <w:docGrid w:linePitch="360"/>
        </w:sectPr>
      </w:pPr>
    </w:p>
    <w:p w14:paraId="485E1D7A" w14:textId="39390574" w:rsidR="005F1420" w:rsidRDefault="005F1420" w:rsidP="009C057B">
      <w:pPr>
        <w:pStyle w:val="H4Financials"/>
        <w:spacing w:after="120"/>
      </w:pPr>
      <w:bookmarkStart w:id="202" w:name="_Toc83220578"/>
      <w:r>
        <w:lastRenderedPageBreak/>
        <w:t>Note 4.3 Fair value measurement</w:t>
      </w:r>
      <w:bookmarkEnd w:id="202"/>
    </w:p>
    <w:tbl>
      <w:tblPr>
        <w:tblStyle w:val="TableGrid1"/>
        <w:tblW w:w="4993" w:type="pct"/>
        <w:tblCellMar>
          <w:top w:w="57" w:type="dxa"/>
          <w:bottom w:w="57" w:type="dxa"/>
        </w:tblCellMar>
        <w:tblLook w:val="04A0" w:firstRow="1" w:lastRow="0" w:firstColumn="1" w:lastColumn="0" w:noHBand="0" w:noVBand="1"/>
        <w:tblCaption w:val="Note 4.3"/>
        <w:tblDescription w:val="Accounting policy"/>
      </w:tblPr>
      <w:tblGrid>
        <w:gridCol w:w="7690"/>
      </w:tblGrid>
      <w:tr w:rsidR="009C057B" w14:paraId="21EB7D4D" w14:textId="77777777" w:rsidTr="009B4449">
        <w:trPr>
          <w:tblHeader/>
        </w:trPr>
        <w:tc>
          <w:tcPr>
            <w:tcW w:w="5000" w:type="pct"/>
          </w:tcPr>
          <w:p w14:paraId="2ED8F842" w14:textId="3C89D272" w:rsidR="009C057B" w:rsidRPr="009C057B" w:rsidRDefault="009C057B" w:rsidP="009C057B">
            <w:pPr>
              <w:pStyle w:val="Body"/>
              <w:spacing w:after="120"/>
              <w:rPr>
                <w:rFonts w:asciiTheme="majorHAnsi" w:hAnsiTheme="majorHAnsi"/>
              </w:rPr>
            </w:pPr>
            <w:r w:rsidRPr="005300C0">
              <w:rPr>
                <w:rFonts w:asciiTheme="majorHAnsi" w:hAnsiTheme="majorHAnsi"/>
              </w:rPr>
              <w:t>Accounting Policy</w:t>
            </w:r>
          </w:p>
          <w:p w14:paraId="657C7150" w14:textId="6D82E437" w:rsidR="009C057B" w:rsidRPr="009C057B" w:rsidRDefault="009C057B" w:rsidP="009C057B">
            <w:pPr>
              <w:pStyle w:val="Body"/>
              <w:spacing w:after="80"/>
            </w:pPr>
            <w:r w:rsidRPr="009C057B">
              <w:t>As allowed for by AASB 13 Fair Value Measurement, quantitative information on significant unobservable inputs used in determining fair value is not disclosed.</w:t>
            </w:r>
          </w:p>
          <w:p w14:paraId="04033997" w14:textId="4F4CD288" w:rsidR="009C057B" w:rsidRPr="009C057B" w:rsidRDefault="009C057B" w:rsidP="009C057B">
            <w:pPr>
              <w:pStyle w:val="Body"/>
              <w:spacing w:after="80"/>
            </w:pPr>
            <w:r w:rsidRPr="009C057B">
              <w:t xml:space="preserve">Assets held at fair value include leasehold improvements and property, plant and equipment. Assets not held at fair value include computer software and Right-of-Use (ROU) assets. </w:t>
            </w:r>
          </w:p>
          <w:p w14:paraId="41C4ED6B" w14:textId="2753ADE2" w:rsidR="009C057B" w:rsidRPr="009C057B" w:rsidRDefault="009C057B" w:rsidP="009C057B">
            <w:pPr>
              <w:pStyle w:val="Body"/>
              <w:spacing w:after="80"/>
            </w:pPr>
            <w:r w:rsidRPr="009C057B">
              <w:t>IHPA tests the procedures of the valuation model as an internal management review at least once every 12</w:t>
            </w:r>
            <w:r w:rsidR="0089645E">
              <w:t> </w:t>
            </w:r>
            <w:r w:rsidRPr="009C057B">
              <w:t xml:space="preserve">months (with a formal revaluation undertaken once every three years). If a particular asset class experiences significant and volatile changes in fair value (i.e. where indicators suggest that the value of the class has changed materially since the previous reporting period), that class is subject to specific valuation in the reporting period, where practicable, regardless of the timing of the last specific valuation. </w:t>
            </w:r>
          </w:p>
          <w:p w14:paraId="3AD4E77B" w14:textId="4A9E058D" w:rsidR="009C057B" w:rsidRPr="009C057B" w:rsidRDefault="009C057B" w:rsidP="009C057B">
            <w:pPr>
              <w:pStyle w:val="Body"/>
              <w:spacing w:after="80"/>
            </w:pPr>
            <w:r w:rsidRPr="009C057B">
              <w:t>The categories of fair value measurement are:</w:t>
            </w:r>
          </w:p>
          <w:p w14:paraId="14C129B6" w14:textId="4D94FE58" w:rsidR="009C057B" w:rsidRPr="009C057B" w:rsidRDefault="009C057B" w:rsidP="0089645E">
            <w:pPr>
              <w:pStyle w:val="AlphabetListL2"/>
              <w:numPr>
                <w:ilvl w:val="0"/>
                <w:numId w:val="31"/>
              </w:numPr>
            </w:pPr>
            <w:r w:rsidRPr="009C057B">
              <w:t>Level 1: quoted prices (unadjusted) in active markets for identical assets that the entity can access at measurement date.</w:t>
            </w:r>
          </w:p>
          <w:p w14:paraId="5169DE4B" w14:textId="67EE6409" w:rsidR="009C057B" w:rsidRPr="009C057B" w:rsidRDefault="009C057B" w:rsidP="0089645E">
            <w:pPr>
              <w:pStyle w:val="AlphabetListL2"/>
              <w:numPr>
                <w:ilvl w:val="0"/>
                <w:numId w:val="31"/>
              </w:numPr>
            </w:pPr>
            <w:r w:rsidRPr="009C057B">
              <w:t>Level 2: inputs other than quoted prices included within Level 1 that are observable for the asset, either directly or indirectly.</w:t>
            </w:r>
          </w:p>
          <w:p w14:paraId="3D98E2A8" w14:textId="5B46FE42" w:rsidR="009C057B" w:rsidRPr="009C057B" w:rsidRDefault="009C057B" w:rsidP="0089645E">
            <w:pPr>
              <w:pStyle w:val="AlphabetListL2"/>
              <w:numPr>
                <w:ilvl w:val="0"/>
                <w:numId w:val="31"/>
              </w:numPr>
              <w:spacing w:after="120"/>
            </w:pPr>
            <w:r w:rsidRPr="009C057B">
              <w:t>Level 3: unobservable inputs.</w:t>
            </w:r>
          </w:p>
          <w:p w14:paraId="74CED350" w14:textId="20F9CD1E" w:rsidR="009C057B" w:rsidRPr="009C057B" w:rsidRDefault="009C057B" w:rsidP="009C057B">
            <w:pPr>
              <w:pStyle w:val="Body"/>
              <w:spacing w:after="80"/>
            </w:pPr>
            <w:r w:rsidRPr="009C057B">
              <w:t xml:space="preserve">IHPA's assets are held at fair value and are measured at category Levels 2 or 3 with no fair values measured at category Level 1. </w:t>
            </w:r>
          </w:p>
          <w:p w14:paraId="7CAA449E" w14:textId="24978471" w:rsidR="009C057B" w:rsidRPr="009C057B" w:rsidRDefault="009C057B" w:rsidP="009C057B">
            <w:pPr>
              <w:pStyle w:val="Body"/>
              <w:spacing w:after="80"/>
            </w:pPr>
            <w:r w:rsidRPr="009C057B">
              <w:t>Leasehold improvements are measured at category Level 3 and the valuation methodology used is Depreciated Replacement Cost (DRC). Under DRC the estimated cost to replace the asset is calculated, with</w:t>
            </w:r>
            <w:r w:rsidR="000D0E29">
              <w:t> </w:t>
            </w:r>
            <w:r w:rsidRPr="009C057B">
              <w:t xml:space="preserve">reference to new replacement price per square </w:t>
            </w:r>
            <w:proofErr w:type="spellStart"/>
            <w:r w:rsidRPr="009C057B">
              <w:t>metre</w:t>
            </w:r>
            <w:proofErr w:type="spellEnd"/>
            <w:r w:rsidRPr="009C057B">
              <w:t>, and then adjusted to take into account its consumed economic benefit (accumulated depreciation). The consumed economic benefit has been determined based on the professional judgement with regard to physical, economic and external obsolescence factors.</w:t>
            </w:r>
          </w:p>
          <w:p w14:paraId="51E6E4FC" w14:textId="2B1763ED" w:rsidR="009C057B" w:rsidRDefault="009C057B" w:rsidP="009C057B">
            <w:pPr>
              <w:pStyle w:val="Body"/>
              <w:spacing w:after="80"/>
            </w:pPr>
            <w:r w:rsidRPr="009C057B">
              <w:t>Property, plant and equipment is measured at either category Level 2 or 3. The valuation methodology is either market approach or DRC, based on replacement cost for a new equivalent asset. The significant unobservable inputs used in the fair value measurement of PPE assets are the market demand and professional judgement.</w:t>
            </w:r>
          </w:p>
        </w:tc>
      </w:tr>
    </w:tbl>
    <w:p w14:paraId="2FC9D27F" w14:textId="6C9D2EF8" w:rsidR="0029672B" w:rsidRDefault="0029672B" w:rsidP="00203ABC">
      <w:pPr>
        <w:pStyle w:val="H3Financials"/>
        <w:spacing w:before="0"/>
      </w:pPr>
    </w:p>
    <w:p w14:paraId="651FE251" w14:textId="77777777" w:rsidR="0029672B" w:rsidRDefault="0029672B" w:rsidP="00203ABC">
      <w:pPr>
        <w:pStyle w:val="H3Financials"/>
        <w:spacing w:before="0"/>
      </w:pPr>
    </w:p>
    <w:p w14:paraId="3A9AAF56" w14:textId="77777777" w:rsidR="0029672B" w:rsidRDefault="0029672B" w:rsidP="00203ABC">
      <w:pPr>
        <w:pStyle w:val="H3Financials"/>
        <w:spacing w:before="0"/>
        <w:sectPr w:rsidR="0029672B" w:rsidSect="00441579">
          <w:footerReference w:type="default" r:id="rId216"/>
          <w:pgSz w:w="9979" w:h="14175"/>
          <w:pgMar w:top="1134" w:right="1134" w:bottom="1134" w:left="1134" w:header="709" w:footer="709" w:gutter="0"/>
          <w:cols w:space="708"/>
          <w:docGrid w:linePitch="360"/>
        </w:sectPr>
      </w:pPr>
    </w:p>
    <w:p w14:paraId="2BDF47FB" w14:textId="133A31F1" w:rsidR="00203ABC" w:rsidRDefault="00203ABC" w:rsidP="00203ABC">
      <w:pPr>
        <w:pStyle w:val="H3Financials"/>
        <w:spacing w:before="0"/>
      </w:pPr>
      <w:bookmarkStart w:id="203" w:name="_Toc83220579"/>
      <w:r>
        <w:lastRenderedPageBreak/>
        <w:t xml:space="preserve">Other </w:t>
      </w:r>
      <w:r w:rsidR="008664C1">
        <w:t>i</w:t>
      </w:r>
      <w:r>
        <w:t>nformation</w:t>
      </w:r>
      <w:bookmarkEnd w:id="203"/>
    </w:p>
    <w:p w14:paraId="76FC0243" w14:textId="77777777" w:rsidR="008664C1" w:rsidRDefault="008664C1" w:rsidP="008664C1">
      <w:pPr>
        <w:pStyle w:val="H4Financials"/>
        <w:spacing w:after="0"/>
      </w:pPr>
      <w:bookmarkStart w:id="204" w:name="_Toc83220580"/>
      <w:r>
        <w:t>Note 5.1 Current/non-current distinction for assets and liabilities</w:t>
      </w:r>
      <w:bookmarkEnd w:id="204"/>
    </w:p>
    <w:tbl>
      <w:tblPr>
        <w:tblStyle w:val="IHPA"/>
        <w:tblW w:w="7096" w:type="dxa"/>
        <w:tblLayout w:type="fixed"/>
        <w:tblLook w:val="0020" w:firstRow="1" w:lastRow="0" w:firstColumn="0" w:lastColumn="0" w:noHBand="0" w:noVBand="0"/>
        <w:tblCaption w:val="Note 5.1"/>
        <w:tblDescription w:val="Current/non-current distinction for assets and liabilities"/>
      </w:tblPr>
      <w:tblGrid>
        <w:gridCol w:w="5111"/>
        <w:gridCol w:w="992"/>
        <w:gridCol w:w="993"/>
      </w:tblGrid>
      <w:tr w:rsidR="008664C1" w:rsidRPr="00873FE9" w14:paraId="0B8CC997" w14:textId="77777777" w:rsidTr="002C5B2C">
        <w:trPr>
          <w:trHeight w:val="340"/>
        </w:trPr>
        <w:tc>
          <w:tcPr>
            <w:tcW w:w="5111" w:type="dxa"/>
          </w:tcPr>
          <w:p w14:paraId="3CEFA8F8" w14:textId="77777777" w:rsidR="008664C1" w:rsidRPr="00873FE9" w:rsidRDefault="008664C1" w:rsidP="008D15BE">
            <w:pPr>
              <w:autoSpaceDE w:val="0"/>
              <w:autoSpaceDN w:val="0"/>
              <w:adjustRightInd w:val="0"/>
              <w:spacing w:before="20" w:after="20"/>
              <w:rPr>
                <w:rFonts w:ascii="Futura PT Book" w:hAnsi="Futura PT Book"/>
                <w:color w:val="1C1C1C"/>
                <w:sz w:val="24"/>
                <w:szCs w:val="24"/>
              </w:rPr>
            </w:pPr>
          </w:p>
        </w:tc>
        <w:tc>
          <w:tcPr>
            <w:tcW w:w="992" w:type="dxa"/>
            <w:tcBorders>
              <w:bottom w:val="single" w:sz="12" w:space="0" w:color="auto"/>
              <w:right w:val="single" w:sz="18" w:space="0" w:color="FFFFFF" w:themeColor="background2"/>
            </w:tcBorders>
          </w:tcPr>
          <w:p w14:paraId="513209D6" w14:textId="77777777" w:rsidR="008664C1" w:rsidRPr="00873FE9" w:rsidRDefault="008664C1" w:rsidP="008D15BE">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202</w:t>
            </w:r>
            <w:r>
              <w:rPr>
                <w:rFonts w:asciiTheme="majorHAnsi" w:hAnsiTheme="majorHAnsi" w:cs="Futura PT Heavy"/>
                <w:color w:val="1C1C1C"/>
                <w:sz w:val="16"/>
                <w:szCs w:val="16"/>
                <w:lang w:val="en-US"/>
              </w:rPr>
              <w:t>1</w:t>
            </w:r>
            <w:r w:rsidRPr="00873FE9">
              <w:rPr>
                <w:rFonts w:asciiTheme="majorHAnsi" w:hAnsiTheme="majorHAnsi" w:cs="Futura PT Heavy"/>
                <w:color w:val="1C1C1C"/>
                <w:sz w:val="16"/>
                <w:szCs w:val="16"/>
                <w:lang w:val="en-US"/>
              </w:rPr>
              <w:br/>
              <w:t>$’000</w:t>
            </w:r>
          </w:p>
        </w:tc>
        <w:tc>
          <w:tcPr>
            <w:tcW w:w="993" w:type="dxa"/>
            <w:tcBorders>
              <w:left w:val="single" w:sz="18" w:space="0" w:color="FFFFFF" w:themeColor="background2"/>
              <w:bottom w:val="single" w:sz="12" w:space="0" w:color="auto"/>
            </w:tcBorders>
          </w:tcPr>
          <w:p w14:paraId="07B0251F" w14:textId="77777777" w:rsidR="008664C1" w:rsidRPr="00873FE9" w:rsidRDefault="008664C1" w:rsidP="008D15BE">
            <w:pPr>
              <w:suppressAutoHyphens/>
              <w:autoSpaceDE w:val="0"/>
              <w:autoSpaceDN w:val="0"/>
              <w:adjustRightInd w:val="0"/>
              <w:spacing w:before="20" w:after="20" w:line="180" w:lineRule="atLeast"/>
              <w:jc w:val="right"/>
              <w:textAlignment w:val="center"/>
              <w:rPr>
                <w:rFonts w:asciiTheme="majorHAnsi" w:hAnsiTheme="majorHAnsi" w:cs="Futura PT Heavy"/>
                <w:color w:val="1C1C1C"/>
                <w:sz w:val="16"/>
                <w:szCs w:val="16"/>
                <w:lang w:val="en-US"/>
              </w:rPr>
            </w:pPr>
            <w:r w:rsidRPr="00873FE9">
              <w:rPr>
                <w:rFonts w:asciiTheme="majorHAnsi" w:hAnsiTheme="majorHAnsi" w:cs="Futura PT Heavy"/>
                <w:color w:val="1C1C1C"/>
                <w:sz w:val="16"/>
                <w:szCs w:val="16"/>
                <w:lang w:val="en-US"/>
              </w:rPr>
              <w:t>20</w:t>
            </w:r>
            <w:r>
              <w:rPr>
                <w:rFonts w:asciiTheme="majorHAnsi" w:hAnsiTheme="majorHAnsi" w:cs="Futura PT Heavy"/>
                <w:color w:val="1C1C1C"/>
                <w:sz w:val="16"/>
                <w:szCs w:val="16"/>
                <w:lang w:val="en-US"/>
              </w:rPr>
              <w:t>20</w:t>
            </w:r>
            <w:r w:rsidRPr="00873FE9">
              <w:rPr>
                <w:rFonts w:asciiTheme="majorHAnsi" w:hAnsiTheme="majorHAnsi" w:cs="Futura PT Heavy"/>
                <w:color w:val="1C1C1C"/>
                <w:sz w:val="16"/>
                <w:szCs w:val="16"/>
                <w:lang w:val="en-US"/>
              </w:rPr>
              <w:br/>
              <w:t>$’000</w:t>
            </w:r>
          </w:p>
        </w:tc>
      </w:tr>
      <w:tr w:rsidR="008664C1" w:rsidRPr="00873FE9" w14:paraId="744E5E42" w14:textId="77777777" w:rsidTr="002C5B2C">
        <w:trPr>
          <w:trHeight w:val="170"/>
        </w:trPr>
        <w:tc>
          <w:tcPr>
            <w:tcW w:w="5111" w:type="dxa"/>
          </w:tcPr>
          <w:p w14:paraId="331E6997" w14:textId="77777777" w:rsidR="008664C1" w:rsidRPr="00873FE9" w:rsidRDefault="008664C1" w:rsidP="008D15BE">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0613FD">
              <w:rPr>
                <w:rFonts w:asciiTheme="majorHAnsi" w:hAnsiTheme="majorHAnsi"/>
                <w:color w:val="1C1C1C"/>
                <w:sz w:val="14"/>
                <w:szCs w:val="14"/>
              </w:rPr>
              <w:t>Note 5.1A Current/non-current distinction for assets and liabilities</w:t>
            </w:r>
          </w:p>
        </w:tc>
        <w:tc>
          <w:tcPr>
            <w:tcW w:w="992" w:type="dxa"/>
            <w:tcBorders>
              <w:top w:val="single" w:sz="12" w:space="0" w:color="auto"/>
              <w:right w:val="single" w:sz="18" w:space="0" w:color="FFFFFF" w:themeColor="background2"/>
            </w:tcBorders>
          </w:tcPr>
          <w:p w14:paraId="30C5A77D" w14:textId="77777777" w:rsidR="008664C1" w:rsidRPr="00873FE9"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12" w:space="0" w:color="auto"/>
              <w:left w:val="single" w:sz="18" w:space="0" w:color="FFFFFF" w:themeColor="background2"/>
            </w:tcBorders>
          </w:tcPr>
          <w:p w14:paraId="29B733E3" w14:textId="77777777" w:rsidR="008664C1" w:rsidRPr="00873FE9" w:rsidRDefault="008664C1" w:rsidP="008D15BE">
            <w:pPr>
              <w:autoSpaceDE w:val="0"/>
              <w:autoSpaceDN w:val="0"/>
              <w:adjustRightInd w:val="0"/>
              <w:spacing w:before="20" w:after="20"/>
              <w:jc w:val="right"/>
              <w:rPr>
                <w:color w:val="1C1C1C"/>
                <w:sz w:val="14"/>
                <w:szCs w:val="14"/>
              </w:rPr>
            </w:pPr>
          </w:p>
        </w:tc>
      </w:tr>
      <w:tr w:rsidR="008664C1" w:rsidRPr="00873FE9" w14:paraId="50CB3090" w14:textId="77777777" w:rsidTr="002C5B2C">
        <w:trPr>
          <w:trHeight w:val="170"/>
        </w:trPr>
        <w:tc>
          <w:tcPr>
            <w:tcW w:w="5111" w:type="dxa"/>
          </w:tcPr>
          <w:p w14:paraId="7D82FF29" w14:textId="77777777" w:rsidR="008664C1" w:rsidRPr="000613FD"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Assets expected to be recovered in:</w:t>
            </w:r>
          </w:p>
        </w:tc>
        <w:tc>
          <w:tcPr>
            <w:tcW w:w="992" w:type="dxa"/>
            <w:tcBorders>
              <w:right w:val="single" w:sz="18" w:space="0" w:color="FFFFFF" w:themeColor="background2"/>
            </w:tcBorders>
          </w:tcPr>
          <w:p w14:paraId="2583CB65" w14:textId="77777777" w:rsidR="008664C1" w:rsidRPr="00873FE9"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4C1EB323" w14:textId="77777777" w:rsidR="008664C1" w:rsidRPr="00873FE9" w:rsidRDefault="008664C1" w:rsidP="008D15BE">
            <w:pPr>
              <w:autoSpaceDE w:val="0"/>
              <w:autoSpaceDN w:val="0"/>
              <w:adjustRightInd w:val="0"/>
              <w:spacing w:before="20" w:after="20"/>
              <w:jc w:val="right"/>
              <w:rPr>
                <w:color w:val="1C1C1C"/>
                <w:sz w:val="14"/>
                <w:szCs w:val="14"/>
              </w:rPr>
            </w:pPr>
          </w:p>
        </w:tc>
      </w:tr>
      <w:tr w:rsidR="008664C1" w:rsidRPr="00873FE9" w14:paraId="393A2C64" w14:textId="77777777" w:rsidTr="002C5B2C">
        <w:trPr>
          <w:trHeight w:val="170"/>
        </w:trPr>
        <w:tc>
          <w:tcPr>
            <w:tcW w:w="5111" w:type="dxa"/>
          </w:tcPr>
          <w:p w14:paraId="1E12DEE7" w14:textId="77777777" w:rsidR="008664C1" w:rsidRPr="000613FD"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No more than 12 months</w:t>
            </w:r>
          </w:p>
        </w:tc>
        <w:tc>
          <w:tcPr>
            <w:tcW w:w="992" w:type="dxa"/>
            <w:tcBorders>
              <w:right w:val="single" w:sz="18" w:space="0" w:color="FFFFFF" w:themeColor="background2"/>
            </w:tcBorders>
          </w:tcPr>
          <w:p w14:paraId="54FE0E8C" w14:textId="77777777" w:rsidR="008664C1" w:rsidRPr="00873FE9"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3180E767" w14:textId="77777777" w:rsidR="008664C1" w:rsidRPr="00873FE9" w:rsidRDefault="008664C1" w:rsidP="008D15BE">
            <w:pPr>
              <w:autoSpaceDE w:val="0"/>
              <w:autoSpaceDN w:val="0"/>
              <w:adjustRightInd w:val="0"/>
              <w:spacing w:before="20" w:after="20"/>
              <w:jc w:val="right"/>
              <w:rPr>
                <w:color w:val="1C1C1C"/>
                <w:sz w:val="14"/>
                <w:szCs w:val="14"/>
              </w:rPr>
            </w:pPr>
          </w:p>
        </w:tc>
      </w:tr>
      <w:tr w:rsidR="008664C1" w:rsidRPr="00873FE9" w14:paraId="652730D6" w14:textId="77777777" w:rsidTr="002C5B2C">
        <w:trPr>
          <w:trHeight w:val="170"/>
        </w:trPr>
        <w:tc>
          <w:tcPr>
            <w:tcW w:w="5111" w:type="dxa"/>
          </w:tcPr>
          <w:p w14:paraId="07C5C73B" w14:textId="77777777" w:rsidR="008664C1" w:rsidRPr="00873FE9" w:rsidRDefault="008664C1" w:rsidP="008D15BE">
            <w:pPr>
              <w:suppressAutoHyphens/>
              <w:autoSpaceDE w:val="0"/>
              <w:autoSpaceDN w:val="0"/>
              <w:adjustRightInd w:val="0"/>
              <w:spacing w:before="20" w:after="20"/>
              <w:ind w:left="113"/>
              <w:textAlignment w:val="center"/>
              <w:rPr>
                <w:rFonts w:cs="Futura PT Book"/>
                <w:color w:val="1C1C1C"/>
                <w:sz w:val="14"/>
                <w:szCs w:val="14"/>
                <w:lang w:val="en-US"/>
              </w:rPr>
            </w:pPr>
            <w:r>
              <w:rPr>
                <w:color w:val="1C1C1C"/>
                <w:sz w:val="14"/>
                <w:szCs w:val="14"/>
              </w:rPr>
              <w:t>Cash and cash equivalents</w:t>
            </w:r>
          </w:p>
        </w:tc>
        <w:tc>
          <w:tcPr>
            <w:tcW w:w="992" w:type="dxa"/>
            <w:tcBorders>
              <w:right w:val="single" w:sz="18" w:space="0" w:color="FFFFFF" w:themeColor="background2"/>
            </w:tcBorders>
          </w:tcPr>
          <w:p w14:paraId="4978E02D" w14:textId="77777777" w:rsidR="008664C1" w:rsidRPr="006517AA" w:rsidRDefault="008664C1" w:rsidP="008D15BE">
            <w:pPr>
              <w:suppressAutoHyphens/>
              <w:autoSpaceDE w:val="0"/>
              <w:autoSpaceDN w:val="0"/>
              <w:adjustRightInd w:val="0"/>
              <w:spacing w:before="20" w:after="20"/>
              <w:jc w:val="right"/>
              <w:textAlignment w:val="center"/>
              <w:rPr>
                <w:rFonts w:asciiTheme="majorHAnsi" w:hAnsiTheme="majorHAnsi" w:cs="Futura PT Book"/>
                <w:color w:val="1C1C1C"/>
                <w:sz w:val="14"/>
                <w:szCs w:val="14"/>
                <w:lang w:val="en-US"/>
              </w:rPr>
            </w:pPr>
            <w:r w:rsidRPr="006517AA">
              <w:rPr>
                <w:rFonts w:asciiTheme="majorHAnsi" w:hAnsiTheme="majorHAnsi" w:cs="Calibri"/>
                <w:sz w:val="14"/>
                <w:szCs w:val="14"/>
              </w:rPr>
              <w:t xml:space="preserve">16,251 </w:t>
            </w:r>
          </w:p>
        </w:tc>
        <w:tc>
          <w:tcPr>
            <w:tcW w:w="993" w:type="dxa"/>
            <w:tcBorders>
              <w:left w:val="single" w:sz="18" w:space="0" w:color="FFFFFF" w:themeColor="background2"/>
            </w:tcBorders>
          </w:tcPr>
          <w:p w14:paraId="3D3CEB99" w14:textId="77777777" w:rsidR="008664C1" w:rsidRPr="006517AA" w:rsidRDefault="008664C1" w:rsidP="008D15BE">
            <w:pPr>
              <w:suppressAutoHyphens/>
              <w:autoSpaceDE w:val="0"/>
              <w:autoSpaceDN w:val="0"/>
              <w:adjustRightInd w:val="0"/>
              <w:spacing w:before="20" w:after="20"/>
              <w:jc w:val="right"/>
              <w:textAlignment w:val="center"/>
              <w:rPr>
                <w:rFonts w:cs="Futura PT Book"/>
                <w:color w:val="1C1C1C"/>
                <w:sz w:val="14"/>
                <w:szCs w:val="14"/>
                <w:lang w:val="en-US"/>
              </w:rPr>
            </w:pPr>
            <w:r w:rsidRPr="006517AA">
              <w:rPr>
                <w:rFonts w:cs="Calibri"/>
                <w:sz w:val="14"/>
                <w:szCs w:val="14"/>
              </w:rPr>
              <w:t xml:space="preserve">14,119 </w:t>
            </w:r>
          </w:p>
        </w:tc>
      </w:tr>
      <w:tr w:rsidR="008664C1" w:rsidRPr="00873FE9" w14:paraId="32951129" w14:textId="77777777" w:rsidTr="002C5B2C">
        <w:trPr>
          <w:trHeight w:val="170"/>
        </w:trPr>
        <w:tc>
          <w:tcPr>
            <w:tcW w:w="5111" w:type="dxa"/>
          </w:tcPr>
          <w:p w14:paraId="2B895CEE" w14:textId="77777777" w:rsidR="008664C1" w:rsidRPr="00873FE9"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Trade and other receivables / prepayments</w:t>
            </w:r>
          </w:p>
        </w:tc>
        <w:tc>
          <w:tcPr>
            <w:tcW w:w="992" w:type="dxa"/>
            <w:tcBorders>
              <w:bottom w:val="single" w:sz="2" w:space="0" w:color="auto"/>
              <w:right w:val="single" w:sz="18" w:space="0" w:color="FFFFFF" w:themeColor="background2"/>
            </w:tcBorders>
          </w:tcPr>
          <w:p w14:paraId="4FBEF279" w14:textId="0C1B4936" w:rsidR="008664C1" w:rsidRPr="006517AA" w:rsidRDefault="008664C1" w:rsidP="008D15BE">
            <w:pPr>
              <w:suppressAutoHyphens/>
              <w:autoSpaceDE w:val="0"/>
              <w:autoSpaceDN w:val="0"/>
              <w:adjustRightInd w:val="0"/>
              <w:spacing w:before="20" w:after="20"/>
              <w:jc w:val="right"/>
              <w:textAlignment w:val="center"/>
              <w:rPr>
                <w:rFonts w:asciiTheme="majorHAnsi" w:hAnsiTheme="majorHAnsi" w:cs="Calibri"/>
                <w:sz w:val="14"/>
                <w:szCs w:val="14"/>
              </w:rPr>
            </w:pPr>
            <w:r>
              <w:rPr>
                <w:rFonts w:asciiTheme="majorHAnsi" w:hAnsiTheme="majorHAnsi" w:cs="Calibri"/>
                <w:sz w:val="14"/>
                <w:szCs w:val="14"/>
              </w:rPr>
              <w:t>6</w:t>
            </w:r>
            <w:r w:rsidR="0089645E">
              <w:rPr>
                <w:rFonts w:asciiTheme="majorHAnsi" w:hAnsiTheme="majorHAnsi" w:cs="Calibri"/>
                <w:sz w:val="14"/>
                <w:szCs w:val="14"/>
              </w:rPr>
              <w:t>41</w:t>
            </w:r>
            <w:r w:rsidRPr="006517AA">
              <w:rPr>
                <w:rFonts w:asciiTheme="majorHAnsi" w:hAnsiTheme="majorHAnsi" w:cs="Calibri"/>
                <w:sz w:val="14"/>
                <w:szCs w:val="14"/>
              </w:rPr>
              <w:t xml:space="preserve"> </w:t>
            </w:r>
          </w:p>
        </w:tc>
        <w:tc>
          <w:tcPr>
            <w:tcW w:w="993" w:type="dxa"/>
            <w:tcBorders>
              <w:left w:val="single" w:sz="18" w:space="0" w:color="FFFFFF" w:themeColor="background2"/>
              <w:bottom w:val="single" w:sz="2" w:space="0" w:color="auto"/>
            </w:tcBorders>
          </w:tcPr>
          <w:p w14:paraId="6B68E7E4" w14:textId="77777777" w:rsidR="008664C1" w:rsidRPr="006517AA" w:rsidRDefault="008664C1" w:rsidP="008D15BE">
            <w:pPr>
              <w:suppressAutoHyphens/>
              <w:autoSpaceDE w:val="0"/>
              <w:autoSpaceDN w:val="0"/>
              <w:adjustRightInd w:val="0"/>
              <w:spacing w:before="20" w:after="20"/>
              <w:jc w:val="right"/>
              <w:textAlignment w:val="center"/>
              <w:rPr>
                <w:rFonts w:cs="Calibri"/>
                <w:sz w:val="14"/>
                <w:szCs w:val="14"/>
              </w:rPr>
            </w:pPr>
            <w:r w:rsidRPr="006517AA">
              <w:rPr>
                <w:rFonts w:cs="Calibri"/>
                <w:sz w:val="14"/>
                <w:szCs w:val="14"/>
              </w:rPr>
              <w:t xml:space="preserve">360 </w:t>
            </w:r>
          </w:p>
        </w:tc>
      </w:tr>
      <w:tr w:rsidR="008664C1" w:rsidRPr="00873FE9" w14:paraId="44AA74A6" w14:textId="77777777" w:rsidTr="002C5B2C">
        <w:trPr>
          <w:trHeight w:val="170"/>
        </w:trPr>
        <w:tc>
          <w:tcPr>
            <w:tcW w:w="5111" w:type="dxa"/>
          </w:tcPr>
          <w:p w14:paraId="1BC02B23" w14:textId="77777777" w:rsidR="008664C1" w:rsidRPr="00873FE9" w:rsidRDefault="008664C1" w:rsidP="008D15BE">
            <w:pPr>
              <w:suppressAutoHyphens/>
              <w:autoSpaceDE w:val="0"/>
              <w:autoSpaceDN w:val="0"/>
              <w:adjustRightInd w:val="0"/>
              <w:spacing w:before="20" w:after="20"/>
              <w:textAlignment w:val="center"/>
              <w:rPr>
                <w:rFonts w:asciiTheme="majorHAnsi" w:hAnsiTheme="majorHAnsi" w:cs="Futura PT Book"/>
                <w:color w:val="1C1C1C"/>
                <w:sz w:val="14"/>
                <w:szCs w:val="14"/>
                <w:lang w:val="en-US"/>
              </w:rPr>
            </w:pPr>
            <w:r w:rsidRPr="00873FE9">
              <w:rPr>
                <w:rFonts w:asciiTheme="majorHAnsi" w:hAnsiTheme="majorHAnsi"/>
                <w:color w:val="1C1C1C"/>
                <w:sz w:val="14"/>
                <w:szCs w:val="14"/>
              </w:rPr>
              <w:t xml:space="preserve">Total </w:t>
            </w:r>
            <w:r>
              <w:rPr>
                <w:rFonts w:asciiTheme="majorHAnsi" w:hAnsiTheme="majorHAnsi"/>
                <w:color w:val="1C1C1C"/>
                <w:sz w:val="14"/>
                <w:szCs w:val="14"/>
              </w:rPr>
              <w:t>no more than 12 months</w:t>
            </w:r>
          </w:p>
        </w:tc>
        <w:tc>
          <w:tcPr>
            <w:tcW w:w="992" w:type="dxa"/>
            <w:tcBorders>
              <w:top w:val="single" w:sz="2" w:space="0" w:color="auto"/>
              <w:bottom w:val="single" w:sz="2" w:space="0" w:color="auto"/>
              <w:right w:val="single" w:sz="18" w:space="0" w:color="FFFFFF" w:themeColor="background2"/>
            </w:tcBorders>
          </w:tcPr>
          <w:p w14:paraId="36439E01" w14:textId="13590B5D"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16,</w:t>
            </w:r>
            <w:r w:rsidR="0089645E">
              <w:rPr>
                <w:rFonts w:asciiTheme="majorHAnsi" w:hAnsiTheme="majorHAnsi" w:cs="Calibri"/>
                <w:sz w:val="14"/>
                <w:szCs w:val="14"/>
              </w:rPr>
              <w:t>892</w:t>
            </w:r>
          </w:p>
        </w:tc>
        <w:tc>
          <w:tcPr>
            <w:tcW w:w="993" w:type="dxa"/>
            <w:tcBorders>
              <w:top w:val="single" w:sz="2" w:space="0" w:color="auto"/>
              <w:left w:val="single" w:sz="18" w:space="0" w:color="FFFFFF" w:themeColor="background2"/>
              <w:bottom w:val="single" w:sz="2" w:space="0" w:color="auto"/>
            </w:tcBorders>
          </w:tcPr>
          <w:p w14:paraId="5B11605B" w14:textId="77777777" w:rsidR="008664C1" w:rsidRPr="006517AA" w:rsidRDefault="008664C1" w:rsidP="008D15BE">
            <w:pPr>
              <w:suppressAutoHyphens/>
              <w:autoSpaceDE w:val="0"/>
              <w:autoSpaceDN w:val="0"/>
              <w:adjustRightInd w:val="0"/>
              <w:spacing w:before="20" w:after="20"/>
              <w:jc w:val="right"/>
              <w:textAlignment w:val="center"/>
              <w:rPr>
                <w:rFonts w:cs="Futura PT Book"/>
                <w:color w:val="1C1C1C"/>
                <w:sz w:val="14"/>
                <w:szCs w:val="14"/>
                <w:lang w:val="en-US"/>
              </w:rPr>
            </w:pPr>
            <w:r w:rsidRPr="006517AA">
              <w:rPr>
                <w:rFonts w:cs="Calibri"/>
                <w:sz w:val="14"/>
                <w:szCs w:val="14"/>
              </w:rPr>
              <w:t xml:space="preserve">14,479 </w:t>
            </w:r>
          </w:p>
        </w:tc>
      </w:tr>
      <w:tr w:rsidR="008664C1" w:rsidRPr="00873FE9" w14:paraId="0FB56072" w14:textId="77777777" w:rsidTr="002C5B2C">
        <w:trPr>
          <w:trHeight w:val="170"/>
        </w:trPr>
        <w:tc>
          <w:tcPr>
            <w:tcW w:w="5111" w:type="dxa"/>
          </w:tcPr>
          <w:p w14:paraId="5A49EC3B" w14:textId="77777777" w:rsidR="008664C1" w:rsidRPr="00F54B44"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sidRPr="00F54B44">
              <w:rPr>
                <w:rFonts w:asciiTheme="majorHAnsi" w:hAnsiTheme="majorHAnsi"/>
                <w:color w:val="1C1C1C"/>
                <w:sz w:val="14"/>
                <w:szCs w:val="14"/>
              </w:rPr>
              <w:t>More than 12 months</w:t>
            </w:r>
          </w:p>
        </w:tc>
        <w:tc>
          <w:tcPr>
            <w:tcW w:w="992" w:type="dxa"/>
            <w:tcBorders>
              <w:top w:val="single" w:sz="2" w:space="0" w:color="auto"/>
              <w:right w:val="single" w:sz="18" w:space="0" w:color="FFFFFF" w:themeColor="background2"/>
            </w:tcBorders>
          </w:tcPr>
          <w:p w14:paraId="60F86ACC" w14:textId="77777777"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35260C5F" w14:textId="77777777" w:rsidR="008664C1" w:rsidRPr="006517AA" w:rsidRDefault="008664C1" w:rsidP="008D15BE">
            <w:pPr>
              <w:suppressAutoHyphens/>
              <w:autoSpaceDE w:val="0"/>
              <w:autoSpaceDN w:val="0"/>
              <w:adjustRightInd w:val="0"/>
              <w:spacing w:before="20" w:after="20"/>
              <w:jc w:val="right"/>
              <w:textAlignment w:val="center"/>
              <w:rPr>
                <w:color w:val="1C1C1C"/>
                <w:sz w:val="14"/>
                <w:szCs w:val="14"/>
              </w:rPr>
            </w:pPr>
          </w:p>
        </w:tc>
      </w:tr>
      <w:tr w:rsidR="008664C1" w:rsidRPr="00873FE9" w14:paraId="2C8FCEFC" w14:textId="77777777" w:rsidTr="002C5B2C">
        <w:trPr>
          <w:trHeight w:val="170"/>
        </w:trPr>
        <w:tc>
          <w:tcPr>
            <w:tcW w:w="5111" w:type="dxa"/>
          </w:tcPr>
          <w:p w14:paraId="3C41B747" w14:textId="77777777" w:rsidR="008664C1" w:rsidRPr="00873FE9"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Buildings</w:t>
            </w:r>
          </w:p>
        </w:tc>
        <w:tc>
          <w:tcPr>
            <w:tcW w:w="992" w:type="dxa"/>
            <w:tcBorders>
              <w:right w:val="single" w:sz="18" w:space="0" w:color="FFFFFF" w:themeColor="background2"/>
            </w:tcBorders>
          </w:tcPr>
          <w:p w14:paraId="4020EBAB" w14:textId="77777777"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1,12</w:t>
            </w:r>
            <w:r>
              <w:rPr>
                <w:rFonts w:asciiTheme="majorHAnsi" w:hAnsiTheme="majorHAnsi" w:cs="Calibri"/>
                <w:sz w:val="14"/>
                <w:szCs w:val="14"/>
              </w:rPr>
              <w:t>4</w:t>
            </w:r>
            <w:r w:rsidRPr="006517AA">
              <w:rPr>
                <w:rFonts w:asciiTheme="majorHAnsi" w:hAnsiTheme="majorHAnsi" w:cs="Calibri"/>
                <w:sz w:val="14"/>
                <w:szCs w:val="14"/>
              </w:rPr>
              <w:t xml:space="preserve"> </w:t>
            </w:r>
          </w:p>
        </w:tc>
        <w:tc>
          <w:tcPr>
            <w:tcW w:w="993" w:type="dxa"/>
            <w:tcBorders>
              <w:left w:val="single" w:sz="18" w:space="0" w:color="FFFFFF" w:themeColor="background2"/>
            </w:tcBorders>
          </w:tcPr>
          <w:p w14:paraId="49FDE6E6" w14:textId="77777777" w:rsidR="008664C1" w:rsidRPr="006517AA" w:rsidRDefault="008664C1" w:rsidP="008D15BE">
            <w:pPr>
              <w:suppressAutoHyphens/>
              <w:autoSpaceDE w:val="0"/>
              <w:autoSpaceDN w:val="0"/>
              <w:adjustRightInd w:val="0"/>
              <w:spacing w:before="20" w:after="20"/>
              <w:jc w:val="right"/>
              <w:textAlignment w:val="center"/>
              <w:rPr>
                <w:color w:val="1C1C1C"/>
                <w:sz w:val="14"/>
                <w:szCs w:val="14"/>
              </w:rPr>
            </w:pPr>
            <w:r w:rsidRPr="006517AA">
              <w:rPr>
                <w:rFonts w:cs="Calibri"/>
                <w:sz w:val="14"/>
                <w:szCs w:val="14"/>
              </w:rPr>
              <w:t xml:space="preserve">6,112 </w:t>
            </w:r>
          </w:p>
        </w:tc>
      </w:tr>
      <w:tr w:rsidR="008664C1" w:rsidRPr="00873FE9" w14:paraId="50331558" w14:textId="77777777" w:rsidTr="002C5B2C">
        <w:trPr>
          <w:trHeight w:val="170"/>
        </w:trPr>
        <w:tc>
          <w:tcPr>
            <w:tcW w:w="5111" w:type="dxa"/>
          </w:tcPr>
          <w:p w14:paraId="240473B0" w14:textId="6A5D2ED2" w:rsidR="008664C1"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 xml:space="preserve">Leasehold </w:t>
            </w:r>
            <w:r w:rsidR="0025629F">
              <w:rPr>
                <w:color w:val="1C1C1C"/>
                <w:sz w:val="14"/>
                <w:szCs w:val="14"/>
              </w:rPr>
              <w:t>i</w:t>
            </w:r>
            <w:r>
              <w:rPr>
                <w:color w:val="1C1C1C"/>
                <w:sz w:val="14"/>
                <w:szCs w:val="14"/>
              </w:rPr>
              <w:t>mprovements</w:t>
            </w:r>
          </w:p>
        </w:tc>
        <w:tc>
          <w:tcPr>
            <w:tcW w:w="992" w:type="dxa"/>
            <w:tcBorders>
              <w:right w:val="single" w:sz="18" w:space="0" w:color="FFFFFF" w:themeColor="background2"/>
            </w:tcBorders>
          </w:tcPr>
          <w:p w14:paraId="59D6EE1E" w14:textId="77777777"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1,</w:t>
            </w:r>
            <w:r>
              <w:rPr>
                <w:rFonts w:asciiTheme="majorHAnsi" w:hAnsiTheme="majorHAnsi" w:cs="Calibri"/>
                <w:sz w:val="14"/>
                <w:szCs w:val="14"/>
              </w:rPr>
              <w:t>107</w:t>
            </w:r>
            <w:r w:rsidRPr="006517AA">
              <w:rPr>
                <w:rFonts w:asciiTheme="majorHAnsi" w:hAnsiTheme="majorHAnsi" w:cs="Calibri"/>
                <w:sz w:val="14"/>
                <w:szCs w:val="14"/>
              </w:rPr>
              <w:t xml:space="preserve"> </w:t>
            </w:r>
          </w:p>
        </w:tc>
        <w:tc>
          <w:tcPr>
            <w:tcW w:w="993" w:type="dxa"/>
            <w:tcBorders>
              <w:left w:val="single" w:sz="18" w:space="0" w:color="FFFFFF" w:themeColor="background2"/>
            </w:tcBorders>
          </w:tcPr>
          <w:p w14:paraId="2579E42B" w14:textId="77777777" w:rsidR="008664C1" w:rsidRPr="006517AA" w:rsidRDefault="008664C1" w:rsidP="008D15BE">
            <w:pPr>
              <w:suppressAutoHyphens/>
              <w:autoSpaceDE w:val="0"/>
              <w:autoSpaceDN w:val="0"/>
              <w:adjustRightInd w:val="0"/>
              <w:spacing w:before="20" w:after="20"/>
              <w:jc w:val="right"/>
              <w:textAlignment w:val="center"/>
              <w:rPr>
                <w:color w:val="1C1C1C"/>
                <w:sz w:val="14"/>
                <w:szCs w:val="14"/>
              </w:rPr>
            </w:pPr>
            <w:r w:rsidRPr="006517AA">
              <w:rPr>
                <w:rFonts w:cs="Calibri"/>
                <w:sz w:val="14"/>
                <w:szCs w:val="14"/>
              </w:rPr>
              <w:t xml:space="preserve">1,686 </w:t>
            </w:r>
          </w:p>
        </w:tc>
      </w:tr>
      <w:tr w:rsidR="008664C1" w:rsidRPr="00873FE9" w14:paraId="66A7E538" w14:textId="77777777" w:rsidTr="002C5B2C">
        <w:trPr>
          <w:trHeight w:val="170"/>
        </w:trPr>
        <w:tc>
          <w:tcPr>
            <w:tcW w:w="5111" w:type="dxa"/>
          </w:tcPr>
          <w:p w14:paraId="52C6B4FF" w14:textId="77777777" w:rsidR="008664C1"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Computer software</w:t>
            </w:r>
          </w:p>
        </w:tc>
        <w:tc>
          <w:tcPr>
            <w:tcW w:w="992" w:type="dxa"/>
            <w:tcBorders>
              <w:right w:val="single" w:sz="18" w:space="0" w:color="FFFFFF" w:themeColor="background2"/>
            </w:tcBorders>
          </w:tcPr>
          <w:p w14:paraId="2C1A8749" w14:textId="225A05EE" w:rsidR="008664C1" w:rsidRPr="006517AA" w:rsidRDefault="0089645E" w:rsidP="008D15BE">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92</w:t>
            </w:r>
            <w:r w:rsidR="008664C1" w:rsidRPr="006517AA">
              <w:rPr>
                <w:rFonts w:asciiTheme="majorHAnsi" w:hAnsiTheme="majorHAnsi" w:cs="Calibri"/>
                <w:sz w:val="14"/>
                <w:szCs w:val="14"/>
              </w:rPr>
              <w:t xml:space="preserve"> </w:t>
            </w:r>
          </w:p>
        </w:tc>
        <w:tc>
          <w:tcPr>
            <w:tcW w:w="993" w:type="dxa"/>
            <w:tcBorders>
              <w:left w:val="single" w:sz="18" w:space="0" w:color="FFFFFF" w:themeColor="background2"/>
            </w:tcBorders>
          </w:tcPr>
          <w:p w14:paraId="10C4BD89" w14:textId="3FA214B6" w:rsidR="008664C1" w:rsidRPr="006517AA" w:rsidRDefault="00400ACB" w:rsidP="008D15BE">
            <w:pPr>
              <w:suppressAutoHyphens/>
              <w:autoSpaceDE w:val="0"/>
              <w:autoSpaceDN w:val="0"/>
              <w:adjustRightInd w:val="0"/>
              <w:spacing w:before="20" w:after="20"/>
              <w:jc w:val="right"/>
              <w:textAlignment w:val="center"/>
              <w:rPr>
                <w:color w:val="1C1C1C"/>
                <w:sz w:val="14"/>
                <w:szCs w:val="14"/>
              </w:rPr>
            </w:pPr>
            <w:r>
              <w:rPr>
                <w:rFonts w:cs="Calibri"/>
                <w:sz w:val="14"/>
                <w:szCs w:val="14"/>
              </w:rPr>
              <w:t>177</w:t>
            </w:r>
            <w:r w:rsidR="008664C1" w:rsidRPr="006517AA">
              <w:rPr>
                <w:rFonts w:cs="Calibri"/>
                <w:sz w:val="14"/>
                <w:szCs w:val="14"/>
              </w:rPr>
              <w:t xml:space="preserve"> </w:t>
            </w:r>
          </w:p>
        </w:tc>
      </w:tr>
      <w:tr w:rsidR="008664C1" w:rsidRPr="00873FE9" w14:paraId="61C5EEEE" w14:textId="77777777" w:rsidTr="002C5B2C">
        <w:trPr>
          <w:trHeight w:val="170"/>
        </w:trPr>
        <w:tc>
          <w:tcPr>
            <w:tcW w:w="5111" w:type="dxa"/>
          </w:tcPr>
          <w:p w14:paraId="521174E0" w14:textId="77777777" w:rsidR="008664C1"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Plant and equipment</w:t>
            </w:r>
          </w:p>
        </w:tc>
        <w:tc>
          <w:tcPr>
            <w:tcW w:w="992" w:type="dxa"/>
            <w:tcBorders>
              <w:bottom w:val="single" w:sz="2" w:space="0" w:color="auto"/>
              <w:right w:val="single" w:sz="18" w:space="0" w:color="FFFFFF" w:themeColor="background2"/>
            </w:tcBorders>
          </w:tcPr>
          <w:p w14:paraId="02BDA5EC" w14:textId="77777777"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w:t>
            </w:r>
            <w:r w:rsidRPr="006517AA">
              <w:rPr>
                <w:rFonts w:asciiTheme="majorHAnsi" w:hAnsiTheme="majorHAnsi" w:cs="Calibri"/>
                <w:sz w:val="14"/>
                <w:szCs w:val="14"/>
              </w:rPr>
              <w:t xml:space="preserve"> </w:t>
            </w:r>
          </w:p>
        </w:tc>
        <w:tc>
          <w:tcPr>
            <w:tcW w:w="993" w:type="dxa"/>
            <w:tcBorders>
              <w:left w:val="single" w:sz="18" w:space="0" w:color="FFFFFF" w:themeColor="background2"/>
              <w:bottom w:val="single" w:sz="2" w:space="0" w:color="auto"/>
            </w:tcBorders>
          </w:tcPr>
          <w:p w14:paraId="4092FB78" w14:textId="48015532" w:rsidR="008664C1" w:rsidRPr="006517AA" w:rsidRDefault="00400ACB" w:rsidP="008D15BE">
            <w:pPr>
              <w:suppressAutoHyphens/>
              <w:autoSpaceDE w:val="0"/>
              <w:autoSpaceDN w:val="0"/>
              <w:adjustRightInd w:val="0"/>
              <w:spacing w:before="20" w:after="20"/>
              <w:jc w:val="right"/>
              <w:textAlignment w:val="center"/>
              <w:rPr>
                <w:color w:val="1C1C1C"/>
                <w:sz w:val="14"/>
                <w:szCs w:val="14"/>
              </w:rPr>
            </w:pPr>
            <w:r>
              <w:rPr>
                <w:rFonts w:cs="Calibri"/>
                <w:sz w:val="14"/>
                <w:szCs w:val="14"/>
              </w:rPr>
              <w:t>2</w:t>
            </w:r>
            <w:r w:rsidR="008664C1" w:rsidRPr="006517AA">
              <w:rPr>
                <w:rFonts w:cs="Calibri"/>
                <w:sz w:val="14"/>
                <w:szCs w:val="14"/>
              </w:rPr>
              <w:t xml:space="preserve"> </w:t>
            </w:r>
          </w:p>
        </w:tc>
      </w:tr>
      <w:tr w:rsidR="008664C1" w:rsidRPr="00873FE9" w14:paraId="52595D2B" w14:textId="77777777" w:rsidTr="002C5B2C">
        <w:trPr>
          <w:trHeight w:val="170"/>
        </w:trPr>
        <w:tc>
          <w:tcPr>
            <w:tcW w:w="5111" w:type="dxa"/>
          </w:tcPr>
          <w:p w14:paraId="016C041F" w14:textId="77777777" w:rsidR="008664C1" w:rsidRPr="006517AA"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more than 12 months</w:t>
            </w:r>
          </w:p>
        </w:tc>
        <w:tc>
          <w:tcPr>
            <w:tcW w:w="992" w:type="dxa"/>
            <w:tcBorders>
              <w:top w:val="single" w:sz="2" w:space="0" w:color="auto"/>
              <w:bottom w:val="single" w:sz="2" w:space="0" w:color="auto"/>
              <w:right w:val="single" w:sz="18" w:space="0" w:color="FFFFFF" w:themeColor="background2"/>
            </w:tcBorders>
          </w:tcPr>
          <w:p w14:paraId="27E6BCB4" w14:textId="48C6368C"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2,</w:t>
            </w:r>
            <w:r w:rsidR="0089645E">
              <w:rPr>
                <w:rFonts w:asciiTheme="majorHAnsi" w:hAnsiTheme="majorHAnsi" w:cs="Calibri"/>
                <w:sz w:val="14"/>
                <w:szCs w:val="14"/>
              </w:rPr>
              <w:t>324</w:t>
            </w:r>
            <w:r w:rsidRPr="006517AA">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59E21C02" w14:textId="77777777" w:rsidR="008664C1" w:rsidRPr="006517AA" w:rsidRDefault="008664C1" w:rsidP="008D15BE">
            <w:pPr>
              <w:suppressAutoHyphens/>
              <w:autoSpaceDE w:val="0"/>
              <w:autoSpaceDN w:val="0"/>
              <w:adjustRightInd w:val="0"/>
              <w:spacing w:before="20" w:after="20"/>
              <w:jc w:val="right"/>
              <w:textAlignment w:val="center"/>
              <w:rPr>
                <w:color w:val="1C1C1C"/>
                <w:sz w:val="14"/>
                <w:szCs w:val="14"/>
              </w:rPr>
            </w:pPr>
            <w:r w:rsidRPr="006517AA">
              <w:rPr>
                <w:rFonts w:cs="Calibri"/>
                <w:sz w:val="14"/>
                <w:szCs w:val="14"/>
              </w:rPr>
              <w:t xml:space="preserve">7,977 </w:t>
            </w:r>
          </w:p>
        </w:tc>
      </w:tr>
      <w:tr w:rsidR="008664C1" w:rsidRPr="00873FE9" w14:paraId="69A640E4" w14:textId="77777777" w:rsidTr="002C5B2C">
        <w:trPr>
          <w:trHeight w:val="170"/>
        </w:trPr>
        <w:tc>
          <w:tcPr>
            <w:tcW w:w="5111" w:type="dxa"/>
          </w:tcPr>
          <w:p w14:paraId="49581416" w14:textId="77777777" w:rsidR="008664C1" w:rsidRPr="006517AA"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assets</w:t>
            </w:r>
          </w:p>
        </w:tc>
        <w:tc>
          <w:tcPr>
            <w:tcW w:w="992" w:type="dxa"/>
            <w:tcBorders>
              <w:top w:val="single" w:sz="2" w:space="0" w:color="auto"/>
              <w:bottom w:val="single" w:sz="2" w:space="0" w:color="auto"/>
              <w:right w:val="single" w:sz="18" w:space="0" w:color="FFFFFF" w:themeColor="background2"/>
            </w:tcBorders>
          </w:tcPr>
          <w:p w14:paraId="5307652F" w14:textId="7E4CDACA" w:rsidR="008664C1" w:rsidRPr="006517AA" w:rsidRDefault="008664C1" w:rsidP="008D15BE">
            <w:pPr>
              <w:autoSpaceDE w:val="0"/>
              <w:autoSpaceDN w:val="0"/>
              <w:adjustRightInd w:val="0"/>
              <w:spacing w:before="20" w:after="20"/>
              <w:jc w:val="right"/>
              <w:rPr>
                <w:rFonts w:asciiTheme="majorHAnsi" w:hAnsiTheme="majorHAnsi"/>
                <w:color w:val="1C1C1C"/>
                <w:sz w:val="14"/>
                <w:szCs w:val="14"/>
              </w:rPr>
            </w:pPr>
            <w:r w:rsidRPr="006517AA">
              <w:rPr>
                <w:rFonts w:asciiTheme="majorHAnsi" w:hAnsiTheme="majorHAnsi" w:cs="Calibri"/>
                <w:sz w:val="14"/>
                <w:szCs w:val="14"/>
              </w:rPr>
              <w:t>19,</w:t>
            </w:r>
            <w:r w:rsidR="0089645E">
              <w:rPr>
                <w:rFonts w:asciiTheme="majorHAnsi" w:hAnsiTheme="majorHAnsi" w:cs="Calibri"/>
                <w:sz w:val="14"/>
                <w:szCs w:val="14"/>
              </w:rPr>
              <w:t>216</w:t>
            </w:r>
            <w:r w:rsidRPr="006517AA">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5DC1AA11" w14:textId="77777777" w:rsidR="008664C1" w:rsidRPr="006517AA" w:rsidRDefault="008664C1" w:rsidP="008D15BE">
            <w:pPr>
              <w:suppressAutoHyphens/>
              <w:autoSpaceDE w:val="0"/>
              <w:autoSpaceDN w:val="0"/>
              <w:adjustRightInd w:val="0"/>
              <w:spacing w:before="20" w:after="20"/>
              <w:jc w:val="right"/>
              <w:textAlignment w:val="center"/>
              <w:rPr>
                <w:color w:val="1C1C1C"/>
                <w:sz w:val="14"/>
                <w:szCs w:val="14"/>
              </w:rPr>
            </w:pPr>
            <w:r w:rsidRPr="006517AA">
              <w:rPr>
                <w:rFonts w:cs="Calibri"/>
                <w:sz w:val="14"/>
                <w:szCs w:val="14"/>
              </w:rPr>
              <w:t xml:space="preserve">22,456 </w:t>
            </w:r>
          </w:p>
        </w:tc>
      </w:tr>
      <w:tr w:rsidR="008664C1" w:rsidRPr="00873FE9" w14:paraId="362BE479" w14:textId="77777777" w:rsidTr="002C5B2C">
        <w:trPr>
          <w:trHeight w:val="170"/>
        </w:trPr>
        <w:tc>
          <w:tcPr>
            <w:tcW w:w="5111" w:type="dxa"/>
          </w:tcPr>
          <w:p w14:paraId="2A144831" w14:textId="77777777" w:rsidR="008664C1" w:rsidRPr="00873FE9" w:rsidRDefault="008664C1" w:rsidP="008D15BE">
            <w:pPr>
              <w:suppressAutoHyphens/>
              <w:autoSpaceDE w:val="0"/>
              <w:autoSpaceDN w:val="0"/>
              <w:adjustRightInd w:val="0"/>
              <w:spacing w:before="20" w:after="20"/>
              <w:textAlignment w:val="center"/>
              <w:rPr>
                <w:color w:val="1C1C1C"/>
                <w:sz w:val="14"/>
                <w:szCs w:val="14"/>
              </w:rPr>
            </w:pPr>
          </w:p>
        </w:tc>
        <w:tc>
          <w:tcPr>
            <w:tcW w:w="992" w:type="dxa"/>
            <w:tcBorders>
              <w:top w:val="single" w:sz="2" w:space="0" w:color="auto"/>
              <w:right w:val="single" w:sz="18" w:space="0" w:color="FFFFFF" w:themeColor="background2"/>
            </w:tcBorders>
          </w:tcPr>
          <w:p w14:paraId="67223FB6" w14:textId="77777777" w:rsidR="008664C1" w:rsidRPr="00873FE9"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top w:val="single" w:sz="2" w:space="0" w:color="auto"/>
              <w:left w:val="single" w:sz="18" w:space="0" w:color="FFFFFF" w:themeColor="background2"/>
            </w:tcBorders>
          </w:tcPr>
          <w:p w14:paraId="27F32700" w14:textId="77777777" w:rsidR="008664C1" w:rsidRPr="00873FE9" w:rsidRDefault="008664C1" w:rsidP="008D15BE">
            <w:pPr>
              <w:suppressAutoHyphens/>
              <w:autoSpaceDE w:val="0"/>
              <w:autoSpaceDN w:val="0"/>
              <w:adjustRightInd w:val="0"/>
              <w:spacing w:before="20" w:after="20"/>
              <w:jc w:val="right"/>
              <w:textAlignment w:val="center"/>
              <w:rPr>
                <w:color w:val="1C1C1C"/>
                <w:sz w:val="14"/>
                <w:szCs w:val="14"/>
              </w:rPr>
            </w:pPr>
          </w:p>
        </w:tc>
      </w:tr>
      <w:tr w:rsidR="008664C1" w:rsidRPr="00873FE9" w14:paraId="0F2B53D3" w14:textId="77777777" w:rsidTr="002C5B2C">
        <w:trPr>
          <w:trHeight w:val="170"/>
        </w:trPr>
        <w:tc>
          <w:tcPr>
            <w:tcW w:w="5111" w:type="dxa"/>
          </w:tcPr>
          <w:p w14:paraId="4CE8B5A5" w14:textId="77777777" w:rsidR="008664C1" w:rsidRPr="00873FE9"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Liabilities expected to be settled in:</w:t>
            </w:r>
          </w:p>
        </w:tc>
        <w:tc>
          <w:tcPr>
            <w:tcW w:w="992" w:type="dxa"/>
            <w:tcBorders>
              <w:right w:val="single" w:sz="18" w:space="0" w:color="FFFFFF" w:themeColor="background2"/>
            </w:tcBorders>
          </w:tcPr>
          <w:p w14:paraId="168D63EB" w14:textId="77777777" w:rsidR="008664C1" w:rsidRPr="00873FE9"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493EF434" w14:textId="77777777" w:rsidR="008664C1" w:rsidRPr="00873FE9" w:rsidRDefault="008664C1" w:rsidP="008D15BE">
            <w:pPr>
              <w:suppressAutoHyphens/>
              <w:autoSpaceDE w:val="0"/>
              <w:autoSpaceDN w:val="0"/>
              <w:adjustRightInd w:val="0"/>
              <w:spacing w:before="20" w:after="20"/>
              <w:jc w:val="right"/>
              <w:textAlignment w:val="center"/>
              <w:rPr>
                <w:color w:val="1C1C1C"/>
                <w:sz w:val="14"/>
                <w:szCs w:val="14"/>
              </w:rPr>
            </w:pPr>
          </w:p>
        </w:tc>
      </w:tr>
      <w:tr w:rsidR="008664C1" w:rsidRPr="00873FE9" w14:paraId="3ECA6EFA" w14:textId="77777777" w:rsidTr="002C5B2C">
        <w:trPr>
          <w:trHeight w:val="170"/>
        </w:trPr>
        <w:tc>
          <w:tcPr>
            <w:tcW w:w="5111" w:type="dxa"/>
          </w:tcPr>
          <w:p w14:paraId="0C3B6C78" w14:textId="77777777" w:rsidR="008664C1"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No more than 12 months</w:t>
            </w:r>
          </w:p>
        </w:tc>
        <w:tc>
          <w:tcPr>
            <w:tcW w:w="992" w:type="dxa"/>
            <w:tcBorders>
              <w:right w:val="single" w:sz="18" w:space="0" w:color="FFFFFF" w:themeColor="background2"/>
            </w:tcBorders>
          </w:tcPr>
          <w:p w14:paraId="5EBCEE84" w14:textId="77777777" w:rsidR="008664C1" w:rsidRPr="00873FE9" w:rsidRDefault="008664C1" w:rsidP="008D15BE">
            <w:pPr>
              <w:autoSpaceDE w:val="0"/>
              <w:autoSpaceDN w:val="0"/>
              <w:adjustRightInd w:val="0"/>
              <w:spacing w:before="20" w:after="20"/>
              <w:jc w:val="right"/>
              <w:rPr>
                <w:rFonts w:asciiTheme="majorHAnsi" w:hAnsiTheme="majorHAnsi"/>
                <w:color w:val="1C1C1C"/>
                <w:sz w:val="14"/>
                <w:szCs w:val="14"/>
              </w:rPr>
            </w:pPr>
          </w:p>
        </w:tc>
        <w:tc>
          <w:tcPr>
            <w:tcW w:w="993" w:type="dxa"/>
            <w:tcBorders>
              <w:left w:val="single" w:sz="18" w:space="0" w:color="FFFFFF" w:themeColor="background2"/>
            </w:tcBorders>
          </w:tcPr>
          <w:p w14:paraId="11171D44" w14:textId="77777777" w:rsidR="008664C1" w:rsidRPr="00873FE9" w:rsidRDefault="008664C1" w:rsidP="008D15BE">
            <w:pPr>
              <w:suppressAutoHyphens/>
              <w:autoSpaceDE w:val="0"/>
              <w:autoSpaceDN w:val="0"/>
              <w:adjustRightInd w:val="0"/>
              <w:spacing w:before="20" w:after="20"/>
              <w:jc w:val="right"/>
              <w:textAlignment w:val="center"/>
              <w:rPr>
                <w:color w:val="1C1C1C"/>
                <w:sz w:val="14"/>
                <w:szCs w:val="14"/>
              </w:rPr>
            </w:pPr>
          </w:p>
        </w:tc>
      </w:tr>
      <w:tr w:rsidR="008664C1" w:rsidRPr="00873FE9" w14:paraId="015C03FC" w14:textId="77777777" w:rsidTr="002C5B2C">
        <w:trPr>
          <w:trHeight w:val="170"/>
        </w:trPr>
        <w:tc>
          <w:tcPr>
            <w:tcW w:w="5111" w:type="dxa"/>
          </w:tcPr>
          <w:p w14:paraId="77104C47" w14:textId="77777777" w:rsidR="008664C1" w:rsidRPr="00873FE9"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Suppliers</w:t>
            </w:r>
          </w:p>
        </w:tc>
        <w:tc>
          <w:tcPr>
            <w:tcW w:w="992" w:type="dxa"/>
            <w:tcBorders>
              <w:right w:val="single" w:sz="18" w:space="0" w:color="FFFFFF" w:themeColor="background2"/>
            </w:tcBorders>
          </w:tcPr>
          <w:p w14:paraId="474B295E" w14:textId="359B994E" w:rsidR="008664C1" w:rsidRPr="00EC6778" w:rsidRDefault="0089645E" w:rsidP="008D15BE">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1</w:t>
            </w:r>
            <w:r w:rsidR="008664C1" w:rsidRPr="00EC6778">
              <w:rPr>
                <w:rFonts w:asciiTheme="majorHAnsi" w:hAnsiTheme="majorHAnsi" w:cs="Calibri"/>
                <w:sz w:val="14"/>
                <w:szCs w:val="14"/>
              </w:rPr>
              <w:t>,</w:t>
            </w:r>
            <w:r>
              <w:rPr>
                <w:rFonts w:asciiTheme="majorHAnsi" w:hAnsiTheme="majorHAnsi" w:cs="Calibri"/>
                <w:sz w:val="14"/>
                <w:szCs w:val="14"/>
              </w:rPr>
              <w:t>737</w:t>
            </w:r>
            <w:r w:rsidR="008664C1" w:rsidRPr="00EC6778">
              <w:rPr>
                <w:rFonts w:asciiTheme="majorHAnsi" w:hAnsiTheme="majorHAnsi" w:cs="Calibri"/>
                <w:sz w:val="14"/>
                <w:szCs w:val="14"/>
              </w:rPr>
              <w:t xml:space="preserve"> </w:t>
            </w:r>
          </w:p>
        </w:tc>
        <w:tc>
          <w:tcPr>
            <w:tcW w:w="993" w:type="dxa"/>
            <w:tcBorders>
              <w:left w:val="single" w:sz="18" w:space="0" w:color="FFFFFF" w:themeColor="background2"/>
            </w:tcBorders>
          </w:tcPr>
          <w:p w14:paraId="297ED271" w14:textId="77777777" w:rsidR="008664C1" w:rsidRPr="00EC6778" w:rsidRDefault="008664C1" w:rsidP="008D15BE">
            <w:pPr>
              <w:suppressAutoHyphens/>
              <w:autoSpaceDE w:val="0"/>
              <w:autoSpaceDN w:val="0"/>
              <w:adjustRightInd w:val="0"/>
              <w:spacing w:before="20" w:after="20"/>
              <w:jc w:val="right"/>
              <w:textAlignment w:val="center"/>
              <w:rPr>
                <w:color w:val="1C1C1C"/>
                <w:sz w:val="14"/>
                <w:szCs w:val="14"/>
              </w:rPr>
            </w:pPr>
            <w:r w:rsidRPr="00EC6778">
              <w:rPr>
                <w:rFonts w:cs="Calibri"/>
                <w:sz w:val="14"/>
                <w:szCs w:val="14"/>
              </w:rPr>
              <w:t xml:space="preserve">2,416 </w:t>
            </w:r>
          </w:p>
        </w:tc>
      </w:tr>
      <w:tr w:rsidR="008664C1" w:rsidRPr="00873FE9" w14:paraId="5149D89F" w14:textId="77777777" w:rsidTr="002C5B2C">
        <w:trPr>
          <w:trHeight w:val="170"/>
        </w:trPr>
        <w:tc>
          <w:tcPr>
            <w:tcW w:w="5111" w:type="dxa"/>
          </w:tcPr>
          <w:p w14:paraId="4211803C" w14:textId="77777777" w:rsidR="008664C1" w:rsidRPr="00873FE9"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Leases</w:t>
            </w:r>
          </w:p>
        </w:tc>
        <w:tc>
          <w:tcPr>
            <w:tcW w:w="992" w:type="dxa"/>
            <w:tcBorders>
              <w:right w:val="single" w:sz="18" w:space="0" w:color="FFFFFF" w:themeColor="background2"/>
            </w:tcBorders>
          </w:tcPr>
          <w:p w14:paraId="347165A6" w14:textId="77777777" w:rsidR="008664C1" w:rsidRPr="00EC6778" w:rsidRDefault="008664C1" w:rsidP="008D15BE">
            <w:pPr>
              <w:autoSpaceDE w:val="0"/>
              <w:autoSpaceDN w:val="0"/>
              <w:adjustRightInd w:val="0"/>
              <w:spacing w:before="20" w:after="20"/>
              <w:jc w:val="right"/>
              <w:rPr>
                <w:rFonts w:asciiTheme="majorHAnsi" w:hAnsiTheme="majorHAnsi"/>
                <w:color w:val="1C1C1C"/>
                <w:sz w:val="14"/>
                <w:szCs w:val="14"/>
              </w:rPr>
            </w:pPr>
            <w:r w:rsidRPr="00EC6778">
              <w:rPr>
                <w:rFonts w:asciiTheme="majorHAnsi" w:hAnsiTheme="majorHAnsi" w:cs="Calibri"/>
                <w:sz w:val="14"/>
                <w:szCs w:val="14"/>
              </w:rPr>
              <w:t>77</w:t>
            </w:r>
            <w:r>
              <w:rPr>
                <w:rFonts w:asciiTheme="majorHAnsi" w:hAnsiTheme="majorHAnsi" w:cs="Calibri"/>
                <w:sz w:val="14"/>
                <w:szCs w:val="14"/>
              </w:rPr>
              <w:t>7</w:t>
            </w:r>
            <w:r w:rsidRPr="00EC6778">
              <w:rPr>
                <w:rFonts w:asciiTheme="majorHAnsi" w:hAnsiTheme="majorHAnsi" w:cs="Calibri"/>
                <w:sz w:val="14"/>
                <w:szCs w:val="14"/>
              </w:rPr>
              <w:t xml:space="preserve"> </w:t>
            </w:r>
          </w:p>
        </w:tc>
        <w:tc>
          <w:tcPr>
            <w:tcW w:w="993" w:type="dxa"/>
            <w:tcBorders>
              <w:left w:val="single" w:sz="18" w:space="0" w:color="FFFFFF" w:themeColor="background2"/>
            </w:tcBorders>
          </w:tcPr>
          <w:p w14:paraId="7D556D2A" w14:textId="77777777" w:rsidR="008664C1" w:rsidRPr="00EC6778" w:rsidRDefault="008664C1" w:rsidP="008D15BE">
            <w:pPr>
              <w:suppressAutoHyphens/>
              <w:autoSpaceDE w:val="0"/>
              <w:autoSpaceDN w:val="0"/>
              <w:adjustRightInd w:val="0"/>
              <w:spacing w:before="20" w:after="20"/>
              <w:jc w:val="right"/>
              <w:textAlignment w:val="center"/>
              <w:rPr>
                <w:color w:val="1C1C1C"/>
                <w:sz w:val="14"/>
                <w:szCs w:val="14"/>
              </w:rPr>
            </w:pPr>
            <w:r w:rsidRPr="00EC6778">
              <w:rPr>
                <w:rFonts w:cs="Calibri"/>
                <w:sz w:val="14"/>
                <w:szCs w:val="14"/>
              </w:rPr>
              <w:t xml:space="preserve">677 </w:t>
            </w:r>
          </w:p>
        </w:tc>
      </w:tr>
      <w:tr w:rsidR="008664C1" w:rsidRPr="00873FE9" w14:paraId="7E5AB0EF" w14:textId="77777777" w:rsidTr="002C5B2C">
        <w:trPr>
          <w:trHeight w:val="170"/>
        </w:trPr>
        <w:tc>
          <w:tcPr>
            <w:tcW w:w="5111" w:type="dxa"/>
          </w:tcPr>
          <w:p w14:paraId="1908290D" w14:textId="77777777" w:rsidR="008664C1"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Other payables</w:t>
            </w:r>
          </w:p>
        </w:tc>
        <w:tc>
          <w:tcPr>
            <w:tcW w:w="992" w:type="dxa"/>
            <w:tcBorders>
              <w:right w:val="single" w:sz="18" w:space="0" w:color="FFFFFF" w:themeColor="background2"/>
            </w:tcBorders>
          </w:tcPr>
          <w:p w14:paraId="691B90AA" w14:textId="77777777" w:rsidR="008664C1" w:rsidRPr="00EC6778" w:rsidRDefault="008664C1" w:rsidP="008D15BE">
            <w:pPr>
              <w:autoSpaceDE w:val="0"/>
              <w:autoSpaceDN w:val="0"/>
              <w:adjustRightInd w:val="0"/>
              <w:spacing w:before="20" w:after="20"/>
              <w:jc w:val="right"/>
              <w:rPr>
                <w:rFonts w:asciiTheme="majorHAnsi" w:hAnsiTheme="majorHAnsi"/>
                <w:sz w:val="14"/>
                <w:szCs w:val="14"/>
              </w:rPr>
            </w:pPr>
            <w:r w:rsidRPr="00EC6778">
              <w:rPr>
                <w:rFonts w:asciiTheme="majorHAnsi" w:hAnsiTheme="majorHAnsi" w:cs="Calibri"/>
                <w:sz w:val="14"/>
                <w:szCs w:val="14"/>
              </w:rPr>
              <w:t>1</w:t>
            </w:r>
            <w:r>
              <w:rPr>
                <w:rFonts w:asciiTheme="majorHAnsi" w:hAnsiTheme="majorHAnsi" w:cs="Calibri"/>
                <w:sz w:val="14"/>
                <w:szCs w:val="14"/>
              </w:rPr>
              <w:t>8</w:t>
            </w:r>
            <w:r w:rsidRPr="00EC6778">
              <w:rPr>
                <w:rFonts w:asciiTheme="majorHAnsi" w:hAnsiTheme="majorHAnsi" w:cs="Calibri"/>
                <w:sz w:val="14"/>
                <w:szCs w:val="14"/>
              </w:rPr>
              <w:t xml:space="preserve"> </w:t>
            </w:r>
          </w:p>
        </w:tc>
        <w:tc>
          <w:tcPr>
            <w:tcW w:w="993" w:type="dxa"/>
            <w:tcBorders>
              <w:left w:val="single" w:sz="18" w:space="0" w:color="FFFFFF" w:themeColor="background2"/>
            </w:tcBorders>
          </w:tcPr>
          <w:p w14:paraId="6189CBC2" w14:textId="77777777" w:rsidR="008664C1" w:rsidRPr="00EC6778" w:rsidRDefault="008664C1" w:rsidP="008D15BE">
            <w:pPr>
              <w:suppressAutoHyphens/>
              <w:autoSpaceDE w:val="0"/>
              <w:autoSpaceDN w:val="0"/>
              <w:adjustRightInd w:val="0"/>
              <w:spacing w:before="20" w:after="20"/>
              <w:jc w:val="right"/>
              <w:textAlignment w:val="center"/>
              <w:rPr>
                <w:sz w:val="14"/>
                <w:szCs w:val="14"/>
              </w:rPr>
            </w:pPr>
            <w:r w:rsidRPr="00EC6778">
              <w:rPr>
                <w:rFonts w:cs="Calibri"/>
                <w:sz w:val="14"/>
                <w:szCs w:val="14"/>
              </w:rPr>
              <w:t xml:space="preserve">12 </w:t>
            </w:r>
          </w:p>
        </w:tc>
      </w:tr>
      <w:tr w:rsidR="008664C1" w:rsidRPr="00873FE9" w14:paraId="4D502543" w14:textId="77777777" w:rsidTr="002C5B2C">
        <w:trPr>
          <w:trHeight w:val="170"/>
        </w:trPr>
        <w:tc>
          <w:tcPr>
            <w:tcW w:w="5111" w:type="dxa"/>
          </w:tcPr>
          <w:p w14:paraId="7842AA65" w14:textId="77777777" w:rsidR="008664C1"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Employee provisions</w:t>
            </w:r>
          </w:p>
        </w:tc>
        <w:tc>
          <w:tcPr>
            <w:tcW w:w="992" w:type="dxa"/>
            <w:tcBorders>
              <w:bottom w:val="single" w:sz="2" w:space="0" w:color="auto"/>
              <w:right w:val="single" w:sz="18" w:space="0" w:color="FFFFFF" w:themeColor="background2"/>
            </w:tcBorders>
          </w:tcPr>
          <w:p w14:paraId="308FE259" w14:textId="77777777" w:rsidR="008664C1" w:rsidRPr="00EC6778" w:rsidRDefault="008664C1" w:rsidP="008D15BE">
            <w:pPr>
              <w:autoSpaceDE w:val="0"/>
              <w:autoSpaceDN w:val="0"/>
              <w:adjustRightInd w:val="0"/>
              <w:spacing w:before="20" w:after="20"/>
              <w:jc w:val="right"/>
              <w:rPr>
                <w:rFonts w:asciiTheme="majorHAnsi" w:hAnsiTheme="majorHAnsi"/>
                <w:sz w:val="14"/>
                <w:szCs w:val="14"/>
              </w:rPr>
            </w:pPr>
            <w:r w:rsidRPr="00EC6778">
              <w:rPr>
                <w:rFonts w:asciiTheme="majorHAnsi" w:hAnsiTheme="majorHAnsi" w:cs="Calibri"/>
                <w:sz w:val="14"/>
                <w:szCs w:val="14"/>
              </w:rPr>
              <w:t xml:space="preserve">18 </w:t>
            </w:r>
          </w:p>
        </w:tc>
        <w:tc>
          <w:tcPr>
            <w:tcW w:w="993" w:type="dxa"/>
            <w:tcBorders>
              <w:left w:val="single" w:sz="18" w:space="0" w:color="FFFFFF" w:themeColor="background2"/>
              <w:bottom w:val="single" w:sz="2" w:space="0" w:color="auto"/>
            </w:tcBorders>
          </w:tcPr>
          <w:p w14:paraId="1AEB3B56" w14:textId="77777777" w:rsidR="008664C1" w:rsidRPr="00EC6778" w:rsidRDefault="008664C1" w:rsidP="008D15BE">
            <w:pPr>
              <w:suppressAutoHyphens/>
              <w:autoSpaceDE w:val="0"/>
              <w:autoSpaceDN w:val="0"/>
              <w:adjustRightInd w:val="0"/>
              <w:spacing w:before="20" w:after="20"/>
              <w:jc w:val="right"/>
              <w:textAlignment w:val="center"/>
              <w:rPr>
                <w:sz w:val="14"/>
                <w:szCs w:val="14"/>
              </w:rPr>
            </w:pPr>
            <w:r w:rsidRPr="00EC6778">
              <w:rPr>
                <w:rFonts w:cs="Calibri"/>
                <w:sz w:val="14"/>
                <w:szCs w:val="14"/>
              </w:rPr>
              <w:t xml:space="preserve">16 </w:t>
            </w:r>
          </w:p>
        </w:tc>
      </w:tr>
      <w:tr w:rsidR="008664C1" w:rsidRPr="00873FE9" w14:paraId="2A783044" w14:textId="77777777" w:rsidTr="002C5B2C">
        <w:trPr>
          <w:trHeight w:val="170"/>
        </w:trPr>
        <w:tc>
          <w:tcPr>
            <w:tcW w:w="5111" w:type="dxa"/>
          </w:tcPr>
          <w:p w14:paraId="16B25F12" w14:textId="77777777" w:rsidR="008664C1" w:rsidRPr="00873FE9"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sidRPr="00873FE9">
              <w:rPr>
                <w:rFonts w:asciiTheme="majorHAnsi" w:hAnsiTheme="majorHAnsi"/>
                <w:color w:val="1C1C1C"/>
                <w:sz w:val="14"/>
                <w:szCs w:val="14"/>
              </w:rPr>
              <w:t xml:space="preserve">Total </w:t>
            </w:r>
            <w:r>
              <w:rPr>
                <w:rFonts w:asciiTheme="majorHAnsi" w:hAnsiTheme="majorHAnsi"/>
                <w:color w:val="1C1C1C"/>
                <w:sz w:val="14"/>
                <w:szCs w:val="14"/>
              </w:rPr>
              <w:t>no more than 12 months</w:t>
            </w:r>
          </w:p>
        </w:tc>
        <w:tc>
          <w:tcPr>
            <w:tcW w:w="992" w:type="dxa"/>
            <w:tcBorders>
              <w:top w:val="single" w:sz="2" w:space="0" w:color="auto"/>
              <w:bottom w:val="single" w:sz="2" w:space="0" w:color="auto"/>
              <w:right w:val="single" w:sz="18" w:space="0" w:color="FFFFFF" w:themeColor="background2"/>
            </w:tcBorders>
          </w:tcPr>
          <w:p w14:paraId="53F60650" w14:textId="78A5618F" w:rsidR="008664C1" w:rsidRPr="00EC6778" w:rsidRDefault="0089645E" w:rsidP="008D15BE">
            <w:pPr>
              <w:autoSpaceDE w:val="0"/>
              <w:autoSpaceDN w:val="0"/>
              <w:adjustRightInd w:val="0"/>
              <w:spacing w:before="20" w:after="20"/>
              <w:jc w:val="right"/>
              <w:rPr>
                <w:rFonts w:asciiTheme="majorHAnsi" w:hAnsiTheme="majorHAnsi"/>
                <w:color w:val="1C1C1C"/>
                <w:sz w:val="14"/>
                <w:szCs w:val="14"/>
              </w:rPr>
            </w:pPr>
            <w:r>
              <w:rPr>
                <w:rFonts w:asciiTheme="majorHAnsi" w:hAnsiTheme="majorHAnsi" w:cs="Calibri"/>
                <w:sz w:val="14"/>
                <w:szCs w:val="14"/>
              </w:rPr>
              <w:t>2,550</w:t>
            </w:r>
          </w:p>
        </w:tc>
        <w:tc>
          <w:tcPr>
            <w:tcW w:w="993" w:type="dxa"/>
            <w:tcBorders>
              <w:top w:val="single" w:sz="2" w:space="0" w:color="auto"/>
              <w:left w:val="single" w:sz="18" w:space="0" w:color="FFFFFF" w:themeColor="background2"/>
              <w:bottom w:val="single" w:sz="2" w:space="0" w:color="auto"/>
            </w:tcBorders>
          </w:tcPr>
          <w:p w14:paraId="205CFD90" w14:textId="77777777" w:rsidR="008664C1" w:rsidRPr="00EC6778" w:rsidRDefault="008664C1" w:rsidP="008D15BE">
            <w:pPr>
              <w:suppressAutoHyphens/>
              <w:autoSpaceDE w:val="0"/>
              <w:autoSpaceDN w:val="0"/>
              <w:adjustRightInd w:val="0"/>
              <w:spacing w:before="20" w:after="20"/>
              <w:jc w:val="right"/>
              <w:textAlignment w:val="center"/>
              <w:rPr>
                <w:color w:val="1C1C1C"/>
                <w:sz w:val="14"/>
                <w:szCs w:val="14"/>
              </w:rPr>
            </w:pPr>
            <w:r w:rsidRPr="00EC6778">
              <w:rPr>
                <w:rFonts w:cs="Calibri"/>
                <w:sz w:val="14"/>
                <w:szCs w:val="14"/>
              </w:rPr>
              <w:t xml:space="preserve">3,121 </w:t>
            </w:r>
          </w:p>
        </w:tc>
      </w:tr>
      <w:tr w:rsidR="008664C1" w:rsidRPr="00873FE9" w14:paraId="67EF8607" w14:textId="77777777" w:rsidTr="002C5B2C">
        <w:trPr>
          <w:trHeight w:val="170"/>
        </w:trPr>
        <w:tc>
          <w:tcPr>
            <w:tcW w:w="5111" w:type="dxa"/>
          </w:tcPr>
          <w:p w14:paraId="5FE067F5" w14:textId="77777777" w:rsidR="008664C1" w:rsidRPr="00873FE9"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More than 12 months</w:t>
            </w:r>
          </w:p>
        </w:tc>
        <w:tc>
          <w:tcPr>
            <w:tcW w:w="992" w:type="dxa"/>
            <w:tcBorders>
              <w:top w:val="single" w:sz="2" w:space="0" w:color="auto"/>
              <w:right w:val="single" w:sz="18" w:space="0" w:color="FFFFFF" w:themeColor="background2"/>
            </w:tcBorders>
          </w:tcPr>
          <w:p w14:paraId="3F01183E" w14:textId="77777777" w:rsidR="008664C1" w:rsidRPr="00EC6778" w:rsidRDefault="008664C1" w:rsidP="008D15BE">
            <w:pPr>
              <w:autoSpaceDE w:val="0"/>
              <w:autoSpaceDN w:val="0"/>
              <w:adjustRightInd w:val="0"/>
              <w:spacing w:before="20" w:after="20"/>
              <w:jc w:val="right"/>
              <w:rPr>
                <w:rFonts w:asciiTheme="majorHAnsi" w:hAnsiTheme="majorHAnsi"/>
                <w:sz w:val="14"/>
                <w:szCs w:val="14"/>
              </w:rPr>
            </w:pPr>
          </w:p>
        </w:tc>
        <w:tc>
          <w:tcPr>
            <w:tcW w:w="993" w:type="dxa"/>
            <w:tcBorders>
              <w:top w:val="single" w:sz="2" w:space="0" w:color="auto"/>
              <w:left w:val="single" w:sz="18" w:space="0" w:color="FFFFFF" w:themeColor="background2"/>
            </w:tcBorders>
          </w:tcPr>
          <w:p w14:paraId="280BCE21" w14:textId="77777777" w:rsidR="008664C1" w:rsidRPr="00EC6778" w:rsidRDefault="008664C1" w:rsidP="008D15BE">
            <w:pPr>
              <w:suppressAutoHyphens/>
              <w:autoSpaceDE w:val="0"/>
              <w:autoSpaceDN w:val="0"/>
              <w:adjustRightInd w:val="0"/>
              <w:spacing w:before="20" w:after="20"/>
              <w:jc w:val="right"/>
              <w:textAlignment w:val="center"/>
              <w:rPr>
                <w:sz w:val="14"/>
                <w:szCs w:val="14"/>
              </w:rPr>
            </w:pPr>
          </w:p>
        </w:tc>
      </w:tr>
      <w:tr w:rsidR="008664C1" w:rsidRPr="00EC6778" w14:paraId="4E815AB2" w14:textId="77777777" w:rsidTr="002C5B2C">
        <w:trPr>
          <w:trHeight w:val="170"/>
        </w:trPr>
        <w:tc>
          <w:tcPr>
            <w:tcW w:w="5111" w:type="dxa"/>
          </w:tcPr>
          <w:p w14:paraId="6AF5A3AA" w14:textId="77777777" w:rsidR="008664C1" w:rsidRPr="00EC6778"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Leases</w:t>
            </w:r>
          </w:p>
        </w:tc>
        <w:tc>
          <w:tcPr>
            <w:tcW w:w="992" w:type="dxa"/>
            <w:tcBorders>
              <w:right w:val="single" w:sz="18" w:space="0" w:color="FFFFFF" w:themeColor="background2"/>
            </w:tcBorders>
          </w:tcPr>
          <w:p w14:paraId="6C94AAE3" w14:textId="77777777" w:rsidR="008664C1" w:rsidRPr="00EC6778" w:rsidRDefault="008664C1" w:rsidP="008D15BE">
            <w:pPr>
              <w:autoSpaceDE w:val="0"/>
              <w:autoSpaceDN w:val="0"/>
              <w:adjustRightInd w:val="0"/>
              <w:spacing w:before="20" w:after="20"/>
              <w:ind w:left="113"/>
              <w:jc w:val="right"/>
              <w:rPr>
                <w:rFonts w:asciiTheme="majorHAnsi" w:hAnsiTheme="majorHAnsi"/>
                <w:sz w:val="14"/>
                <w:szCs w:val="14"/>
              </w:rPr>
            </w:pPr>
            <w:r w:rsidRPr="00EC6778">
              <w:rPr>
                <w:rFonts w:asciiTheme="majorHAnsi" w:hAnsiTheme="majorHAnsi" w:cs="Calibri"/>
                <w:sz w:val="14"/>
                <w:szCs w:val="14"/>
              </w:rPr>
              <w:t xml:space="preserve">742 </w:t>
            </w:r>
          </w:p>
        </w:tc>
        <w:tc>
          <w:tcPr>
            <w:tcW w:w="993" w:type="dxa"/>
            <w:tcBorders>
              <w:left w:val="single" w:sz="18" w:space="0" w:color="FFFFFF" w:themeColor="background2"/>
            </w:tcBorders>
          </w:tcPr>
          <w:p w14:paraId="1E6CC9AB" w14:textId="493FAD77" w:rsidR="008664C1" w:rsidRPr="00EC6778" w:rsidRDefault="008664C1" w:rsidP="008D15BE">
            <w:pPr>
              <w:suppressAutoHyphens/>
              <w:autoSpaceDE w:val="0"/>
              <w:autoSpaceDN w:val="0"/>
              <w:adjustRightInd w:val="0"/>
              <w:spacing w:before="20" w:after="20"/>
              <w:ind w:left="113"/>
              <w:jc w:val="right"/>
              <w:textAlignment w:val="center"/>
              <w:rPr>
                <w:sz w:val="14"/>
                <w:szCs w:val="14"/>
              </w:rPr>
            </w:pPr>
            <w:r w:rsidRPr="00EC6778">
              <w:rPr>
                <w:rFonts w:cs="Calibri"/>
                <w:sz w:val="14"/>
                <w:szCs w:val="14"/>
              </w:rPr>
              <w:t xml:space="preserve"> 5</w:t>
            </w:r>
            <w:r w:rsidR="0089645E">
              <w:rPr>
                <w:rFonts w:cs="Calibri"/>
                <w:sz w:val="14"/>
                <w:szCs w:val="14"/>
              </w:rPr>
              <w:t>,</w:t>
            </w:r>
            <w:r w:rsidRPr="00EC6778">
              <w:rPr>
                <w:rFonts w:cs="Calibri"/>
                <w:sz w:val="14"/>
                <w:szCs w:val="14"/>
              </w:rPr>
              <w:t xml:space="preserve">756 </w:t>
            </w:r>
          </w:p>
        </w:tc>
      </w:tr>
      <w:tr w:rsidR="008664C1" w:rsidRPr="00EC6778" w14:paraId="33CAC0F1" w14:textId="77777777" w:rsidTr="002C5B2C">
        <w:trPr>
          <w:trHeight w:val="170"/>
        </w:trPr>
        <w:tc>
          <w:tcPr>
            <w:tcW w:w="5111" w:type="dxa"/>
          </w:tcPr>
          <w:p w14:paraId="538133A2" w14:textId="77777777" w:rsidR="008664C1" w:rsidRDefault="008664C1" w:rsidP="008D15BE">
            <w:pPr>
              <w:suppressAutoHyphens/>
              <w:autoSpaceDE w:val="0"/>
              <w:autoSpaceDN w:val="0"/>
              <w:adjustRightInd w:val="0"/>
              <w:spacing w:before="20" w:after="20"/>
              <w:ind w:left="113"/>
              <w:textAlignment w:val="center"/>
              <w:rPr>
                <w:color w:val="1C1C1C"/>
                <w:sz w:val="14"/>
                <w:szCs w:val="14"/>
              </w:rPr>
            </w:pPr>
            <w:r>
              <w:rPr>
                <w:color w:val="1C1C1C"/>
                <w:sz w:val="14"/>
                <w:szCs w:val="14"/>
              </w:rPr>
              <w:t>Employee provisions</w:t>
            </w:r>
          </w:p>
        </w:tc>
        <w:tc>
          <w:tcPr>
            <w:tcW w:w="992" w:type="dxa"/>
            <w:tcBorders>
              <w:bottom w:val="single" w:sz="2" w:space="0" w:color="auto"/>
              <w:right w:val="single" w:sz="18" w:space="0" w:color="FFFFFF" w:themeColor="background2"/>
            </w:tcBorders>
          </w:tcPr>
          <w:p w14:paraId="1EA6A6F2" w14:textId="77777777" w:rsidR="008664C1" w:rsidRPr="00EC6778" w:rsidRDefault="008664C1" w:rsidP="008D15BE">
            <w:pPr>
              <w:autoSpaceDE w:val="0"/>
              <w:autoSpaceDN w:val="0"/>
              <w:adjustRightInd w:val="0"/>
              <w:spacing w:before="20" w:after="20"/>
              <w:ind w:left="113"/>
              <w:jc w:val="right"/>
              <w:rPr>
                <w:rFonts w:asciiTheme="majorHAnsi" w:hAnsiTheme="majorHAnsi"/>
                <w:sz w:val="14"/>
                <w:szCs w:val="14"/>
              </w:rPr>
            </w:pPr>
            <w:r>
              <w:rPr>
                <w:rFonts w:asciiTheme="majorHAnsi" w:hAnsiTheme="majorHAnsi" w:cs="Calibri"/>
                <w:sz w:val="14"/>
                <w:szCs w:val="14"/>
              </w:rPr>
              <w:t>88</w:t>
            </w:r>
            <w:r w:rsidRPr="00EC6778">
              <w:rPr>
                <w:rFonts w:asciiTheme="majorHAnsi" w:hAnsiTheme="majorHAnsi" w:cs="Calibri"/>
                <w:sz w:val="14"/>
                <w:szCs w:val="14"/>
              </w:rPr>
              <w:t xml:space="preserve"> </w:t>
            </w:r>
          </w:p>
        </w:tc>
        <w:tc>
          <w:tcPr>
            <w:tcW w:w="993" w:type="dxa"/>
            <w:tcBorders>
              <w:left w:val="single" w:sz="18" w:space="0" w:color="FFFFFF" w:themeColor="background2"/>
              <w:bottom w:val="single" w:sz="2" w:space="0" w:color="auto"/>
            </w:tcBorders>
          </w:tcPr>
          <w:p w14:paraId="7A5F4443" w14:textId="77777777" w:rsidR="008664C1" w:rsidRPr="00EC6778" w:rsidRDefault="008664C1" w:rsidP="008D15BE">
            <w:pPr>
              <w:suppressAutoHyphens/>
              <w:autoSpaceDE w:val="0"/>
              <w:autoSpaceDN w:val="0"/>
              <w:adjustRightInd w:val="0"/>
              <w:spacing w:before="20" w:after="20"/>
              <w:ind w:left="113"/>
              <w:jc w:val="right"/>
              <w:textAlignment w:val="center"/>
              <w:rPr>
                <w:sz w:val="14"/>
                <w:szCs w:val="14"/>
              </w:rPr>
            </w:pPr>
            <w:r w:rsidRPr="00EC6778">
              <w:rPr>
                <w:rFonts w:cs="Calibri"/>
                <w:sz w:val="14"/>
                <w:szCs w:val="14"/>
              </w:rPr>
              <w:t xml:space="preserve"> 85 </w:t>
            </w:r>
          </w:p>
        </w:tc>
      </w:tr>
      <w:tr w:rsidR="008664C1" w:rsidRPr="00EC6778" w14:paraId="71CB0730" w14:textId="77777777" w:rsidTr="002C5B2C">
        <w:trPr>
          <w:trHeight w:val="170"/>
        </w:trPr>
        <w:tc>
          <w:tcPr>
            <w:tcW w:w="5111" w:type="dxa"/>
          </w:tcPr>
          <w:p w14:paraId="0458A81C" w14:textId="77777777" w:rsidR="008664C1" w:rsidRPr="00EC6778"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more than 12 months</w:t>
            </w:r>
          </w:p>
        </w:tc>
        <w:tc>
          <w:tcPr>
            <w:tcW w:w="992" w:type="dxa"/>
            <w:tcBorders>
              <w:top w:val="single" w:sz="2" w:space="0" w:color="auto"/>
              <w:bottom w:val="single" w:sz="2" w:space="0" w:color="auto"/>
              <w:right w:val="single" w:sz="18" w:space="0" w:color="FFFFFF" w:themeColor="background2"/>
            </w:tcBorders>
          </w:tcPr>
          <w:p w14:paraId="5835E362" w14:textId="77777777" w:rsidR="008664C1" w:rsidRPr="00EC6778" w:rsidRDefault="008664C1" w:rsidP="008D15BE">
            <w:pPr>
              <w:autoSpaceDE w:val="0"/>
              <w:autoSpaceDN w:val="0"/>
              <w:adjustRightInd w:val="0"/>
              <w:spacing w:before="20" w:after="20"/>
              <w:ind w:left="113"/>
              <w:jc w:val="right"/>
              <w:rPr>
                <w:rFonts w:asciiTheme="majorHAnsi" w:hAnsiTheme="majorHAnsi"/>
                <w:sz w:val="14"/>
                <w:szCs w:val="14"/>
              </w:rPr>
            </w:pPr>
            <w:r w:rsidRPr="00EC6778">
              <w:rPr>
                <w:rFonts w:asciiTheme="majorHAnsi" w:hAnsiTheme="majorHAnsi" w:cs="Calibri"/>
                <w:sz w:val="14"/>
                <w:szCs w:val="14"/>
              </w:rPr>
              <w:t>83</w:t>
            </w:r>
            <w:r>
              <w:rPr>
                <w:rFonts w:asciiTheme="majorHAnsi" w:hAnsiTheme="majorHAnsi" w:cs="Calibri"/>
                <w:sz w:val="14"/>
                <w:szCs w:val="14"/>
              </w:rPr>
              <w:t>0</w:t>
            </w:r>
            <w:r w:rsidRPr="00EC6778">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2660FCB2" w14:textId="77777777" w:rsidR="008664C1" w:rsidRPr="00EC6778" w:rsidRDefault="008664C1" w:rsidP="008D15BE">
            <w:pPr>
              <w:suppressAutoHyphens/>
              <w:autoSpaceDE w:val="0"/>
              <w:autoSpaceDN w:val="0"/>
              <w:adjustRightInd w:val="0"/>
              <w:spacing w:before="20" w:after="20"/>
              <w:ind w:left="113"/>
              <w:jc w:val="right"/>
              <w:textAlignment w:val="center"/>
              <w:rPr>
                <w:sz w:val="14"/>
                <w:szCs w:val="14"/>
              </w:rPr>
            </w:pPr>
            <w:r w:rsidRPr="00EC6778">
              <w:rPr>
                <w:rFonts w:cs="Calibri"/>
                <w:sz w:val="14"/>
                <w:szCs w:val="14"/>
              </w:rPr>
              <w:t xml:space="preserve">5,841 </w:t>
            </w:r>
          </w:p>
        </w:tc>
      </w:tr>
      <w:tr w:rsidR="008664C1" w:rsidRPr="00EC6778" w14:paraId="6997B22F" w14:textId="77777777" w:rsidTr="002C5B2C">
        <w:trPr>
          <w:trHeight w:val="170"/>
        </w:trPr>
        <w:tc>
          <w:tcPr>
            <w:tcW w:w="5111" w:type="dxa"/>
          </w:tcPr>
          <w:p w14:paraId="14DFA411" w14:textId="77777777" w:rsidR="008664C1" w:rsidRPr="00EC6778" w:rsidRDefault="008664C1" w:rsidP="008D15BE">
            <w:pPr>
              <w:suppressAutoHyphens/>
              <w:autoSpaceDE w:val="0"/>
              <w:autoSpaceDN w:val="0"/>
              <w:adjustRightInd w:val="0"/>
              <w:spacing w:before="20" w:after="20"/>
              <w:textAlignment w:val="center"/>
              <w:rPr>
                <w:rFonts w:asciiTheme="majorHAnsi" w:hAnsiTheme="majorHAnsi"/>
                <w:color w:val="1C1C1C"/>
                <w:sz w:val="14"/>
                <w:szCs w:val="14"/>
              </w:rPr>
            </w:pPr>
            <w:r>
              <w:rPr>
                <w:rFonts w:asciiTheme="majorHAnsi" w:hAnsiTheme="majorHAnsi"/>
                <w:color w:val="1C1C1C"/>
                <w:sz w:val="14"/>
                <w:szCs w:val="14"/>
              </w:rPr>
              <w:t>Total liabilities</w:t>
            </w:r>
          </w:p>
        </w:tc>
        <w:tc>
          <w:tcPr>
            <w:tcW w:w="992" w:type="dxa"/>
            <w:tcBorders>
              <w:top w:val="single" w:sz="2" w:space="0" w:color="auto"/>
              <w:bottom w:val="single" w:sz="2" w:space="0" w:color="auto"/>
              <w:right w:val="single" w:sz="18" w:space="0" w:color="FFFFFF" w:themeColor="background2"/>
            </w:tcBorders>
          </w:tcPr>
          <w:p w14:paraId="62A5DBBE" w14:textId="4B34F249" w:rsidR="008664C1" w:rsidRPr="00EC6778" w:rsidRDefault="008664C1" w:rsidP="008D15BE">
            <w:pPr>
              <w:autoSpaceDE w:val="0"/>
              <w:autoSpaceDN w:val="0"/>
              <w:adjustRightInd w:val="0"/>
              <w:spacing w:before="20" w:after="20"/>
              <w:ind w:left="113"/>
              <w:jc w:val="right"/>
              <w:rPr>
                <w:rFonts w:asciiTheme="majorHAnsi" w:hAnsiTheme="majorHAnsi"/>
                <w:sz w:val="14"/>
                <w:szCs w:val="14"/>
              </w:rPr>
            </w:pPr>
            <w:r w:rsidRPr="00EC6778">
              <w:rPr>
                <w:rFonts w:asciiTheme="majorHAnsi" w:hAnsiTheme="majorHAnsi" w:cs="Calibri"/>
                <w:sz w:val="14"/>
                <w:szCs w:val="14"/>
              </w:rPr>
              <w:t>3,</w:t>
            </w:r>
            <w:r w:rsidR="0089645E">
              <w:rPr>
                <w:rFonts w:asciiTheme="majorHAnsi" w:hAnsiTheme="majorHAnsi" w:cs="Calibri"/>
                <w:sz w:val="14"/>
                <w:szCs w:val="14"/>
              </w:rPr>
              <w:t>380</w:t>
            </w:r>
            <w:r w:rsidRPr="00EC6778">
              <w:rPr>
                <w:rFonts w:asciiTheme="majorHAnsi" w:hAnsiTheme="majorHAnsi" w:cs="Calibri"/>
                <w:sz w:val="14"/>
                <w:szCs w:val="14"/>
              </w:rPr>
              <w:t xml:space="preserve"> </w:t>
            </w:r>
          </w:p>
        </w:tc>
        <w:tc>
          <w:tcPr>
            <w:tcW w:w="993" w:type="dxa"/>
            <w:tcBorders>
              <w:top w:val="single" w:sz="2" w:space="0" w:color="auto"/>
              <w:left w:val="single" w:sz="18" w:space="0" w:color="FFFFFF" w:themeColor="background2"/>
              <w:bottom w:val="single" w:sz="2" w:space="0" w:color="auto"/>
            </w:tcBorders>
          </w:tcPr>
          <w:p w14:paraId="0FEBF160" w14:textId="77777777" w:rsidR="008664C1" w:rsidRPr="00EC6778" w:rsidRDefault="008664C1" w:rsidP="008D15BE">
            <w:pPr>
              <w:suppressAutoHyphens/>
              <w:autoSpaceDE w:val="0"/>
              <w:autoSpaceDN w:val="0"/>
              <w:adjustRightInd w:val="0"/>
              <w:spacing w:before="20" w:after="20"/>
              <w:ind w:left="113"/>
              <w:jc w:val="right"/>
              <w:textAlignment w:val="center"/>
              <w:rPr>
                <w:sz w:val="14"/>
                <w:szCs w:val="14"/>
              </w:rPr>
            </w:pPr>
            <w:r w:rsidRPr="00EC6778">
              <w:rPr>
                <w:rFonts w:cs="Calibri"/>
                <w:sz w:val="14"/>
                <w:szCs w:val="14"/>
              </w:rPr>
              <w:t xml:space="preserve">8,962 </w:t>
            </w:r>
          </w:p>
        </w:tc>
      </w:tr>
      <w:tr w:rsidR="008664C1" w:rsidRPr="00873FE9" w14:paraId="0083541C" w14:textId="77777777" w:rsidTr="002C5B2C">
        <w:trPr>
          <w:trHeight w:val="57"/>
        </w:trPr>
        <w:tc>
          <w:tcPr>
            <w:tcW w:w="5111" w:type="dxa"/>
          </w:tcPr>
          <w:p w14:paraId="7B9BABC2" w14:textId="77777777" w:rsidR="008664C1" w:rsidRPr="00873FE9" w:rsidRDefault="008664C1" w:rsidP="008D15BE">
            <w:pPr>
              <w:suppressAutoHyphens/>
              <w:autoSpaceDE w:val="0"/>
              <w:autoSpaceDN w:val="0"/>
              <w:adjustRightInd w:val="0"/>
              <w:spacing w:before="20" w:after="20"/>
              <w:textAlignment w:val="center"/>
              <w:rPr>
                <w:rFonts w:asciiTheme="majorHAnsi" w:hAnsiTheme="majorHAnsi"/>
                <w:color w:val="1C1C1C"/>
                <w:sz w:val="4"/>
                <w:szCs w:val="4"/>
              </w:rPr>
            </w:pPr>
          </w:p>
        </w:tc>
        <w:tc>
          <w:tcPr>
            <w:tcW w:w="992" w:type="dxa"/>
            <w:tcBorders>
              <w:top w:val="single" w:sz="2" w:space="0" w:color="auto"/>
              <w:right w:val="single" w:sz="18" w:space="0" w:color="FFFFFF" w:themeColor="background2"/>
            </w:tcBorders>
          </w:tcPr>
          <w:p w14:paraId="1E1926E4" w14:textId="77777777" w:rsidR="008664C1" w:rsidRPr="00873FE9" w:rsidRDefault="008664C1" w:rsidP="008D15BE">
            <w:pPr>
              <w:autoSpaceDE w:val="0"/>
              <w:autoSpaceDN w:val="0"/>
              <w:adjustRightInd w:val="0"/>
              <w:spacing w:before="20" w:after="20"/>
              <w:jc w:val="right"/>
              <w:rPr>
                <w:rFonts w:asciiTheme="majorHAnsi" w:hAnsiTheme="majorHAnsi"/>
                <w:color w:val="1C1C1C"/>
                <w:sz w:val="4"/>
                <w:szCs w:val="4"/>
              </w:rPr>
            </w:pPr>
          </w:p>
        </w:tc>
        <w:tc>
          <w:tcPr>
            <w:tcW w:w="993" w:type="dxa"/>
            <w:tcBorders>
              <w:top w:val="single" w:sz="2" w:space="0" w:color="auto"/>
              <w:left w:val="single" w:sz="18" w:space="0" w:color="FFFFFF" w:themeColor="background2"/>
            </w:tcBorders>
          </w:tcPr>
          <w:p w14:paraId="45F5C495" w14:textId="77777777" w:rsidR="008664C1" w:rsidRPr="00873FE9" w:rsidRDefault="008664C1" w:rsidP="008D15BE">
            <w:pPr>
              <w:suppressAutoHyphens/>
              <w:autoSpaceDE w:val="0"/>
              <w:autoSpaceDN w:val="0"/>
              <w:adjustRightInd w:val="0"/>
              <w:spacing w:before="20" w:after="20"/>
              <w:jc w:val="right"/>
              <w:textAlignment w:val="center"/>
              <w:rPr>
                <w:color w:val="1C1C1C"/>
                <w:sz w:val="4"/>
                <w:szCs w:val="4"/>
              </w:rPr>
            </w:pPr>
          </w:p>
        </w:tc>
      </w:tr>
    </w:tbl>
    <w:p w14:paraId="0BA8581E" w14:textId="77777777" w:rsidR="0029672B" w:rsidRDefault="0029672B" w:rsidP="008664C1">
      <w:pPr>
        <w:pStyle w:val="Body"/>
        <w:rPr>
          <w:color w:val="292929"/>
        </w:rPr>
        <w:sectPr w:rsidR="0029672B" w:rsidSect="00441579">
          <w:footerReference w:type="default" r:id="rId217"/>
          <w:pgSz w:w="9979" w:h="14175"/>
          <w:pgMar w:top="1134" w:right="1134" w:bottom="1134" w:left="1134" w:header="709" w:footer="709" w:gutter="0"/>
          <w:cols w:space="708"/>
          <w:docGrid w:linePitch="360"/>
        </w:sectPr>
      </w:pPr>
    </w:p>
    <w:p w14:paraId="52295B6C" w14:textId="4BF64388" w:rsidR="00E627FC" w:rsidRDefault="009C29B1" w:rsidP="009A2D17">
      <w:pPr>
        <w:pStyle w:val="H1"/>
      </w:pPr>
      <w:bookmarkStart w:id="205" w:name="_Toc84488757"/>
      <w:r>
        <w:rPr>
          <w:noProof/>
          <w:lang w:val="en-AU" w:eastAsia="en-AU"/>
        </w:rPr>
        <w:lastRenderedPageBreak/>
        <w:drawing>
          <wp:anchor distT="0" distB="0" distL="114300" distR="114300" simplePos="0" relativeHeight="251998208" behindDoc="1" locked="0" layoutInCell="1" allowOverlap="1" wp14:anchorId="4189A68D" wp14:editId="5DBEFBF0">
            <wp:simplePos x="0" y="0"/>
            <wp:positionH relativeFrom="column">
              <wp:posOffset>-716280</wp:posOffset>
            </wp:positionH>
            <wp:positionV relativeFrom="paragraph">
              <wp:posOffset>-901065</wp:posOffset>
            </wp:positionV>
            <wp:extent cx="6323765" cy="8987051"/>
            <wp:effectExtent l="0" t="0" r="1270" b="5080"/>
            <wp:wrapNone/>
            <wp:docPr id="135" name="Picture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a:extLst>
                        <a:ext uri="{C183D7F6-B498-43B3-948B-1728B52AA6E4}">
                          <adec:decorative xmlns:adec="http://schemas.microsoft.com/office/drawing/2017/decorative" val="1"/>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330254" cy="89962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7FC">
        <w:t>Appendices</w:t>
      </w:r>
      <w:bookmarkEnd w:id="205"/>
    </w:p>
    <w:p w14:paraId="17A51501" w14:textId="501CF277" w:rsidR="00E627FC" w:rsidRDefault="001F0F34" w:rsidP="00E627FC">
      <w:pPr>
        <w:spacing w:before="2640" w:after="0"/>
        <w:jc w:val="center"/>
        <w:rPr>
          <w:rFonts w:asciiTheme="majorHAnsi" w:hAnsiTheme="majorHAnsi"/>
          <w:color w:val="FFFFFF" w:themeColor="background2"/>
          <w:sz w:val="72"/>
          <w:szCs w:val="72"/>
        </w:rPr>
      </w:pPr>
      <w:r>
        <w:rPr>
          <w:rFonts w:asciiTheme="majorHAnsi" w:hAnsiTheme="majorHAnsi"/>
          <w:noProof/>
          <w:color w:val="FFFFFF" w:themeColor="background2"/>
          <w:sz w:val="72"/>
          <w:szCs w:val="72"/>
          <w:lang w:val="en-AU" w:eastAsia="en-AU"/>
        </w:rPr>
        <w:drawing>
          <wp:inline distT="0" distB="0" distL="0" distR="0" wp14:anchorId="018EA297" wp14:editId="2542A949">
            <wp:extent cx="1838324" cy="1652665"/>
            <wp:effectExtent l="0" t="0" r="0" b="5080"/>
            <wp:docPr id="32" name="Picture 32" descr="Chapter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pter 8"/>
                    <pic:cNvPicPr>
                      <a:picLocks noChangeAspect="1" noChangeArrowheads="1"/>
                    </pic:cNvPicPr>
                  </pic:nvPicPr>
                  <pic:blipFill>
                    <a:blip r:embed="rId218" cstate="print">
                      <a:extLst>
                        <a:ext uri="{28A0092B-C50C-407E-A947-70E740481C1C}">
                          <a14:useLocalDpi xmlns:a14="http://schemas.microsoft.com/office/drawing/2010/main"/>
                        </a:ext>
                      </a:extLst>
                    </a:blip>
                    <a:stretch>
                      <a:fillRect/>
                    </a:stretch>
                  </pic:blipFill>
                  <pic:spPr bwMode="auto">
                    <a:xfrm>
                      <a:off x="0" y="0"/>
                      <a:ext cx="1838324" cy="1652665"/>
                    </a:xfrm>
                    <a:prstGeom prst="rect">
                      <a:avLst/>
                    </a:prstGeom>
                    <a:noFill/>
                    <a:ln>
                      <a:noFill/>
                    </a:ln>
                  </pic:spPr>
                </pic:pic>
              </a:graphicData>
            </a:graphic>
          </wp:inline>
        </w:drawing>
      </w:r>
    </w:p>
    <w:p w14:paraId="3767616E" w14:textId="76B51BAE" w:rsidR="00CC04F0" w:rsidRPr="00E627FC" w:rsidRDefault="00CC04F0" w:rsidP="00E627FC">
      <w:pPr>
        <w:pStyle w:val="Body"/>
        <w:spacing w:before="1200" w:after="0"/>
        <w:jc w:val="center"/>
        <w:rPr>
          <w:color w:val="4D4D4D"/>
        </w:rPr>
      </w:pPr>
    </w:p>
    <w:p w14:paraId="775AE6F9" w14:textId="77777777" w:rsidR="00E627FC" w:rsidRDefault="00E627FC" w:rsidP="00156309">
      <w:pPr>
        <w:pStyle w:val="Body"/>
        <w:rPr>
          <w:color w:val="292929"/>
        </w:rPr>
        <w:sectPr w:rsidR="00E627FC" w:rsidSect="009A2FF3">
          <w:headerReference w:type="default" r:id="rId219"/>
          <w:footerReference w:type="default" r:id="rId220"/>
          <w:pgSz w:w="9979" w:h="14175"/>
          <w:pgMar w:top="1418" w:right="1134" w:bottom="1134" w:left="1134" w:header="709" w:footer="709" w:gutter="0"/>
          <w:cols w:space="708"/>
          <w:docGrid w:linePitch="360"/>
        </w:sectPr>
      </w:pPr>
    </w:p>
    <w:p w14:paraId="2C50E304" w14:textId="7EF4C096" w:rsidR="00BB6F6A" w:rsidRPr="007F327F" w:rsidRDefault="00BB6F6A" w:rsidP="00441579">
      <w:pPr>
        <w:pStyle w:val="Heading1"/>
        <w:rPr>
          <w:color w:val="292929"/>
        </w:rPr>
      </w:pPr>
      <w:bookmarkStart w:id="206" w:name="_Toc84488758"/>
      <w:r w:rsidRPr="007F327F">
        <w:rPr>
          <w:color w:val="292929"/>
        </w:rPr>
        <w:lastRenderedPageBreak/>
        <w:t>Appendix A: Figures and </w:t>
      </w:r>
      <w:r w:rsidR="00F71418">
        <w:rPr>
          <w:color w:val="292929"/>
        </w:rPr>
        <w:t>t</w:t>
      </w:r>
      <w:r w:rsidRPr="007F327F">
        <w:rPr>
          <w:color w:val="292929"/>
        </w:rPr>
        <w:t>ables</w:t>
      </w:r>
      <w:bookmarkEnd w:id="206"/>
    </w:p>
    <w:p w14:paraId="7798394D" w14:textId="71D1255F" w:rsidR="000F3D30" w:rsidRDefault="00BB6F6A" w:rsidP="003555F9">
      <w:pPr>
        <w:pStyle w:val="TOCBody"/>
        <w:ind w:left="0"/>
        <w:rPr>
          <w:rFonts w:eastAsiaTheme="minorEastAsia"/>
          <w:lang w:eastAsia="en-PH"/>
        </w:rPr>
      </w:pPr>
      <w:r>
        <w:fldChar w:fldCharType="begin"/>
      </w:r>
      <w:r>
        <w:instrText xml:space="preserve"> TOC \h \z \t "Figure Heading,1" </w:instrText>
      </w:r>
      <w:r>
        <w:fldChar w:fldCharType="separate"/>
      </w:r>
      <w:hyperlink w:anchor="_Toc82510930" w:history="1">
        <w:r w:rsidR="000F3D30" w:rsidRPr="0098054B">
          <w:rPr>
            <w:rStyle w:val="Hyperlink"/>
          </w:rPr>
          <w:t>Figure 1: National efficient price 2021–22</w:t>
        </w:r>
        <w:r w:rsidR="000F3D30">
          <w:rPr>
            <w:webHidden/>
          </w:rPr>
          <w:tab/>
        </w:r>
        <w:r w:rsidR="000F3D30">
          <w:rPr>
            <w:webHidden/>
          </w:rPr>
          <w:fldChar w:fldCharType="begin"/>
        </w:r>
        <w:r w:rsidR="000F3D30">
          <w:rPr>
            <w:webHidden/>
          </w:rPr>
          <w:instrText xml:space="preserve"> PAGEREF _Toc82510930 \h </w:instrText>
        </w:r>
        <w:r w:rsidR="000F3D30">
          <w:rPr>
            <w:webHidden/>
          </w:rPr>
        </w:r>
        <w:r w:rsidR="000F3D30">
          <w:rPr>
            <w:webHidden/>
          </w:rPr>
          <w:fldChar w:fldCharType="separate"/>
        </w:r>
        <w:r w:rsidR="009D65FF">
          <w:rPr>
            <w:webHidden/>
          </w:rPr>
          <w:t>12</w:t>
        </w:r>
        <w:r w:rsidR="000F3D30">
          <w:rPr>
            <w:webHidden/>
          </w:rPr>
          <w:fldChar w:fldCharType="end"/>
        </w:r>
      </w:hyperlink>
    </w:p>
    <w:p w14:paraId="25DB3EBA" w14:textId="5B268925" w:rsidR="000F3D30" w:rsidRDefault="003079E3" w:rsidP="003555F9">
      <w:pPr>
        <w:pStyle w:val="TOCBody"/>
        <w:ind w:left="0"/>
        <w:rPr>
          <w:rFonts w:eastAsiaTheme="minorEastAsia"/>
          <w:lang w:eastAsia="en-PH"/>
        </w:rPr>
      </w:pPr>
      <w:hyperlink w:anchor="_Toc82510931" w:history="1">
        <w:r w:rsidR="000F3D30" w:rsidRPr="0098054B">
          <w:rPr>
            <w:rStyle w:val="Hyperlink"/>
          </w:rPr>
          <w:t>Figure 2: National efficient cost 2021–22</w:t>
        </w:r>
        <w:r w:rsidR="000F3D30">
          <w:rPr>
            <w:webHidden/>
          </w:rPr>
          <w:tab/>
        </w:r>
        <w:r w:rsidR="000F3D30">
          <w:rPr>
            <w:webHidden/>
          </w:rPr>
          <w:fldChar w:fldCharType="begin"/>
        </w:r>
        <w:r w:rsidR="000F3D30">
          <w:rPr>
            <w:webHidden/>
          </w:rPr>
          <w:instrText xml:space="preserve"> PAGEREF _Toc82510931 \h </w:instrText>
        </w:r>
        <w:r w:rsidR="000F3D30">
          <w:rPr>
            <w:webHidden/>
          </w:rPr>
        </w:r>
        <w:r w:rsidR="000F3D30">
          <w:rPr>
            <w:webHidden/>
          </w:rPr>
          <w:fldChar w:fldCharType="separate"/>
        </w:r>
        <w:r w:rsidR="009D65FF">
          <w:rPr>
            <w:webHidden/>
          </w:rPr>
          <w:t>15</w:t>
        </w:r>
        <w:r w:rsidR="000F3D30">
          <w:rPr>
            <w:webHidden/>
          </w:rPr>
          <w:fldChar w:fldCharType="end"/>
        </w:r>
      </w:hyperlink>
    </w:p>
    <w:p w14:paraId="670233DE" w14:textId="6AD3F3AA" w:rsidR="000F3D30" w:rsidRDefault="003079E3" w:rsidP="003555F9">
      <w:pPr>
        <w:pStyle w:val="TOCBody"/>
        <w:ind w:left="0"/>
        <w:rPr>
          <w:rFonts w:eastAsiaTheme="minorEastAsia"/>
          <w:lang w:eastAsia="en-PH"/>
        </w:rPr>
      </w:pPr>
      <w:hyperlink w:anchor="_Toc82510932" w:history="1">
        <w:r w:rsidR="000F3D30" w:rsidRPr="0098054B">
          <w:rPr>
            <w:rStyle w:val="Hyperlink"/>
          </w:rPr>
          <w:t>Figure 3: IHPA’s organisational structure as at 30 June 2021</w:t>
        </w:r>
        <w:r w:rsidR="000F3D30">
          <w:rPr>
            <w:webHidden/>
          </w:rPr>
          <w:tab/>
        </w:r>
        <w:r w:rsidR="000F3D30">
          <w:rPr>
            <w:webHidden/>
          </w:rPr>
          <w:fldChar w:fldCharType="begin"/>
        </w:r>
        <w:r w:rsidR="000F3D30">
          <w:rPr>
            <w:webHidden/>
          </w:rPr>
          <w:instrText xml:space="preserve"> PAGEREF _Toc82510932 \h </w:instrText>
        </w:r>
        <w:r w:rsidR="000F3D30">
          <w:rPr>
            <w:webHidden/>
          </w:rPr>
        </w:r>
        <w:r w:rsidR="000F3D30">
          <w:rPr>
            <w:webHidden/>
          </w:rPr>
          <w:fldChar w:fldCharType="separate"/>
        </w:r>
        <w:r w:rsidR="009D65FF">
          <w:rPr>
            <w:webHidden/>
          </w:rPr>
          <w:t>16</w:t>
        </w:r>
        <w:r w:rsidR="000F3D30">
          <w:rPr>
            <w:webHidden/>
          </w:rPr>
          <w:fldChar w:fldCharType="end"/>
        </w:r>
      </w:hyperlink>
    </w:p>
    <w:p w14:paraId="5A8CC4BB" w14:textId="55C4712F" w:rsidR="000F3D30" w:rsidRDefault="003079E3" w:rsidP="003555F9">
      <w:pPr>
        <w:pStyle w:val="TOCBody"/>
        <w:ind w:left="0"/>
        <w:rPr>
          <w:rFonts w:eastAsiaTheme="minorEastAsia"/>
          <w:lang w:eastAsia="en-PH"/>
        </w:rPr>
      </w:pPr>
      <w:hyperlink w:anchor="_Toc82510933" w:history="1">
        <w:r w:rsidR="000F3D30" w:rsidRPr="0098054B">
          <w:rPr>
            <w:rStyle w:val="Hyperlink"/>
          </w:rPr>
          <w:t>Figure 4: IHPA’s management, committees and working groups</w:t>
        </w:r>
        <w:r w:rsidR="000F3D30">
          <w:rPr>
            <w:webHidden/>
          </w:rPr>
          <w:tab/>
        </w:r>
        <w:r w:rsidR="000F3D30">
          <w:rPr>
            <w:webHidden/>
          </w:rPr>
          <w:fldChar w:fldCharType="begin"/>
        </w:r>
        <w:r w:rsidR="000F3D30">
          <w:rPr>
            <w:webHidden/>
          </w:rPr>
          <w:instrText xml:space="preserve"> PAGEREF _Toc82510933 \h </w:instrText>
        </w:r>
        <w:r w:rsidR="000F3D30">
          <w:rPr>
            <w:webHidden/>
          </w:rPr>
        </w:r>
        <w:r w:rsidR="000F3D30">
          <w:rPr>
            <w:webHidden/>
          </w:rPr>
          <w:fldChar w:fldCharType="separate"/>
        </w:r>
        <w:r w:rsidR="009D65FF">
          <w:rPr>
            <w:webHidden/>
          </w:rPr>
          <w:t>18</w:t>
        </w:r>
        <w:r w:rsidR="000F3D30">
          <w:rPr>
            <w:webHidden/>
          </w:rPr>
          <w:fldChar w:fldCharType="end"/>
        </w:r>
      </w:hyperlink>
    </w:p>
    <w:p w14:paraId="65642827" w14:textId="1247970E" w:rsidR="000F3D30" w:rsidRDefault="003079E3" w:rsidP="003555F9">
      <w:pPr>
        <w:pStyle w:val="TOCBody"/>
        <w:ind w:left="0"/>
        <w:rPr>
          <w:rFonts w:eastAsiaTheme="minorEastAsia"/>
          <w:lang w:eastAsia="en-PH"/>
        </w:rPr>
      </w:pPr>
      <w:hyperlink w:anchor="_Toc82510934" w:history="1">
        <w:r w:rsidR="000F3D30" w:rsidRPr="0098054B">
          <w:rPr>
            <w:rStyle w:val="Hyperlink"/>
          </w:rPr>
          <w:t>Figure 5: Cost per National Weighted Activity Unit</w:t>
        </w:r>
        <w:r w:rsidR="000F3D30">
          <w:rPr>
            <w:webHidden/>
          </w:rPr>
          <w:tab/>
        </w:r>
        <w:r w:rsidR="000F3D30">
          <w:rPr>
            <w:webHidden/>
          </w:rPr>
          <w:fldChar w:fldCharType="begin"/>
        </w:r>
        <w:r w:rsidR="000F3D30">
          <w:rPr>
            <w:webHidden/>
          </w:rPr>
          <w:instrText xml:space="preserve"> PAGEREF _Toc82510934 \h </w:instrText>
        </w:r>
        <w:r w:rsidR="000F3D30">
          <w:rPr>
            <w:webHidden/>
          </w:rPr>
        </w:r>
        <w:r w:rsidR="000F3D30">
          <w:rPr>
            <w:webHidden/>
          </w:rPr>
          <w:fldChar w:fldCharType="separate"/>
        </w:r>
        <w:r w:rsidR="009D65FF">
          <w:rPr>
            <w:webHidden/>
          </w:rPr>
          <w:t>22</w:t>
        </w:r>
        <w:r w:rsidR="000F3D30">
          <w:rPr>
            <w:webHidden/>
          </w:rPr>
          <w:fldChar w:fldCharType="end"/>
        </w:r>
      </w:hyperlink>
    </w:p>
    <w:p w14:paraId="4E65416D" w14:textId="0021C97D" w:rsidR="000F3D30" w:rsidRDefault="003079E3" w:rsidP="003555F9">
      <w:pPr>
        <w:pStyle w:val="TOCBody"/>
        <w:ind w:left="0"/>
        <w:rPr>
          <w:rFonts w:eastAsiaTheme="minorEastAsia"/>
          <w:lang w:eastAsia="en-PH"/>
        </w:rPr>
      </w:pPr>
      <w:hyperlink w:anchor="_Toc82510935" w:history="1">
        <w:r w:rsidR="000F3D30" w:rsidRPr="0098054B">
          <w:rPr>
            <w:rStyle w:val="Hyperlink"/>
          </w:rPr>
          <w:t>Table 1: Meetings of the Pricing Authority 2020–21</w:t>
        </w:r>
        <w:r w:rsidR="000F3D30">
          <w:rPr>
            <w:webHidden/>
          </w:rPr>
          <w:tab/>
        </w:r>
        <w:r w:rsidR="000F3D30">
          <w:rPr>
            <w:webHidden/>
          </w:rPr>
          <w:fldChar w:fldCharType="begin"/>
        </w:r>
        <w:r w:rsidR="000F3D30">
          <w:rPr>
            <w:webHidden/>
          </w:rPr>
          <w:instrText xml:space="preserve"> PAGEREF _Toc82510935 \h </w:instrText>
        </w:r>
        <w:r w:rsidR="000F3D30">
          <w:rPr>
            <w:webHidden/>
          </w:rPr>
        </w:r>
        <w:r w:rsidR="000F3D30">
          <w:rPr>
            <w:webHidden/>
          </w:rPr>
          <w:fldChar w:fldCharType="separate"/>
        </w:r>
        <w:r w:rsidR="009D65FF">
          <w:rPr>
            <w:webHidden/>
          </w:rPr>
          <w:t>26</w:t>
        </w:r>
        <w:r w:rsidR="000F3D30">
          <w:rPr>
            <w:webHidden/>
          </w:rPr>
          <w:fldChar w:fldCharType="end"/>
        </w:r>
      </w:hyperlink>
    </w:p>
    <w:p w14:paraId="1D8BC399" w14:textId="21752D2D" w:rsidR="000F3D30" w:rsidRDefault="003079E3" w:rsidP="003555F9">
      <w:pPr>
        <w:pStyle w:val="TOCBody"/>
        <w:ind w:left="0"/>
        <w:rPr>
          <w:rFonts w:eastAsiaTheme="minorEastAsia"/>
          <w:lang w:eastAsia="en-PH"/>
        </w:rPr>
      </w:pPr>
      <w:hyperlink w:anchor="_Toc82510936" w:history="1">
        <w:r w:rsidR="000F3D30" w:rsidRPr="0098054B">
          <w:rPr>
            <w:rStyle w:val="Hyperlink"/>
          </w:rPr>
          <w:t>Table 2: Membership and meetings of the Clinical Advisory Committee in 2020–21</w:t>
        </w:r>
        <w:r w:rsidR="000F3D30">
          <w:rPr>
            <w:webHidden/>
          </w:rPr>
          <w:tab/>
        </w:r>
        <w:r w:rsidR="000F3D30">
          <w:rPr>
            <w:webHidden/>
          </w:rPr>
          <w:fldChar w:fldCharType="begin"/>
        </w:r>
        <w:r w:rsidR="000F3D30">
          <w:rPr>
            <w:webHidden/>
          </w:rPr>
          <w:instrText xml:space="preserve"> PAGEREF _Toc82510936 \h </w:instrText>
        </w:r>
        <w:r w:rsidR="000F3D30">
          <w:rPr>
            <w:webHidden/>
          </w:rPr>
        </w:r>
        <w:r w:rsidR="000F3D30">
          <w:rPr>
            <w:webHidden/>
          </w:rPr>
          <w:fldChar w:fldCharType="separate"/>
        </w:r>
        <w:r w:rsidR="009D65FF">
          <w:rPr>
            <w:webHidden/>
          </w:rPr>
          <w:t>35</w:t>
        </w:r>
        <w:r w:rsidR="000F3D30">
          <w:rPr>
            <w:webHidden/>
          </w:rPr>
          <w:fldChar w:fldCharType="end"/>
        </w:r>
      </w:hyperlink>
    </w:p>
    <w:p w14:paraId="15DB859F" w14:textId="3229E510" w:rsidR="000F3D30" w:rsidRDefault="003079E3" w:rsidP="003555F9">
      <w:pPr>
        <w:pStyle w:val="TOCBody"/>
        <w:ind w:left="0"/>
        <w:rPr>
          <w:rFonts w:eastAsiaTheme="minorEastAsia"/>
          <w:lang w:eastAsia="en-PH"/>
        </w:rPr>
      </w:pPr>
      <w:hyperlink w:anchor="_Toc82510937" w:history="1">
        <w:r w:rsidR="000F3D30" w:rsidRPr="0098054B">
          <w:rPr>
            <w:rStyle w:val="Hyperlink"/>
          </w:rPr>
          <w:t>Figure 6: Relationship between the sources of reporting for the</w:t>
        </w:r>
        <w:r w:rsidR="000F3D30">
          <w:rPr>
            <w:rStyle w:val="Hyperlink"/>
          </w:rPr>
          <w:br/>
        </w:r>
        <w:r w:rsidR="000F3D30" w:rsidRPr="0098054B">
          <w:rPr>
            <w:rStyle w:val="Hyperlink"/>
          </w:rPr>
          <w:t>Annual Report 2020–21 Performance Statement</w:t>
        </w:r>
        <w:r w:rsidR="000F3D30">
          <w:rPr>
            <w:webHidden/>
          </w:rPr>
          <w:tab/>
        </w:r>
        <w:r w:rsidR="000F3D30">
          <w:rPr>
            <w:webHidden/>
          </w:rPr>
          <w:fldChar w:fldCharType="begin"/>
        </w:r>
        <w:r w:rsidR="000F3D30">
          <w:rPr>
            <w:webHidden/>
          </w:rPr>
          <w:instrText xml:space="preserve"> PAGEREF _Toc82510937 \h </w:instrText>
        </w:r>
        <w:r w:rsidR="000F3D30">
          <w:rPr>
            <w:webHidden/>
          </w:rPr>
        </w:r>
        <w:r w:rsidR="000F3D30">
          <w:rPr>
            <w:webHidden/>
          </w:rPr>
          <w:fldChar w:fldCharType="separate"/>
        </w:r>
        <w:r w:rsidR="009D65FF">
          <w:rPr>
            <w:webHidden/>
          </w:rPr>
          <w:t>39</w:t>
        </w:r>
        <w:r w:rsidR="000F3D30">
          <w:rPr>
            <w:webHidden/>
          </w:rPr>
          <w:fldChar w:fldCharType="end"/>
        </w:r>
      </w:hyperlink>
    </w:p>
    <w:p w14:paraId="21A1F1B7" w14:textId="5B7EB0B0" w:rsidR="000F3D30" w:rsidRDefault="003079E3" w:rsidP="003555F9">
      <w:pPr>
        <w:pStyle w:val="TOCBody"/>
        <w:ind w:left="0"/>
        <w:rPr>
          <w:rFonts w:eastAsiaTheme="minorEastAsia"/>
          <w:lang w:eastAsia="en-PH"/>
        </w:rPr>
      </w:pPr>
      <w:hyperlink w:anchor="_Toc82510938" w:history="1">
        <w:r w:rsidR="000F3D30" w:rsidRPr="0098054B">
          <w:rPr>
            <w:rStyle w:val="Hyperlink"/>
          </w:rPr>
          <w:t>Figure 7: Relationship between sources for reporting of Activity 1</w:t>
        </w:r>
        <w:r w:rsidR="000F3D30">
          <w:rPr>
            <w:webHidden/>
          </w:rPr>
          <w:tab/>
        </w:r>
        <w:r w:rsidR="000F3D30">
          <w:rPr>
            <w:webHidden/>
          </w:rPr>
          <w:fldChar w:fldCharType="begin"/>
        </w:r>
        <w:r w:rsidR="000F3D30">
          <w:rPr>
            <w:webHidden/>
          </w:rPr>
          <w:instrText xml:space="preserve"> PAGEREF _Toc82510938 \h </w:instrText>
        </w:r>
        <w:r w:rsidR="000F3D30">
          <w:rPr>
            <w:webHidden/>
          </w:rPr>
        </w:r>
        <w:r w:rsidR="000F3D30">
          <w:rPr>
            <w:webHidden/>
          </w:rPr>
          <w:fldChar w:fldCharType="separate"/>
        </w:r>
        <w:r w:rsidR="009D65FF">
          <w:rPr>
            <w:webHidden/>
          </w:rPr>
          <w:t>40</w:t>
        </w:r>
        <w:r w:rsidR="000F3D30">
          <w:rPr>
            <w:webHidden/>
          </w:rPr>
          <w:fldChar w:fldCharType="end"/>
        </w:r>
      </w:hyperlink>
    </w:p>
    <w:p w14:paraId="5CC2C1DC" w14:textId="7C2E2798" w:rsidR="000F3D30" w:rsidRDefault="003079E3" w:rsidP="003555F9">
      <w:pPr>
        <w:pStyle w:val="TOCBody"/>
        <w:ind w:left="0"/>
        <w:rPr>
          <w:rFonts w:eastAsiaTheme="minorEastAsia"/>
          <w:lang w:eastAsia="en-PH"/>
        </w:rPr>
      </w:pPr>
      <w:hyperlink w:anchor="_Toc82510939" w:history="1">
        <w:r w:rsidR="000F3D30" w:rsidRPr="0098054B">
          <w:rPr>
            <w:rStyle w:val="Hyperlink"/>
          </w:rPr>
          <w:t>Table 3: Summary of Performance for Activity 1 in 2020–21</w:t>
        </w:r>
        <w:r w:rsidR="000F3D30">
          <w:rPr>
            <w:webHidden/>
          </w:rPr>
          <w:tab/>
        </w:r>
        <w:r w:rsidR="000F3D30">
          <w:rPr>
            <w:webHidden/>
          </w:rPr>
          <w:fldChar w:fldCharType="begin"/>
        </w:r>
        <w:r w:rsidR="000F3D30">
          <w:rPr>
            <w:webHidden/>
          </w:rPr>
          <w:instrText xml:space="preserve"> PAGEREF _Toc82510939 \h </w:instrText>
        </w:r>
        <w:r w:rsidR="000F3D30">
          <w:rPr>
            <w:webHidden/>
          </w:rPr>
        </w:r>
        <w:r w:rsidR="000F3D30">
          <w:rPr>
            <w:webHidden/>
          </w:rPr>
          <w:fldChar w:fldCharType="separate"/>
        </w:r>
        <w:r w:rsidR="009D65FF">
          <w:rPr>
            <w:webHidden/>
          </w:rPr>
          <w:t>41</w:t>
        </w:r>
        <w:r w:rsidR="000F3D30">
          <w:rPr>
            <w:webHidden/>
          </w:rPr>
          <w:fldChar w:fldCharType="end"/>
        </w:r>
      </w:hyperlink>
    </w:p>
    <w:p w14:paraId="36940098" w14:textId="744058DF" w:rsidR="000F3D30" w:rsidRDefault="003079E3" w:rsidP="003555F9">
      <w:pPr>
        <w:pStyle w:val="TOCBody"/>
        <w:ind w:left="0"/>
        <w:rPr>
          <w:rFonts w:eastAsiaTheme="minorEastAsia"/>
          <w:lang w:eastAsia="en-PH"/>
        </w:rPr>
      </w:pPr>
      <w:hyperlink w:anchor="_Toc82510940" w:history="1">
        <w:r w:rsidR="000F3D30" w:rsidRPr="0098054B">
          <w:rPr>
            <w:rStyle w:val="Hyperlink"/>
          </w:rPr>
          <w:t>Figure 8: Relationship between sources for reporting of Activity 2</w:t>
        </w:r>
        <w:r w:rsidR="000F3D30">
          <w:rPr>
            <w:webHidden/>
          </w:rPr>
          <w:tab/>
        </w:r>
        <w:r w:rsidR="000F3D30">
          <w:rPr>
            <w:webHidden/>
          </w:rPr>
          <w:fldChar w:fldCharType="begin"/>
        </w:r>
        <w:r w:rsidR="000F3D30">
          <w:rPr>
            <w:webHidden/>
          </w:rPr>
          <w:instrText xml:space="preserve"> PAGEREF _Toc82510940 \h </w:instrText>
        </w:r>
        <w:r w:rsidR="000F3D30">
          <w:rPr>
            <w:webHidden/>
          </w:rPr>
        </w:r>
        <w:r w:rsidR="000F3D30">
          <w:rPr>
            <w:webHidden/>
          </w:rPr>
          <w:fldChar w:fldCharType="separate"/>
        </w:r>
        <w:r w:rsidR="009D65FF">
          <w:rPr>
            <w:webHidden/>
          </w:rPr>
          <w:t>44</w:t>
        </w:r>
        <w:r w:rsidR="000F3D30">
          <w:rPr>
            <w:webHidden/>
          </w:rPr>
          <w:fldChar w:fldCharType="end"/>
        </w:r>
      </w:hyperlink>
    </w:p>
    <w:p w14:paraId="66E7A1BB" w14:textId="4F119E23" w:rsidR="000F3D30" w:rsidRDefault="003079E3" w:rsidP="003555F9">
      <w:pPr>
        <w:pStyle w:val="TOCBody"/>
        <w:ind w:left="0"/>
        <w:rPr>
          <w:rFonts w:eastAsiaTheme="minorEastAsia"/>
          <w:lang w:eastAsia="en-PH"/>
        </w:rPr>
      </w:pPr>
      <w:hyperlink w:anchor="_Toc82510941" w:history="1">
        <w:r w:rsidR="000F3D30" w:rsidRPr="0098054B">
          <w:rPr>
            <w:rStyle w:val="Hyperlink"/>
          </w:rPr>
          <w:t>Table 4: Summary of Performance for Activity 2 in 2020–21</w:t>
        </w:r>
        <w:r w:rsidR="000F3D30">
          <w:rPr>
            <w:webHidden/>
          </w:rPr>
          <w:tab/>
        </w:r>
        <w:r w:rsidR="000F3D30">
          <w:rPr>
            <w:webHidden/>
          </w:rPr>
          <w:fldChar w:fldCharType="begin"/>
        </w:r>
        <w:r w:rsidR="000F3D30">
          <w:rPr>
            <w:webHidden/>
          </w:rPr>
          <w:instrText xml:space="preserve"> PAGEREF _Toc82510941 \h </w:instrText>
        </w:r>
        <w:r w:rsidR="000F3D30">
          <w:rPr>
            <w:webHidden/>
          </w:rPr>
        </w:r>
        <w:r w:rsidR="000F3D30">
          <w:rPr>
            <w:webHidden/>
          </w:rPr>
          <w:fldChar w:fldCharType="separate"/>
        </w:r>
        <w:r w:rsidR="009D65FF">
          <w:rPr>
            <w:webHidden/>
          </w:rPr>
          <w:t>45</w:t>
        </w:r>
        <w:r w:rsidR="000F3D30">
          <w:rPr>
            <w:webHidden/>
          </w:rPr>
          <w:fldChar w:fldCharType="end"/>
        </w:r>
      </w:hyperlink>
    </w:p>
    <w:p w14:paraId="5F346CF5" w14:textId="19A2F50B" w:rsidR="000F3D30" w:rsidRDefault="003079E3" w:rsidP="003555F9">
      <w:pPr>
        <w:pStyle w:val="TOCBody"/>
        <w:ind w:left="0"/>
        <w:rPr>
          <w:rFonts w:eastAsiaTheme="minorEastAsia"/>
          <w:lang w:eastAsia="en-PH"/>
        </w:rPr>
      </w:pPr>
      <w:hyperlink w:anchor="_Toc82510942" w:history="1">
        <w:r w:rsidR="000F3D30" w:rsidRPr="0098054B">
          <w:rPr>
            <w:rStyle w:val="Hyperlink"/>
          </w:rPr>
          <w:t>Figure 9: Relationship between sources for reporting of Activity 3</w:t>
        </w:r>
        <w:r w:rsidR="000F3D30">
          <w:rPr>
            <w:webHidden/>
          </w:rPr>
          <w:tab/>
        </w:r>
        <w:r w:rsidR="000F3D30">
          <w:rPr>
            <w:webHidden/>
          </w:rPr>
          <w:fldChar w:fldCharType="begin"/>
        </w:r>
        <w:r w:rsidR="000F3D30">
          <w:rPr>
            <w:webHidden/>
          </w:rPr>
          <w:instrText xml:space="preserve"> PAGEREF _Toc82510942 \h </w:instrText>
        </w:r>
        <w:r w:rsidR="000F3D30">
          <w:rPr>
            <w:webHidden/>
          </w:rPr>
        </w:r>
        <w:r w:rsidR="000F3D30">
          <w:rPr>
            <w:webHidden/>
          </w:rPr>
          <w:fldChar w:fldCharType="separate"/>
        </w:r>
        <w:r w:rsidR="009D65FF">
          <w:rPr>
            <w:webHidden/>
          </w:rPr>
          <w:t>49</w:t>
        </w:r>
        <w:r w:rsidR="000F3D30">
          <w:rPr>
            <w:webHidden/>
          </w:rPr>
          <w:fldChar w:fldCharType="end"/>
        </w:r>
      </w:hyperlink>
    </w:p>
    <w:p w14:paraId="7944CDAA" w14:textId="4E444443" w:rsidR="000F3D30" w:rsidRDefault="003079E3" w:rsidP="003555F9">
      <w:pPr>
        <w:pStyle w:val="TOCBody"/>
        <w:ind w:left="0"/>
        <w:rPr>
          <w:rFonts w:eastAsiaTheme="minorEastAsia"/>
          <w:lang w:eastAsia="en-PH"/>
        </w:rPr>
      </w:pPr>
      <w:hyperlink w:anchor="_Toc82510943" w:history="1">
        <w:r w:rsidR="000F3D30" w:rsidRPr="0098054B">
          <w:rPr>
            <w:rStyle w:val="Hyperlink"/>
          </w:rPr>
          <w:t>Table 5: Summary of Performance for Activity 3 in 2020–21</w:t>
        </w:r>
        <w:r w:rsidR="000F3D30">
          <w:rPr>
            <w:webHidden/>
          </w:rPr>
          <w:tab/>
        </w:r>
        <w:r w:rsidR="000F3D30">
          <w:rPr>
            <w:webHidden/>
          </w:rPr>
          <w:fldChar w:fldCharType="begin"/>
        </w:r>
        <w:r w:rsidR="000F3D30">
          <w:rPr>
            <w:webHidden/>
          </w:rPr>
          <w:instrText xml:space="preserve"> PAGEREF _Toc82510943 \h </w:instrText>
        </w:r>
        <w:r w:rsidR="000F3D30">
          <w:rPr>
            <w:webHidden/>
          </w:rPr>
        </w:r>
        <w:r w:rsidR="000F3D30">
          <w:rPr>
            <w:webHidden/>
          </w:rPr>
          <w:fldChar w:fldCharType="separate"/>
        </w:r>
        <w:r w:rsidR="009D65FF">
          <w:rPr>
            <w:webHidden/>
          </w:rPr>
          <w:t>50</w:t>
        </w:r>
        <w:r w:rsidR="000F3D30">
          <w:rPr>
            <w:webHidden/>
          </w:rPr>
          <w:fldChar w:fldCharType="end"/>
        </w:r>
      </w:hyperlink>
    </w:p>
    <w:p w14:paraId="5F92EAB7" w14:textId="6F9C5C46" w:rsidR="000F3D30" w:rsidRDefault="003079E3" w:rsidP="003555F9">
      <w:pPr>
        <w:pStyle w:val="TOCBody"/>
        <w:ind w:left="0"/>
        <w:rPr>
          <w:rFonts w:eastAsiaTheme="minorEastAsia"/>
          <w:lang w:eastAsia="en-PH"/>
        </w:rPr>
      </w:pPr>
      <w:hyperlink w:anchor="_Toc82510944" w:history="1">
        <w:r w:rsidR="000F3D30" w:rsidRPr="0098054B">
          <w:rPr>
            <w:rStyle w:val="Hyperlink"/>
          </w:rPr>
          <w:t>Figure 10: Relationship between sources for reporting of Activity 4</w:t>
        </w:r>
        <w:r w:rsidR="000F3D30">
          <w:rPr>
            <w:webHidden/>
          </w:rPr>
          <w:tab/>
        </w:r>
        <w:r w:rsidR="000F3D30">
          <w:rPr>
            <w:webHidden/>
          </w:rPr>
          <w:fldChar w:fldCharType="begin"/>
        </w:r>
        <w:r w:rsidR="000F3D30">
          <w:rPr>
            <w:webHidden/>
          </w:rPr>
          <w:instrText xml:space="preserve"> PAGEREF _Toc82510944 \h </w:instrText>
        </w:r>
        <w:r w:rsidR="000F3D30">
          <w:rPr>
            <w:webHidden/>
          </w:rPr>
        </w:r>
        <w:r w:rsidR="000F3D30">
          <w:rPr>
            <w:webHidden/>
          </w:rPr>
          <w:fldChar w:fldCharType="separate"/>
        </w:r>
        <w:r w:rsidR="009D65FF">
          <w:rPr>
            <w:webHidden/>
          </w:rPr>
          <w:t>52</w:t>
        </w:r>
        <w:r w:rsidR="000F3D30">
          <w:rPr>
            <w:webHidden/>
          </w:rPr>
          <w:fldChar w:fldCharType="end"/>
        </w:r>
      </w:hyperlink>
    </w:p>
    <w:p w14:paraId="22436758" w14:textId="24A100F6" w:rsidR="000F3D30" w:rsidRDefault="003079E3" w:rsidP="003555F9">
      <w:pPr>
        <w:pStyle w:val="TOCBody"/>
        <w:ind w:left="0"/>
        <w:rPr>
          <w:rFonts w:eastAsiaTheme="minorEastAsia"/>
          <w:lang w:eastAsia="en-PH"/>
        </w:rPr>
      </w:pPr>
      <w:hyperlink w:anchor="_Toc82510945" w:history="1">
        <w:r w:rsidR="000F3D30" w:rsidRPr="0098054B">
          <w:rPr>
            <w:rStyle w:val="Hyperlink"/>
          </w:rPr>
          <w:t>Table 6: Summary of Performance for Activity 4 in 2020–21</w:t>
        </w:r>
        <w:r w:rsidR="000F3D30">
          <w:rPr>
            <w:webHidden/>
          </w:rPr>
          <w:tab/>
        </w:r>
        <w:r w:rsidR="000F3D30">
          <w:rPr>
            <w:webHidden/>
          </w:rPr>
          <w:fldChar w:fldCharType="begin"/>
        </w:r>
        <w:r w:rsidR="000F3D30">
          <w:rPr>
            <w:webHidden/>
          </w:rPr>
          <w:instrText xml:space="preserve"> PAGEREF _Toc82510945 \h </w:instrText>
        </w:r>
        <w:r w:rsidR="000F3D30">
          <w:rPr>
            <w:webHidden/>
          </w:rPr>
        </w:r>
        <w:r w:rsidR="000F3D30">
          <w:rPr>
            <w:webHidden/>
          </w:rPr>
          <w:fldChar w:fldCharType="separate"/>
        </w:r>
        <w:r w:rsidR="009D65FF">
          <w:rPr>
            <w:webHidden/>
          </w:rPr>
          <w:t>53</w:t>
        </w:r>
        <w:r w:rsidR="000F3D30">
          <w:rPr>
            <w:webHidden/>
          </w:rPr>
          <w:fldChar w:fldCharType="end"/>
        </w:r>
      </w:hyperlink>
    </w:p>
    <w:p w14:paraId="0EE04DEC" w14:textId="7C80A061" w:rsidR="000F3D30" w:rsidRDefault="003079E3" w:rsidP="003555F9">
      <w:pPr>
        <w:pStyle w:val="TOCBody"/>
        <w:ind w:left="0"/>
        <w:rPr>
          <w:rFonts w:eastAsiaTheme="minorEastAsia"/>
          <w:lang w:eastAsia="en-PH"/>
        </w:rPr>
      </w:pPr>
      <w:hyperlink w:anchor="_Toc82510946" w:history="1">
        <w:r w:rsidR="000F3D30" w:rsidRPr="0098054B">
          <w:rPr>
            <w:rStyle w:val="Hyperlink"/>
          </w:rPr>
          <w:t>Figure 11: Relationship between sources for reporting of Activity 5</w:t>
        </w:r>
        <w:r w:rsidR="000F3D30">
          <w:rPr>
            <w:webHidden/>
          </w:rPr>
          <w:tab/>
        </w:r>
        <w:r w:rsidR="000F3D30">
          <w:rPr>
            <w:webHidden/>
          </w:rPr>
          <w:fldChar w:fldCharType="begin"/>
        </w:r>
        <w:r w:rsidR="000F3D30">
          <w:rPr>
            <w:webHidden/>
          </w:rPr>
          <w:instrText xml:space="preserve"> PAGEREF _Toc82510946 \h </w:instrText>
        </w:r>
        <w:r w:rsidR="000F3D30">
          <w:rPr>
            <w:webHidden/>
          </w:rPr>
        </w:r>
        <w:r w:rsidR="000F3D30">
          <w:rPr>
            <w:webHidden/>
          </w:rPr>
          <w:fldChar w:fldCharType="separate"/>
        </w:r>
        <w:r w:rsidR="009D65FF">
          <w:rPr>
            <w:webHidden/>
          </w:rPr>
          <w:t>55</w:t>
        </w:r>
        <w:r w:rsidR="000F3D30">
          <w:rPr>
            <w:webHidden/>
          </w:rPr>
          <w:fldChar w:fldCharType="end"/>
        </w:r>
      </w:hyperlink>
    </w:p>
    <w:p w14:paraId="4E1A1DFE" w14:textId="21BD43EF" w:rsidR="000F3D30" w:rsidRDefault="003079E3" w:rsidP="003555F9">
      <w:pPr>
        <w:pStyle w:val="TOCBody"/>
        <w:ind w:left="0"/>
        <w:rPr>
          <w:rFonts w:eastAsiaTheme="minorEastAsia"/>
          <w:lang w:eastAsia="en-PH"/>
        </w:rPr>
      </w:pPr>
      <w:hyperlink w:anchor="_Toc82510947" w:history="1">
        <w:r w:rsidR="000F3D30" w:rsidRPr="0098054B">
          <w:rPr>
            <w:rStyle w:val="Hyperlink"/>
          </w:rPr>
          <w:t>Table 7: Summary of Performance for Activity 5 in 2020–21</w:t>
        </w:r>
        <w:r w:rsidR="000F3D30">
          <w:rPr>
            <w:webHidden/>
          </w:rPr>
          <w:tab/>
        </w:r>
        <w:r w:rsidR="000F3D30">
          <w:rPr>
            <w:webHidden/>
          </w:rPr>
          <w:fldChar w:fldCharType="begin"/>
        </w:r>
        <w:r w:rsidR="000F3D30">
          <w:rPr>
            <w:webHidden/>
          </w:rPr>
          <w:instrText xml:space="preserve"> PAGEREF _Toc82510947 \h </w:instrText>
        </w:r>
        <w:r w:rsidR="000F3D30">
          <w:rPr>
            <w:webHidden/>
          </w:rPr>
        </w:r>
        <w:r w:rsidR="000F3D30">
          <w:rPr>
            <w:webHidden/>
          </w:rPr>
          <w:fldChar w:fldCharType="separate"/>
        </w:r>
        <w:r w:rsidR="009D65FF">
          <w:rPr>
            <w:webHidden/>
          </w:rPr>
          <w:t>56</w:t>
        </w:r>
        <w:r w:rsidR="000F3D30">
          <w:rPr>
            <w:webHidden/>
          </w:rPr>
          <w:fldChar w:fldCharType="end"/>
        </w:r>
      </w:hyperlink>
    </w:p>
    <w:p w14:paraId="5AFD6925" w14:textId="68A53980" w:rsidR="000F3D30" w:rsidRDefault="003079E3" w:rsidP="003555F9">
      <w:pPr>
        <w:pStyle w:val="TOCBody"/>
        <w:ind w:left="0"/>
        <w:rPr>
          <w:rFonts w:eastAsiaTheme="minorEastAsia"/>
          <w:lang w:eastAsia="en-PH"/>
        </w:rPr>
      </w:pPr>
      <w:hyperlink w:anchor="_Toc82510948" w:history="1">
        <w:r w:rsidR="000F3D30" w:rsidRPr="0098054B">
          <w:rPr>
            <w:rStyle w:val="Hyperlink"/>
          </w:rPr>
          <w:t>Figure 12: Relationship between sources for reporting of Activity 6</w:t>
        </w:r>
        <w:r w:rsidR="000F3D30">
          <w:rPr>
            <w:webHidden/>
          </w:rPr>
          <w:tab/>
        </w:r>
        <w:r w:rsidR="000F3D30">
          <w:rPr>
            <w:webHidden/>
          </w:rPr>
          <w:fldChar w:fldCharType="begin"/>
        </w:r>
        <w:r w:rsidR="000F3D30">
          <w:rPr>
            <w:webHidden/>
          </w:rPr>
          <w:instrText xml:space="preserve"> PAGEREF _Toc82510948 \h </w:instrText>
        </w:r>
        <w:r w:rsidR="000F3D30">
          <w:rPr>
            <w:webHidden/>
          </w:rPr>
        </w:r>
        <w:r w:rsidR="000F3D30">
          <w:rPr>
            <w:webHidden/>
          </w:rPr>
          <w:fldChar w:fldCharType="separate"/>
        </w:r>
        <w:r w:rsidR="009D65FF">
          <w:rPr>
            <w:webHidden/>
          </w:rPr>
          <w:t>57</w:t>
        </w:r>
        <w:r w:rsidR="000F3D30">
          <w:rPr>
            <w:webHidden/>
          </w:rPr>
          <w:fldChar w:fldCharType="end"/>
        </w:r>
      </w:hyperlink>
    </w:p>
    <w:p w14:paraId="46B7A268" w14:textId="63B878E5" w:rsidR="000F3D30" w:rsidRDefault="003079E3" w:rsidP="003555F9">
      <w:pPr>
        <w:pStyle w:val="TOCBody"/>
        <w:ind w:left="0"/>
        <w:rPr>
          <w:rFonts w:eastAsiaTheme="minorEastAsia"/>
          <w:lang w:eastAsia="en-PH"/>
        </w:rPr>
      </w:pPr>
      <w:hyperlink w:anchor="_Toc82510949" w:history="1">
        <w:r w:rsidR="000F3D30" w:rsidRPr="0098054B">
          <w:rPr>
            <w:rStyle w:val="Hyperlink"/>
          </w:rPr>
          <w:t>Table 8: Summary of Performance for Activity 6 in 2020–21</w:t>
        </w:r>
        <w:r w:rsidR="000F3D30">
          <w:rPr>
            <w:webHidden/>
          </w:rPr>
          <w:tab/>
        </w:r>
        <w:r w:rsidR="000F3D30">
          <w:rPr>
            <w:webHidden/>
          </w:rPr>
          <w:fldChar w:fldCharType="begin"/>
        </w:r>
        <w:r w:rsidR="000F3D30">
          <w:rPr>
            <w:webHidden/>
          </w:rPr>
          <w:instrText xml:space="preserve"> PAGEREF _Toc82510949 \h </w:instrText>
        </w:r>
        <w:r w:rsidR="000F3D30">
          <w:rPr>
            <w:webHidden/>
          </w:rPr>
        </w:r>
        <w:r w:rsidR="000F3D30">
          <w:rPr>
            <w:webHidden/>
          </w:rPr>
          <w:fldChar w:fldCharType="separate"/>
        </w:r>
        <w:r w:rsidR="009D65FF">
          <w:rPr>
            <w:webHidden/>
          </w:rPr>
          <w:t>58</w:t>
        </w:r>
        <w:r w:rsidR="000F3D30">
          <w:rPr>
            <w:webHidden/>
          </w:rPr>
          <w:fldChar w:fldCharType="end"/>
        </w:r>
      </w:hyperlink>
    </w:p>
    <w:p w14:paraId="0DDE5430" w14:textId="03147826" w:rsidR="000F3D30" w:rsidRDefault="003079E3" w:rsidP="003555F9">
      <w:pPr>
        <w:pStyle w:val="TOCBody"/>
        <w:ind w:left="0"/>
        <w:rPr>
          <w:rFonts w:eastAsiaTheme="minorEastAsia"/>
          <w:lang w:eastAsia="en-PH"/>
        </w:rPr>
      </w:pPr>
      <w:hyperlink w:anchor="_Toc82510950" w:history="1">
        <w:r w:rsidR="000F3D30" w:rsidRPr="0098054B">
          <w:rPr>
            <w:rStyle w:val="Hyperlink"/>
          </w:rPr>
          <w:t>Table 9: Details of Audit, Risk and Compliance Committee during the reporting period (2020–21)</w:t>
        </w:r>
        <w:r w:rsidR="000F3D30">
          <w:rPr>
            <w:webHidden/>
          </w:rPr>
          <w:tab/>
        </w:r>
        <w:r w:rsidR="000F3D30">
          <w:rPr>
            <w:webHidden/>
          </w:rPr>
          <w:fldChar w:fldCharType="begin"/>
        </w:r>
        <w:r w:rsidR="000F3D30">
          <w:rPr>
            <w:webHidden/>
          </w:rPr>
          <w:instrText xml:space="preserve"> PAGEREF _Toc82510950 \h </w:instrText>
        </w:r>
        <w:r w:rsidR="000F3D30">
          <w:rPr>
            <w:webHidden/>
          </w:rPr>
        </w:r>
        <w:r w:rsidR="000F3D30">
          <w:rPr>
            <w:webHidden/>
          </w:rPr>
          <w:fldChar w:fldCharType="separate"/>
        </w:r>
        <w:r w:rsidR="009D65FF">
          <w:rPr>
            <w:webHidden/>
          </w:rPr>
          <w:t>67</w:t>
        </w:r>
        <w:r w:rsidR="000F3D30">
          <w:rPr>
            <w:webHidden/>
          </w:rPr>
          <w:fldChar w:fldCharType="end"/>
        </w:r>
      </w:hyperlink>
    </w:p>
    <w:p w14:paraId="25507833" w14:textId="38DF2251" w:rsidR="000F3D30" w:rsidRDefault="003079E3" w:rsidP="003555F9">
      <w:pPr>
        <w:pStyle w:val="TOCBody"/>
        <w:ind w:left="0"/>
        <w:rPr>
          <w:rFonts w:eastAsiaTheme="minorEastAsia"/>
          <w:lang w:eastAsia="en-PH"/>
        </w:rPr>
      </w:pPr>
      <w:hyperlink w:anchor="_Toc82510951" w:history="1">
        <w:r w:rsidR="000F3D30" w:rsidRPr="0098054B">
          <w:rPr>
            <w:rStyle w:val="Hyperlink"/>
          </w:rPr>
          <w:t>Table 10: Ongoing seconded employees 2021</w:t>
        </w:r>
        <w:r w:rsidR="000F3D30">
          <w:rPr>
            <w:webHidden/>
          </w:rPr>
          <w:tab/>
        </w:r>
        <w:r w:rsidR="000F3D30">
          <w:rPr>
            <w:webHidden/>
          </w:rPr>
          <w:fldChar w:fldCharType="begin"/>
        </w:r>
        <w:r w:rsidR="000F3D30">
          <w:rPr>
            <w:webHidden/>
          </w:rPr>
          <w:instrText xml:space="preserve"> PAGEREF _Toc82510951 \h </w:instrText>
        </w:r>
        <w:r w:rsidR="000F3D30">
          <w:rPr>
            <w:webHidden/>
          </w:rPr>
        </w:r>
        <w:r w:rsidR="000F3D30">
          <w:rPr>
            <w:webHidden/>
          </w:rPr>
          <w:fldChar w:fldCharType="separate"/>
        </w:r>
        <w:r w:rsidR="009D65FF">
          <w:rPr>
            <w:webHidden/>
          </w:rPr>
          <w:t>70</w:t>
        </w:r>
        <w:r w:rsidR="000F3D30">
          <w:rPr>
            <w:webHidden/>
          </w:rPr>
          <w:fldChar w:fldCharType="end"/>
        </w:r>
      </w:hyperlink>
    </w:p>
    <w:p w14:paraId="1B20104D" w14:textId="6A7A7812" w:rsidR="000F3D30" w:rsidRDefault="003079E3" w:rsidP="003555F9">
      <w:pPr>
        <w:pStyle w:val="TOCBody"/>
        <w:ind w:left="0"/>
        <w:rPr>
          <w:rFonts w:eastAsiaTheme="minorEastAsia"/>
          <w:lang w:eastAsia="en-PH"/>
        </w:rPr>
      </w:pPr>
      <w:hyperlink w:anchor="_Toc82510952" w:history="1">
        <w:r w:rsidR="000F3D30" w:rsidRPr="0098054B">
          <w:rPr>
            <w:rStyle w:val="Hyperlink"/>
          </w:rPr>
          <w:t>Table 11: Ongoing seconded employees 2020</w:t>
        </w:r>
        <w:r w:rsidR="000F3D30">
          <w:rPr>
            <w:webHidden/>
          </w:rPr>
          <w:tab/>
        </w:r>
        <w:r w:rsidR="000F3D30">
          <w:rPr>
            <w:webHidden/>
          </w:rPr>
          <w:fldChar w:fldCharType="begin"/>
        </w:r>
        <w:r w:rsidR="000F3D30">
          <w:rPr>
            <w:webHidden/>
          </w:rPr>
          <w:instrText xml:space="preserve"> PAGEREF _Toc82510952 \h </w:instrText>
        </w:r>
        <w:r w:rsidR="000F3D30">
          <w:rPr>
            <w:webHidden/>
          </w:rPr>
        </w:r>
        <w:r w:rsidR="000F3D30">
          <w:rPr>
            <w:webHidden/>
          </w:rPr>
          <w:fldChar w:fldCharType="separate"/>
        </w:r>
        <w:r w:rsidR="009D65FF">
          <w:rPr>
            <w:webHidden/>
          </w:rPr>
          <w:t>70</w:t>
        </w:r>
        <w:r w:rsidR="000F3D30">
          <w:rPr>
            <w:webHidden/>
          </w:rPr>
          <w:fldChar w:fldCharType="end"/>
        </w:r>
      </w:hyperlink>
    </w:p>
    <w:p w14:paraId="381E104C" w14:textId="4EA4E83E" w:rsidR="000F3D30" w:rsidRDefault="003079E3" w:rsidP="003555F9">
      <w:pPr>
        <w:pStyle w:val="TOCBody"/>
        <w:ind w:left="0"/>
        <w:rPr>
          <w:rFonts w:eastAsiaTheme="minorEastAsia"/>
          <w:lang w:eastAsia="en-PH"/>
        </w:rPr>
      </w:pPr>
      <w:hyperlink w:anchor="_Toc82510953" w:history="1">
        <w:r w:rsidR="000F3D30" w:rsidRPr="0098054B">
          <w:rPr>
            <w:rStyle w:val="Hyperlink"/>
          </w:rPr>
          <w:t>Table 12: Non-ongoing seconded employees 2021</w:t>
        </w:r>
        <w:r w:rsidR="000F3D30">
          <w:rPr>
            <w:webHidden/>
          </w:rPr>
          <w:tab/>
        </w:r>
        <w:r w:rsidR="000F3D30">
          <w:rPr>
            <w:webHidden/>
          </w:rPr>
          <w:fldChar w:fldCharType="begin"/>
        </w:r>
        <w:r w:rsidR="000F3D30">
          <w:rPr>
            <w:webHidden/>
          </w:rPr>
          <w:instrText xml:space="preserve"> PAGEREF _Toc82510953 \h </w:instrText>
        </w:r>
        <w:r w:rsidR="000F3D30">
          <w:rPr>
            <w:webHidden/>
          </w:rPr>
        </w:r>
        <w:r w:rsidR="000F3D30">
          <w:rPr>
            <w:webHidden/>
          </w:rPr>
          <w:fldChar w:fldCharType="separate"/>
        </w:r>
        <w:r w:rsidR="009D65FF">
          <w:rPr>
            <w:webHidden/>
          </w:rPr>
          <w:t>71</w:t>
        </w:r>
        <w:r w:rsidR="000F3D30">
          <w:rPr>
            <w:webHidden/>
          </w:rPr>
          <w:fldChar w:fldCharType="end"/>
        </w:r>
      </w:hyperlink>
    </w:p>
    <w:p w14:paraId="74640188" w14:textId="518245FE" w:rsidR="000F3D30" w:rsidRDefault="003079E3" w:rsidP="003555F9">
      <w:pPr>
        <w:pStyle w:val="TOCBody"/>
        <w:ind w:left="0"/>
        <w:rPr>
          <w:rFonts w:eastAsiaTheme="minorEastAsia"/>
          <w:lang w:eastAsia="en-PH"/>
        </w:rPr>
      </w:pPr>
      <w:hyperlink w:anchor="_Toc82510954" w:history="1">
        <w:r w:rsidR="000F3D30" w:rsidRPr="0098054B">
          <w:rPr>
            <w:rStyle w:val="Hyperlink"/>
          </w:rPr>
          <w:t>Table 13: Non-ongoing seconded employees 2020</w:t>
        </w:r>
        <w:r w:rsidR="000F3D30">
          <w:rPr>
            <w:webHidden/>
          </w:rPr>
          <w:tab/>
        </w:r>
        <w:r w:rsidR="000F3D30">
          <w:rPr>
            <w:webHidden/>
          </w:rPr>
          <w:fldChar w:fldCharType="begin"/>
        </w:r>
        <w:r w:rsidR="000F3D30">
          <w:rPr>
            <w:webHidden/>
          </w:rPr>
          <w:instrText xml:space="preserve"> PAGEREF _Toc82510954 \h </w:instrText>
        </w:r>
        <w:r w:rsidR="000F3D30">
          <w:rPr>
            <w:webHidden/>
          </w:rPr>
        </w:r>
        <w:r w:rsidR="000F3D30">
          <w:rPr>
            <w:webHidden/>
          </w:rPr>
          <w:fldChar w:fldCharType="separate"/>
        </w:r>
        <w:r w:rsidR="009D65FF">
          <w:rPr>
            <w:webHidden/>
          </w:rPr>
          <w:t>71</w:t>
        </w:r>
        <w:r w:rsidR="000F3D30">
          <w:rPr>
            <w:webHidden/>
          </w:rPr>
          <w:fldChar w:fldCharType="end"/>
        </w:r>
      </w:hyperlink>
    </w:p>
    <w:p w14:paraId="3B9BBB03" w14:textId="32F85409" w:rsidR="000F3D30" w:rsidRDefault="003079E3" w:rsidP="003555F9">
      <w:pPr>
        <w:pStyle w:val="TOCBody"/>
        <w:ind w:left="0"/>
        <w:rPr>
          <w:rFonts w:eastAsiaTheme="minorEastAsia"/>
          <w:lang w:eastAsia="en-PH"/>
        </w:rPr>
      </w:pPr>
      <w:hyperlink w:anchor="_Toc82510955" w:history="1">
        <w:r w:rsidR="000F3D30" w:rsidRPr="0098054B">
          <w:rPr>
            <w:rStyle w:val="Hyperlink"/>
          </w:rPr>
          <w:t>Table 14: Information about remuneration for key management personnel</w:t>
        </w:r>
        <w:r w:rsidR="000F3D30">
          <w:rPr>
            <w:webHidden/>
          </w:rPr>
          <w:tab/>
        </w:r>
        <w:r w:rsidR="000F3D30">
          <w:rPr>
            <w:webHidden/>
          </w:rPr>
          <w:fldChar w:fldCharType="begin"/>
        </w:r>
        <w:r w:rsidR="000F3D30">
          <w:rPr>
            <w:webHidden/>
          </w:rPr>
          <w:instrText xml:space="preserve"> PAGEREF _Toc82510955 \h </w:instrText>
        </w:r>
        <w:r w:rsidR="000F3D30">
          <w:rPr>
            <w:webHidden/>
          </w:rPr>
        </w:r>
        <w:r w:rsidR="000F3D30">
          <w:rPr>
            <w:webHidden/>
          </w:rPr>
          <w:fldChar w:fldCharType="separate"/>
        </w:r>
        <w:r w:rsidR="009D65FF">
          <w:rPr>
            <w:webHidden/>
          </w:rPr>
          <w:t>72</w:t>
        </w:r>
        <w:r w:rsidR="000F3D30">
          <w:rPr>
            <w:webHidden/>
          </w:rPr>
          <w:fldChar w:fldCharType="end"/>
        </w:r>
      </w:hyperlink>
    </w:p>
    <w:p w14:paraId="60623EA0" w14:textId="10035348" w:rsidR="000F3D30" w:rsidRDefault="003079E3" w:rsidP="003555F9">
      <w:pPr>
        <w:pStyle w:val="TOCBody"/>
        <w:ind w:left="0"/>
        <w:rPr>
          <w:rFonts w:eastAsiaTheme="minorEastAsia"/>
          <w:lang w:eastAsia="en-PH"/>
        </w:rPr>
      </w:pPr>
      <w:hyperlink w:anchor="_Toc82510956" w:history="1">
        <w:r w:rsidR="000F3D30" w:rsidRPr="0098054B">
          <w:rPr>
            <w:rStyle w:val="Hyperlink"/>
          </w:rPr>
          <w:t>Table 15: Details of accountable authority during the reporting</w:t>
        </w:r>
        <w:r w:rsidR="000F3D30">
          <w:rPr>
            <w:rStyle w:val="Hyperlink"/>
          </w:rPr>
          <w:br/>
        </w:r>
        <w:r w:rsidR="000F3D30" w:rsidRPr="0098054B">
          <w:rPr>
            <w:rStyle w:val="Hyperlink"/>
          </w:rPr>
          <w:t>period current report period (2020–21)</w:t>
        </w:r>
        <w:r w:rsidR="000F3D30">
          <w:rPr>
            <w:webHidden/>
          </w:rPr>
          <w:tab/>
        </w:r>
        <w:r w:rsidR="000F3D30">
          <w:rPr>
            <w:webHidden/>
          </w:rPr>
          <w:fldChar w:fldCharType="begin"/>
        </w:r>
        <w:r w:rsidR="000F3D30">
          <w:rPr>
            <w:webHidden/>
          </w:rPr>
          <w:instrText xml:space="preserve"> PAGEREF _Toc82510956 \h </w:instrText>
        </w:r>
        <w:r w:rsidR="000F3D30">
          <w:rPr>
            <w:webHidden/>
          </w:rPr>
        </w:r>
        <w:r w:rsidR="000F3D30">
          <w:rPr>
            <w:webHidden/>
          </w:rPr>
          <w:fldChar w:fldCharType="separate"/>
        </w:r>
        <w:r w:rsidR="009D65FF">
          <w:rPr>
            <w:webHidden/>
          </w:rPr>
          <w:t>74</w:t>
        </w:r>
        <w:r w:rsidR="000F3D30">
          <w:rPr>
            <w:webHidden/>
          </w:rPr>
          <w:fldChar w:fldCharType="end"/>
        </w:r>
      </w:hyperlink>
    </w:p>
    <w:p w14:paraId="1EECC0F1" w14:textId="3409667A" w:rsidR="00C27D82" w:rsidRDefault="00BB6F6A" w:rsidP="00D362E1">
      <w:pPr>
        <w:pStyle w:val="TOCBody"/>
        <w:ind w:left="0"/>
      </w:pPr>
      <w:r>
        <w:fldChar w:fldCharType="end"/>
      </w:r>
    </w:p>
    <w:p w14:paraId="541D2AC2" w14:textId="7DFE46BD" w:rsidR="00C27D82" w:rsidRDefault="00C27D82" w:rsidP="00D362E1">
      <w:pPr>
        <w:pStyle w:val="TOCBody"/>
        <w:ind w:left="0"/>
        <w:sectPr w:rsidR="00C27D82" w:rsidSect="00441579">
          <w:headerReference w:type="even" r:id="rId221"/>
          <w:headerReference w:type="default" r:id="rId222"/>
          <w:footerReference w:type="default" r:id="rId223"/>
          <w:footnotePr>
            <w:pos w:val="beneathText"/>
          </w:footnotePr>
          <w:pgSz w:w="9979" w:h="14175" w:code="13"/>
          <w:pgMar w:top="1134" w:right="1134" w:bottom="1134" w:left="1134" w:header="709" w:footer="709" w:gutter="0"/>
          <w:cols w:space="623"/>
          <w:docGrid w:linePitch="360"/>
        </w:sectPr>
      </w:pPr>
    </w:p>
    <w:p w14:paraId="363FD9EB" w14:textId="2BDFC2FA" w:rsidR="000622C7" w:rsidRPr="003C33F4" w:rsidRDefault="000622C7" w:rsidP="009C0C5A">
      <w:pPr>
        <w:pStyle w:val="Heading1"/>
        <w:rPr>
          <w:color w:val="292929"/>
        </w:rPr>
      </w:pPr>
      <w:bookmarkStart w:id="207" w:name="_Toc50378089"/>
      <w:bookmarkStart w:id="208" w:name="_Toc84488759"/>
      <w:r w:rsidRPr="003C33F4">
        <w:rPr>
          <w:color w:val="292929"/>
        </w:rPr>
        <w:lastRenderedPageBreak/>
        <w:t>Appendix B: Acronyms and</w:t>
      </w:r>
      <w:r w:rsidR="00FC5187">
        <w:rPr>
          <w:color w:val="292929"/>
        </w:rPr>
        <w:t> </w:t>
      </w:r>
      <w:r w:rsidRPr="003C33F4">
        <w:rPr>
          <w:color w:val="292929"/>
        </w:rPr>
        <w:t>abbreviations</w:t>
      </w:r>
      <w:bookmarkEnd w:id="207"/>
      <w:bookmarkEnd w:id="208"/>
    </w:p>
    <w:p w14:paraId="4A97CFF5" w14:textId="77777777" w:rsidR="000622C7" w:rsidRDefault="000622C7" w:rsidP="000622C7">
      <w:pPr>
        <w:pStyle w:val="Body"/>
      </w:pPr>
      <w:r w:rsidRPr="005929CA">
        <w:rPr>
          <w:b/>
          <w:bCs/>
        </w:rPr>
        <w:t>ANAO</w:t>
      </w:r>
      <w:r>
        <w:t xml:space="preserve"> – Australian National Audit Office</w:t>
      </w:r>
    </w:p>
    <w:p w14:paraId="3D11BDB3" w14:textId="76A2C71D" w:rsidR="000622C7" w:rsidRDefault="000622C7" w:rsidP="000622C7">
      <w:pPr>
        <w:pStyle w:val="Body"/>
      </w:pPr>
      <w:r w:rsidRPr="005929CA">
        <w:rPr>
          <w:b/>
          <w:bCs/>
        </w:rPr>
        <w:t>COAG</w:t>
      </w:r>
      <w:r w:rsidR="00D5016A">
        <w:rPr>
          <w:rFonts w:ascii="ZWAdobeF" w:hAnsi="ZWAdobeF" w:cs="ZWAdobeF"/>
          <w:bCs/>
          <w:color w:val="auto"/>
          <w:sz w:val="2"/>
          <w:szCs w:val="2"/>
        </w:rPr>
        <w:t>7F</w:t>
      </w:r>
      <w:r>
        <w:rPr>
          <w:rStyle w:val="FootnoteReference"/>
        </w:rPr>
        <w:footnoteReference w:id="8"/>
      </w:r>
      <w:r>
        <w:t>– Council of Australian Governments</w:t>
      </w:r>
    </w:p>
    <w:p w14:paraId="6CA751BE" w14:textId="77777777" w:rsidR="000622C7" w:rsidRDefault="000622C7" w:rsidP="000622C7">
      <w:pPr>
        <w:pStyle w:val="Body"/>
      </w:pPr>
      <w:r w:rsidRPr="005929CA">
        <w:rPr>
          <w:b/>
          <w:bCs/>
        </w:rPr>
        <w:t>IHPA</w:t>
      </w:r>
      <w:r>
        <w:t xml:space="preserve"> – Independent Hospital Pricing Authority</w:t>
      </w:r>
    </w:p>
    <w:p w14:paraId="69F7DE6E" w14:textId="77777777" w:rsidR="000622C7" w:rsidRDefault="000622C7" w:rsidP="000622C7">
      <w:pPr>
        <w:pStyle w:val="Body"/>
      </w:pPr>
      <w:r w:rsidRPr="005929CA">
        <w:rPr>
          <w:b/>
          <w:bCs/>
        </w:rPr>
        <w:t>MoU</w:t>
      </w:r>
      <w:r>
        <w:t xml:space="preserve"> – Memorandum of Understanding</w:t>
      </w:r>
    </w:p>
    <w:p w14:paraId="651D1E44" w14:textId="77777777" w:rsidR="000622C7" w:rsidRDefault="000622C7" w:rsidP="000622C7">
      <w:pPr>
        <w:pStyle w:val="Body"/>
      </w:pPr>
      <w:r w:rsidRPr="005929CA">
        <w:rPr>
          <w:b/>
          <w:bCs/>
        </w:rPr>
        <w:t>NHCDC</w:t>
      </w:r>
      <w:r>
        <w:t xml:space="preserve"> – National Hospital Cost Data Collection</w:t>
      </w:r>
    </w:p>
    <w:p w14:paraId="291EFDA8" w14:textId="77777777" w:rsidR="000622C7" w:rsidRDefault="000622C7" w:rsidP="000622C7">
      <w:pPr>
        <w:pStyle w:val="Body"/>
      </w:pPr>
      <w:r w:rsidRPr="005929CA">
        <w:rPr>
          <w:b/>
          <w:bCs/>
        </w:rPr>
        <w:t>NWAU</w:t>
      </w:r>
      <w:r>
        <w:t xml:space="preserve"> – National Weighted Activity Unit</w:t>
      </w:r>
    </w:p>
    <w:p w14:paraId="24F5DF8A" w14:textId="77777777" w:rsidR="000622C7" w:rsidRDefault="000622C7" w:rsidP="000622C7">
      <w:pPr>
        <w:pStyle w:val="Body"/>
        <w:rPr>
          <w:i/>
          <w:iCs/>
        </w:rPr>
        <w:sectPr w:rsidR="000622C7" w:rsidSect="00441579">
          <w:footerReference w:type="default" r:id="rId224"/>
          <w:footnotePr>
            <w:pos w:val="beneathText"/>
          </w:footnotePr>
          <w:pgSz w:w="9979" w:h="14175" w:code="13"/>
          <w:pgMar w:top="1134" w:right="1134" w:bottom="1134" w:left="1134" w:header="709" w:footer="709" w:gutter="0"/>
          <w:cols w:space="623"/>
          <w:docGrid w:linePitch="360"/>
        </w:sectPr>
      </w:pPr>
      <w:r w:rsidRPr="005929CA">
        <w:rPr>
          <w:b/>
          <w:bCs/>
        </w:rPr>
        <w:t>PGPA</w:t>
      </w:r>
      <w:r>
        <w:t xml:space="preserve"> – </w:t>
      </w:r>
      <w:r w:rsidRPr="005929CA">
        <w:rPr>
          <w:i/>
          <w:iCs/>
        </w:rPr>
        <w:t>Public Governance, Performance and Accountability Act 2013</w:t>
      </w:r>
    </w:p>
    <w:p w14:paraId="448B58D3" w14:textId="77777777" w:rsidR="000622C7" w:rsidRDefault="000622C7" w:rsidP="000622C7">
      <w:pPr>
        <w:pStyle w:val="Heading1"/>
        <w:rPr>
          <w:color w:val="1C1C1C"/>
        </w:rPr>
        <w:sectPr w:rsidR="000622C7" w:rsidSect="00FC5187">
          <w:headerReference w:type="default" r:id="rId225"/>
          <w:footerReference w:type="default" r:id="rId226"/>
          <w:pgSz w:w="9979" w:h="14175"/>
          <w:pgMar w:top="1134" w:right="1134" w:bottom="1134" w:left="1134" w:header="709" w:footer="709" w:gutter="0"/>
          <w:cols w:space="708"/>
          <w:docGrid w:linePitch="360"/>
        </w:sectPr>
      </w:pPr>
      <w:bookmarkStart w:id="209" w:name="_Toc50378090"/>
      <w:bookmarkStart w:id="210" w:name="_Toc84488760"/>
      <w:r w:rsidRPr="00EF248A">
        <w:rPr>
          <w:color w:val="1C1C1C"/>
        </w:rPr>
        <w:lastRenderedPageBreak/>
        <w:t>Appendix C: Glossary</w:t>
      </w:r>
      <w:bookmarkEnd w:id="209"/>
      <w:bookmarkEnd w:id="210"/>
    </w:p>
    <w:p w14:paraId="3AC07B5D" w14:textId="77777777" w:rsidR="000622C7" w:rsidRDefault="000622C7" w:rsidP="000622C7">
      <w:pPr>
        <w:pStyle w:val="H4"/>
      </w:pPr>
      <w:r>
        <w:t>Activity based funding</w:t>
      </w:r>
    </w:p>
    <w:p w14:paraId="05496AFE" w14:textId="77777777" w:rsidR="000622C7" w:rsidRDefault="000622C7" w:rsidP="000622C7">
      <w:pPr>
        <w:pStyle w:val="Body"/>
      </w:pPr>
      <w:r>
        <w:t>A system for funding public hospital services based on the actual number of services provided to patients and the efficient cost of delivering those services. Activity based funding uses national classifications, cost weights and the national efficient price to determine the amount of funding for each activity or service.</w:t>
      </w:r>
    </w:p>
    <w:p w14:paraId="6C9A3B55" w14:textId="20BF68EC" w:rsidR="000622C7" w:rsidRDefault="000622C7" w:rsidP="000622C7">
      <w:pPr>
        <w:pStyle w:val="H4"/>
      </w:pPr>
      <w:r>
        <w:t>Australian Refined Diagnosis Related</w:t>
      </w:r>
      <w:r w:rsidR="00F13706">
        <w:t> </w:t>
      </w:r>
      <w:r>
        <w:t>Groups</w:t>
      </w:r>
    </w:p>
    <w:p w14:paraId="73E31A65" w14:textId="1318A031" w:rsidR="000622C7" w:rsidRDefault="000622C7" w:rsidP="000622C7">
      <w:pPr>
        <w:pStyle w:val="Body"/>
      </w:pPr>
      <w:r>
        <w:t>Australian Refined Diagnosis Related Groups are</w:t>
      </w:r>
      <w:r w:rsidR="00780B25">
        <w:t> </w:t>
      </w:r>
      <w:r>
        <w:t xml:space="preserve">an Australian admitted patient classification system, which provides a clinically meaningful way of relating a hospital’s </w:t>
      </w:r>
      <w:proofErr w:type="spellStart"/>
      <w:r>
        <w:t>casemix</w:t>
      </w:r>
      <w:proofErr w:type="spellEnd"/>
      <w:r>
        <w:t xml:space="preserve"> to</w:t>
      </w:r>
      <w:r w:rsidR="00780B25">
        <w:t> </w:t>
      </w:r>
      <w:r>
        <w:t>the resources required by the hospital. Each</w:t>
      </w:r>
      <w:r w:rsidR="00780B25">
        <w:t> </w:t>
      </w:r>
      <w:r>
        <w:t>Australian Refined Diagnosis Related Group represents a class of patients with similar clinical conditions requiring similar hospital services. The</w:t>
      </w:r>
      <w:r w:rsidR="00355BDB">
        <w:t> </w:t>
      </w:r>
      <w:r>
        <w:t xml:space="preserve">classification </w:t>
      </w:r>
      <w:proofErr w:type="spellStart"/>
      <w:r>
        <w:t>categorises</w:t>
      </w:r>
      <w:proofErr w:type="spellEnd"/>
      <w:r>
        <w:t xml:space="preserve"> acute admitted patient episodes of care into groups with similar conditions and similar usage of hospital resources, using information in the hospital morbidity record such as the diagnoses, </w:t>
      </w:r>
      <w:proofErr w:type="gramStart"/>
      <w:r>
        <w:t>procedures</w:t>
      </w:r>
      <w:proofErr w:type="gramEnd"/>
      <w:r>
        <w:t xml:space="preserve"> and demographic characteristics of the patient.</w:t>
      </w:r>
    </w:p>
    <w:p w14:paraId="6A7891E5" w14:textId="77777777" w:rsidR="000622C7" w:rsidRDefault="000622C7" w:rsidP="000622C7">
      <w:pPr>
        <w:pStyle w:val="H4"/>
      </w:pPr>
      <w:r>
        <w:br w:type="column"/>
      </w:r>
      <w:r>
        <w:t>Avoidable hospital readmissions</w:t>
      </w:r>
    </w:p>
    <w:p w14:paraId="2E81EC1D" w14:textId="77777777" w:rsidR="000622C7" w:rsidRDefault="000622C7" w:rsidP="000622C7">
      <w:pPr>
        <w:pStyle w:val="Body"/>
      </w:pPr>
      <w:r>
        <w:t>An avoidable hospital readmission occurs when a patient who has been discharged from hospital (index admission) is admitted again within a certain time interval, and the readmission:</w:t>
      </w:r>
    </w:p>
    <w:p w14:paraId="494BD9EB" w14:textId="77777777" w:rsidR="000622C7" w:rsidRDefault="000622C7" w:rsidP="000622C7">
      <w:pPr>
        <w:pStyle w:val="Bullets"/>
      </w:pPr>
      <w:r>
        <w:t>is clinically related to the index admission, and</w:t>
      </w:r>
    </w:p>
    <w:p w14:paraId="7DF3EDD9" w14:textId="77777777" w:rsidR="000622C7" w:rsidRDefault="000622C7" w:rsidP="000622C7">
      <w:pPr>
        <w:pStyle w:val="Bulletslast"/>
      </w:pPr>
      <w:r w:rsidRPr="00D876E7">
        <w:rPr>
          <w:rStyle w:val="BulletsChar"/>
        </w:rPr>
        <w:t>has the potential to be avoided through improved clinical management</w:t>
      </w:r>
      <w:r>
        <w:t xml:space="preserve"> and/or appropriate discharge planning in the index admission.</w:t>
      </w:r>
    </w:p>
    <w:p w14:paraId="11F8AA1A" w14:textId="1723B83A" w:rsidR="000622C7" w:rsidRDefault="000622C7" w:rsidP="000622C7">
      <w:pPr>
        <w:pStyle w:val="Body"/>
      </w:pPr>
      <w:r>
        <w:t>The complete list of hospital acquired complications is available on the Australian Commission for Safety and Quality in</w:t>
      </w:r>
      <w:r w:rsidR="00355BDB">
        <w:t> </w:t>
      </w:r>
      <w:r>
        <w:t>Healthcare’s website.</w:t>
      </w:r>
    </w:p>
    <w:p w14:paraId="0BA25C20" w14:textId="77777777" w:rsidR="000622C7" w:rsidRDefault="000622C7" w:rsidP="000622C7">
      <w:pPr>
        <w:pStyle w:val="H4"/>
      </w:pPr>
      <w:r>
        <w:t>Back-casting</w:t>
      </w:r>
    </w:p>
    <w:p w14:paraId="6EB4DF56" w14:textId="7A11F675" w:rsidR="000622C7" w:rsidRDefault="000622C7" w:rsidP="000622C7">
      <w:pPr>
        <w:pStyle w:val="Body"/>
      </w:pPr>
      <w:r>
        <w:t xml:space="preserve">The process by which the effect of significant changes to the </w:t>
      </w:r>
      <w:proofErr w:type="gramStart"/>
      <w:r>
        <w:t>activity based</w:t>
      </w:r>
      <w:proofErr w:type="gramEnd"/>
      <w:r>
        <w:t xml:space="preserve"> funding classification systems or costing methodologies are reflected in the pricing model the year prior</w:t>
      </w:r>
      <w:r w:rsidR="001D0F68">
        <w:t> </w:t>
      </w:r>
      <w:r>
        <w:t>to</w:t>
      </w:r>
      <w:r w:rsidR="001D0F68">
        <w:t> </w:t>
      </w:r>
      <w:r>
        <w:t>implementation, for the calculation of </w:t>
      </w:r>
      <w:r w:rsidR="0088339B">
        <w:t xml:space="preserve">Commonwealth </w:t>
      </w:r>
      <w:r>
        <w:t>Government funding for each</w:t>
      </w:r>
      <w:r w:rsidR="00780B25">
        <w:t> </w:t>
      </w:r>
      <w:r>
        <w:t>activity</w:t>
      </w:r>
      <w:r w:rsidR="0067118B">
        <w:t> </w:t>
      </w:r>
      <w:r>
        <w:t>based funding service category.</w:t>
      </w:r>
    </w:p>
    <w:p w14:paraId="2BE8CA6C" w14:textId="77777777" w:rsidR="000622C7" w:rsidRDefault="000622C7" w:rsidP="000622C7">
      <w:pPr>
        <w:pStyle w:val="H4"/>
      </w:pPr>
      <w:r>
        <w:t>Block funding</w:t>
      </w:r>
    </w:p>
    <w:p w14:paraId="1CAA6588" w14:textId="77777777" w:rsidR="000622C7" w:rsidRDefault="000622C7" w:rsidP="000622C7">
      <w:pPr>
        <w:pStyle w:val="Body"/>
      </w:pPr>
      <w:r>
        <w:t>A system of funding public hospital functions and services as a fixed amount based on population and previous funding.</w:t>
      </w:r>
    </w:p>
    <w:p w14:paraId="5005D325" w14:textId="77777777" w:rsidR="000622C7" w:rsidRDefault="000622C7" w:rsidP="000622C7">
      <w:pPr>
        <w:pStyle w:val="H4"/>
      </w:pPr>
      <w:proofErr w:type="spellStart"/>
      <w:r>
        <w:t>Casemix</w:t>
      </w:r>
      <w:proofErr w:type="spellEnd"/>
    </w:p>
    <w:p w14:paraId="0A8209E3" w14:textId="77777777" w:rsidR="000622C7" w:rsidRDefault="000622C7" w:rsidP="000622C7">
      <w:pPr>
        <w:pStyle w:val="Body"/>
      </w:pPr>
      <w:r>
        <w:t>The number and type of patients treated in a hospital.</w:t>
      </w:r>
    </w:p>
    <w:p w14:paraId="4CE710C3" w14:textId="77777777" w:rsidR="00C27D82" w:rsidRDefault="00C27D82" w:rsidP="000622C7">
      <w:pPr>
        <w:pStyle w:val="H4"/>
        <w:sectPr w:rsidR="00C27D82" w:rsidSect="00FC5187">
          <w:type w:val="continuous"/>
          <w:pgSz w:w="9979" w:h="14175"/>
          <w:pgMar w:top="1134" w:right="1134" w:bottom="1134" w:left="1134" w:header="709" w:footer="709" w:gutter="0"/>
          <w:cols w:num="2" w:space="708"/>
          <w:docGrid w:linePitch="360"/>
        </w:sectPr>
      </w:pPr>
    </w:p>
    <w:p w14:paraId="39C1FBF8" w14:textId="07FE96AD" w:rsidR="000622C7" w:rsidRDefault="000622C7" w:rsidP="000622C7">
      <w:pPr>
        <w:pStyle w:val="H4"/>
      </w:pPr>
      <w:r>
        <w:lastRenderedPageBreak/>
        <w:t xml:space="preserve">Council of Australian Governments </w:t>
      </w:r>
    </w:p>
    <w:p w14:paraId="61EC1CE7" w14:textId="202D1E83" w:rsidR="000622C7" w:rsidRDefault="000622C7" w:rsidP="000622C7">
      <w:pPr>
        <w:pStyle w:val="Body"/>
      </w:pPr>
      <w:r>
        <w:t>The Council of Australian Governments (COAG) was the peak intergovernmental forum in</w:t>
      </w:r>
      <w:r w:rsidR="000A1CCA">
        <w:t> </w:t>
      </w:r>
      <w:r>
        <w:t>Australia.</w:t>
      </w:r>
    </w:p>
    <w:p w14:paraId="3A1DB285" w14:textId="77777777" w:rsidR="000622C7" w:rsidRDefault="000622C7" w:rsidP="000622C7">
      <w:pPr>
        <w:pStyle w:val="Body"/>
      </w:pPr>
      <w:r>
        <w:t>The members included the Prime Minister, state and territory Premiers and Chief Ministers, and the President of the Australian Local Government Association. The role of COAG was to promote policy reforms that were of national significance, or which needed coordinated action by all Australian governments.</w:t>
      </w:r>
    </w:p>
    <w:p w14:paraId="205661AC" w14:textId="22893B1B" w:rsidR="000622C7" w:rsidRPr="000A1CCA" w:rsidRDefault="000622C7" w:rsidP="000A1CCA">
      <w:pPr>
        <w:pStyle w:val="Body"/>
      </w:pPr>
      <w:r w:rsidRPr="000A1CCA">
        <w:rPr>
          <w:rStyle w:val="FootnotesChar"/>
          <w:sz w:val="18"/>
          <w:szCs w:val="18"/>
        </w:rPr>
        <w:t>COAG has been dissolved as of 29 May 2020. The Health Ministers’ Meetings has been established to</w:t>
      </w:r>
      <w:r w:rsidR="000A1CCA" w:rsidRPr="000A1CCA">
        <w:rPr>
          <w:rStyle w:val="FootnotesChar"/>
          <w:sz w:val="18"/>
          <w:szCs w:val="18"/>
        </w:rPr>
        <w:t> </w:t>
      </w:r>
      <w:r w:rsidRPr="000A1CCA">
        <w:rPr>
          <w:rStyle w:val="FootnotesChar"/>
          <w:sz w:val="18"/>
          <w:szCs w:val="18"/>
        </w:rPr>
        <w:t>consider matters previously brought</w:t>
      </w:r>
      <w:r w:rsidR="00780B25">
        <w:rPr>
          <w:rStyle w:val="FootnotesChar"/>
          <w:sz w:val="18"/>
          <w:szCs w:val="18"/>
        </w:rPr>
        <w:t> </w:t>
      </w:r>
      <w:r w:rsidRPr="000A1CCA">
        <w:rPr>
          <w:rStyle w:val="FootnotesChar"/>
          <w:sz w:val="18"/>
          <w:szCs w:val="18"/>
        </w:rPr>
        <w:t>to the COAG Health Council.</w:t>
      </w:r>
    </w:p>
    <w:p w14:paraId="2CEDD6A8" w14:textId="77777777" w:rsidR="000622C7" w:rsidRDefault="000622C7" w:rsidP="000622C7">
      <w:pPr>
        <w:pStyle w:val="H4"/>
      </w:pPr>
      <w:r>
        <w:t>Corporate Plan</w:t>
      </w:r>
    </w:p>
    <w:p w14:paraId="3B50B656" w14:textId="5008C106" w:rsidR="000622C7" w:rsidRDefault="000622C7" w:rsidP="000622C7">
      <w:pPr>
        <w:pStyle w:val="Body"/>
      </w:pPr>
      <w:r>
        <w:t xml:space="preserve">The primary strategic planning document of a </w:t>
      </w:r>
      <w:r w:rsidR="0088339B">
        <w:t xml:space="preserve">Commonwealth </w:t>
      </w:r>
      <w:r>
        <w:t>Government entity. It sets out the objectives, capabilities and intended results over a four‑year period, in accordance with the entity’s stated purposes. The Corporate Plan should provide a clear line of sight with the relevant annual performance statement, Portfolio Budget Statement and Annual Report.</w:t>
      </w:r>
    </w:p>
    <w:p w14:paraId="12B97639" w14:textId="3F1F3F07" w:rsidR="004A4568" w:rsidRDefault="004A4568" w:rsidP="004A4568">
      <w:pPr>
        <w:pStyle w:val="H4"/>
      </w:pPr>
      <w:r>
        <w:t>Health Min</w:t>
      </w:r>
      <w:r w:rsidR="00B8729D">
        <w:t>i</w:t>
      </w:r>
      <w:r>
        <w:t>sters’ Meeting</w:t>
      </w:r>
    </w:p>
    <w:p w14:paraId="3140819F" w14:textId="3D26ACCB" w:rsidR="004A4568" w:rsidRDefault="004A4568" w:rsidP="000622C7">
      <w:pPr>
        <w:pStyle w:val="Body"/>
      </w:pPr>
      <w:r w:rsidRPr="00AA5206">
        <w:t>Following the dissolution of COAG and its supporting mechanisms, matters previously considered by COAG Health Council (CHC) will now be considered by health ministers through the</w:t>
      </w:r>
      <w:r w:rsidR="00780B25">
        <w:t> </w:t>
      </w:r>
      <w:r w:rsidRPr="00AA5206">
        <w:t>Health Ministers' Meetings</w:t>
      </w:r>
      <w:r>
        <w:t>.</w:t>
      </w:r>
    </w:p>
    <w:p w14:paraId="226FC9C6" w14:textId="77777777" w:rsidR="000622C7" w:rsidRDefault="000622C7" w:rsidP="000622C7">
      <w:pPr>
        <w:pStyle w:val="H4"/>
      </w:pPr>
      <w:r>
        <w:t>Hospital acquired complication</w:t>
      </w:r>
    </w:p>
    <w:p w14:paraId="359C842D" w14:textId="6114907C" w:rsidR="000622C7" w:rsidRDefault="000622C7" w:rsidP="000622C7">
      <w:pPr>
        <w:pStyle w:val="Body"/>
      </w:pPr>
      <w:r>
        <w:t>A complication which occurs during a hospital stay such as falls, infections or pressure injuries. Clinical risk mitigation strategies may reduce (but</w:t>
      </w:r>
      <w:r w:rsidR="00667DA5">
        <w:t> </w:t>
      </w:r>
      <w:r>
        <w:t>not necessarily eliminate) the risk of that complication occurring. The complete list of hospital acquired complications is available on the Australian Commission for Safety and Quality in Healthcare’s website.</w:t>
      </w:r>
    </w:p>
    <w:p w14:paraId="5087849E" w14:textId="4535B0EA" w:rsidR="000622C7" w:rsidRDefault="004A4568" w:rsidP="000622C7">
      <w:pPr>
        <w:pStyle w:val="H4"/>
      </w:pPr>
      <w:r>
        <w:br w:type="column"/>
      </w:r>
      <w:r w:rsidR="000622C7">
        <w:t>National efficient cost</w:t>
      </w:r>
    </w:p>
    <w:p w14:paraId="79F78C2B" w14:textId="3AE230C2" w:rsidR="000622C7" w:rsidRDefault="000622C7" w:rsidP="000622C7">
      <w:pPr>
        <w:pStyle w:val="Body"/>
      </w:pPr>
      <w:r>
        <w:t xml:space="preserve">IHPA determines a national efficient cost for services that are not suitable for </w:t>
      </w:r>
      <w:proofErr w:type="gramStart"/>
      <w:r>
        <w:t>activity</w:t>
      </w:r>
      <w:r w:rsidR="00780B25">
        <w:t> </w:t>
      </w:r>
      <w:r>
        <w:t>based</w:t>
      </w:r>
      <w:proofErr w:type="gramEnd"/>
      <w:r>
        <w:t> funding, such as small rural hospitals. The national efficient cost determines the</w:t>
      </w:r>
      <w:r w:rsidR="00780B25">
        <w:t> </w:t>
      </w:r>
      <w:r w:rsidR="0088339B">
        <w:t xml:space="preserve">Commonwealth </w:t>
      </w:r>
      <w:r>
        <w:t>Government contribution to block funded hospitals.</w:t>
      </w:r>
    </w:p>
    <w:p w14:paraId="28C9479B" w14:textId="77777777" w:rsidR="000622C7" w:rsidRDefault="000622C7" w:rsidP="000622C7">
      <w:pPr>
        <w:pStyle w:val="H4"/>
      </w:pPr>
      <w:r>
        <w:t>National efficient price</w:t>
      </w:r>
    </w:p>
    <w:p w14:paraId="4CCCD40F" w14:textId="0EF18356" w:rsidR="000622C7" w:rsidRDefault="000622C7" w:rsidP="000622C7">
      <w:pPr>
        <w:pStyle w:val="Body"/>
      </w:pPr>
      <w:r>
        <w:t>A base price calculated by IHPA as a benchmark to guide governments about the level of funding that would meet the average cost of providing acute care (admitted, emergency and outpatient) services in public hospitals across Australia. The</w:t>
      </w:r>
      <w:r w:rsidR="002E2413">
        <w:t> </w:t>
      </w:r>
      <w:r>
        <w:t>national efficient price is based on the projected average cost of a National Weighted Activity Unit (NWAU) after the deduction of specified </w:t>
      </w:r>
      <w:r w:rsidR="0088339B">
        <w:t xml:space="preserve">Commonwealth </w:t>
      </w:r>
      <w:r>
        <w:t>Government funded programs.</w:t>
      </w:r>
    </w:p>
    <w:p w14:paraId="68F0199D" w14:textId="77777777" w:rsidR="000622C7" w:rsidRPr="00F933AB" w:rsidRDefault="000622C7" w:rsidP="000622C7">
      <w:pPr>
        <w:pStyle w:val="H4"/>
        <w:rPr>
          <w:i/>
          <w:iCs/>
        </w:rPr>
      </w:pPr>
      <w:r w:rsidRPr="00F933AB">
        <w:rPr>
          <w:i/>
          <w:iCs/>
        </w:rPr>
        <w:t>National Health Reform Act 2011</w:t>
      </w:r>
    </w:p>
    <w:p w14:paraId="5E1397E4" w14:textId="090B5B1E" w:rsidR="000622C7" w:rsidRDefault="000622C7" w:rsidP="000622C7">
      <w:pPr>
        <w:pStyle w:val="Body"/>
      </w:pPr>
      <w:r>
        <w:t xml:space="preserve">IHPA was established under the </w:t>
      </w:r>
      <w:r w:rsidRPr="00137322">
        <w:rPr>
          <w:i/>
        </w:rPr>
        <w:t>National Health Reform Act 2011</w:t>
      </w:r>
      <w:r>
        <w:t xml:space="preserve">. The </w:t>
      </w:r>
      <w:r w:rsidRPr="00BA616D">
        <w:rPr>
          <w:i/>
          <w:iCs/>
        </w:rPr>
        <w:t>National Health Reform Act 2011</w:t>
      </w:r>
      <w:r>
        <w:t xml:space="preserve"> gave effect to the National Health Reform Agreement signed by the </w:t>
      </w:r>
      <w:r w:rsidR="0088339B">
        <w:t xml:space="preserve">Commonwealth </w:t>
      </w:r>
      <w:r>
        <w:t>Government and all states and territories in August 2011.</w:t>
      </w:r>
    </w:p>
    <w:p w14:paraId="30B6E956" w14:textId="77777777" w:rsidR="000622C7" w:rsidRDefault="000622C7" w:rsidP="000622C7">
      <w:pPr>
        <w:pStyle w:val="H4"/>
      </w:pPr>
      <w:r>
        <w:t>National Health Reform Agreement</w:t>
      </w:r>
    </w:p>
    <w:p w14:paraId="7422441B" w14:textId="379C2A7B" w:rsidR="000622C7" w:rsidRDefault="000622C7" w:rsidP="000622C7">
      <w:pPr>
        <w:pStyle w:val="Body"/>
      </w:pPr>
      <w:r>
        <w:t xml:space="preserve">The Agreement outlines the funding, </w:t>
      </w:r>
      <w:proofErr w:type="gramStart"/>
      <w:r>
        <w:t>governance</w:t>
      </w:r>
      <w:proofErr w:type="gramEnd"/>
      <w:r>
        <w:t xml:space="preserve"> and performance arrangements for the delivery of</w:t>
      </w:r>
      <w:r w:rsidR="002E2413">
        <w:t> </w:t>
      </w:r>
      <w:r>
        <w:t>public hospital services in Australia.</w:t>
      </w:r>
    </w:p>
    <w:p w14:paraId="619BC508" w14:textId="4B278104" w:rsidR="000622C7" w:rsidRDefault="000622C7" w:rsidP="000622C7">
      <w:pPr>
        <w:pStyle w:val="Body"/>
      </w:pPr>
      <w:r>
        <w:t xml:space="preserve">The Agreement was entered into by the </w:t>
      </w:r>
      <w:r w:rsidR="001E0949">
        <w:t>Australian</w:t>
      </w:r>
      <w:r w:rsidR="00780B25">
        <w:t> </w:t>
      </w:r>
      <w:r>
        <w:t>Government and all states and</w:t>
      </w:r>
      <w:r w:rsidR="002E2413">
        <w:t> </w:t>
      </w:r>
      <w:r>
        <w:t>territories in August 2011.</w:t>
      </w:r>
    </w:p>
    <w:p w14:paraId="3AE99168" w14:textId="2D7C1847" w:rsidR="00EF1C4D" w:rsidRDefault="00EF1C4D" w:rsidP="000622C7">
      <w:pPr>
        <w:pStyle w:val="H4"/>
        <w:sectPr w:rsidR="00EF1C4D" w:rsidSect="00C27D82">
          <w:footerReference w:type="default" r:id="rId227"/>
          <w:pgSz w:w="9979" w:h="14175"/>
          <w:pgMar w:top="1134" w:right="1134" w:bottom="1134" w:left="1134" w:header="709" w:footer="709" w:gutter="0"/>
          <w:cols w:num="2" w:space="708"/>
          <w:docGrid w:linePitch="360"/>
        </w:sectPr>
      </w:pPr>
    </w:p>
    <w:p w14:paraId="2FE29C3F" w14:textId="637FDA60" w:rsidR="000622C7" w:rsidRDefault="000622C7" w:rsidP="000622C7">
      <w:pPr>
        <w:pStyle w:val="H4"/>
      </w:pPr>
      <w:r>
        <w:lastRenderedPageBreak/>
        <w:t xml:space="preserve">National Weighted Activity Unit </w:t>
      </w:r>
    </w:p>
    <w:p w14:paraId="2390FCA6" w14:textId="40E7AC5C" w:rsidR="000622C7" w:rsidRDefault="000622C7" w:rsidP="000622C7">
      <w:pPr>
        <w:pStyle w:val="Body"/>
      </w:pPr>
      <w:r>
        <w:t xml:space="preserve">A </w:t>
      </w:r>
      <w:r w:rsidRPr="000649B4">
        <w:t xml:space="preserve">National Weighted Activity Unit </w:t>
      </w:r>
      <w:r>
        <w:t>(NWAU) is a measure of health service activity expressed as a common unit, against which the national efficient price is paid. It provides a way of comparing and valuing each public hospital service</w:t>
      </w:r>
      <w:r w:rsidR="00874569">
        <w:t xml:space="preserve"> </w:t>
      </w:r>
      <w:r>
        <w:t>(whether it is an admission, emergency</w:t>
      </w:r>
      <w:r w:rsidR="00874569">
        <w:t xml:space="preserve"> </w:t>
      </w:r>
      <w:r>
        <w:t>department presentation or outpatient episode), by weighting it for its clinical complexity.</w:t>
      </w:r>
    </w:p>
    <w:p w14:paraId="0C392507" w14:textId="77777777" w:rsidR="000622C7" w:rsidRDefault="000622C7" w:rsidP="000622C7">
      <w:pPr>
        <w:pStyle w:val="Body"/>
      </w:pPr>
      <w:r>
        <w:t>The average hospital service is worth one NWAU. The most intensive and expensive activities are worth multiple NWAUs, and the simplest and least expensive are worth fractions of an NWAU.</w:t>
      </w:r>
    </w:p>
    <w:p w14:paraId="074E4447" w14:textId="77777777" w:rsidR="000622C7" w:rsidRDefault="000622C7" w:rsidP="000622C7">
      <w:pPr>
        <w:pStyle w:val="H4"/>
      </w:pPr>
      <w:r>
        <w:t>Protective Security Policy Framework</w:t>
      </w:r>
    </w:p>
    <w:p w14:paraId="609E1D40" w14:textId="47107956" w:rsidR="000622C7" w:rsidRDefault="000622C7" w:rsidP="000622C7">
      <w:pPr>
        <w:pStyle w:val="Body"/>
      </w:pPr>
      <w:r>
        <w:t>The Protective Security Policy Framework provides policy, guidance and better practice advice for governance, personnel, physical and information security. The 36 mandatory requirements assist agency heads to identify their responsibilities to</w:t>
      </w:r>
      <w:r w:rsidR="00975FA8">
        <w:t> </w:t>
      </w:r>
      <w:r>
        <w:t xml:space="preserve">manage security risks to their people, </w:t>
      </w:r>
      <w:proofErr w:type="gramStart"/>
      <w:r>
        <w:t>information</w:t>
      </w:r>
      <w:proofErr w:type="gramEnd"/>
      <w:r w:rsidR="00975FA8">
        <w:t> </w:t>
      </w:r>
      <w:r>
        <w:t>and assets.</w:t>
      </w:r>
    </w:p>
    <w:p w14:paraId="2CD508B4" w14:textId="7A753A26" w:rsidR="000622C7" w:rsidRPr="000C1832" w:rsidRDefault="000622C7" w:rsidP="000622C7">
      <w:pPr>
        <w:pStyle w:val="H4"/>
        <w:rPr>
          <w:i/>
        </w:rPr>
      </w:pPr>
      <w:r w:rsidRPr="000C1832">
        <w:rPr>
          <w:i/>
        </w:rPr>
        <w:t>Public Governance, Performance</w:t>
      </w:r>
      <w:r w:rsidR="00FA1BA9" w:rsidRPr="000C1832">
        <w:rPr>
          <w:i/>
        </w:rPr>
        <w:t xml:space="preserve"> </w:t>
      </w:r>
      <w:r w:rsidRPr="000C1832">
        <w:rPr>
          <w:i/>
        </w:rPr>
        <w:t>and Accountability Act</w:t>
      </w:r>
      <w:r w:rsidR="006212A9" w:rsidRPr="000C1832">
        <w:rPr>
          <w:i/>
        </w:rPr>
        <w:t> </w:t>
      </w:r>
      <w:r w:rsidRPr="000C1832">
        <w:rPr>
          <w:i/>
        </w:rPr>
        <w:t xml:space="preserve">2013 </w:t>
      </w:r>
    </w:p>
    <w:p w14:paraId="03BB9CD0" w14:textId="77777777" w:rsidR="000622C7" w:rsidRDefault="000622C7" w:rsidP="000622C7">
      <w:pPr>
        <w:pStyle w:val="Body"/>
      </w:pPr>
      <w:r>
        <w:t xml:space="preserve">The </w:t>
      </w:r>
      <w:r w:rsidRPr="000649B4">
        <w:rPr>
          <w:i/>
        </w:rPr>
        <w:t>Public Governance, Performance and Accountability Act 2013</w:t>
      </w:r>
      <w:r w:rsidRPr="000649B4">
        <w:t xml:space="preserve"> </w:t>
      </w:r>
      <w:r>
        <w:t xml:space="preserve">(PGPA Act) establishes a coherent system of governance and accountability for public resources, with an emphasis on planning, </w:t>
      </w:r>
      <w:proofErr w:type="gramStart"/>
      <w:r>
        <w:t>performance</w:t>
      </w:r>
      <w:proofErr w:type="gramEnd"/>
      <w:r>
        <w:t xml:space="preserve"> and reporting. The PGPA Act applies to all Commonwealth entities and Commonwealth companies.</w:t>
      </w:r>
    </w:p>
    <w:p w14:paraId="4F7B8C9C" w14:textId="77777777" w:rsidR="000622C7" w:rsidRDefault="000622C7" w:rsidP="000622C7">
      <w:pPr>
        <w:pStyle w:val="H4"/>
      </w:pPr>
      <w:r>
        <w:br w:type="column"/>
      </w:r>
      <w:r>
        <w:t>Sentinel event</w:t>
      </w:r>
    </w:p>
    <w:p w14:paraId="51CE2D97" w14:textId="29CF0635" w:rsidR="000622C7" w:rsidRDefault="000622C7" w:rsidP="000622C7">
      <w:pPr>
        <w:pStyle w:val="Body"/>
      </w:pPr>
      <w:r>
        <w:t>A sentinel event is a subset of adverse events that result in death or serious harm to the patient, such</w:t>
      </w:r>
      <w:r w:rsidR="000B45B5">
        <w:t> </w:t>
      </w:r>
      <w:r>
        <w:t>as surgical procedures involving the wrong body part or medication errors leading to death.</w:t>
      </w:r>
    </w:p>
    <w:p w14:paraId="6DB7C96D" w14:textId="77777777" w:rsidR="000622C7" w:rsidRDefault="000622C7" w:rsidP="000622C7">
      <w:pPr>
        <w:pStyle w:val="H4"/>
      </w:pPr>
      <w:r w:rsidRPr="004B4304">
        <w:t>Shadow pricing</w:t>
      </w:r>
    </w:p>
    <w:p w14:paraId="3EB7570E" w14:textId="7BD12C8E" w:rsidR="000622C7" w:rsidRDefault="000622C7" w:rsidP="000622C7">
      <w:pPr>
        <w:pStyle w:val="Body"/>
        <w:rPr>
          <w:bCs/>
        </w:rPr>
      </w:pPr>
      <w:r>
        <w:t xml:space="preserve">Shadow pricing is the </w:t>
      </w:r>
      <w:r w:rsidRPr="00753C1F">
        <w:t>indicative o</w:t>
      </w:r>
      <w:r>
        <w:t>r</w:t>
      </w:r>
      <w:r w:rsidRPr="00753C1F">
        <w:t xml:space="preserve"> likely cost</w:t>
      </w:r>
      <w:r>
        <w:t> </w:t>
      </w:r>
      <w:r w:rsidRPr="009416BA">
        <w:t>of</w:t>
      </w:r>
      <w:r w:rsidR="006212A9">
        <w:t> </w:t>
      </w:r>
      <w:r w:rsidRPr="009416BA">
        <w:t>services.</w:t>
      </w:r>
    </w:p>
    <w:p w14:paraId="1A9382B0" w14:textId="4BC001EA" w:rsidR="000622C7" w:rsidRPr="004B4304" w:rsidRDefault="000622C7" w:rsidP="000622C7">
      <w:pPr>
        <w:pStyle w:val="Body"/>
        <w:rPr>
          <w:bCs/>
        </w:rPr>
      </w:pPr>
      <w:r w:rsidRPr="004B4304">
        <w:t>Clause A40 of the National Health Reform Agreement requires IHPA to consider transitional</w:t>
      </w:r>
      <w:r w:rsidR="00AA7987">
        <w:t> </w:t>
      </w:r>
      <w:r w:rsidRPr="004B4304">
        <w:t>arrangements when developing new</w:t>
      </w:r>
      <w:r w:rsidR="00AA7987">
        <w:t> </w:t>
      </w:r>
      <w:proofErr w:type="gramStart"/>
      <w:r>
        <w:t>activity</w:t>
      </w:r>
      <w:r w:rsidR="00AA7987">
        <w:t> </w:t>
      </w:r>
      <w:r>
        <w:t>based</w:t>
      </w:r>
      <w:proofErr w:type="gramEnd"/>
      <w:r>
        <w:t xml:space="preserve"> funding </w:t>
      </w:r>
      <w:r w:rsidRPr="004B4304">
        <w:t>classification systems</w:t>
      </w:r>
      <w:r w:rsidR="00AA7987">
        <w:t> </w:t>
      </w:r>
      <w:r w:rsidRPr="004B4304">
        <w:t>or costing methodologies.</w:t>
      </w:r>
    </w:p>
    <w:p w14:paraId="2809622C" w14:textId="0C177BBF" w:rsidR="000622C7" w:rsidRPr="004B4304" w:rsidRDefault="000622C7" w:rsidP="000622C7">
      <w:pPr>
        <w:pStyle w:val="Body"/>
        <w:rPr>
          <w:bCs/>
        </w:rPr>
      </w:pPr>
      <w:r w:rsidRPr="004B4304">
        <w:t>This includes shadowing the pricing of new</w:t>
      </w:r>
      <w:r>
        <w:t> </w:t>
      </w:r>
      <w:r w:rsidRPr="004B4304">
        <w:t>classifica</w:t>
      </w:r>
      <w:r w:rsidRPr="00753C1F">
        <w:t>tions, costing methodologies or</w:t>
      </w:r>
      <w:r>
        <w:t> </w:t>
      </w:r>
      <w:r w:rsidRPr="004B4304">
        <w:t>adjustments, when appropriate. Shadow</w:t>
      </w:r>
      <w:r>
        <w:t> </w:t>
      </w:r>
      <w:r w:rsidRPr="004B4304">
        <w:t xml:space="preserve">pricing enables </w:t>
      </w:r>
      <w:r>
        <w:t>states and territories</w:t>
      </w:r>
      <w:r w:rsidRPr="00753C1F">
        <w:t xml:space="preserve"> to</w:t>
      </w:r>
      <w:r w:rsidR="006212A9">
        <w:t> </w:t>
      </w:r>
      <w:r w:rsidRPr="00753C1F">
        <w:t>understand and</w:t>
      </w:r>
      <w:r>
        <w:t xml:space="preserve"> </w:t>
      </w:r>
      <w:r w:rsidRPr="004B4304">
        <w:t>assess the impact of a new approach on the level and distributi</w:t>
      </w:r>
      <w:r w:rsidRPr="00753C1F">
        <w:t>on of funding</w:t>
      </w:r>
      <w:r w:rsidR="00A01685">
        <w:t> </w:t>
      </w:r>
      <w:r w:rsidRPr="00753C1F">
        <w:t>to local hospital</w:t>
      </w:r>
      <w:r>
        <w:t xml:space="preserve"> </w:t>
      </w:r>
      <w:r w:rsidRPr="00753C1F">
        <w:t>networks.</w:t>
      </w:r>
    </w:p>
    <w:p w14:paraId="0B07E95C" w14:textId="77777777" w:rsidR="000622C7" w:rsidRDefault="000622C7" w:rsidP="000622C7">
      <w:pPr>
        <w:pStyle w:val="H4"/>
      </w:pPr>
      <w:r>
        <w:t>Work Program</w:t>
      </w:r>
    </w:p>
    <w:p w14:paraId="0E3990A1" w14:textId="3B759F36" w:rsidR="000622C7" w:rsidRDefault="000622C7" w:rsidP="000622C7">
      <w:pPr>
        <w:pStyle w:val="Body"/>
        <w:rPr>
          <w:rStyle w:val="Hyperlink"/>
        </w:rPr>
      </w:pPr>
      <w:r>
        <w:t>Each year IHPA consults on and publishes a work program for the year ahead. As prescribed in s</w:t>
      </w:r>
      <w:r w:rsidR="0088339B">
        <w:t xml:space="preserve">ection </w:t>
      </w:r>
      <w:r>
        <w:t xml:space="preserve">225 of the </w:t>
      </w:r>
      <w:r w:rsidRPr="00BA616D">
        <w:rPr>
          <w:i/>
          <w:iCs/>
        </w:rPr>
        <w:t>National Health Reform Act 2011</w:t>
      </w:r>
      <w:r>
        <w:t>, the objectives of the IHPA Work Program are to: set out IHPA’s program of work for the coming year and invite interested persons (including states and territories) to make submissions to the Pricing Authority about the work</w:t>
      </w:r>
      <w:r w:rsidR="00FB4C1A">
        <w:t> </w:t>
      </w:r>
      <w:r>
        <w:t>program up to 30 days after publication. IHPA </w:t>
      </w:r>
      <w:r w:rsidR="00BF0EDF">
        <w:t>w</w:t>
      </w:r>
      <w:r>
        <w:t>ork </w:t>
      </w:r>
      <w:r w:rsidR="00BF0EDF">
        <w:t>p</w:t>
      </w:r>
      <w:r>
        <w:t xml:space="preserve">rograms are available at </w:t>
      </w:r>
      <w:hyperlink r:id="rId228" w:history="1">
        <w:r w:rsidRPr="00BA616D">
          <w:rPr>
            <w:rStyle w:val="Hyperlink"/>
          </w:rPr>
          <w:t>www.ihpa.gov.au/publications</w:t>
        </w:r>
      </w:hyperlink>
      <w:r w:rsidRPr="00BF0EDF">
        <w:rPr>
          <w:rStyle w:val="Hyperlink"/>
          <w:u w:val="none"/>
        </w:rPr>
        <w:t>.</w:t>
      </w:r>
    </w:p>
    <w:p w14:paraId="0127A263" w14:textId="77777777" w:rsidR="000622C7" w:rsidRDefault="000622C7" w:rsidP="00156309">
      <w:pPr>
        <w:pStyle w:val="Body"/>
        <w:rPr>
          <w:color w:val="292929"/>
        </w:rPr>
        <w:sectPr w:rsidR="000622C7" w:rsidSect="00C27D82">
          <w:footerReference w:type="default" r:id="rId229"/>
          <w:pgSz w:w="9979" w:h="14175"/>
          <w:pgMar w:top="1134" w:right="1134" w:bottom="1134" w:left="1134" w:header="709" w:footer="709" w:gutter="0"/>
          <w:cols w:num="2" w:space="708"/>
          <w:docGrid w:linePitch="360"/>
        </w:sectPr>
      </w:pPr>
    </w:p>
    <w:p w14:paraId="404F76E4" w14:textId="77777777" w:rsidR="00531AFF" w:rsidRPr="00EF248A" w:rsidRDefault="00531AFF" w:rsidP="00950287">
      <w:pPr>
        <w:pStyle w:val="Heading1"/>
        <w:rPr>
          <w:color w:val="1C1C1C"/>
        </w:rPr>
      </w:pPr>
      <w:bookmarkStart w:id="211" w:name="_Toc50378091"/>
      <w:bookmarkStart w:id="212" w:name="_Toc84488761"/>
      <w:r w:rsidRPr="00EF248A">
        <w:rPr>
          <w:color w:val="1C1C1C"/>
        </w:rPr>
        <w:lastRenderedPageBreak/>
        <w:t>Appendix D: Compliance index</w:t>
      </w:r>
      <w:bookmarkEnd w:id="211"/>
      <w:bookmarkEnd w:id="212"/>
    </w:p>
    <w:p w14:paraId="4390EB36" w14:textId="77777777" w:rsidR="00531AFF" w:rsidRDefault="00531AFF" w:rsidP="00531AFF">
      <w:pPr>
        <w:pStyle w:val="Body"/>
      </w:pPr>
      <w:r w:rsidRPr="002B12F3">
        <w:t xml:space="preserve">The Independent Hospital Pricing Authority, as a corporate Commonwealth entity, has prepared this annual report under section 17BA of the Public Governance, Performance and Accountability Rule 2014, and section 46 of the </w:t>
      </w:r>
      <w:r w:rsidRPr="002B12F3">
        <w:rPr>
          <w:i/>
          <w:iCs/>
        </w:rPr>
        <w:t>Public Governance, Performance and Accountability Act 2013.</w:t>
      </w:r>
    </w:p>
    <w:tbl>
      <w:tblPr>
        <w:tblStyle w:val="IHPA"/>
        <w:tblW w:w="5259" w:type="pct"/>
        <w:tblLayout w:type="fixed"/>
        <w:tblCellMar>
          <w:top w:w="57" w:type="dxa"/>
          <w:bottom w:w="57" w:type="dxa"/>
          <w:right w:w="28" w:type="dxa"/>
        </w:tblCellMar>
        <w:tblLook w:val="04A0" w:firstRow="1" w:lastRow="0" w:firstColumn="1" w:lastColumn="0" w:noHBand="0" w:noVBand="1"/>
        <w:tblCaption w:val="Compliance Index table"/>
        <w:tblDescription w:val="Compliance Index table"/>
      </w:tblPr>
      <w:tblGrid>
        <w:gridCol w:w="1071"/>
        <w:gridCol w:w="1377"/>
        <w:gridCol w:w="611"/>
        <w:gridCol w:w="3674"/>
        <w:gridCol w:w="1377"/>
      </w:tblGrid>
      <w:tr w:rsidR="00531AFF" w14:paraId="0886C2E3" w14:textId="77777777" w:rsidTr="006544B5">
        <w:trPr>
          <w:trHeight w:val="170"/>
          <w:tblHeader/>
        </w:trPr>
        <w:tc>
          <w:tcPr>
            <w:tcW w:w="660" w:type="pct"/>
            <w:shd w:val="clear" w:color="auto" w:fill="292929"/>
          </w:tcPr>
          <w:p w14:paraId="6074148C" w14:textId="77777777" w:rsidR="00531AFF" w:rsidRPr="00CF6A18" w:rsidRDefault="00531AFF" w:rsidP="006544B5">
            <w:pPr>
              <w:pStyle w:val="Body"/>
              <w:rPr>
                <w:b/>
                <w:bCs/>
                <w:color w:val="FFFFFF" w:themeColor="background2"/>
              </w:rPr>
            </w:pPr>
            <w:bookmarkStart w:id="213" w:name="_Hlk82013656"/>
            <w:r w:rsidRPr="00CF6A18">
              <w:rPr>
                <w:b/>
                <w:bCs/>
                <w:color w:val="FFFFFF" w:themeColor="background2"/>
              </w:rPr>
              <w:t>PGPA Rule Reference</w:t>
            </w:r>
          </w:p>
        </w:tc>
        <w:tc>
          <w:tcPr>
            <w:tcW w:w="849" w:type="pct"/>
            <w:shd w:val="clear" w:color="auto" w:fill="292929"/>
          </w:tcPr>
          <w:p w14:paraId="60451819" w14:textId="77777777" w:rsidR="00531AFF" w:rsidRPr="00CF6A18" w:rsidRDefault="00531AFF" w:rsidP="006544B5">
            <w:pPr>
              <w:pStyle w:val="Body"/>
              <w:rPr>
                <w:b/>
                <w:bCs/>
                <w:color w:val="FFFFFF" w:themeColor="background2"/>
              </w:rPr>
            </w:pPr>
            <w:r w:rsidRPr="00CF6A18">
              <w:rPr>
                <w:b/>
                <w:bCs/>
                <w:color w:val="FFFFFF" w:themeColor="background2"/>
              </w:rPr>
              <w:t>Part of Report</w:t>
            </w:r>
          </w:p>
        </w:tc>
        <w:tc>
          <w:tcPr>
            <w:tcW w:w="377" w:type="pct"/>
            <w:shd w:val="clear" w:color="auto" w:fill="292929"/>
          </w:tcPr>
          <w:p w14:paraId="55BA5DBC" w14:textId="77777777" w:rsidR="00531AFF" w:rsidRPr="00CF6A18" w:rsidRDefault="00531AFF" w:rsidP="006544B5">
            <w:pPr>
              <w:pStyle w:val="Body"/>
              <w:rPr>
                <w:b/>
                <w:bCs/>
                <w:color w:val="FFFFFF" w:themeColor="background2"/>
              </w:rPr>
            </w:pPr>
          </w:p>
        </w:tc>
        <w:tc>
          <w:tcPr>
            <w:tcW w:w="2265" w:type="pct"/>
            <w:shd w:val="clear" w:color="auto" w:fill="292929"/>
          </w:tcPr>
          <w:p w14:paraId="69AAC94A" w14:textId="77777777" w:rsidR="00531AFF" w:rsidRPr="00CF6A18" w:rsidRDefault="00531AFF" w:rsidP="006544B5">
            <w:pPr>
              <w:pStyle w:val="Body"/>
              <w:rPr>
                <w:b/>
                <w:bCs/>
                <w:color w:val="FFFFFF" w:themeColor="background2"/>
              </w:rPr>
            </w:pPr>
            <w:r w:rsidRPr="00CF6A18">
              <w:rPr>
                <w:b/>
                <w:bCs/>
                <w:color w:val="FFFFFF" w:themeColor="background2"/>
              </w:rPr>
              <w:t>Description</w:t>
            </w:r>
          </w:p>
        </w:tc>
        <w:tc>
          <w:tcPr>
            <w:tcW w:w="849" w:type="pct"/>
            <w:shd w:val="clear" w:color="auto" w:fill="292929"/>
          </w:tcPr>
          <w:p w14:paraId="57F90D79" w14:textId="77777777" w:rsidR="00531AFF" w:rsidRPr="00CF6A18" w:rsidRDefault="00531AFF" w:rsidP="006544B5">
            <w:pPr>
              <w:pStyle w:val="Body"/>
              <w:rPr>
                <w:b/>
                <w:bCs/>
                <w:color w:val="FFFFFF" w:themeColor="background2"/>
              </w:rPr>
            </w:pPr>
            <w:r w:rsidRPr="00CF6A18">
              <w:rPr>
                <w:b/>
                <w:bCs/>
                <w:color w:val="FFFFFF" w:themeColor="background2"/>
              </w:rPr>
              <w:t>Requirement</w:t>
            </w:r>
          </w:p>
        </w:tc>
      </w:tr>
      <w:bookmarkEnd w:id="213"/>
      <w:tr w:rsidR="00531AFF" w14:paraId="3E3D09B4" w14:textId="77777777" w:rsidTr="006544B5">
        <w:trPr>
          <w:trHeight w:val="170"/>
        </w:trPr>
        <w:tc>
          <w:tcPr>
            <w:tcW w:w="660" w:type="pct"/>
            <w:tcBorders>
              <w:bottom w:val="single" w:sz="2" w:space="0" w:color="D9D9D9" w:themeColor="background2" w:themeShade="D9"/>
            </w:tcBorders>
            <w:shd w:val="clear" w:color="auto" w:fill="F2F2F2" w:themeFill="background2" w:themeFillShade="F2"/>
          </w:tcPr>
          <w:p w14:paraId="34EF2F78" w14:textId="77777777" w:rsidR="00531AFF" w:rsidRDefault="00531AFF" w:rsidP="006544B5">
            <w:pPr>
              <w:pStyle w:val="Body"/>
            </w:pPr>
            <w:r>
              <w:rPr>
                <w:b/>
              </w:rPr>
              <w:t>17BE</w:t>
            </w:r>
          </w:p>
        </w:tc>
        <w:tc>
          <w:tcPr>
            <w:tcW w:w="4340" w:type="pct"/>
            <w:gridSpan w:val="4"/>
            <w:tcBorders>
              <w:bottom w:val="single" w:sz="2" w:space="0" w:color="D9D9D9" w:themeColor="background2" w:themeShade="D9"/>
            </w:tcBorders>
            <w:shd w:val="clear" w:color="auto" w:fill="F2F2F2" w:themeFill="background2" w:themeFillShade="F2"/>
          </w:tcPr>
          <w:p w14:paraId="56FCE07D" w14:textId="77777777" w:rsidR="00531AFF" w:rsidRDefault="00531AFF" w:rsidP="006544B5">
            <w:pPr>
              <w:pStyle w:val="Body"/>
            </w:pPr>
            <w:r>
              <w:rPr>
                <w:b/>
              </w:rPr>
              <w:t>Contents of annual report</w:t>
            </w:r>
          </w:p>
        </w:tc>
      </w:tr>
      <w:tr w:rsidR="00531AFF" w14:paraId="726BE5A9"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46AA269E" w14:textId="77777777" w:rsidR="00531AFF" w:rsidRDefault="00531AFF" w:rsidP="006544B5">
            <w:pPr>
              <w:pStyle w:val="Body"/>
            </w:pPr>
            <w:r>
              <w:t>17BE(a)</w:t>
            </w:r>
          </w:p>
        </w:tc>
        <w:tc>
          <w:tcPr>
            <w:tcW w:w="849" w:type="pct"/>
            <w:tcBorders>
              <w:top w:val="single" w:sz="2" w:space="0" w:color="D9D9D9" w:themeColor="background2" w:themeShade="D9"/>
              <w:bottom w:val="single" w:sz="2" w:space="0" w:color="D9D9D9" w:themeColor="background2" w:themeShade="D9"/>
            </w:tcBorders>
          </w:tcPr>
          <w:p w14:paraId="08984847" w14:textId="77777777" w:rsidR="00531AFF" w:rsidRPr="00036606" w:rsidRDefault="00531AFF" w:rsidP="006544B5">
            <w:pPr>
              <w:pStyle w:val="Body"/>
            </w:pPr>
            <w:r>
              <w:t>Legislation</w:t>
            </w:r>
          </w:p>
        </w:tc>
        <w:tc>
          <w:tcPr>
            <w:tcW w:w="377" w:type="pct"/>
            <w:tcBorders>
              <w:top w:val="single" w:sz="2" w:space="0" w:color="D9D9D9" w:themeColor="background2" w:themeShade="D9"/>
              <w:bottom w:val="single" w:sz="2" w:space="0" w:color="D9D9D9" w:themeColor="background2" w:themeShade="D9"/>
            </w:tcBorders>
          </w:tcPr>
          <w:p w14:paraId="55198D34" w14:textId="383F8B1D" w:rsidR="00531AFF" w:rsidRDefault="003079E3" w:rsidP="006544B5">
            <w:pPr>
              <w:pStyle w:val="Body"/>
            </w:pPr>
            <w:hyperlink w:anchor="_Legislation" w:history="1">
              <w:r w:rsidR="001E2294">
                <w:rPr>
                  <w:rStyle w:val="Hyperlink"/>
                </w:rPr>
                <w:t>4</w:t>
              </w:r>
            </w:hyperlink>
          </w:p>
        </w:tc>
        <w:tc>
          <w:tcPr>
            <w:tcW w:w="2265" w:type="pct"/>
            <w:tcBorders>
              <w:top w:val="single" w:sz="2" w:space="0" w:color="D9D9D9" w:themeColor="background2" w:themeShade="D9"/>
              <w:bottom w:val="single" w:sz="2" w:space="0" w:color="D9D9D9" w:themeColor="background2" w:themeShade="D9"/>
            </w:tcBorders>
          </w:tcPr>
          <w:p w14:paraId="504AF3AF" w14:textId="77777777" w:rsidR="00531AFF" w:rsidRDefault="00531AFF" w:rsidP="006544B5">
            <w:pPr>
              <w:pStyle w:val="Body"/>
            </w:pPr>
            <w:r>
              <w:t>Details of the legislation establishing the body</w:t>
            </w:r>
          </w:p>
        </w:tc>
        <w:tc>
          <w:tcPr>
            <w:tcW w:w="849" w:type="pct"/>
            <w:tcBorders>
              <w:top w:val="single" w:sz="2" w:space="0" w:color="D9D9D9" w:themeColor="background2" w:themeShade="D9"/>
              <w:bottom w:val="single" w:sz="2" w:space="0" w:color="D9D9D9" w:themeColor="background2" w:themeShade="D9"/>
            </w:tcBorders>
          </w:tcPr>
          <w:p w14:paraId="66735AB6" w14:textId="77777777" w:rsidR="00531AFF" w:rsidRDefault="00531AFF" w:rsidP="006544B5">
            <w:pPr>
              <w:pStyle w:val="Body"/>
            </w:pPr>
            <w:r>
              <w:t>Mandatory</w:t>
            </w:r>
          </w:p>
        </w:tc>
      </w:tr>
      <w:tr w:rsidR="00531AFF" w14:paraId="3C2CD92A"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305673AA" w14:textId="77777777" w:rsidR="00531AFF" w:rsidRDefault="00531AFF" w:rsidP="006544B5">
            <w:pPr>
              <w:pStyle w:val="Body"/>
            </w:pPr>
            <w:r>
              <w:t>17BE(b)(</w:t>
            </w:r>
            <w:proofErr w:type="spellStart"/>
            <w:r>
              <w:t>i</w:t>
            </w:r>
            <w:proofErr w:type="spellEnd"/>
            <w:r>
              <w:t>)</w:t>
            </w:r>
          </w:p>
        </w:tc>
        <w:tc>
          <w:tcPr>
            <w:tcW w:w="849" w:type="pct"/>
            <w:tcBorders>
              <w:top w:val="single" w:sz="2" w:space="0" w:color="D9D9D9" w:themeColor="background2" w:themeShade="D9"/>
              <w:bottom w:val="single" w:sz="2" w:space="0" w:color="D9D9D9" w:themeColor="background2" w:themeShade="D9"/>
            </w:tcBorders>
          </w:tcPr>
          <w:p w14:paraId="7FA0108E" w14:textId="77777777" w:rsidR="00531AFF" w:rsidRDefault="00531AFF" w:rsidP="006544B5">
            <w:pPr>
              <w:pStyle w:val="Body"/>
            </w:pPr>
            <w:r w:rsidRPr="00036606">
              <w:t>Who we are</w:t>
            </w:r>
          </w:p>
        </w:tc>
        <w:tc>
          <w:tcPr>
            <w:tcW w:w="377" w:type="pct"/>
            <w:tcBorders>
              <w:top w:val="single" w:sz="2" w:space="0" w:color="D9D9D9" w:themeColor="background2" w:themeShade="D9"/>
              <w:bottom w:val="single" w:sz="2" w:space="0" w:color="D9D9D9" w:themeColor="background2" w:themeShade="D9"/>
            </w:tcBorders>
          </w:tcPr>
          <w:p w14:paraId="3AA80296" w14:textId="5FA46D9F" w:rsidR="00531AFF" w:rsidRDefault="003079E3" w:rsidP="006544B5">
            <w:pPr>
              <w:pStyle w:val="Body"/>
            </w:pPr>
            <w:hyperlink w:anchor="_Who_we_are" w:history="1">
              <w:r w:rsidR="00950287">
                <w:rPr>
                  <w:rStyle w:val="Hyperlink"/>
                </w:rPr>
                <w:t>6</w:t>
              </w:r>
            </w:hyperlink>
            <w:r w:rsidR="001E2294">
              <w:rPr>
                <w:rStyle w:val="Hyperlink"/>
              </w:rPr>
              <w:t>-7</w:t>
            </w:r>
          </w:p>
        </w:tc>
        <w:tc>
          <w:tcPr>
            <w:tcW w:w="2265" w:type="pct"/>
            <w:tcBorders>
              <w:top w:val="single" w:sz="2" w:space="0" w:color="D9D9D9" w:themeColor="background2" w:themeShade="D9"/>
              <w:bottom w:val="single" w:sz="2" w:space="0" w:color="D9D9D9" w:themeColor="background2" w:themeShade="D9"/>
            </w:tcBorders>
          </w:tcPr>
          <w:p w14:paraId="5A77F6A7" w14:textId="77777777" w:rsidR="00531AFF" w:rsidRDefault="00531AFF" w:rsidP="006544B5">
            <w:pPr>
              <w:pStyle w:val="Body"/>
            </w:pPr>
            <w:r>
              <w:t>A summary of the objects and functions of the entity as set out in legislation</w:t>
            </w:r>
          </w:p>
        </w:tc>
        <w:tc>
          <w:tcPr>
            <w:tcW w:w="849" w:type="pct"/>
            <w:tcBorders>
              <w:top w:val="single" w:sz="2" w:space="0" w:color="D9D9D9" w:themeColor="background2" w:themeShade="D9"/>
              <w:bottom w:val="single" w:sz="2" w:space="0" w:color="D9D9D9" w:themeColor="background2" w:themeShade="D9"/>
            </w:tcBorders>
          </w:tcPr>
          <w:p w14:paraId="473E4D6B" w14:textId="77777777" w:rsidR="00531AFF" w:rsidRDefault="00531AFF" w:rsidP="006544B5">
            <w:pPr>
              <w:pStyle w:val="Body"/>
            </w:pPr>
            <w:r>
              <w:t>Mandatory</w:t>
            </w:r>
          </w:p>
        </w:tc>
      </w:tr>
      <w:tr w:rsidR="00531AFF" w14:paraId="5384D7C4"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1F93EB30" w14:textId="77777777" w:rsidR="00531AFF" w:rsidRDefault="00531AFF" w:rsidP="006544B5">
            <w:pPr>
              <w:pStyle w:val="Body"/>
            </w:pPr>
            <w:r>
              <w:t>17BE(b)(ii)</w:t>
            </w:r>
          </w:p>
        </w:tc>
        <w:tc>
          <w:tcPr>
            <w:tcW w:w="849" w:type="pct"/>
            <w:tcBorders>
              <w:top w:val="single" w:sz="2" w:space="0" w:color="D9D9D9" w:themeColor="background2" w:themeShade="D9"/>
              <w:bottom w:val="single" w:sz="2" w:space="0" w:color="D9D9D9" w:themeColor="background2" w:themeShade="D9"/>
            </w:tcBorders>
          </w:tcPr>
          <w:p w14:paraId="08B25C7E" w14:textId="77777777" w:rsidR="00531AFF" w:rsidRDefault="00531AFF" w:rsidP="006544B5">
            <w:pPr>
              <w:pStyle w:val="Body"/>
            </w:pPr>
            <w:r w:rsidRPr="00036606">
              <w:t>Who we are</w:t>
            </w:r>
          </w:p>
        </w:tc>
        <w:tc>
          <w:tcPr>
            <w:tcW w:w="377" w:type="pct"/>
            <w:tcBorders>
              <w:top w:val="single" w:sz="2" w:space="0" w:color="D9D9D9" w:themeColor="background2" w:themeShade="D9"/>
              <w:bottom w:val="single" w:sz="2" w:space="0" w:color="D9D9D9" w:themeColor="background2" w:themeShade="D9"/>
            </w:tcBorders>
          </w:tcPr>
          <w:p w14:paraId="3D930F43" w14:textId="7D1EAC50" w:rsidR="00531AFF" w:rsidRDefault="003079E3" w:rsidP="006544B5">
            <w:pPr>
              <w:pStyle w:val="Body"/>
            </w:pPr>
            <w:hyperlink w:anchor="_Who_we_are" w:history="1">
              <w:r w:rsidR="00950287">
                <w:rPr>
                  <w:rStyle w:val="Hyperlink"/>
                </w:rPr>
                <w:t>6</w:t>
              </w:r>
            </w:hyperlink>
            <w:r w:rsidR="001E2294">
              <w:rPr>
                <w:rStyle w:val="Hyperlink"/>
              </w:rPr>
              <w:t>-7</w:t>
            </w:r>
          </w:p>
        </w:tc>
        <w:tc>
          <w:tcPr>
            <w:tcW w:w="2265" w:type="pct"/>
            <w:tcBorders>
              <w:top w:val="single" w:sz="2" w:space="0" w:color="D9D9D9" w:themeColor="background2" w:themeShade="D9"/>
              <w:bottom w:val="single" w:sz="2" w:space="0" w:color="D9D9D9" w:themeColor="background2" w:themeShade="D9"/>
            </w:tcBorders>
          </w:tcPr>
          <w:p w14:paraId="4DBD4DBD" w14:textId="77777777" w:rsidR="00531AFF" w:rsidRDefault="00531AFF" w:rsidP="006544B5">
            <w:pPr>
              <w:pStyle w:val="Body"/>
            </w:pPr>
            <w:r>
              <w:t>The purposes of the entity as included in the entity’s corporate plan for the reporting period</w:t>
            </w:r>
          </w:p>
        </w:tc>
        <w:tc>
          <w:tcPr>
            <w:tcW w:w="849" w:type="pct"/>
            <w:tcBorders>
              <w:top w:val="single" w:sz="2" w:space="0" w:color="D9D9D9" w:themeColor="background2" w:themeShade="D9"/>
              <w:bottom w:val="single" w:sz="2" w:space="0" w:color="D9D9D9" w:themeColor="background2" w:themeShade="D9"/>
            </w:tcBorders>
          </w:tcPr>
          <w:p w14:paraId="725C21AD" w14:textId="77777777" w:rsidR="00531AFF" w:rsidRDefault="00531AFF" w:rsidP="006544B5">
            <w:pPr>
              <w:pStyle w:val="Body"/>
            </w:pPr>
            <w:r>
              <w:t>Mandatory</w:t>
            </w:r>
          </w:p>
        </w:tc>
      </w:tr>
      <w:tr w:rsidR="00531AFF" w14:paraId="3F5890CF"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2A566607" w14:textId="77777777" w:rsidR="00531AFF" w:rsidRDefault="00531AFF" w:rsidP="006544B5">
            <w:pPr>
              <w:pStyle w:val="Body"/>
            </w:pPr>
            <w:r>
              <w:t>17BE(c)</w:t>
            </w:r>
          </w:p>
        </w:tc>
        <w:tc>
          <w:tcPr>
            <w:tcW w:w="849" w:type="pct"/>
            <w:tcBorders>
              <w:top w:val="single" w:sz="2" w:space="0" w:color="D9D9D9" w:themeColor="background2" w:themeShade="D9"/>
              <w:bottom w:val="single" w:sz="2" w:space="0" w:color="D9D9D9" w:themeColor="background2" w:themeShade="D9"/>
            </w:tcBorders>
          </w:tcPr>
          <w:p w14:paraId="4F94DCA1" w14:textId="77777777" w:rsidR="00531AFF" w:rsidRDefault="00531AFF" w:rsidP="006544B5">
            <w:pPr>
              <w:pStyle w:val="Body"/>
            </w:pPr>
            <w:r w:rsidRPr="00036606">
              <w:t>Responsible Minister</w:t>
            </w:r>
          </w:p>
        </w:tc>
        <w:tc>
          <w:tcPr>
            <w:tcW w:w="377" w:type="pct"/>
            <w:tcBorders>
              <w:top w:val="single" w:sz="2" w:space="0" w:color="D9D9D9" w:themeColor="background2" w:themeShade="D9"/>
              <w:bottom w:val="single" w:sz="2" w:space="0" w:color="D9D9D9" w:themeColor="background2" w:themeShade="D9"/>
            </w:tcBorders>
          </w:tcPr>
          <w:p w14:paraId="1CE0EE46" w14:textId="67F34B61" w:rsidR="00531AFF" w:rsidRDefault="003079E3" w:rsidP="006544B5">
            <w:pPr>
              <w:pStyle w:val="Body"/>
            </w:pPr>
            <w:hyperlink w:anchor="_Responsible_Minister" w:history="1">
              <w:r w:rsidR="00950287">
                <w:rPr>
                  <w:rStyle w:val="Hyperlink"/>
                </w:rPr>
                <w:t>10</w:t>
              </w:r>
            </w:hyperlink>
          </w:p>
        </w:tc>
        <w:tc>
          <w:tcPr>
            <w:tcW w:w="2265" w:type="pct"/>
            <w:tcBorders>
              <w:top w:val="single" w:sz="2" w:space="0" w:color="D9D9D9" w:themeColor="background2" w:themeShade="D9"/>
              <w:bottom w:val="single" w:sz="2" w:space="0" w:color="D9D9D9" w:themeColor="background2" w:themeShade="D9"/>
            </w:tcBorders>
          </w:tcPr>
          <w:p w14:paraId="7C21A87A" w14:textId="16FB52EE" w:rsidR="00531AFF" w:rsidRDefault="00531AFF" w:rsidP="006544B5">
            <w:pPr>
              <w:pStyle w:val="Body"/>
            </w:pPr>
            <w:r>
              <w:t>The names of the persons holding the position of</w:t>
            </w:r>
            <w:r w:rsidR="00F9072A">
              <w:t> </w:t>
            </w:r>
            <w:r>
              <w:t>responsible Minister or responsible Ministers during the reporting period, and the titles of those responsible Ministers</w:t>
            </w:r>
          </w:p>
        </w:tc>
        <w:tc>
          <w:tcPr>
            <w:tcW w:w="849" w:type="pct"/>
            <w:tcBorders>
              <w:top w:val="single" w:sz="2" w:space="0" w:color="D9D9D9" w:themeColor="background2" w:themeShade="D9"/>
              <w:bottom w:val="single" w:sz="2" w:space="0" w:color="D9D9D9" w:themeColor="background2" w:themeShade="D9"/>
            </w:tcBorders>
          </w:tcPr>
          <w:p w14:paraId="3249413D" w14:textId="77777777" w:rsidR="00531AFF" w:rsidRDefault="00531AFF" w:rsidP="006544B5">
            <w:pPr>
              <w:pStyle w:val="Body"/>
            </w:pPr>
            <w:r>
              <w:t>Mandatory</w:t>
            </w:r>
          </w:p>
        </w:tc>
      </w:tr>
      <w:tr w:rsidR="00531AFF" w14:paraId="7D64163C"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43B83243" w14:textId="77777777" w:rsidR="00531AFF" w:rsidRDefault="00531AFF" w:rsidP="006544B5">
            <w:pPr>
              <w:pStyle w:val="Body"/>
            </w:pPr>
            <w:r>
              <w:t>17BE(d)</w:t>
            </w:r>
          </w:p>
        </w:tc>
        <w:tc>
          <w:tcPr>
            <w:tcW w:w="849" w:type="pct"/>
            <w:tcBorders>
              <w:top w:val="single" w:sz="2" w:space="0" w:color="D9D9D9" w:themeColor="background2" w:themeShade="D9"/>
              <w:bottom w:val="single" w:sz="2" w:space="0" w:color="D9D9D9" w:themeColor="background2" w:themeShade="D9"/>
            </w:tcBorders>
          </w:tcPr>
          <w:p w14:paraId="0C6CFEBF" w14:textId="77777777" w:rsidR="00531AFF" w:rsidRDefault="00531AFF" w:rsidP="006544B5">
            <w:pPr>
              <w:pStyle w:val="Body"/>
            </w:pPr>
            <w:r>
              <w:t>Ministerial Directions and government policy orders</w:t>
            </w:r>
          </w:p>
        </w:tc>
        <w:tc>
          <w:tcPr>
            <w:tcW w:w="377" w:type="pct"/>
            <w:tcBorders>
              <w:top w:val="single" w:sz="2" w:space="0" w:color="D9D9D9" w:themeColor="background2" w:themeShade="D9"/>
              <w:bottom w:val="single" w:sz="2" w:space="0" w:color="D9D9D9" w:themeColor="background2" w:themeShade="D9"/>
            </w:tcBorders>
          </w:tcPr>
          <w:p w14:paraId="4C75A706" w14:textId="1B9AB190" w:rsidR="00531AFF" w:rsidRDefault="003079E3" w:rsidP="006544B5">
            <w:pPr>
              <w:pStyle w:val="Body"/>
            </w:pPr>
            <w:hyperlink w:anchor="_Ministerial_directions_and" w:history="1">
              <w:r w:rsidR="00531AFF" w:rsidRPr="003A1B2B">
                <w:rPr>
                  <w:rStyle w:val="Hyperlink"/>
                </w:rPr>
                <w:t>1</w:t>
              </w:r>
              <w:r w:rsidR="00950287">
                <w:rPr>
                  <w:rStyle w:val="Hyperlink"/>
                </w:rPr>
                <w:t>1</w:t>
              </w:r>
            </w:hyperlink>
          </w:p>
        </w:tc>
        <w:tc>
          <w:tcPr>
            <w:tcW w:w="2265" w:type="pct"/>
            <w:tcBorders>
              <w:top w:val="single" w:sz="2" w:space="0" w:color="D9D9D9" w:themeColor="background2" w:themeShade="D9"/>
              <w:bottom w:val="single" w:sz="2" w:space="0" w:color="D9D9D9" w:themeColor="background2" w:themeShade="D9"/>
            </w:tcBorders>
          </w:tcPr>
          <w:p w14:paraId="58956F83" w14:textId="77777777" w:rsidR="00531AFF" w:rsidRDefault="00531AFF" w:rsidP="006544B5">
            <w:pPr>
              <w:pStyle w:val="Body"/>
            </w:pPr>
            <w:r>
              <w:t>Directions given to the entity by the Minister under an Act or instrument during the reporting period</w:t>
            </w:r>
          </w:p>
        </w:tc>
        <w:tc>
          <w:tcPr>
            <w:tcW w:w="849" w:type="pct"/>
            <w:tcBorders>
              <w:top w:val="single" w:sz="2" w:space="0" w:color="D9D9D9" w:themeColor="background2" w:themeShade="D9"/>
              <w:bottom w:val="single" w:sz="2" w:space="0" w:color="D9D9D9" w:themeColor="background2" w:themeShade="D9"/>
            </w:tcBorders>
          </w:tcPr>
          <w:p w14:paraId="77E3E8BA" w14:textId="77777777" w:rsidR="00531AFF" w:rsidRDefault="00531AFF" w:rsidP="006544B5">
            <w:pPr>
              <w:pStyle w:val="Body"/>
            </w:pPr>
            <w:r>
              <w:t>If applicable, mandatory</w:t>
            </w:r>
          </w:p>
        </w:tc>
      </w:tr>
      <w:tr w:rsidR="00531AFF" w14:paraId="0AD957B8"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03B606F1" w14:textId="77777777" w:rsidR="00531AFF" w:rsidRDefault="00531AFF" w:rsidP="006544B5">
            <w:pPr>
              <w:pStyle w:val="Body"/>
            </w:pPr>
            <w:r>
              <w:t>17BE(e)</w:t>
            </w:r>
          </w:p>
        </w:tc>
        <w:tc>
          <w:tcPr>
            <w:tcW w:w="849" w:type="pct"/>
            <w:tcBorders>
              <w:top w:val="single" w:sz="2" w:space="0" w:color="D9D9D9" w:themeColor="background2" w:themeShade="D9"/>
              <w:bottom w:val="single" w:sz="2" w:space="0" w:color="D9D9D9" w:themeColor="background2" w:themeShade="D9"/>
            </w:tcBorders>
          </w:tcPr>
          <w:p w14:paraId="79350ADD" w14:textId="77777777" w:rsidR="00531AFF" w:rsidRDefault="00531AFF" w:rsidP="006544B5">
            <w:pPr>
              <w:pStyle w:val="Body"/>
            </w:pPr>
            <w:r>
              <w:t>Ministerial D</w:t>
            </w:r>
            <w:r w:rsidRPr="00C5444F">
              <w:t>irections and government policy</w:t>
            </w:r>
            <w:r>
              <w:t> </w:t>
            </w:r>
            <w:r w:rsidRPr="00C5444F">
              <w:t>orders</w:t>
            </w:r>
          </w:p>
        </w:tc>
        <w:tc>
          <w:tcPr>
            <w:tcW w:w="377" w:type="pct"/>
            <w:tcBorders>
              <w:top w:val="single" w:sz="2" w:space="0" w:color="D9D9D9" w:themeColor="background2" w:themeShade="D9"/>
              <w:bottom w:val="single" w:sz="2" w:space="0" w:color="D9D9D9" w:themeColor="background2" w:themeShade="D9"/>
            </w:tcBorders>
          </w:tcPr>
          <w:p w14:paraId="02EEACC9" w14:textId="393846DB" w:rsidR="00531AFF" w:rsidRDefault="003079E3" w:rsidP="006544B5">
            <w:pPr>
              <w:pStyle w:val="Body"/>
            </w:pPr>
            <w:hyperlink w:anchor="_Ministerial_directions_and" w:history="1">
              <w:r w:rsidR="00531AFF" w:rsidRPr="003A1B2B">
                <w:rPr>
                  <w:rStyle w:val="Hyperlink"/>
                </w:rPr>
                <w:t>1</w:t>
              </w:r>
              <w:r w:rsidR="00950287">
                <w:rPr>
                  <w:rStyle w:val="Hyperlink"/>
                </w:rPr>
                <w:t>1</w:t>
              </w:r>
            </w:hyperlink>
          </w:p>
        </w:tc>
        <w:tc>
          <w:tcPr>
            <w:tcW w:w="2265" w:type="pct"/>
            <w:tcBorders>
              <w:top w:val="single" w:sz="2" w:space="0" w:color="D9D9D9" w:themeColor="background2" w:themeShade="D9"/>
              <w:bottom w:val="single" w:sz="2" w:space="0" w:color="D9D9D9" w:themeColor="background2" w:themeShade="D9"/>
            </w:tcBorders>
          </w:tcPr>
          <w:p w14:paraId="19674F19" w14:textId="77777777" w:rsidR="00531AFF" w:rsidRDefault="00531AFF" w:rsidP="006544B5">
            <w:pPr>
              <w:pStyle w:val="Body"/>
            </w:pPr>
            <w:r>
              <w:t>Any government policy order that applied in relation to the entity during the reporting period under section 22 of the Act</w:t>
            </w:r>
          </w:p>
        </w:tc>
        <w:tc>
          <w:tcPr>
            <w:tcW w:w="849" w:type="pct"/>
            <w:tcBorders>
              <w:top w:val="single" w:sz="2" w:space="0" w:color="D9D9D9" w:themeColor="background2" w:themeShade="D9"/>
              <w:bottom w:val="single" w:sz="2" w:space="0" w:color="D9D9D9" w:themeColor="background2" w:themeShade="D9"/>
            </w:tcBorders>
          </w:tcPr>
          <w:p w14:paraId="2B522EC7" w14:textId="77777777" w:rsidR="00531AFF" w:rsidRDefault="00531AFF" w:rsidP="006544B5">
            <w:pPr>
              <w:pStyle w:val="Body"/>
            </w:pPr>
            <w:r>
              <w:t>If applicable, mandatory</w:t>
            </w:r>
          </w:p>
        </w:tc>
      </w:tr>
      <w:tr w:rsidR="00531AFF" w14:paraId="2CEF65E9"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4F06F600" w14:textId="77777777" w:rsidR="00531AFF" w:rsidRDefault="00531AFF" w:rsidP="006544B5">
            <w:pPr>
              <w:pStyle w:val="Body"/>
            </w:pPr>
            <w:r>
              <w:t>17BE(f)</w:t>
            </w:r>
          </w:p>
        </w:tc>
        <w:tc>
          <w:tcPr>
            <w:tcW w:w="849" w:type="pct"/>
            <w:tcBorders>
              <w:top w:val="single" w:sz="2" w:space="0" w:color="D9D9D9" w:themeColor="background2" w:themeShade="D9"/>
              <w:bottom w:val="single" w:sz="2" w:space="0" w:color="D9D9D9" w:themeColor="background2" w:themeShade="D9"/>
            </w:tcBorders>
          </w:tcPr>
          <w:p w14:paraId="591834C4"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10AD2A15"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5E342A2A" w14:textId="77777777" w:rsidR="00531AFF" w:rsidRDefault="00531AFF" w:rsidP="006544B5">
            <w:pPr>
              <w:pStyle w:val="Body"/>
              <w:spacing w:after="160"/>
            </w:pPr>
            <w:proofErr w:type="gramStart"/>
            <w:r>
              <w:t>Particulars of</w:t>
            </w:r>
            <w:proofErr w:type="gramEnd"/>
            <w:r>
              <w:t xml:space="preserve"> non‑compliance with:</w:t>
            </w:r>
          </w:p>
          <w:p w14:paraId="1242727D" w14:textId="6F7B1726" w:rsidR="00531AFF" w:rsidRDefault="00531AFF" w:rsidP="006544B5">
            <w:pPr>
              <w:pStyle w:val="Body"/>
              <w:spacing w:after="160"/>
            </w:pPr>
            <w:r>
              <w:t>(a) a direction given to the entity by the Minister</w:t>
            </w:r>
            <w:r w:rsidR="00FB4C1A">
              <w:t> </w:t>
            </w:r>
            <w:r>
              <w:t>under an Act or instrument during the</w:t>
            </w:r>
            <w:r w:rsidR="00FB4C1A">
              <w:t> </w:t>
            </w:r>
            <w:r>
              <w:t>reporting</w:t>
            </w:r>
            <w:r w:rsidR="00FB4C1A">
              <w:t> </w:t>
            </w:r>
            <w:r>
              <w:t>period, or</w:t>
            </w:r>
          </w:p>
          <w:p w14:paraId="1A2EE819" w14:textId="77777777" w:rsidR="00531AFF" w:rsidRDefault="00531AFF" w:rsidP="006544B5">
            <w:pPr>
              <w:pStyle w:val="Body"/>
            </w:pPr>
            <w:r>
              <w:t>(b) a government policy order that applied in relation to the entity during the reporting period under section 22 of the Act</w:t>
            </w:r>
          </w:p>
        </w:tc>
        <w:tc>
          <w:tcPr>
            <w:tcW w:w="849" w:type="pct"/>
            <w:tcBorders>
              <w:top w:val="single" w:sz="2" w:space="0" w:color="D9D9D9" w:themeColor="background2" w:themeShade="D9"/>
              <w:bottom w:val="single" w:sz="2" w:space="0" w:color="D9D9D9" w:themeColor="background2" w:themeShade="D9"/>
            </w:tcBorders>
          </w:tcPr>
          <w:p w14:paraId="148AD3E3" w14:textId="77777777" w:rsidR="00531AFF" w:rsidRDefault="00531AFF" w:rsidP="006544B5">
            <w:pPr>
              <w:pStyle w:val="Body"/>
            </w:pPr>
            <w:r>
              <w:t>If applicable, mandatory</w:t>
            </w:r>
          </w:p>
        </w:tc>
      </w:tr>
      <w:tr w:rsidR="00531AFF" w14:paraId="16F7D664"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77256931" w14:textId="77777777" w:rsidR="00531AFF" w:rsidRDefault="00531AFF" w:rsidP="006544B5">
            <w:pPr>
              <w:pStyle w:val="Body"/>
            </w:pPr>
            <w:r>
              <w:t>17BE(g)</w:t>
            </w:r>
          </w:p>
        </w:tc>
        <w:tc>
          <w:tcPr>
            <w:tcW w:w="849" w:type="pct"/>
            <w:tcBorders>
              <w:top w:val="single" w:sz="2" w:space="0" w:color="D9D9D9" w:themeColor="background2" w:themeShade="D9"/>
              <w:bottom w:val="single" w:sz="2" w:space="0" w:color="D9D9D9" w:themeColor="background2" w:themeShade="D9"/>
            </w:tcBorders>
          </w:tcPr>
          <w:p w14:paraId="71417CED" w14:textId="77777777" w:rsidR="00531AFF" w:rsidRPr="002E54BE" w:rsidRDefault="00531AFF" w:rsidP="006544B5">
            <w:pPr>
              <w:pStyle w:val="Body"/>
            </w:pPr>
            <w:r>
              <w:t>Annual performance statements</w:t>
            </w:r>
          </w:p>
        </w:tc>
        <w:tc>
          <w:tcPr>
            <w:tcW w:w="377" w:type="pct"/>
            <w:tcBorders>
              <w:top w:val="single" w:sz="2" w:space="0" w:color="D9D9D9" w:themeColor="background2" w:themeShade="D9"/>
              <w:bottom w:val="single" w:sz="2" w:space="0" w:color="D9D9D9" w:themeColor="background2" w:themeShade="D9"/>
            </w:tcBorders>
          </w:tcPr>
          <w:p w14:paraId="78628150" w14:textId="3A6FDD38" w:rsidR="00531AFF" w:rsidRDefault="003079E3" w:rsidP="006544B5">
            <w:pPr>
              <w:pStyle w:val="Body"/>
            </w:pPr>
            <w:hyperlink w:anchor="_Performance_in_2020–21" w:history="1">
              <w:r w:rsidR="00531AFF" w:rsidRPr="003A1B2B">
                <w:rPr>
                  <w:rStyle w:val="Hyperlink"/>
                </w:rPr>
                <w:t>3</w:t>
              </w:r>
              <w:r w:rsidR="001E2294">
                <w:rPr>
                  <w:rStyle w:val="Hyperlink"/>
                </w:rPr>
                <w:t>8</w:t>
              </w:r>
              <w:r w:rsidR="00531AFF" w:rsidRPr="003A1B2B">
                <w:rPr>
                  <w:rStyle w:val="Hyperlink"/>
                </w:rPr>
                <w:t>-</w:t>
              </w:r>
              <w:r w:rsidR="00950287">
                <w:rPr>
                  <w:rStyle w:val="Hyperlink"/>
                </w:rPr>
                <w:t>6</w:t>
              </w:r>
              <w:r w:rsidR="001E2294">
                <w:rPr>
                  <w:rStyle w:val="Hyperlink"/>
                </w:rPr>
                <w:t>1</w:t>
              </w:r>
            </w:hyperlink>
          </w:p>
        </w:tc>
        <w:tc>
          <w:tcPr>
            <w:tcW w:w="2265" w:type="pct"/>
            <w:tcBorders>
              <w:top w:val="single" w:sz="2" w:space="0" w:color="D9D9D9" w:themeColor="background2" w:themeShade="D9"/>
              <w:bottom w:val="single" w:sz="2" w:space="0" w:color="D9D9D9" w:themeColor="background2" w:themeShade="D9"/>
            </w:tcBorders>
          </w:tcPr>
          <w:p w14:paraId="7607C595" w14:textId="77777777" w:rsidR="00531AFF" w:rsidRDefault="00531AFF" w:rsidP="006544B5">
            <w:pPr>
              <w:pStyle w:val="Body"/>
            </w:pPr>
            <w:r>
              <w:t>Annual performance statements in accordance with paragraph 39(1)(b) of the Act and section 16F of the rule</w:t>
            </w:r>
          </w:p>
        </w:tc>
        <w:tc>
          <w:tcPr>
            <w:tcW w:w="849" w:type="pct"/>
            <w:tcBorders>
              <w:top w:val="single" w:sz="2" w:space="0" w:color="D9D9D9" w:themeColor="background2" w:themeShade="D9"/>
              <w:bottom w:val="single" w:sz="2" w:space="0" w:color="D9D9D9" w:themeColor="background2" w:themeShade="D9"/>
            </w:tcBorders>
          </w:tcPr>
          <w:p w14:paraId="2333D825" w14:textId="77777777" w:rsidR="00531AFF" w:rsidRDefault="00531AFF" w:rsidP="006544B5">
            <w:pPr>
              <w:pStyle w:val="Body"/>
            </w:pPr>
            <w:r>
              <w:t>Mandatory</w:t>
            </w:r>
          </w:p>
        </w:tc>
      </w:tr>
    </w:tbl>
    <w:p w14:paraId="38D2DECD" w14:textId="77777777" w:rsidR="00820096" w:rsidRDefault="00820096" w:rsidP="006544B5">
      <w:pPr>
        <w:pStyle w:val="Body"/>
        <w:sectPr w:rsidR="00820096" w:rsidSect="00820096">
          <w:footerReference w:type="default" r:id="rId230"/>
          <w:pgSz w:w="9979" w:h="14175"/>
          <w:pgMar w:top="1134" w:right="1134" w:bottom="993" w:left="1134" w:header="709" w:footer="709" w:gutter="0"/>
          <w:cols w:space="708"/>
          <w:docGrid w:linePitch="360"/>
        </w:sectPr>
      </w:pPr>
    </w:p>
    <w:tbl>
      <w:tblPr>
        <w:tblStyle w:val="IHPA"/>
        <w:tblW w:w="5259" w:type="pct"/>
        <w:tblLayout w:type="fixed"/>
        <w:tblCellMar>
          <w:top w:w="57" w:type="dxa"/>
          <w:bottom w:w="57" w:type="dxa"/>
          <w:right w:w="28" w:type="dxa"/>
        </w:tblCellMar>
        <w:tblLook w:val="04A0" w:firstRow="1" w:lastRow="0" w:firstColumn="1" w:lastColumn="0" w:noHBand="0" w:noVBand="1"/>
      </w:tblPr>
      <w:tblGrid>
        <w:gridCol w:w="1071"/>
        <w:gridCol w:w="1377"/>
        <w:gridCol w:w="611"/>
        <w:gridCol w:w="3674"/>
        <w:gridCol w:w="1377"/>
      </w:tblGrid>
      <w:tr w:rsidR="00820096" w:rsidRPr="00CF6A18" w14:paraId="73CA55F6" w14:textId="77777777" w:rsidTr="006544B5">
        <w:trPr>
          <w:trHeight w:val="170"/>
          <w:tblHeader/>
        </w:trPr>
        <w:tc>
          <w:tcPr>
            <w:tcW w:w="660" w:type="pct"/>
            <w:shd w:val="clear" w:color="auto" w:fill="292929"/>
          </w:tcPr>
          <w:p w14:paraId="2C88C8F7" w14:textId="77777777" w:rsidR="00820096" w:rsidRPr="00CF6A18" w:rsidRDefault="00820096" w:rsidP="006544B5">
            <w:pPr>
              <w:pStyle w:val="Body"/>
              <w:rPr>
                <w:b/>
                <w:bCs/>
                <w:color w:val="FFFFFF" w:themeColor="background2"/>
              </w:rPr>
            </w:pPr>
            <w:r w:rsidRPr="00CF6A18">
              <w:rPr>
                <w:b/>
                <w:bCs/>
                <w:color w:val="FFFFFF" w:themeColor="background2"/>
              </w:rPr>
              <w:lastRenderedPageBreak/>
              <w:t>PGPA Rule Reference</w:t>
            </w:r>
          </w:p>
        </w:tc>
        <w:tc>
          <w:tcPr>
            <w:tcW w:w="849" w:type="pct"/>
            <w:shd w:val="clear" w:color="auto" w:fill="292929"/>
          </w:tcPr>
          <w:p w14:paraId="169287D2" w14:textId="77777777" w:rsidR="00820096" w:rsidRPr="00CF6A18" w:rsidRDefault="00820096" w:rsidP="006544B5">
            <w:pPr>
              <w:pStyle w:val="Body"/>
              <w:rPr>
                <w:b/>
                <w:bCs/>
                <w:color w:val="FFFFFF" w:themeColor="background2"/>
              </w:rPr>
            </w:pPr>
            <w:r w:rsidRPr="00CF6A18">
              <w:rPr>
                <w:b/>
                <w:bCs/>
                <w:color w:val="FFFFFF" w:themeColor="background2"/>
              </w:rPr>
              <w:t>Part of Report</w:t>
            </w:r>
          </w:p>
        </w:tc>
        <w:tc>
          <w:tcPr>
            <w:tcW w:w="377" w:type="pct"/>
            <w:shd w:val="clear" w:color="auto" w:fill="292929"/>
          </w:tcPr>
          <w:p w14:paraId="0E713FD6" w14:textId="77777777" w:rsidR="00820096" w:rsidRPr="00CF6A18" w:rsidRDefault="00820096" w:rsidP="006544B5">
            <w:pPr>
              <w:pStyle w:val="Body"/>
              <w:rPr>
                <w:b/>
                <w:bCs/>
                <w:color w:val="FFFFFF" w:themeColor="background2"/>
              </w:rPr>
            </w:pPr>
          </w:p>
        </w:tc>
        <w:tc>
          <w:tcPr>
            <w:tcW w:w="2265" w:type="pct"/>
            <w:shd w:val="clear" w:color="auto" w:fill="292929"/>
          </w:tcPr>
          <w:p w14:paraId="29AA9F3A" w14:textId="77777777" w:rsidR="00820096" w:rsidRPr="00CF6A18" w:rsidRDefault="00820096" w:rsidP="006544B5">
            <w:pPr>
              <w:pStyle w:val="Body"/>
              <w:rPr>
                <w:b/>
                <w:bCs/>
                <w:color w:val="FFFFFF" w:themeColor="background2"/>
              </w:rPr>
            </w:pPr>
            <w:r w:rsidRPr="00CF6A18">
              <w:rPr>
                <w:b/>
                <w:bCs/>
                <w:color w:val="FFFFFF" w:themeColor="background2"/>
              </w:rPr>
              <w:t>Description</w:t>
            </w:r>
          </w:p>
        </w:tc>
        <w:tc>
          <w:tcPr>
            <w:tcW w:w="849" w:type="pct"/>
            <w:shd w:val="clear" w:color="auto" w:fill="292929"/>
          </w:tcPr>
          <w:p w14:paraId="11AB4D8A" w14:textId="77777777" w:rsidR="00820096" w:rsidRPr="00CF6A18" w:rsidRDefault="00820096" w:rsidP="006544B5">
            <w:pPr>
              <w:pStyle w:val="Body"/>
              <w:rPr>
                <w:b/>
                <w:bCs/>
                <w:color w:val="FFFFFF" w:themeColor="background2"/>
              </w:rPr>
            </w:pPr>
            <w:r w:rsidRPr="00CF6A18">
              <w:rPr>
                <w:b/>
                <w:bCs/>
                <w:color w:val="FFFFFF" w:themeColor="background2"/>
              </w:rPr>
              <w:t>Requirement</w:t>
            </w:r>
          </w:p>
        </w:tc>
      </w:tr>
      <w:tr w:rsidR="00531AFF" w14:paraId="68C52187"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3CE870BA" w14:textId="283949D9" w:rsidR="00531AFF" w:rsidRDefault="00531AFF" w:rsidP="006544B5">
            <w:pPr>
              <w:pStyle w:val="Body"/>
            </w:pPr>
            <w:r>
              <w:t>17BE(h), 17BE(</w:t>
            </w:r>
            <w:proofErr w:type="spellStart"/>
            <w:r>
              <w:t>i</w:t>
            </w:r>
            <w:proofErr w:type="spellEnd"/>
            <w:r>
              <w:t>)</w:t>
            </w:r>
          </w:p>
        </w:tc>
        <w:tc>
          <w:tcPr>
            <w:tcW w:w="849" w:type="pct"/>
            <w:tcBorders>
              <w:top w:val="single" w:sz="2" w:space="0" w:color="D9D9D9" w:themeColor="background2" w:themeShade="D9"/>
              <w:bottom w:val="single" w:sz="2" w:space="0" w:color="D9D9D9" w:themeColor="background2" w:themeShade="D9"/>
            </w:tcBorders>
          </w:tcPr>
          <w:p w14:paraId="3C396477"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00CFFB5B"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45EA8888" w14:textId="77777777" w:rsidR="00531AFF" w:rsidRDefault="00531AFF" w:rsidP="006544B5">
            <w:pPr>
              <w:pStyle w:val="Body"/>
            </w:pPr>
            <w:r>
              <w:t>A statement of significant issues reported to the Minister under paragraph 19(1)(e) of the Act that relates to non‑compliance with finance law and action taken to remedy non‑compliance</w:t>
            </w:r>
          </w:p>
        </w:tc>
        <w:tc>
          <w:tcPr>
            <w:tcW w:w="849" w:type="pct"/>
            <w:tcBorders>
              <w:top w:val="single" w:sz="2" w:space="0" w:color="D9D9D9" w:themeColor="background2" w:themeShade="D9"/>
              <w:bottom w:val="single" w:sz="2" w:space="0" w:color="D9D9D9" w:themeColor="background2" w:themeShade="D9"/>
            </w:tcBorders>
          </w:tcPr>
          <w:p w14:paraId="5184A545" w14:textId="77777777" w:rsidR="00531AFF" w:rsidRDefault="00531AFF" w:rsidP="006544B5">
            <w:pPr>
              <w:pStyle w:val="Body"/>
            </w:pPr>
            <w:r>
              <w:t>If applicable, mandatory</w:t>
            </w:r>
          </w:p>
        </w:tc>
      </w:tr>
      <w:tr w:rsidR="00531AFF" w14:paraId="28C01722"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6DA43399" w14:textId="77777777" w:rsidR="00531AFF" w:rsidRDefault="00531AFF" w:rsidP="006544B5">
            <w:pPr>
              <w:pStyle w:val="Body"/>
            </w:pPr>
            <w:r>
              <w:t>17BE(j)</w:t>
            </w:r>
          </w:p>
        </w:tc>
        <w:tc>
          <w:tcPr>
            <w:tcW w:w="849" w:type="pct"/>
            <w:tcBorders>
              <w:top w:val="single" w:sz="2" w:space="0" w:color="D9D9D9" w:themeColor="background2" w:themeShade="D9"/>
              <w:bottom w:val="single" w:sz="2" w:space="0" w:color="D9D9D9" w:themeColor="background2" w:themeShade="D9"/>
            </w:tcBorders>
          </w:tcPr>
          <w:p w14:paraId="4F5C6293" w14:textId="77777777" w:rsidR="00531AFF" w:rsidRDefault="00531AFF" w:rsidP="006544B5">
            <w:pPr>
              <w:pStyle w:val="Body"/>
            </w:pPr>
            <w:r w:rsidRPr="00036606">
              <w:t>The accountable authority</w:t>
            </w:r>
          </w:p>
        </w:tc>
        <w:tc>
          <w:tcPr>
            <w:tcW w:w="377" w:type="pct"/>
            <w:tcBorders>
              <w:top w:val="single" w:sz="2" w:space="0" w:color="D9D9D9" w:themeColor="background2" w:themeShade="D9"/>
              <w:bottom w:val="single" w:sz="2" w:space="0" w:color="D9D9D9" w:themeColor="background2" w:themeShade="D9"/>
            </w:tcBorders>
          </w:tcPr>
          <w:p w14:paraId="263E941F" w14:textId="7F928919" w:rsidR="00531AFF" w:rsidRDefault="003079E3" w:rsidP="006544B5">
            <w:pPr>
              <w:pStyle w:val="Body"/>
            </w:pPr>
            <w:hyperlink w:anchor="TheAccountableAuthority" w:history="1">
              <w:r w:rsidR="00F60018">
                <w:rPr>
                  <w:rStyle w:val="Hyperlink"/>
                </w:rPr>
                <w:t>7</w:t>
              </w:r>
              <w:r w:rsidR="00950287">
                <w:rPr>
                  <w:rStyle w:val="Hyperlink"/>
                </w:rPr>
                <w:t>4</w:t>
              </w:r>
            </w:hyperlink>
          </w:p>
        </w:tc>
        <w:tc>
          <w:tcPr>
            <w:tcW w:w="2265" w:type="pct"/>
            <w:tcBorders>
              <w:top w:val="single" w:sz="2" w:space="0" w:color="D9D9D9" w:themeColor="background2" w:themeShade="D9"/>
              <w:bottom w:val="single" w:sz="2" w:space="0" w:color="D9D9D9" w:themeColor="background2" w:themeShade="D9"/>
            </w:tcBorders>
          </w:tcPr>
          <w:p w14:paraId="49C52042" w14:textId="77777777" w:rsidR="00531AFF" w:rsidRDefault="00531AFF" w:rsidP="006544B5">
            <w:pPr>
              <w:pStyle w:val="Body"/>
            </w:pPr>
            <w:r>
              <w:t>Information on the accountable authority, or each member of the accountable authority, of the entity during the reporting period</w:t>
            </w:r>
          </w:p>
        </w:tc>
        <w:tc>
          <w:tcPr>
            <w:tcW w:w="849" w:type="pct"/>
            <w:tcBorders>
              <w:top w:val="single" w:sz="2" w:space="0" w:color="D9D9D9" w:themeColor="background2" w:themeShade="D9"/>
              <w:bottom w:val="single" w:sz="2" w:space="0" w:color="D9D9D9" w:themeColor="background2" w:themeShade="D9"/>
            </w:tcBorders>
          </w:tcPr>
          <w:p w14:paraId="2A736A41" w14:textId="77777777" w:rsidR="00531AFF" w:rsidRDefault="00531AFF" w:rsidP="006544B5">
            <w:pPr>
              <w:pStyle w:val="Body"/>
            </w:pPr>
            <w:r>
              <w:t>Mandatory</w:t>
            </w:r>
          </w:p>
        </w:tc>
      </w:tr>
      <w:tr w:rsidR="00531AFF" w14:paraId="039D2032"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6C442CD2" w14:textId="77777777" w:rsidR="00531AFF" w:rsidRDefault="00531AFF" w:rsidP="006544B5">
            <w:pPr>
              <w:pStyle w:val="Body"/>
            </w:pPr>
            <w:r>
              <w:t>17BE(k)</w:t>
            </w:r>
          </w:p>
        </w:tc>
        <w:tc>
          <w:tcPr>
            <w:tcW w:w="849" w:type="pct"/>
            <w:tcBorders>
              <w:top w:val="single" w:sz="2" w:space="0" w:color="D9D9D9" w:themeColor="background2" w:themeShade="D9"/>
              <w:bottom w:val="single" w:sz="2" w:space="0" w:color="D9D9D9" w:themeColor="background2" w:themeShade="D9"/>
            </w:tcBorders>
          </w:tcPr>
          <w:p w14:paraId="0E785A58" w14:textId="77777777" w:rsidR="00531AFF" w:rsidRPr="002E54BE" w:rsidRDefault="00531AFF" w:rsidP="006544B5">
            <w:pPr>
              <w:pStyle w:val="Body"/>
            </w:pPr>
            <w:proofErr w:type="spellStart"/>
            <w:r>
              <w:t>Organisational</w:t>
            </w:r>
            <w:proofErr w:type="spellEnd"/>
            <w:r>
              <w:t xml:space="preserve"> structure</w:t>
            </w:r>
          </w:p>
        </w:tc>
        <w:tc>
          <w:tcPr>
            <w:tcW w:w="377" w:type="pct"/>
            <w:tcBorders>
              <w:top w:val="single" w:sz="2" w:space="0" w:color="D9D9D9" w:themeColor="background2" w:themeShade="D9"/>
              <w:bottom w:val="single" w:sz="2" w:space="0" w:color="D9D9D9" w:themeColor="background2" w:themeShade="D9"/>
            </w:tcBorders>
          </w:tcPr>
          <w:p w14:paraId="3A2EA4BB" w14:textId="47FBED50" w:rsidR="00531AFF" w:rsidRDefault="003079E3" w:rsidP="006544B5">
            <w:pPr>
              <w:pStyle w:val="Body"/>
            </w:pPr>
            <w:hyperlink w:anchor="_Organisational_structure" w:history="1">
              <w:r w:rsidR="00531AFF" w:rsidRPr="009D48E1">
                <w:rPr>
                  <w:rStyle w:val="Hyperlink"/>
                </w:rPr>
                <w:t>1</w:t>
              </w:r>
              <w:r w:rsidR="00950287">
                <w:rPr>
                  <w:rStyle w:val="Hyperlink"/>
                </w:rPr>
                <w:t>6</w:t>
              </w:r>
            </w:hyperlink>
          </w:p>
        </w:tc>
        <w:tc>
          <w:tcPr>
            <w:tcW w:w="2265" w:type="pct"/>
            <w:tcBorders>
              <w:top w:val="single" w:sz="2" w:space="0" w:color="D9D9D9" w:themeColor="background2" w:themeShade="D9"/>
              <w:bottom w:val="single" w:sz="2" w:space="0" w:color="D9D9D9" w:themeColor="background2" w:themeShade="D9"/>
            </w:tcBorders>
          </w:tcPr>
          <w:p w14:paraId="2A726DB4" w14:textId="77777777" w:rsidR="00531AFF" w:rsidRDefault="00531AFF" w:rsidP="006544B5">
            <w:pPr>
              <w:pStyle w:val="Body"/>
            </w:pPr>
            <w:r>
              <w:t xml:space="preserve">Outline of the </w:t>
            </w:r>
            <w:proofErr w:type="spellStart"/>
            <w:r>
              <w:t>organisational</w:t>
            </w:r>
            <w:proofErr w:type="spellEnd"/>
            <w:r>
              <w:t xml:space="preserve"> structure of the entity (including any subsidiaries of the entity)</w:t>
            </w:r>
          </w:p>
        </w:tc>
        <w:tc>
          <w:tcPr>
            <w:tcW w:w="849" w:type="pct"/>
            <w:tcBorders>
              <w:top w:val="single" w:sz="2" w:space="0" w:color="D9D9D9" w:themeColor="background2" w:themeShade="D9"/>
              <w:bottom w:val="single" w:sz="2" w:space="0" w:color="D9D9D9" w:themeColor="background2" w:themeShade="D9"/>
            </w:tcBorders>
          </w:tcPr>
          <w:p w14:paraId="02E76F15" w14:textId="77777777" w:rsidR="00531AFF" w:rsidRDefault="00531AFF" w:rsidP="006544B5">
            <w:pPr>
              <w:pStyle w:val="Body"/>
            </w:pPr>
            <w:r>
              <w:t>Mandatory</w:t>
            </w:r>
          </w:p>
        </w:tc>
      </w:tr>
      <w:tr w:rsidR="00531AFF" w14:paraId="65E5900D"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3DE8CE0C" w14:textId="77777777" w:rsidR="00531AFF" w:rsidRDefault="00531AFF" w:rsidP="006544B5">
            <w:pPr>
              <w:pStyle w:val="Body"/>
            </w:pPr>
            <w:r>
              <w:t>17</w:t>
            </w:r>
            <w:proofErr w:type="gramStart"/>
            <w:r>
              <w:t>BE(</w:t>
            </w:r>
            <w:proofErr w:type="gramEnd"/>
            <w:r>
              <w:t>ka)</w:t>
            </w:r>
          </w:p>
        </w:tc>
        <w:tc>
          <w:tcPr>
            <w:tcW w:w="849" w:type="pct"/>
            <w:tcBorders>
              <w:top w:val="single" w:sz="2" w:space="0" w:color="D9D9D9" w:themeColor="background2" w:themeShade="D9"/>
              <w:bottom w:val="single" w:sz="2" w:space="0" w:color="D9D9D9" w:themeColor="background2" w:themeShade="D9"/>
            </w:tcBorders>
          </w:tcPr>
          <w:p w14:paraId="27356F74" w14:textId="63E0934B" w:rsidR="00531AFF" w:rsidRDefault="00531AFF" w:rsidP="006544B5">
            <w:pPr>
              <w:pStyle w:val="Body"/>
            </w:pPr>
            <w:r w:rsidRPr="00036606">
              <w:t xml:space="preserve">Ongoing and </w:t>
            </w:r>
            <w:r w:rsidR="00010AB3">
              <w:t>n</w:t>
            </w:r>
            <w:r w:rsidRPr="00036606">
              <w:t xml:space="preserve">on-ongoing </w:t>
            </w:r>
            <w:r w:rsidR="00010AB3">
              <w:t>e</w:t>
            </w:r>
            <w:r w:rsidRPr="00036606">
              <w:t>mployees</w:t>
            </w:r>
          </w:p>
        </w:tc>
        <w:tc>
          <w:tcPr>
            <w:tcW w:w="377" w:type="pct"/>
            <w:tcBorders>
              <w:top w:val="single" w:sz="2" w:space="0" w:color="D9D9D9" w:themeColor="background2" w:themeShade="D9"/>
              <w:bottom w:val="single" w:sz="2" w:space="0" w:color="D9D9D9" w:themeColor="background2" w:themeShade="D9"/>
            </w:tcBorders>
          </w:tcPr>
          <w:p w14:paraId="48017C2C" w14:textId="7066C323" w:rsidR="00531AFF" w:rsidRDefault="003079E3" w:rsidP="006544B5">
            <w:pPr>
              <w:pStyle w:val="Body"/>
            </w:pPr>
            <w:hyperlink w:anchor="OngoingAndNonongoingEmployees" w:history="1">
              <w:r w:rsidR="00950287">
                <w:rPr>
                  <w:rStyle w:val="Hyperlink"/>
                </w:rPr>
                <w:t>7</w:t>
              </w:r>
              <w:r w:rsidR="002924F2">
                <w:rPr>
                  <w:rStyle w:val="Hyperlink"/>
                </w:rPr>
                <w:t>0</w:t>
              </w:r>
              <w:r w:rsidR="00531AFF" w:rsidRPr="009D48E1">
                <w:rPr>
                  <w:rStyle w:val="Hyperlink"/>
                </w:rPr>
                <w:t>-</w:t>
              </w:r>
              <w:r w:rsidR="00950287">
                <w:rPr>
                  <w:rStyle w:val="Hyperlink"/>
                </w:rPr>
                <w:t>7</w:t>
              </w:r>
              <w:r w:rsidR="002924F2">
                <w:rPr>
                  <w:rStyle w:val="Hyperlink"/>
                </w:rPr>
                <w:t>1</w:t>
              </w:r>
            </w:hyperlink>
          </w:p>
        </w:tc>
        <w:tc>
          <w:tcPr>
            <w:tcW w:w="2265" w:type="pct"/>
            <w:tcBorders>
              <w:top w:val="single" w:sz="2" w:space="0" w:color="D9D9D9" w:themeColor="background2" w:themeShade="D9"/>
              <w:bottom w:val="single" w:sz="2" w:space="0" w:color="D9D9D9" w:themeColor="background2" w:themeShade="D9"/>
            </w:tcBorders>
          </w:tcPr>
          <w:p w14:paraId="7C058550" w14:textId="77777777" w:rsidR="00531AFF" w:rsidRDefault="00531AFF" w:rsidP="006544B5">
            <w:pPr>
              <w:pStyle w:val="Body"/>
              <w:spacing w:after="160"/>
            </w:pPr>
            <w:r>
              <w:t>Statistics on the entity’s employees on an ongoing and non‑ongoing basis, including the following:</w:t>
            </w:r>
          </w:p>
          <w:p w14:paraId="7AD84C63" w14:textId="77777777" w:rsidR="00531AFF" w:rsidRDefault="00531AFF" w:rsidP="006544B5">
            <w:pPr>
              <w:pStyle w:val="Body"/>
              <w:spacing w:after="160"/>
            </w:pPr>
            <w:r>
              <w:t>(a) statistics on full‑time employees</w:t>
            </w:r>
          </w:p>
          <w:p w14:paraId="56F77BC2" w14:textId="77777777" w:rsidR="00531AFF" w:rsidRDefault="00531AFF" w:rsidP="006544B5">
            <w:pPr>
              <w:pStyle w:val="Body"/>
              <w:spacing w:after="160"/>
            </w:pPr>
            <w:r>
              <w:t>(b) statistics on part‑time employees</w:t>
            </w:r>
          </w:p>
          <w:p w14:paraId="6F539CD0" w14:textId="77777777" w:rsidR="00531AFF" w:rsidRDefault="00531AFF" w:rsidP="006544B5">
            <w:pPr>
              <w:pStyle w:val="Body"/>
              <w:spacing w:after="160"/>
            </w:pPr>
            <w:r>
              <w:t>(c) statistics on gender</w:t>
            </w:r>
          </w:p>
          <w:p w14:paraId="75B3C182" w14:textId="77777777" w:rsidR="00531AFF" w:rsidRDefault="00531AFF" w:rsidP="006544B5">
            <w:pPr>
              <w:pStyle w:val="Body"/>
            </w:pPr>
            <w:r>
              <w:t>(d) statistics on staff location</w:t>
            </w:r>
          </w:p>
        </w:tc>
        <w:tc>
          <w:tcPr>
            <w:tcW w:w="849" w:type="pct"/>
            <w:tcBorders>
              <w:top w:val="single" w:sz="2" w:space="0" w:color="D9D9D9" w:themeColor="background2" w:themeShade="D9"/>
              <w:bottom w:val="single" w:sz="2" w:space="0" w:color="D9D9D9" w:themeColor="background2" w:themeShade="D9"/>
            </w:tcBorders>
          </w:tcPr>
          <w:p w14:paraId="0C139270" w14:textId="77777777" w:rsidR="00531AFF" w:rsidRDefault="00531AFF" w:rsidP="006544B5">
            <w:pPr>
              <w:pStyle w:val="Body"/>
            </w:pPr>
            <w:r>
              <w:t>Mandatory</w:t>
            </w:r>
          </w:p>
        </w:tc>
      </w:tr>
      <w:tr w:rsidR="00531AFF" w14:paraId="3EC456BC"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32D439DC" w14:textId="77777777" w:rsidR="00531AFF" w:rsidRDefault="00531AFF" w:rsidP="006544B5">
            <w:pPr>
              <w:pStyle w:val="Body"/>
            </w:pPr>
            <w:r>
              <w:t>17BE(l)</w:t>
            </w:r>
          </w:p>
        </w:tc>
        <w:tc>
          <w:tcPr>
            <w:tcW w:w="849" w:type="pct"/>
            <w:tcBorders>
              <w:top w:val="single" w:sz="2" w:space="0" w:color="D9D9D9" w:themeColor="background2" w:themeShade="D9"/>
              <w:bottom w:val="single" w:sz="2" w:space="0" w:color="D9D9D9" w:themeColor="background2" w:themeShade="D9"/>
            </w:tcBorders>
          </w:tcPr>
          <w:p w14:paraId="12BC7F6C" w14:textId="77777777" w:rsidR="00531AFF" w:rsidRPr="002E54BE" w:rsidRDefault="00531AFF" w:rsidP="006544B5">
            <w:pPr>
              <w:pStyle w:val="Body"/>
            </w:pPr>
            <w:proofErr w:type="spellStart"/>
            <w:r>
              <w:t>Organisational</w:t>
            </w:r>
            <w:proofErr w:type="spellEnd"/>
            <w:r>
              <w:t xml:space="preserve"> structure</w:t>
            </w:r>
          </w:p>
        </w:tc>
        <w:tc>
          <w:tcPr>
            <w:tcW w:w="377" w:type="pct"/>
            <w:tcBorders>
              <w:top w:val="single" w:sz="2" w:space="0" w:color="D9D9D9" w:themeColor="background2" w:themeShade="D9"/>
              <w:bottom w:val="single" w:sz="2" w:space="0" w:color="D9D9D9" w:themeColor="background2" w:themeShade="D9"/>
            </w:tcBorders>
          </w:tcPr>
          <w:p w14:paraId="6471052F" w14:textId="2ACEDBC4" w:rsidR="00531AFF" w:rsidRDefault="003079E3" w:rsidP="006544B5">
            <w:pPr>
              <w:pStyle w:val="Body"/>
            </w:pPr>
            <w:hyperlink w:anchor="_Organisational_structure" w:history="1">
              <w:r w:rsidR="00C42E02">
                <w:rPr>
                  <w:rStyle w:val="Hyperlink"/>
                </w:rPr>
                <w:t>16</w:t>
              </w:r>
            </w:hyperlink>
          </w:p>
        </w:tc>
        <w:tc>
          <w:tcPr>
            <w:tcW w:w="2265" w:type="pct"/>
            <w:tcBorders>
              <w:top w:val="single" w:sz="2" w:space="0" w:color="D9D9D9" w:themeColor="background2" w:themeShade="D9"/>
              <w:bottom w:val="single" w:sz="2" w:space="0" w:color="D9D9D9" w:themeColor="background2" w:themeShade="D9"/>
            </w:tcBorders>
          </w:tcPr>
          <w:p w14:paraId="5EE0C9B1" w14:textId="77777777" w:rsidR="00531AFF" w:rsidRDefault="00531AFF" w:rsidP="006544B5">
            <w:pPr>
              <w:pStyle w:val="Body"/>
            </w:pPr>
            <w:r>
              <w:t>Outline of the location (</w:t>
            </w:r>
            <w:proofErr w:type="gramStart"/>
            <w:r>
              <w:t>whether or not</w:t>
            </w:r>
            <w:proofErr w:type="gramEnd"/>
            <w:r>
              <w:t xml:space="preserve"> in Australia) of major activities or facilities of the entity</w:t>
            </w:r>
          </w:p>
        </w:tc>
        <w:tc>
          <w:tcPr>
            <w:tcW w:w="849" w:type="pct"/>
            <w:tcBorders>
              <w:top w:val="single" w:sz="2" w:space="0" w:color="D9D9D9" w:themeColor="background2" w:themeShade="D9"/>
              <w:bottom w:val="single" w:sz="2" w:space="0" w:color="D9D9D9" w:themeColor="background2" w:themeShade="D9"/>
            </w:tcBorders>
          </w:tcPr>
          <w:p w14:paraId="70A68189" w14:textId="77777777" w:rsidR="00531AFF" w:rsidRDefault="00531AFF" w:rsidP="006544B5">
            <w:pPr>
              <w:pStyle w:val="Body"/>
            </w:pPr>
            <w:r>
              <w:t>Mandatory</w:t>
            </w:r>
          </w:p>
        </w:tc>
      </w:tr>
      <w:tr w:rsidR="00531AFF" w14:paraId="1DAE442A"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0D404EC7" w14:textId="77777777" w:rsidR="00531AFF" w:rsidRDefault="00531AFF" w:rsidP="006544B5">
            <w:pPr>
              <w:pStyle w:val="Body"/>
            </w:pPr>
            <w:r>
              <w:t>17BE(m)</w:t>
            </w:r>
          </w:p>
        </w:tc>
        <w:tc>
          <w:tcPr>
            <w:tcW w:w="849" w:type="pct"/>
            <w:tcBorders>
              <w:top w:val="single" w:sz="2" w:space="0" w:color="D9D9D9" w:themeColor="background2" w:themeShade="D9"/>
              <w:bottom w:val="single" w:sz="2" w:space="0" w:color="D9D9D9" w:themeColor="background2" w:themeShade="D9"/>
            </w:tcBorders>
          </w:tcPr>
          <w:p w14:paraId="771AF205" w14:textId="77777777" w:rsidR="00531AFF" w:rsidRDefault="00531AFF" w:rsidP="006544B5">
            <w:pPr>
              <w:pStyle w:val="Body"/>
            </w:pPr>
            <w:r w:rsidRPr="00036606">
              <w:t>Key corporate governance practices</w:t>
            </w:r>
          </w:p>
        </w:tc>
        <w:tc>
          <w:tcPr>
            <w:tcW w:w="377" w:type="pct"/>
            <w:tcBorders>
              <w:top w:val="single" w:sz="2" w:space="0" w:color="D9D9D9" w:themeColor="background2" w:themeShade="D9"/>
              <w:bottom w:val="single" w:sz="2" w:space="0" w:color="D9D9D9" w:themeColor="background2" w:themeShade="D9"/>
            </w:tcBorders>
          </w:tcPr>
          <w:p w14:paraId="5FC39FD4" w14:textId="3EF2796C" w:rsidR="00531AFF" w:rsidRDefault="003079E3" w:rsidP="006544B5">
            <w:pPr>
              <w:pStyle w:val="Body"/>
            </w:pPr>
            <w:hyperlink w:anchor="_Key_corporate_governance" w:history="1">
              <w:r w:rsidR="00950287">
                <w:rPr>
                  <w:rStyle w:val="Hyperlink"/>
                </w:rPr>
                <w:t>6</w:t>
              </w:r>
              <w:r w:rsidR="00C42E02">
                <w:rPr>
                  <w:rStyle w:val="Hyperlink"/>
                </w:rPr>
                <w:t>4</w:t>
              </w:r>
              <w:r w:rsidR="00531AFF" w:rsidRPr="00A22190">
                <w:rPr>
                  <w:rStyle w:val="Hyperlink"/>
                </w:rPr>
                <w:t>-</w:t>
              </w:r>
              <w:r w:rsidR="00950287">
                <w:rPr>
                  <w:rStyle w:val="Hyperlink"/>
                </w:rPr>
                <w:t>6</w:t>
              </w:r>
              <w:r w:rsidR="00C42E02">
                <w:rPr>
                  <w:rStyle w:val="Hyperlink"/>
                </w:rPr>
                <w:t>8</w:t>
              </w:r>
            </w:hyperlink>
          </w:p>
        </w:tc>
        <w:tc>
          <w:tcPr>
            <w:tcW w:w="2265" w:type="pct"/>
            <w:tcBorders>
              <w:top w:val="single" w:sz="2" w:space="0" w:color="D9D9D9" w:themeColor="background2" w:themeShade="D9"/>
              <w:bottom w:val="single" w:sz="2" w:space="0" w:color="D9D9D9" w:themeColor="background2" w:themeShade="D9"/>
            </w:tcBorders>
          </w:tcPr>
          <w:p w14:paraId="6ED76526" w14:textId="5F2AF15D" w:rsidR="00531AFF" w:rsidRDefault="00531AFF" w:rsidP="006544B5">
            <w:pPr>
              <w:pStyle w:val="Body"/>
            </w:pPr>
            <w:r>
              <w:t>Information relating to the main corporate governance practices used by the entity during the</w:t>
            </w:r>
            <w:r w:rsidR="00A01685">
              <w:t> </w:t>
            </w:r>
            <w:r>
              <w:t>reporting period</w:t>
            </w:r>
          </w:p>
        </w:tc>
        <w:tc>
          <w:tcPr>
            <w:tcW w:w="849" w:type="pct"/>
            <w:tcBorders>
              <w:top w:val="single" w:sz="2" w:space="0" w:color="D9D9D9" w:themeColor="background2" w:themeShade="D9"/>
              <w:bottom w:val="single" w:sz="2" w:space="0" w:color="D9D9D9" w:themeColor="background2" w:themeShade="D9"/>
            </w:tcBorders>
          </w:tcPr>
          <w:p w14:paraId="58505A8A" w14:textId="77777777" w:rsidR="00531AFF" w:rsidRDefault="00531AFF" w:rsidP="006544B5">
            <w:pPr>
              <w:pStyle w:val="Body"/>
            </w:pPr>
            <w:r>
              <w:t>Mandatory</w:t>
            </w:r>
          </w:p>
        </w:tc>
      </w:tr>
      <w:tr w:rsidR="00531AFF" w14:paraId="59726687"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4179C58A" w14:textId="77777777" w:rsidR="00531AFF" w:rsidRDefault="00531AFF" w:rsidP="006544B5">
            <w:pPr>
              <w:pStyle w:val="Body"/>
            </w:pPr>
            <w:r>
              <w:t>17BE(n), 17BE(o)</w:t>
            </w:r>
          </w:p>
        </w:tc>
        <w:tc>
          <w:tcPr>
            <w:tcW w:w="849" w:type="pct"/>
            <w:tcBorders>
              <w:top w:val="single" w:sz="2" w:space="0" w:color="D9D9D9" w:themeColor="background2" w:themeShade="D9"/>
              <w:bottom w:val="single" w:sz="2" w:space="0" w:color="D9D9D9" w:themeColor="background2" w:themeShade="D9"/>
            </w:tcBorders>
          </w:tcPr>
          <w:p w14:paraId="779C2781"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3CA4810A"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0DF73C2B" w14:textId="7A2044EA" w:rsidR="00531AFF" w:rsidRDefault="00531AFF" w:rsidP="006544B5">
            <w:pPr>
              <w:pStyle w:val="Body"/>
              <w:spacing w:after="160"/>
            </w:pPr>
            <w:r>
              <w:t>For transactions with a related Commonwealth entity or related company where the value of the</w:t>
            </w:r>
            <w:r w:rsidR="00A01685">
              <w:t> </w:t>
            </w:r>
            <w:r>
              <w:t>transaction, or if there is more than one transaction, the aggregate of those transactions, is</w:t>
            </w:r>
            <w:r w:rsidR="00A01685">
              <w:t> </w:t>
            </w:r>
            <w:r>
              <w:t>more than $10,000 (inclusive of GST):</w:t>
            </w:r>
          </w:p>
          <w:p w14:paraId="60CC07CC" w14:textId="02D4241C" w:rsidR="00531AFF" w:rsidRDefault="00531AFF" w:rsidP="006544B5">
            <w:pPr>
              <w:pStyle w:val="Body"/>
              <w:spacing w:after="160"/>
            </w:pPr>
            <w:r>
              <w:t>(a) the decision‑making process undertaken by the accountable authority to approve the entity paying for a good or service from, or providing a grant</w:t>
            </w:r>
            <w:r w:rsidR="00F9072A">
              <w:t> </w:t>
            </w:r>
            <w:r>
              <w:t>to,</w:t>
            </w:r>
            <w:r w:rsidR="00F9072A">
              <w:t> </w:t>
            </w:r>
            <w:r>
              <w:t>the related Commonwealth entity</w:t>
            </w:r>
            <w:r w:rsidR="00F9072A">
              <w:t> </w:t>
            </w:r>
            <w:r>
              <w:t>or</w:t>
            </w:r>
            <w:r w:rsidR="00F9072A">
              <w:t> </w:t>
            </w:r>
            <w:r>
              <w:t>related</w:t>
            </w:r>
            <w:r w:rsidR="00F9072A">
              <w:t> </w:t>
            </w:r>
            <w:r>
              <w:t>company, and</w:t>
            </w:r>
          </w:p>
          <w:p w14:paraId="0E541692" w14:textId="77777777" w:rsidR="00531AFF" w:rsidRDefault="00531AFF" w:rsidP="006544B5">
            <w:pPr>
              <w:pStyle w:val="Body"/>
            </w:pPr>
            <w:r>
              <w:t>(b) the value of the transaction, or if there is more than one transaction, the number of transactions and the aggregate of value of the transactions</w:t>
            </w:r>
          </w:p>
        </w:tc>
        <w:tc>
          <w:tcPr>
            <w:tcW w:w="849" w:type="pct"/>
            <w:tcBorders>
              <w:top w:val="single" w:sz="2" w:space="0" w:color="D9D9D9" w:themeColor="background2" w:themeShade="D9"/>
              <w:bottom w:val="single" w:sz="2" w:space="0" w:color="D9D9D9" w:themeColor="background2" w:themeShade="D9"/>
            </w:tcBorders>
          </w:tcPr>
          <w:p w14:paraId="4AF2A360" w14:textId="77777777" w:rsidR="00531AFF" w:rsidRDefault="00531AFF" w:rsidP="006544B5">
            <w:pPr>
              <w:pStyle w:val="Body"/>
            </w:pPr>
            <w:r>
              <w:t>If applicable, mandatory</w:t>
            </w:r>
          </w:p>
        </w:tc>
      </w:tr>
      <w:tr w:rsidR="00531AFF" w14:paraId="39D3E9EF"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14D41BEB" w14:textId="77777777" w:rsidR="00531AFF" w:rsidRDefault="00531AFF" w:rsidP="006544B5">
            <w:pPr>
              <w:pStyle w:val="Body"/>
            </w:pPr>
            <w:r>
              <w:t>17BE(p)</w:t>
            </w:r>
          </w:p>
        </w:tc>
        <w:tc>
          <w:tcPr>
            <w:tcW w:w="849" w:type="pct"/>
            <w:tcBorders>
              <w:top w:val="single" w:sz="2" w:space="0" w:color="D9D9D9" w:themeColor="background2" w:themeShade="D9"/>
              <w:bottom w:val="single" w:sz="2" w:space="0" w:color="D9D9D9" w:themeColor="background2" w:themeShade="D9"/>
            </w:tcBorders>
          </w:tcPr>
          <w:p w14:paraId="283FB5CD"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2F2E527D"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1F1F5729" w14:textId="77777777" w:rsidR="00531AFF" w:rsidRDefault="00531AFF" w:rsidP="006544B5">
            <w:pPr>
              <w:pStyle w:val="Body"/>
            </w:pPr>
            <w:r>
              <w:t>Any significant activities and changes that affected the operation or structure of the entity during the reporting period</w:t>
            </w:r>
          </w:p>
        </w:tc>
        <w:tc>
          <w:tcPr>
            <w:tcW w:w="849" w:type="pct"/>
            <w:tcBorders>
              <w:top w:val="single" w:sz="2" w:space="0" w:color="D9D9D9" w:themeColor="background2" w:themeShade="D9"/>
              <w:bottom w:val="single" w:sz="2" w:space="0" w:color="D9D9D9" w:themeColor="background2" w:themeShade="D9"/>
            </w:tcBorders>
          </w:tcPr>
          <w:p w14:paraId="105F79E4" w14:textId="77777777" w:rsidR="00531AFF" w:rsidRDefault="00531AFF" w:rsidP="006544B5">
            <w:pPr>
              <w:pStyle w:val="Body"/>
            </w:pPr>
            <w:r>
              <w:t>If applicable, mandatory</w:t>
            </w:r>
          </w:p>
        </w:tc>
      </w:tr>
      <w:tr w:rsidR="00531AFF" w14:paraId="0F32B983" w14:textId="77777777" w:rsidTr="006544B5">
        <w:trPr>
          <w:trHeight w:val="170"/>
        </w:trPr>
        <w:tc>
          <w:tcPr>
            <w:tcW w:w="660" w:type="pct"/>
            <w:tcBorders>
              <w:top w:val="single" w:sz="2" w:space="0" w:color="D9D9D9" w:themeColor="background2" w:themeShade="D9"/>
              <w:bottom w:val="single" w:sz="2" w:space="0" w:color="D9D9D9" w:themeColor="background2" w:themeShade="D9"/>
            </w:tcBorders>
          </w:tcPr>
          <w:p w14:paraId="11C241F4" w14:textId="77777777" w:rsidR="00531AFF" w:rsidRDefault="00531AFF" w:rsidP="006544B5">
            <w:pPr>
              <w:pStyle w:val="Body"/>
            </w:pPr>
            <w:r>
              <w:t>17BE(q)</w:t>
            </w:r>
          </w:p>
        </w:tc>
        <w:tc>
          <w:tcPr>
            <w:tcW w:w="849" w:type="pct"/>
            <w:tcBorders>
              <w:top w:val="single" w:sz="2" w:space="0" w:color="D9D9D9" w:themeColor="background2" w:themeShade="D9"/>
              <w:bottom w:val="single" w:sz="2" w:space="0" w:color="D9D9D9" w:themeColor="background2" w:themeShade="D9"/>
            </w:tcBorders>
          </w:tcPr>
          <w:p w14:paraId="6468F618"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29B5E95C" w14:textId="12BBB957" w:rsidR="00820096" w:rsidRPr="00820096" w:rsidRDefault="00820096" w:rsidP="00820096">
            <w:pPr>
              <w:tabs>
                <w:tab w:val="left" w:pos="458"/>
              </w:tabs>
            </w:pPr>
          </w:p>
        </w:tc>
        <w:tc>
          <w:tcPr>
            <w:tcW w:w="2265" w:type="pct"/>
            <w:tcBorders>
              <w:top w:val="single" w:sz="2" w:space="0" w:color="D9D9D9" w:themeColor="background2" w:themeShade="D9"/>
              <w:bottom w:val="single" w:sz="2" w:space="0" w:color="D9D9D9" w:themeColor="background2" w:themeShade="D9"/>
            </w:tcBorders>
          </w:tcPr>
          <w:p w14:paraId="42C644D0" w14:textId="77777777" w:rsidR="00531AFF" w:rsidRDefault="00531AFF" w:rsidP="006544B5">
            <w:pPr>
              <w:pStyle w:val="Body"/>
            </w:pPr>
            <w:proofErr w:type="gramStart"/>
            <w:r>
              <w:t>Particulars of</w:t>
            </w:r>
            <w:proofErr w:type="gramEnd"/>
            <w:r>
              <w:t xml:space="preserve"> judicial decisions or decisions of administrative tribunals that may have a significant effect on the operations of the entity</w:t>
            </w:r>
          </w:p>
        </w:tc>
        <w:tc>
          <w:tcPr>
            <w:tcW w:w="849" w:type="pct"/>
            <w:tcBorders>
              <w:top w:val="single" w:sz="2" w:space="0" w:color="D9D9D9" w:themeColor="background2" w:themeShade="D9"/>
              <w:bottom w:val="single" w:sz="2" w:space="0" w:color="D9D9D9" w:themeColor="background2" w:themeShade="D9"/>
            </w:tcBorders>
          </w:tcPr>
          <w:p w14:paraId="4B4AC9F6" w14:textId="16F366CE" w:rsidR="00820096" w:rsidRPr="00820096" w:rsidRDefault="00531AFF" w:rsidP="00820096">
            <w:pPr>
              <w:pStyle w:val="Body"/>
            </w:pPr>
            <w:r>
              <w:t>If applicable, mandatory</w:t>
            </w:r>
          </w:p>
        </w:tc>
      </w:tr>
    </w:tbl>
    <w:p w14:paraId="2D46DE79" w14:textId="77777777" w:rsidR="00820096" w:rsidRDefault="00820096" w:rsidP="006544B5">
      <w:pPr>
        <w:pStyle w:val="Body"/>
      </w:pPr>
    </w:p>
    <w:p w14:paraId="1B3054FE" w14:textId="1CEC38AC" w:rsidR="00820096" w:rsidRPr="00820096" w:rsidRDefault="00820096" w:rsidP="00820096">
      <w:pPr>
        <w:sectPr w:rsidR="00820096" w:rsidRPr="00820096" w:rsidSect="00820096">
          <w:footerReference w:type="default" r:id="rId231"/>
          <w:pgSz w:w="9979" w:h="14175"/>
          <w:pgMar w:top="1134" w:right="1134" w:bottom="993" w:left="1134" w:header="709" w:footer="709" w:gutter="0"/>
          <w:cols w:space="708"/>
          <w:docGrid w:linePitch="360"/>
        </w:sectPr>
      </w:pPr>
    </w:p>
    <w:tbl>
      <w:tblPr>
        <w:tblStyle w:val="IHPA"/>
        <w:tblW w:w="5259" w:type="pct"/>
        <w:tblLayout w:type="fixed"/>
        <w:tblCellMar>
          <w:top w:w="57" w:type="dxa"/>
          <w:bottom w:w="57" w:type="dxa"/>
          <w:right w:w="28" w:type="dxa"/>
        </w:tblCellMar>
        <w:tblLook w:val="04A0" w:firstRow="1" w:lastRow="0" w:firstColumn="1" w:lastColumn="0" w:noHBand="0" w:noVBand="1"/>
      </w:tblPr>
      <w:tblGrid>
        <w:gridCol w:w="1071"/>
        <w:gridCol w:w="1377"/>
        <w:gridCol w:w="611"/>
        <w:gridCol w:w="3674"/>
        <w:gridCol w:w="1377"/>
      </w:tblGrid>
      <w:tr w:rsidR="00820096" w:rsidRPr="00CF6A18" w14:paraId="5F3A4491" w14:textId="77777777" w:rsidTr="006544B5">
        <w:trPr>
          <w:trHeight w:val="170"/>
          <w:tblHeader/>
        </w:trPr>
        <w:tc>
          <w:tcPr>
            <w:tcW w:w="660" w:type="pct"/>
            <w:shd w:val="clear" w:color="auto" w:fill="292929"/>
          </w:tcPr>
          <w:p w14:paraId="318120B3" w14:textId="77777777" w:rsidR="00820096" w:rsidRPr="00CF6A18" w:rsidRDefault="00820096" w:rsidP="006544B5">
            <w:pPr>
              <w:pStyle w:val="Body"/>
              <w:rPr>
                <w:b/>
                <w:bCs/>
                <w:color w:val="FFFFFF" w:themeColor="background2"/>
              </w:rPr>
            </w:pPr>
            <w:r w:rsidRPr="00CF6A18">
              <w:rPr>
                <w:b/>
                <w:bCs/>
                <w:color w:val="FFFFFF" w:themeColor="background2"/>
              </w:rPr>
              <w:lastRenderedPageBreak/>
              <w:t>PGPA Rule Reference</w:t>
            </w:r>
          </w:p>
        </w:tc>
        <w:tc>
          <w:tcPr>
            <w:tcW w:w="849" w:type="pct"/>
            <w:shd w:val="clear" w:color="auto" w:fill="292929"/>
          </w:tcPr>
          <w:p w14:paraId="41D033D7" w14:textId="77777777" w:rsidR="00820096" w:rsidRPr="00CF6A18" w:rsidRDefault="00820096" w:rsidP="006544B5">
            <w:pPr>
              <w:pStyle w:val="Body"/>
              <w:rPr>
                <w:b/>
                <w:bCs/>
                <w:color w:val="FFFFFF" w:themeColor="background2"/>
              </w:rPr>
            </w:pPr>
            <w:r w:rsidRPr="00CF6A18">
              <w:rPr>
                <w:b/>
                <w:bCs/>
                <w:color w:val="FFFFFF" w:themeColor="background2"/>
              </w:rPr>
              <w:t>Part of Report</w:t>
            </w:r>
          </w:p>
        </w:tc>
        <w:tc>
          <w:tcPr>
            <w:tcW w:w="377" w:type="pct"/>
            <w:shd w:val="clear" w:color="auto" w:fill="292929"/>
          </w:tcPr>
          <w:p w14:paraId="6B619D83" w14:textId="77777777" w:rsidR="00820096" w:rsidRPr="00CF6A18" w:rsidRDefault="00820096" w:rsidP="006544B5">
            <w:pPr>
              <w:pStyle w:val="Body"/>
              <w:rPr>
                <w:b/>
                <w:bCs/>
                <w:color w:val="FFFFFF" w:themeColor="background2"/>
              </w:rPr>
            </w:pPr>
          </w:p>
        </w:tc>
        <w:tc>
          <w:tcPr>
            <w:tcW w:w="2265" w:type="pct"/>
            <w:shd w:val="clear" w:color="auto" w:fill="292929"/>
          </w:tcPr>
          <w:p w14:paraId="1AE4A5B3" w14:textId="77777777" w:rsidR="00820096" w:rsidRPr="00CF6A18" w:rsidRDefault="00820096" w:rsidP="006544B5">
            <w:pPr>
              <w:pStyle w:val="Body"/>
              <w:rPr>
                <w:b/>
                <w:bCs/>
                <w:color w:val="FFFFFF" w:themeColor="background2"/>
              </w:rPr>
            </w:pPr>
            <w:r w:rsidRPr="00CF6A18">
              <w:rPr>
                <w:b/>
                <w:bCs/>
                <w:color w:val="FFFFFF" w:themeColor="background2"/>
              </w:rPr>
              <w:t>Description</w:t>
            </w:r>
          </w:p>
        </w:tc>
        <w:tc>
          <w:tcPr>
            <w:tcW w:w="849" w:type="pct"/>
            <w:shd w:val="clear" w:color="auto" w:fill="292929"/>
          </w:tcPr>
          <w:p w14:paraId="50B58849" w14:textId="77777777" w:rsidR="00820096" w:rsidRPr="00CF6A18" w:rsidRDefault="00820096" w:rsidP="006544B5">
            <w:pPr>
              <w:pStyle w:val="Body"/>
              <w:rPr>
                <w:b/>
                <w:bCs/>
                <w:color w:val="FFFFFF" w:themeColor="background2"/>
              </w:rPr>
            </w:pPr>
            <w:r w:rsidRPr="00CF6A18">
              <w:rPr>
                <w:b/>
                <w:bCs/>
                <w:color w:val="FFFFFF" w:themeColor="background2"/>
              </w:rPr>
              <w:t>Requirement</w:t>
            </w:r>
          </w:p>
        </w:tc>
      </w:tr>
      <w:tr w:rsidR="00531AFF" w14:paraId="6058475A"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28039395" w14:textId="231C9943" w:rsidR="00531AFF" w:rsidRDefault="00531AFF" w:rsidP="006544B5">
            <w:pPr>
              <w:pStyle w:val="Body"/>
            </w:pPr>
            <w:r>
              <w:t>17BE(r)</w:t>
            </w:r>
          </w:p>
        </w:tc>
        <w:tc>
          <w:tcPr>
            <w:tcW w:w="849" w:type="pct"/>
            <w:tcBorders>
              <w:top w:val="single" w:sz="2" w:space="0" w:color="D9D9D9" w:themeColor="background2" w:themeShade="D9"/>
              <w:bottom w:val="single" w:sz="2" w:space="0" w:color="D9D9D9" w:themeColor="background2" w:themeShade="D9"/>
            </w:tcBorders>
          </w:tcPr>
          <w:p w14:paraId="2C418F6D"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6A280955"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1CFAFFB0" w14:textId="77777777" w:rsidR="00531AFF" w:rsidRDefault="00531AFF" w:rsidP="006544B5">
            <w:pPr>
              <w:pStyle w:val="Body"/>
              <w:spacing w:after="160"/>
            </w:pPr>
            <w:proofErr w:type="gramStart"/>
            <w:r>
              <w:t>Particulars of</w:t>
            </w:r>
            <w:proofErr w:type="gramEnd"/>
            <w:r>
              <w:t xml:space="preserve"> any reports on the entity given by:</w:t>
            </w:r>
          </w:p>
          <w:p w14:paraId="642FB570" w14:textId="77777777" w:rsidR="00531AFF" w:rsidRDefault="00531AFF" w:rsidP="006544B5">
            <w:pPr>
              <w:pStyle w:val="Body"/>
              <w:spacing w:after="160"/>
            </w:pPr>
            <w:r>
              <w:t>(a) the Auditor‑General (other than a report under section 43 of the Act), or</w:t>
            </w:r>
          </w:p>
          <w:p w14:paraId="155073DD" w14:textId="77777777" w:rsidR="00531AFF" w:rsidRDefault="00531AFF" w:rsidP="006544B5">
            <w:pPr>
              <w:pStyle w:val="Body"/>
              <w:spacing w:after="160"/>
            </w:pPr>
            <w:r>
              <w:t>(b) a Parliamentary Committee, or</w:t>
            </w:r>
          </w:p>
          <w:p w14:paraId="4A79A785" w14:textId="77777777" w:rsidR="00531AFF" w:rsidRDefault="00531AFF" w:rsidP="006544B5">
            <w:pPr>
              <w:pStyle w:val="Body"/>
              <w:spacing w:after="160"/>
            </w:pPr>
            <w:r>
              <w:t>(c) the Commonwealth Ombudsman, or</w:t>
            </w:r>
          </w:p>
          <w:p w14:paraId="381C8909" w14:textId="77777777" w:rsidR="00531AFF" w:rsidRDefault="00531AFF" w:rsidP="006544B5">
            <w:pPr>
              <w:pStyle w:val="Body"/>
            </w:pPr>
            <w:r>
              <w:t>(d) the Office of the Australian Information Commissioner</w:t>
            </w:r>
          </w:p>
        </w:tc>
        <w:tc>
          <w:tcPr>
            <w:tcW w:w="849" w:type="pct"/>
            <w:tcBorders>
              <w:top w:val="single" w:sz="2" w:space="0" w:color="D9D9D9" w:themeColor="background2" w:themeShade="D9"/>
              <w:bottom w:val="single" w:sz="2" w:space="0" w:color="D9D9D9" w:themeColor="background2" w:themeShade="D9"/>
            </w:tcBorders>
          </w:tcPr>
          <w:p w14:paraId="39C1F171" w14:textId="77777777" w:rsidR="00531AFF" w:rsidRDefault="00531AFF" w:rsidP="006544B5">
            <w:pPr>
              <w:pStyle w:val="Body"/>
            </w:pPr>
            <w:r>
              <w:t>If applicable, mandatory</w:t>
            </w:r>
          </w:p>
        </w:tc>
      </w:tr>
      <w:tr w:rsidR="00531AFF" w14:paraId="63F70D8B"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35B63697" w14:textId="77777777" w:rsidR="00531AFF" w:rsidRDefault="00531AFF" w:rsidP="006544B5">
            <w:pPr>
              <w:pStyle w:val="Body"/>
            </w:pPr>
            <w:r>
              <w:t>17BE(s)</w:t>
            </w:r>
          </w:p>
        </w:tc>
        <w:tc>
          <w:tcPr>
            <w:tcW w:w="849" w:type="pct"/>
            <w:tcBorders>
              <w:top w:val="single" w:sz="2" w:space="0" w:color="D9D9D9" w:themeColor="background2" w:themeShade="D9"/>
              <w:bottom w:val="single" w:sz="2" w:space="0" w:color="D9D9D9" w:themeColor="background2" w:themeShade="D9"/>
            </w:tcBorders>
          </w:tcPr>
          <w:p w14:paraId="2A59121A"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361841B8"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5B9DF440" w14:textId="77777777" w:rsidR="00531AFF" w:rsidRDefault="00531AFF" w:rsidP="006544B5">
            <w:pPr>
              <w:pStyle w:val="Body"/>
            </w:pPr>
            <w:r>
              <w:t>An explanation of information not obtained from a subsidiary of the entity and the effect of not having the information on the annual report</w:t>
            </w:r>
          </w:p>
        </w:tc>
        <w:tc>
          <w:tcPr>
            <w:tcW w:w="849" w:type="pct"/>
            <w:tcBorders>
              <w:top w:val="single" w:sz="2" w:space="0" w:color="D9D9D9" w:themeColor="background2" w:themeShade="D9"/>
              <w:bottom w:val="single" w:sz="2" w:space="0" w:color="D9D9D9" w:themeColor="background2" w:themeShade="D9"/>
            </w:tcBorders>
          </w:tcPr>
          <w:p w14:paraId="55B0353B" w14:textId="77777777" w:rsidR="00531AFF" w:rsidRDefault="00531AFF" w:rsidP="006544B5">
            <w:pPr>
              <w:pStyle w:val="Body"/>
            </w:pPr>
            <w:r>
              <w:t>If applicable, mandatory</w:t>
            </w:r>
          </w:p>
        </w:tc>
      </w:tr>
      <w:tr w:rsidR="00531AFF" w14:paraId="3BA8C94E"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17CF8A08" w14:textId="77777777" w:rsidR="00531AFF" w:rsidRDefault="00531AFF" w:rsidP="006544B5">
            <w:pPr>
              <w:pStyle w:val="Body"/>
            </w:pPr>
            <w:r>
              <w:t>17BE(t)</w:t>
            </w:r>
          </w:p>
        </w:tc>
        <w:tc>
          <w:tcPr>
            <w:tcW w:w="849" w:type="pct"/>
            <w:tcBorders>
              <w:top w:val="single" w:sz="2" w:space="0" w:color="D9D9D9" w:themeColor="background2" w:themeShade="D9"/>
              <w:bottom w:val="single" w:sz="2" w:space="0" w:color="D9D9D9" w:themeColor="background2" w:themeShade="D9"/>
            </w:tcBorders>
          </w:tcPr>
          <w:p w14:paraId="0FEF040A"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5F7AB0C6"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00DC7E2A" w14:textId="021B9933" w:rsidR="00531AFF" w:rsidRDefault="00531AFF" w:rsidP="006544B5">
            <w:pPr>
              <w:pStyle w:val="Body"/>
            </w:pPr>
            <w:r>
              <w:t>Details of any indemnity that applied during the reporting period to the accountable authority, any</w:t>
            </w:r>
            <w:r w:rsidR="00A01685">
              <w:t> </w:t>
            </w:r>
            <w:r>
              <w:t>member of the accountable authority or officer</w:t>
            </w:r>
            <w:r w:rsidR="00F9072A">
              <w:t> </w:t>
            </w:r>
            <w:r>
              <w:t>of the entity against a liability (including</w:t>
            </w:r>
            <w:r w:rsidR="00F9072A">
              <w:t> </w:t>
            </w:r>
            <w:r>
              <w:t>premiums</w:t>
            </w:r>
            <w:r w:rsidR="00F9072A">
              <w:t> </w:t>
            </w:r>
            <w:r>
              <w:t xml:space="preserve">paid, or agreed to be paid, for insurance against the authority, </w:t>
            </w:r>
            <w:proofErr w:type="gramStart"/>
            <w:r>
              <w:t>member</w:t>
            </w:r>
            <w:proofErr w:type="gramEnd"/>
            <w:r>
              <w:t xml:space="preserve"> or officer’s liability for legal costs)</w:t>
            </w:r>
          </w:p>
        </w:tc>
        <w:tc>
          <w:tcPr>
            <w:tcW w:w="849" w:type="pct"/>
            <w:tcBorders>
              <w:top w:val="single" w:sz="2" w:space="0" w:color="D9D9D9" w:themeColor="background2" w:themeShade="D9"/>
              <w:bottom w:val="single" w:sz="2" w:space="0" w:color="D9D9D9" w:themeColor="background2" w:themeShade="D9"/>
            </w:tcBorders>
          </w:tcPr>
          <w:p w14:paraId="25E0C9C1" w14:textId="77777777" w:rsidR="00531AFF" w:rsidRDefault="00531AFF" w:rsidP="006544B5">
            <w:pPr>
              <w:pStyle w:val="Body"/>
            </w:pPr>
            <w:r>
              <w:t>If applicable, mandatory</w:t>
            </w:r>
          </w:p>
        </w:tc>
      </w:tr>
      <w:tr w:rsidR="00531AFF" w14:paraId="5AA6A14C"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553F92A8" w14:textId="77777777" w:rsidR="00531AFF" w:rsidRDefault="00531AFF" w:rsidP="006544B5">
            <w:pPr>
              <w:pStyle w:val="Body"/>
            </w:pPr>
            <w:r>
              <w:t>17</w:t>
            </w:r>
            <w:proofErr w:type="gramStart"/>
            <w:r>
              <w:t>BE(</w:t>
            </w:r>
            <w:proofErr w:type="gramEnd"/>
            <w:r>
              <w:t>ta)</w:t>
            </w:r>
          </w:p>
        </w:tc>
        <w:tc>
          <w:tcPr>
            <w:tcW w:w="849" w:type="pct"/>
            <w:tcBorders>
              <w:top w:val="single" w:sz="2" w:space="0" w:color="D9D9D9" w:themeColor="background2" w:themeShade="D9"/>
              <w:bottom w:val="single" w:sz="2" w:space="0" w:color="D9D9D9" w:themeColor="background2" w:themeShade="D9"/>
            </w:tcBorders>
          </w:tcPr>
          <w:p w14:paraId="02EA2CF9" w14:textId="77777777" w:rsidR="00531AFF" w:rsidRDefault="00531AFF" w:rsidP="006544B5">
            <w:pPr>
              <w:pStyle w:val="Body"/>
            </w:pPr>
            <w:r w:rsidRPr="00583AAA">
              <w:t>Key management personnel</w:t>
            </w:r>
          </w:p>
        </w:tc>
        <w:tc>
          <w:tcPr>
            <w:tcW w:w="377" w:type="pct"/>
            <w:tcBorders>
              <w:top w:val="single" w:sz="2" w:space="0" w:color="D9D9D9" w:themeColor="background2" w:themeShade="D9"/>
              <w:bottom w:val="single" w:sz="2" w:space="0" w:color="D9D9D9" w:themeColor="background2" w:themeShade="D9"/>
            </w:tcBorders>
          </w:tcPr>
          <w:p w14:paraId="6CCBFC2F" w14:textId="6D87F9D1" w:rsidR="00531AFF" w:rsidRDefault="003079E3" w:rsidP="006544B5">
            <w:pPr>
              <w:pStyle w:val="Body"/>
            </w:pPr>
            <w:hyperlink w:anchor="KeyManagementPersonnel" w:history="1">
              <w:r w:rsidR="002B187A">
                <w:rPr>
                  <w:rStyle w:val="Hyperlink"/>
                </w:rPr>
                <w:t>7</w:t>
              </w:r>
              <w:r w:rsidR="001E2294">
                <w:rPr>
                  <w:rStyle w:val="Hyperlink"/>
                </w:rPr>
                <w:t>2</w:t>
              </w:r>
            </w:hyperlink>
          </w:p>
        </w:tc>
        <w:tc>
          <w:tcPr>
            <w:tcW w:w="2265" w:type="pct"/>
            <w:tcBorders>
              <w:top w:val="single" w:sz="2" w:space="0" w:color="D9D9D9" w:themeColor="background2" w:themeShade="D9"/>
              <w:bottom w:val="single" w:sz="2" w:space="0" w:color="D9D9D9" w:themeColor="background2" w:themeShade="D9"/>
            </w:tcBorders>
          </w:tcPr>
          <w:p w14:paraId="68968BF6" w14:textId="77777777" w:rsidR="00531AFF" w:rsidRDefault="00531AFF" w:rsidP="006544B5">
            <w:pPr>
              <w:pStyle w:val="Body"/>
            </w:pPr>
            <w:r>
              <w:t>Information about executive remuneration</w:t>
            </w:r>
          </w:p>
        </w:tc>
        <w:tc>
          <w:tcPr>
            <w:tcW w:w="849" w:type="pct"/>
            <w:tcBorders>
              <w:top w:val="single" w:sz="2" w:space="0" w:color="D9D9D9" w:themeColor="background2" w:themeShade="D9"/>
              <w:bottom w:val="single" w:sz="2" w:space="0" w:color="D9D9D9" w:themeColor="background2" w:themeShade="D9"/>
            </w:tcBorders>
          </w:tcPr>
          <w:p w14:paraId="72845B11" w14:textId="77777777" w:rsidR="00531AFF" w:rsidRDefault="00531AFF" w:rsidP="006544B5">
            <w:pPr>
              <w:pStyle w:val="Body"/>
            </w:pPr>
            <w:r>
              <w:t>Mandatory</w:t>
            </w:r>
          </w:p>
        </w:tc>
      </w:tr>
      <w:tr w:rsidR="00531AFF" w14:paraId="71B84671"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4586BFD8" w14:textId="77777777" w:rsidR="00531AFF" w:rsidRDefault="00531AFF" w:rsidP="006544B5">
            <w:pPr>
              <w:pStyle w:val="Body"/>
            </w:pPr>
            <w:r>
              <w:rPr>
                <w:b/>
              </w:rPr>
              <w:t>17BF</w:t>
            </w:r>
          </w:p>
        </w:tc>
        <w:tc>
          <w:tcPr>
            <w:tcW w:w="3491" w:type="pct"/>
            <w:gridSpan w:val="3"/>
            <w:tcBorders>
              <w:top w:val="single" w:sz="2" w:space="0" w:color="D9D9D9" w:themeColor="background2" w:themeShade="D9"/>
              <w:bottom w:val="single" w:sz="2" w:space="0" w:color="D9D9D9" w:themeColor="background2" w:themeShade="D9"/>
            </w:tcBorders>
          </w:tcPr>
          <w:p w14:paraId="5D7A9623" w14:textId="77777777" w:rsidR="00531AFF" w:rsidRDefault="00531AFF" w:rsidP="006544B5">
            <w:pPr>
              <w:pStyle w:val="Body"/>
              <w:ind w:right="880"/>
            </w:pPr>
            <w:r>
              <w:rPr>
                <w:b/>
              </w:rPr>
              <w:t>Disclosure requirements for government business enterprises</w:t>
            </w:r>
          </w:p>
        </w:tc>
        <w:tc>
          <w:tcPr>
            <w:tcW w:w="849" w:type="pct"/>
            <w:tcBorders>
              <w:top w:val="single" w:sz="2" w:space="0" w:color="D9D9D9" w:themeColor="background2" w:themeShade="D9"/>
              <w:bottom w:val="single" w:sz="2" w:space="0" w:color="D9D9D9" w:themeColor="background2" w:themeShade="D9"/>
            </w:tcBorders>
          </w:tcPr>
          <w:p w14:paraId="42DEA04B" w14:textId="77777777" w:rsidR="00531AFF" w:rsidRDefault="00531AFF" w:rsidP="006544B5">
            <w:pPr>
              <w:pStyle w:val="Body"/>
            </w:pPr>
          </w:p>
        </w:tc>
      </w:tr>
      <w:tr w:rsidR="00531AFF" w14:paraId="0CCBD436"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45735E27" w14:textId="77777777" w:rsidR="00531AFF" w:rsidRDefault="00531AFF" w:rsidP="006544B5">
            <w:pPr>
              <w:pStyle w:val="Body"/>
            </w:pPr>
            <w:r>
              <w:t>17BF(1)(a)</w:t>
            </w:r>
            <w:r>
              <w:br/>
              <w:t>(</w:t>
            </w:r>
            <w:r>
              <w:rPr>
                <w:rFonts w:ascii="Arial" w:hAnsi="Arial" w:cs="Arial" w:hint="cs"/>
                <w:rtl/>
              </w:rPr>
              <w:t>‍</w:t>
            </w:r>
            <w:proofErr w:type="spellStart"/>
            <w:r>
              <w:t>i</w:t>
            </w:r>
            <w:proofErr w:type="spellEnd"/>
            <w:r>
              <w:t>)</w:t>
            </w:r>
          </w:p>
        </w:tc>
        <w:tc>
          <w:tcPr>
            <w:tcW w:w="849" w:type="pct"/>
            <w:tcBorders>
              <w:top w:val="single" w:sz="2" w:space="0" w:color="D9D9D9" w:themeColor="background2" w:themeShade="D9"/>
              <w:bottom w:val="single" w:sz="2" w:space="0" w:color="D9D9D9" w:themeColor="background2" w:themeShade="D9"/>
            </w:tcBorders>
          </w:tcPr>
          <w:p w14:paraId="75EFD6CE"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0D109879"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50B60258" w14:textId="77777777" w:rsidR="00531AFF" w:rsidRDefault="00531AFF" w:rsidP="006544B5">
            <w:pPr>
              <w:pStyle w:val="Body"/>
            </w:pPr>
            <w:r>
              <w:t>An assessment of significant changes in the entity’s overall financial structure and financial conditions</w:t>
            </w:r>
          </w:p>
        </w:tc>
        <w:tc>
          <w:tcPr>
            <w:tcW w:w="849" w:type="pct"/>
            <w:tcBorders>
              <w:top w:val="single" w:sz="2" w:space="0" w:color="D9D9D9" w:themeColor="background2" w:themeShade="D9"/>
              <w:bottom w:val="single" w:sz="2" w:space="0" w:color="D9D9D9" w:themeColor="background2" w:themeShade="D9"/>
            </w:tcBorders>
          </w:tcPr>
          <w:p w14:paraId="7184C022" w14:textId="77777777" w:rsidR="00531AFF" w:rsidRDefault="00531AFF" w:rsidP="006544B5">
            <w:pPr>
              <w:pStyle w:val="Body"/>
            </w:pPr>
            <w:r>
              <w:t>If applicable, mandatory</w:t>
            </w:r>
          </w:p>
        </w:tc>
      </w:tr>
      <w:tr w:rsidR="00531AFF" w14:paraId="5998447E"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0298D8D6" w14:textId="77777777" w:rsidR="00531AFF" w:rsidRDefault="00531AFF" w:rsidP="006544B5">
            <w:pPr>
              <w:pStyle w:val="Body"/>
            </w:pPr>
            <w:r>
              <w:t>17BF(1)(a)</w:t>
            </w:r>
            <w:r>
              <w:br/>
              <w:t>(ii)</w:t>
            </w:r>
          </w:p>
        </w:tc>
        <w:tc>
          <w:tcPr>
            <w:tcW w:w="849" w:type="pct"/>
            <w:tcBorders>
              <w:top w:val="single" w:sz="2" w:space="0" w:color="D9D9D9" w:themeColor="background2" w:themeShade="D9"/>
              <w:bottom w:val="single" w:sz="2" w:space="0" w:color="D9D9D9" w:themeColor="background2" w:themeShade="D9"/>
            </w:tcBorders>
          </w:tcPr>
          <w:p w14:paraId="3CC34C94"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2B5DA482" w14:textId="77777777" w:rsidR="00531AFF" w:rsidRDefault="00531AFF" w:rsidP="006544B5">
            <w:pPr>
              <w:pStyle w:val="Body"/>
              <w:ind w:right="-94"/>
            </w:pPr>
          </w:p>
        </w:tc>
        <w:tc>
          <w:tcPr>
            <w:tcW w:w="2265" w:type="pct"/>
            <w:tcBorders>
              <w:top w:val="single" w:sz="2" w:space="0" w:color="D9D9D9" w:themeColor="background2" w:themeShade="D9"/>
              <w:bottom w:val="single" w:sz="2" w:space="0" w:color="D9D9D9" w:themeColor="background2" w:themeShade="D9"/>
            </w:tcBorders>
          </w:tcPr>
          <w:p w14:paraId="427CD86F" w14:textId="08C00F55" w:rsidR="00531AFF" w:rsidRDefault="00531AFF" w:rsidP="006544B5">
            <w:pPr>
              <w:pStyle w:val="Body"/>
              <w:ind w:right="-94"/>
            </w:pPr>
            <w:r>
              <w:t>An assessment of any events or risks that could cause financial information that is reported not to</w:t>
            </w:r>
            <w:r w:rsidR="00A01685">
              <w:t> </w:t>
            </w:r>
            <w:r>
              <w:t>be</w:t>
            </w:r>
            <w:r w:rsidR="00A01685">
              <w:t> </w:t>
            </w:r>
            <w:r>
              <w:t>indicative of future operations or financial conditions</w:t>
            </w:r>
          </w:p>
        </w:tc>
        <w:tc>
          <w:tcPr>
            <w:tcW w:w="849" w:type="pct"/>
            <w:tcBorders>
              <w:top w:val="single" w:sz="2" w:space="0" w:color="D9D9D9" w:themeColor="background2" w:themeShade="D9"/>
              <w:bottom w:val="single" w:sz="2" w:space="0" w:color="D9D9D9" w:themeColor="background2" w:themeShade="D9"/>
            </w:tcBorders>
          </w:tcPr>
          <w:p w14:paraId="4A87DF8F" w14:textId="77777777" w:rsidR="00531AFF" w:rsidRDefault="00531AFF" w:rsidP="006544B5">
            <w:pPr>
              <w:pStyle w:val="Body"/>
            </w:pPr>
            <w:r>
              <w:t>If applicable, mandatory</w:t>
            </w:r>
          </w:p>
        </w:tc>
      </w:tr>
      <w:tr w:rsidR="00531AFF" w14:paraId="18996900"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418883EB" w14:textId="77777777" w:rsidR="00531AFF" w:rsidRDefault="00531AFF" w:rsidP="006544B5">
            <w:pPr>
              <w:pStyle w:val="Body"/>
            </w:pPr>
            <w:r>
              <w:t>17BF(1)(b)</w:t>
            </w:r>
          </w:p>
        </w:tc>
        <w:tc>
          <w:tcPr>
            <w:tcW w:w="849" w:type="pct"/>
            <w:tcBorders>
              <w:top w:val="single" w:sz="2" w:space="0" w:color="D9D9D9" w:themeColor="background2" w:themeShade="D9"/>
              <w:bottom w:val="single" w:sz="2" w:space="0" w:color="D9D9D9" w:themeColor="background2" w:themeShade="D9"/>
            </w:tcBorders>
          </w:tcPr>
          <w:p w14:paraId="2D39A8A9"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18083084"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0D39F89F" w14:textId="77777777" w:rsidR="00531AFF" w:rsidRDefault="00531AFF" w:rsidP="006544B5">
            <w:pPr>
              <w:pStyle w:val="Body"/>
            </w:pPr>
            <w:r>
              <w:t>Information on dividends paid or recommended</w:t>
            </w:r>
          </w:p>
        </w:tc>
        <w:tc>
          <w:tcPr>
            <w:tcW w:w="849" w:type="pct"/>
            <w:tcBorders>
              <w:top w:val="single" w:sz="2" w:space="0" w:color="D9D9D9" w:themeColor="background2" w:themeShade="D9"/>
              <w:bottom w:val="single" w:sz="2" w:space="0" w:color="D9D9D9" w:themeColor="background2" w:themeShade="D9"/>
            </w:tcBorders>
          </w:tcPr>
          <w:p w14:paraId="040395E0" w14:textId="77777777" w:rsidR="00531AFF" w:rsidRDefault="00531AFF" w:rsidP="006544B5">
            <w:pPr>
              <w:pStyle w:val="Body"/>
            </w:pPr>
            <w:r>
              <w:t>If applicable, mandatory</w:t>
            </w:r>
          </w:p>
        </w:tc>
      </w:tr>
      <w:tr w:rsidR="00531AFF" w14:paraId="227B7609"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505DE86F" w14:textId="77777777" w:rsidR="00531AFF" w:rsidRDefault="00531AFF" w:rsidP="006544B5">
            <w:pPr>
              <w:pStyle w:val="Body"/>
            </w:pPr>
            <w:r>
              <w:t>17BF(1)(c)</w:t>
            </w:r>
          </w:p>
        </w:tc>
        <w:tc>
          <w:tcPr>
            <w:tcW w:w="849" w:type="pct"/>
            <w:tcBorders>
              <w:top w:val="single" w:sz="2" w:space="0" w:color="D9D9D9" w:themeColor="background2" w:themeShade="D9"/>
              <w:bottom w:val="single" w:sz="2" w:space="0" w:color="D9D9D9" w:themeColor="background2" w:themeShade="D9"/>
            </w:tcBorders>
          </w:tcPr>
          <w:p w14:paraId="3DAAD672"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5DF1B15F"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1C2E812D" w14:textId="77777777" w:rsidR="00531AFF" w:rsidRDefault="00531AFF" w:rsidP="006544B5">
            <w:pPr>
              <w:pStyle w:val="Body"/>
              <w:spacing w:after="160"/>
            </w:pPr>
            <w:r>
              <w:t>Details of any community service obligations the government business enterprise has including:</w:t>
            </w:r>
          </w:p>
          <w:p w14:paraId="3F1E51E5" w14:textId="77777777" w:rsidR="00531AFF" w:rsidRDefault="00531AFF" w:rsidP="006544B5">
            <w:pPr>
              <w:pStyle w:val="Body"/>
              <w:spacing w:after="160"/>
            </w:pPr>
            <w:r>
              <w:t>(a) an outline of actions taken to fulfil those obligations, and</w:t>
            </w:r>
          </w:p>
          <w:p w14:paraId="0938A107" w14:textId="77777777" w:rsidR="00531AFF" w:rsidRDefault="00531AFF" w:rsidP="006544B5">
            <w:pPr>
              <w:pStyle w:val="Body"/>
            </w:pPr>
            <w:r>
              <w:t>(b) an assessment of the cost of fulfilling those obligations</w:t>
            </w:r>
          </w:p>
        </w:tc>
        <w:tc>
          <w:tcPr>
            <w:tcW w:w="849" w:type="pct"/>
            <w:tcBorders>
              <w:top w:val="single" w:sz="2" w:space="0" w:color="D9D9D9" w:themeColor="background2" w:themeShade="D9"/>
              <w:bottom w:val="single" w:sz="2" w:space="0" w:color="D9D9D9" w:themeColor="background2" w:themeShade="D9"/>
            </w:tcBorders>
          </w:tcPr>
          <w:p w14:paraId="5C862D0F" w14:textId="77777777" w:rsidR="00531AFF" w:rsidRDefault="00531AFF" w:rsidP="006544B5">
            <w:pPr>
              <w:pStyle w:val="Body"/>
            </w:pPr>
            <w:r>
              <w:t>If applicable, mandatory</w:t>
            </w:r>
          </w:p>
        </w:tc>
      </w:tr>
      <w:tr w:rsidR="00531AFF" w14:paraId="3C892966" w14:textId="77777777" w:rsidTr="00820096">
        <w:trPr>
          <w:trHeight w:val="170"/>
          <w:tblHeader/>
        </w:trPr>
        <w:tc>
          <w:tcPr>
            <w:tcW w:w="660" w:type="pct"/>
            <w:tcBorders>
              <w:top w:val="single" w:sz="2" w:space="0" w:color="D9D9D9" w:themeColor="background2" w:themeShade="D9"/>
              <w:bottom w:val="single" w:sz="2" w:space="0" w:color="D9D9D9" w:themeColor="background2" w:themeShade="D9"/>
            </w:tcBorders>
          </w:tcPr>
          <w:p w14:paraId="756C0C16" w14:textId="77777777" w:rsidR="00531AFF" w:rsidRDefault="00531AFF" w:rsidP="006544B5">
            <w:pPr>
              <w:pStyle w:val="Body"/>
            </w:pPr>
            <w:r>
              <w:t>17</w:t>
            </w:r>
            <w:proofErr w:type="gramStart"/>
            <w:r>
              <w:t>BF(</w:t>
            </w:r>
            <w:proofErr w:type="gramEnd"/>
            <w:r>
              <w:t>2)</w:t>
            </w:r>
          </w:p>
        </w:tc>
        <w:tc>
          <w:tcPr>
            <w:tcW w:w="849" w:type="pct"/>
            <w:tcBorders>
              <w:top w:val="single" w:sz="2" w:space="0" w:color="D9D9D9" w:themeColor="background2" w:themeShade="D9"/>
              <w:bottom w:val="single" w:sz="2" w:space="0" w:color="D9D9D9" w:themeColor="background2" w:themeShade="D9"/>
            </w:tcBorders>
          </w:tcPr>
          <w:p w14:paraId="4D189982" w14:textId="77777777" w:rsidR="00531AFF" w:rsidRDefault="00531AFF" w:rsidP="006544B5">
            <w:pPr>
              <w:pStyle w:val="Body"/>
            </w:pPr>
            <w:r>
              <w:t>N/A</w:t>
            </w:r>
          </w:p>
        </w:tc>
        <w:tc>
          <w:tcPr>
            <w:tcW w:w="377" w:type="pct"/>
            <w:tcBorders>
              <w:top w:val="single" w:sz="2" w:space="0" w:color="D9D9D9" w:themeColor="background2" w:themeShade="D9"/>
              <w:bottom w:val="single" w:sz="2" w:space="0" w:color="D9D9D9" w:themeColor="background2" w:themeShade="D9"/>
            </w:tcBorders>
          </w:tcPr>
          <w:p w14:paraId="43C5F142" w14:textId="77777777" w:rsidR="00531AFF" w:rsidRDefault="00531AFF" w:rsidP="006544B5">
            <w:pPr>
              <w:pStyle w:val="Body"/>
            </w:pPr>
          </w:p>
        </w:tc>
        <w:tc>
          <w:tcPr>
            <w:tcW w:w="2265" w:type="pct"/>
            <w:tcBorders>
              <w:top w:val="single" w:sz="2" w:space="0" w:color="D9D9D9" w:themeColor="background2" w:themeShade="D9"/>
              <w:bottom w:val="single" w:sz="2" w:space="0" w:color="D9D9D9" w:themeColor="background2" w:themeShade="D9"/>
            </w:tcBorders>
          </w:tcPr>
          <w:p w14:paraId="1BC5536F" w14:textId="77777777" w:rsidR="00531AFF" w:rsidRDefault="00531AFF" w:rsidP="006544B5">
            <w:pPr>
              <w:pStyle w:val="Body"/>
            </w:pPr>
            <w:r>
              <w:t>A statement regarding the exclusion of information on the grounds that the information is commercially sensitive and would be likely to result in unreasonable commercial prejudice to the government business enterprise</w:t>
            </w:r>
          </w:p>
        </w:tc>
        <w:tc>
          <w:tcPr>
            <w:tcW w:w="849" w:type="pct"/>
            <w:tcBorders>
              <w:top w:val="single" w:sz="2" w:space="0" w:color="D9D9D9" w:themeColor="background2" w:themeShade="D9"/>
              <w:bottom w:val="single" w:sz="2" w:space="0" w:color="D9D9D9" w:themeColor="background2" w:themeShade="D9"/>
            </w:tcBorders>
          </w:tcPr>
          <w:p w14:paraId="7C1E96B9" w14:textId="77777777" w:rsidR="00531AFF" w:rsidRDefault="00531AFF" w:rsidP="006544B5">
            <w:pPr>
              <w:pStyle w:val="Body"/>
            </w:pPr>
            <w:r>
              <w:t>If applicable, mandatory</w:t>
            </w:r>
          </w:p>
        </w:tc>
      </w:tr>
    </w:tbl>
    <w:p w14:paraId="3F040A32" w14:textId="77777777" w:rsidR="00531AFF" w:rsidRDefault="00531AFF" w:rsidP="00156309">
      <w:pPr>
        <w:pStyle w:val="Body"/>
        <w:rPr>
          <w:color w:val="292929"/>
        </w:rPr>
        <w:sectPr w:rsidR="00531AFF" w:rsidSect="00820096">
          <w:footerReference w:type="default" r:id="rId232"/>
          <w:pgSz w:w="9979" w:h="14175"/>
          <w:pgMar w:top="1134" w:right="1134" w:bottom="993" w:left="1134" w:header="709" w:footer="709" w:gutter="0"/>
          <w:cols w:space="708"/>
          <w:docGrid w:linePitch="360"/>
        </w:sectPr>
      </w:pPr>
    </w:p>
    <w:p w14:paraId="602C305A" w14:textId="77777777" w:rsidR="00504250" w:rsidRDefault="00504250" w:rsidP="00504250">
      <w:pPr>
        <w:pStyle w:val="Heading1"/>
        <w:rPr>
          <w:color w:val="1C1C1C"/>
        </w:rPr>
        <w:sectPr w:rsidR="00504250" w:rsidSect="00FC5187">
          <w:footerReference w:type="default" r:id="rId233"/>
          <w:pgSz w:w="9979" w:h="14175"/>
          <w:pgMar w:top="1134" w:right="1134" w:bottom="1134" w:left="1134" w:header="709" w:footer="709" w:gutter="0"/>
          <w:cols w:space="708"/>
          <w:docGrid w:linePitch="360"/>
        </w:sectPr>
      </w:pPr>
      <w:bookmarkStart w:id="214" w:name="_Toc50378092"/>
      <w:bookmarkStart w:id="215" w:name="_Toc84488762"/>
      <w:r w:rsidRPr="002B2536">
        <w:rPr>
          <w:color w:val="1C1C1C"/>
        </w:rPr>
        <w:lastRenderedPageBreak/>
        <w:t>Index</w:t>
      </w:r>
      <w:bookmarkEnd w:id="214"/>
      <w:bookmarkEnd w:id="215"/>
    </w:p>
    <w:p w14:paraId="2B4A324D" w14:textId="77777777" w:rsidR="00DF1B95" w:rsidRPr="00DD236E" w:rsidRDefault="00DF1B95" w:rsidP="00DF1B95">
      <w:pPr>
        <w:pStyle w:val="H3"/>
        <w:spacing w:before="0" w:after="120"/>
        <w:rPr>
          <w:color w:val="1C1C1C"/>
        </w:rPr>
      </w:pPr>
      <w:r w:rsidRPr="00DD236E">
        <w:rPr>
          <w:color w:val="1C1C1C"/>
        </w:rPr>
        <w:t>A</w:t>
      </w:r>
    </w:p>
    <w:p w14:paraId="58786D24" w14:textId="77777777" w:rsidR="00DF1B95" w:rsidRDefault="00DF1B95" w:rsidP="00DF1B95">
      <w:pPr>
        <w:pStyle w:val="indexcopy"/>
      </w:pPr>
      <w:r>
        <w:t>accountability and management, 64–75</w:t>
      </w:r>
    </w:p>
    <w:p w14:paraId="1EFFEE9F" w14:textId="77777777" w:rsidR="00DF1B95" w:rsidRDefault="00DF1B95" w:rsidP="00DF1B95">
      <w:pPr>
        <w:pStyle w:val="indexcopy"/>
      </w:pPr>
      <w:r>
        <w:t>accountable authority, 1, 26, 66, 67, 73, 74</w:t>
      </w:r>
    </w:p>
    <w:p w14:paraId="5B721CDB" w14:textId="77777777" w:rsidR="00DF1B95" w:rsidRDefault="00DF1B95" w:rsidP="00DF1B95">
      <w:pPr>
        <w:pStyle w:val="indentindexcopy"/>
      </w:pPr>
      <w:r>
        <w:t>annual performance statements, 38–61</w:t>
      </w:r>
    </w:p>
    <w:p w14:paraId="43C9E842" w14:textId="77777777" w:rsidR="00DF1B95" w:rsidRDefault="00DF1B95" w:rsidP="00DF1B95">
      <w:pPr>
        <w:pStyle w:val="indexcopy"/>
      </w:pPr>
      <w:r>
        <w:t>acronyms and abbreviations, 105</w:t>
      </w:r>
    </w:p>
    <w:p w14:paraId="33DFF8A1" w14:textId="77777777" w:rsidR="00DF1B95" w:rsidRDefault="00DF1B95" w:rsidP="00DF1B95">
      <w:pPr>
        <w:pStyle w:val="indexcopy"/>
      </w:pPr>
      <w:r>
        <w:t>activity based funding (ABF), 12–14, 43</w:t>
      </w:r>
    </w:p>
    <w:p w14:paraId="32520B5C" w14:textId="77777777" w:rsidR="00DF1B95" w:rsidRDefault="00DF1B95" w:rsidP="00DF1B95">
      <w:pPr>
        <w:pStyle w:val="indentindexcopy"/>
      </w:pPr>
      <w:r>
        <w:t>alternative funding models to, 59</w:t>
      </w:r>
    </w:p>
    <w:p w14:paraId="108A9E38" w14:textId="77777777" w:rsidR="00DF1B95" w:rsidRDefault="00DF1B95" w:rsidP="00DF1B95">
      <w:pPr>
        <w:pStyle w:val="indentindexcopy"/>
      </w:pPr>
      <w:r>
        <w:t>analysis and research, 58</w:t>
      </w:r>
    </w:p>
    <w:p w14:paraId="30E47CFF" w14:textId="77777777" w:rsidR="00DF1B95" w:rsidRDefault="00DF1B95" w:rsidP="00DF1B95">
      <w:pPr>
        <w:pStyle w:val="indentindexcopy"/>
      </w:pPr>
      <w:r>
        <w:t>classifications for, 14, 44–48</w:t>
      </w:r>
    </w:p>
    <w:p w14:paraId="489C1462" w14:textId="77777777" w:rsidR="00DF1B95" w:rsidRDefault="00DF1B95" w:rsidP="00DF1B95">
      <w:pPr>
        <w:pStyle w:val="indentindexcopy"/>
      </w:pPr>
      <w:r>
        <w:t>conference, 58</w:t>
      </w:r>
    </w:p>
    <w:p w14:paraId="26C6D3F6" w14:textId="77777777" w:rsidR="00DF1B95" w:rsidRDefault="00DF1B95" w:rsidP="00DF1B95">
      <w:pPr>
        <w:pStyle w:val="indentindexcopy"/>
      </w:pPr>
      <w:r>
        <w:t>data collection, 53, 54</w:t>
      </w:r>
    </w:p>
    <w:p w14:paraId="34BE4E79" w14:textId="77777777" w:rsidR="00DF1B95" w:rsidRDefault="00DF1B95" w:rsidP="00DF1B95">
      <w:pPr>
        <w:pStyle w:val="indentindexcopy"/>
      </w:pPr>
      <w:r>
        <w:t>defined, 106</w:t>
      </w:r>
    </w:p>
    <w:p w14:paraId="03D54417" w14:textId="77777777" w:rsidR="00DF1B95" w:rsidRDefault="00DF1B95" w:rsidP="00DF1B95">
      <w:pPr>
        <w:pStyle w:val="indentindexcopy"/>
      </w:pPr>
      <w:r>
        <w:t>research and analysis into, 58</w:t>
      </w:r>
    </w:p>
    <w:p w14:paraId="27A1C873" w14:textId="77777777" w:rsidR="00DF1B95" w:rsidRDefault="00DF1B95" w:rsidP="00DF1B95">
      <w:pPr>
        <w:pStyle w:val="indexcopy"/>
      </w:pPr>
      <w:r>
        <w:t>Activity Based Funding Conference, 29, 30, 58, 60, 61</w:t>
      </w:r>
    </w:p>
    <w:p w14:paraId="0493B00F" w14:textId="77777777" w:rsidR="00DF1B95" w:rsidRDefault="00DF1B95" w:rsidP="00DF1B95">
      <w:pPr>
        <w:pStyle w:val="indexcopy"/>
      </w:pPr>
      <w:r>
        <w:t>acute care classifications, 32</w:t>
      </w:r>
    </w:p>
    <w:p w14:paraId="30D5DF7B" w14:textId="77777777" w:rsidR="00DF1B95" w:rsidRDefault="00DF1B95" w:rsidP="00DF1B95">
      <w:pPr>
        <w:pStyle w:val="indexcopy"/>
      </w:pPr>
      <w:r>
        <w:t>Addendum to the National Health Reform Agreement 2017–20, 8, 9</w:t>
      </w:r>
    </w:p>
    <w:p w14:paraId="17EB35B9" w14:textId="2C1E4801" w:rsidR="00DF1B95" w:rsidRDefault="00DF1B95" w:rsidP="00DF1B95">
      <w:pPr>
        <w:pStyle w:val="indexcopy"/>
      </w:pPr>
      <w:r>
        <w:t xml:space="preserve">Addendum to the National Health Reform Agreement 2020–25, </w:t>
      </w:r>
      <w:proofErr w:type="spellStart"/>
      <w:r>
        <w:t>i</w:t>
      </w:r>
      <w:proofErr w:type="spellEnd"/>
      <w:r>
        <w:t>, 4–5, 8, 28, 42, 43, 56, 61</w:t>
      </w:r>
    </w:p>
    <w:p w14:paraId="3578AAFC" w14:textId="77777777" w:rsidR="00DF1B95" w:rsidRDefault="00DF1B95" w:rsidP="00DF1B95">
      <w:pPr>
        <w:pStyle w:val="indexcopy"/>
      </w:pPr>
      <w:r>
        <w:t>Administrator of the National Health Funding Pool, 12, 43, 54</w:t>
      </w:r>
    </w:p>
    <w:p w14:paraId="714468E6" w14:textId="77777777" w:rsidR="00DF1B95" w:rsidRDefault="00DF1B95" w:rsidP="00DF1B95">
      <w:pPr>
        <w:pStyle w:val="indexcopy"/>
      </w:pPr>
      <w:r>
        <w:t>admitted care classifications, 28, 30, 32, 48</w:t>
      </w:r>
    </w:p>
    <w:p w14:paraId="68793A36" w14:textId="77777777" w:rsidR="00DF1B95" w:rsidRDefault="00DF1B95" w:rsidP="00DF1B95">
      <w:pPr>
        <w:pStyle w:val="indexcopy"/>
      </w:pPr>
      <w:r>
        <w:t>advertising and market research, 75</w:t>
      </w:r>
    </w:p>
    <w:p w14:paraId="0DBB10CC" w14:textId="77777777" w:rsidR="00DF1B95" w:rsidRDefault="00DF1B95" w:rsidP="00DF1B95">
      <w:pPr>
        <w:pStyle w:val="indexcopy"/>
      </w:pPr>
      <w:r>
        <w:t>advisory committees, 17–19, 58</w:t>
      </w:r>
    </w:p>
    <w:p w14:paraId="5C801A28" w14:textId="77777777" w:rsidR="00DF1B95" w:rsidRDefault="00DF1B95" w:rsidP="00DF1B95">
      <w:pPr>
        <w:pStyle w:val="indentindexcopy"/>
      </w:pPr>
      <w:r w:rsidRPr="00420073">
        <w:rPr>
          <w:i/>
          <w:iCs/>
        </w:rPr>
        <w:t>See also</w:t>
      </w:r>
      <w:r>
        <w:t xml:space="preserve"> Clinical Advisory Committee</w:t>
      </w:r>
    </w:p>
    <w:p w14:paraId="39784547" w14:textId="65AEF054" w:rsidR="00DF1B95" w:rsidRDefault="00DF1B95" w:rsidP="00DF1B95">
      <w:pPr>
        <w:pStyle w:val="indexcopy"/>
      </w:pPr>
      <w:r>
        <w:t>aged care service pricing, i</w:t>
      </w:r>
      <w:r w:rsidR="00EF43B5">
        <w:t>ii</w:t>
      </w:r>
      <w:r>
        <w:t>, 5, 29</w:t>
      </w:r>
    </w:p>
    <w:p w14:paraId="560678FA" w14:textId="5CA55851" w:rsidR="00DF1B95" w:rsidRDefault="00DF1B95" w:rsidP="00DF1B95">
      <w:pPr>
        <w:pStyle w:val="indexcopy"/>
      </w:pPr>
      <w:r>
        <w:t>aggregate non-admitted data collection, phasing</w:t>
      </w:r>
      <w:r w:rsidR="00337F26">
        <w:t> </w:t>
      </w:r>
      <w:r>
        <w:t>out, 53, 54</w:t>
      </w:r>
    </w:p>
    <w:p w14:paraId="515BF3E6" w14:textId="77777777" w:rsidR="00DF1B95" w:rsidRDefault="00DF1B95" w:rsidP="00DF1B95">
      <w:pPr>
        <w:pStyle w:val="indexcopy"/>
      </w:pPr>
      <w:r>
        <w:t>ANAO report, 79–80</w:t>
      </w:r>
    </w:p>
    <w:p w14:paraId="4FA899AB" w14:textId="77777777" w:rsidR="00DF1B95" w:rsidRDefault="00DF1B95" w:rsidP="00DF1B95">
      <w:pPr>
        <w:pStyle w:val="indexcopy"/>
      </w:pPr>
      <w:r>
        <w:t>annual performance statements, 38–61</w:t>
      </w:r>
    </w:p>
    <w:p w14:paraId="121C0A2B" w14:textId="77777777" w:rsidR="00DF1B95" w:rsidRDefault="00DF1B95" w:rsidP="00DF1B95">
      <w:pPr>
        <w:pStyle w:val="indentindexcopy"/>
      </w:pPr>
      <w:r>
        <w:t>Activity 1, 40–43</w:t>
      </w:r>
    </w:p>
    <w:p w14:paraId="58BECD51" w14:textId="77777777" w:rsidR="00DF1B95" w:rsidRDefault="00DF1B95" w:rsidP="00DF1B95">
      <w:pPr>
        <w:pStyle w:val="indentindexcopy"/>
      </w:pPr>
      <w:r>
        <w:t>Activity 2, 44–48</w:t>
      </w:r>
    </w:p>
    <w:p w14:paraId="2AD77105" w14:textId="77777777" w:rsidR="00DF1B95" w:rsidRDefault="00DF1B95" w:rsidP="00DF1B95">
      <w:pPr>
        <w:pStyle w:val="indentindexcopy"/>
      </w:pPr>
      <w:r>
        <w:t>Activity 3, 49–51</w:t>
      </w:r>
    </w:p>
    <w:p w14:paraId="2617A96E" w14:textId="77777777" w:rsidR="00DF1B95" w:rsidRDefault="00DF1B95" w:rsidP="00DF1B95">
      <w:pPr>
        <w:pStyle w:val="indexcopy"/>
      </w:pPr>
      <w:r>
        <w:br w:type="column"/>
      </w:r>
      <w:r>
        <w:t xml:space="preserve">annual performance statements, </w:t>
      </w:r>
      <w:r w:rsidRPr="00F73860">
        <w:rPr>
          <w:i/>
          <w:iCs/>
        </w:rPr>
        <w:t>continued</w:t>
      </w:r>
    </w:p>
    <w:p w14:paraId="74CBA7EA" w14:textId="77777777" w:rsidR="00DF1B95" w:rsidRDefault="00DF1B95" w:rsidP="00DF1B95">
      <w:pPr>
        <w:pStyle w:val="indentindexcopy"/>
      </w:pPr>
      <w:r>
        <w:t>Activity 4, 52–54</w:t>
      </w:r>
    </w:p>
    <w:p w14:paraId="43F5BCBC" w14:textId="77777777" w:rsidR="00DF1B95" w:rsidRDefault="00DF1B95" w:rsidP="00DF1B95">
      <w:pPr>
        <w:pStyle w:val="indentindexcopy"/>
      </w:pPr>
      <w:r>
        <w:t>Activity 5, 55–56</w:t>
      </w:r>
    </w:p>
    <w:p w14:paraId="45565489" w14:textId="77777777" w:rsidR="00DF1B95" w:rsidRDefault="00DF1B95" w:rsidP="00DF1B95">
      <w:pPr>
        <w:pStyle w:val="indentindexcopy"/>
      </w:pPr>
      <w:r>
        <w:t>Activity 6, 57–61</w:t>
      </w:r>
    </w:p>
    <w:p w14:paraId="1BF5D640" w14:textId="77777777" w:rsidR="00DF1B95" w:rsidRDefault="00DF1B95" w:rsidP="00DF1B95">
      <w:pPr>
        <w:pStyle w:val="indentindexcopy"/>
      </w:pPr>
      <w:r>
        <w:t>analysis, 43, 48, 51, 54, 56, 61</w:t>
      </w:r>
    </w:p>
    <w:p w14:paraId="41291DDB" w14:textId="77777777" w:rsidR="00DF1B95" w:rsidRDefault="00DF1B95" w:rsidP="00DF1B95">
      <w:pPr>
        <w:pStyle w:val="indentindexcopy"/>
      </w:pPr>
      <w:r>
        <w:t>summary, 39</w:t>
      </w:r>
    </w:p>
    <w:p w14:paraId="616B34C5" w14:textId="77777777" w:rsidR="00DF1B95" w:rsidRDefault="00DF1B95" w:rsidP="00DF1B95">
      <w:pPr>
        <w:pStyle w:val="indexcopy"/>
      </w:pPr>
      <w:r>
        <w:t>Appleyard, Glenn, 24</w:t>
      </w:r>
    </w:p>
    <w:p w14:paraId="68D45E14" w14:textId="77777777" w:rsidR="00DF1B95" w:rsidRDefault="00DF1B95" w:rsidP="00DF1B95">
      <w:pPr>
        <w:pStyle w:val="indexcopy"/>
      </w:pPr>
      <w:r>
        <w:t>Assessment of New Health Technology, 47</w:t>
      </w:r>
    </w:p>
    <w:p w14:paraId="362A106A" w14:textId="77777777" w:rsidR="00DF1B95" w:rsidRDefault="00DF1B95" w:rsidP="00DF1B95">
      <w:pPr>
        <w:pStyle w:val="indexcopy"/>
      </w:pPr>
      <w:r>
        <w:t>Audit, Risk and Compliance Committee, 66–68</w:t>
      </w:r>
    </w:p>
    <w:p w14:paraId="06C4829C" w14:textId="77777777" w:rsidR="00DF1B95" w:rsidRDefault="00DF1B95" w:rsidP="00DF1B95">
      <w:pPr>
        <w:pStyle w:val="indexcopy"/>
      </w:pPr>
      <w:r>
        <w:t>audits, 64, 65</w:t>
      </w:r>
    </w:p>
    <w:p w14:paraId="3BD354D1" w14:textId="77777777" w:rsidR="00DF1B95" w:rsidRDefault="00DF1B95" w:rsidP="00DF1B95">
      <w:pPr>
        <w:pStyle w:val="indentindexcopy"/>
      </w:pPr>
      <w:r>
        <w:t>independent auditor’s report, 79–80</w:t>
      </w:r>
    </w:p>
    <w:p w14:paraId="3569ADF8" w14:textId="77777777" w:rsidR="00DF1B95" w:rsidRDefault="00DF1B95" w:rsidP="00DF1B95">
      <w:pPr>
        <w:pStyle w:val="indexcopy"/>
      </w:pPr>
      <w:r>
        <w:t>Australian Accounting Standards, 51, 86</w:t>
      </w:r>
    </w:p>
    <w:p w14:paraId="3243C6FB" w14:textId="77777777" w:rsidR="00DF1B95" w:rsidRDefault="00DF1B95" w:rsidP="00DF1B95">
      <w:pPr>
        <w:pStyle w:val="indexcopy"/>
      </w:pPr>
      <w:r>
        <w:t>Australian Classification of Health Interventions, 45, 46, 47, 59</w:t>
      </w:r>
    </w:p>
    <w:p w14:paraId="6D355463" w14:textId="77777777" w:rsidR="00DF1B95" w:rsidRDefault="00DF1B95" w:rsidP="00DF1B95">
      <w:pPr>
        <w:pStyle w:val="indexcopy"/>
      </w:pPr>
      <w:r>
        <w:t>Australian Classification of Health Interventions (ACHI), 36</w:t>
      </w:r>
    </w:p>
    <w:p w14:paraId="31F34590" w14:textId="77777777" w:rsidR="00DF1B95" w:rsidRDefault="00DF1B95" w:rsidP="00DF1B95">
      <w:pPr>
        <w:pStyle w:val="indexcopy"/>
        <w:ind w:right="-185"/>
      </w:pPr>
      <w:r>
        <w:t>Australian Coding Standards (ACS), 45, 46, 47, 59</w:t>
      </w:r>
    </w:p>
    <w:p w14:paraId="5CC078DB" w14:textId="47ABFD39" w:rsidR="00DF1B95" w:rsidRDefault="00DF1B95" w:rsidP="00DF1B95">
      <w:pPr>
        <w:pStyle w:val="indexcopy"/>
      </w:pPr>
      <w:r>
        <w:t>Australian Commission on Safety and Quality in Health Care, ii, 8, 9</w:t>
      </w:r>
    </w:p>
    <w:p w14:paraId="5EE957B4" w14:textId="77777777" w:rsidR="00DF1B95" w:rsidRDefault="00DF1B95" w:rsidP="00DF1B95">
      <w:pPr>
        <w:pStyle w:val="indexcopy"/>
      </w:pPr>
      <w:r>
        <w:t>Australian Emergency Care Classification (AECC), 28, 46, 48</w:t>
      </w:r>
    </w:p>
    <w:p w14:paraId="38D66EAE" w14:textId="77777777" w:rsidR="00DF1B95" w:rsidRDefault="00DF1B95" w:rsidP="00DF1B95">
      <w:pPr>
        <w:pStyle w:val="indexcopy"/>
      </w:pPr>
      <w:r>
        <w:t>Australian Health Ministers Advisory Council, 11</w:t>
      </w:r>
    </w:p>
    <w:p w14:paraId="1560DE55" w14:textId="77777777" w:rsidR="00DF1B95" w:rsidRDefault="00DF1B95" w:rsidP="00DF1B95">
      <w:pPr>
        <w:pStyle w:val="indexcopy"/>
      </w:pPr>
      <w:r>
        <w:t>Australian Hospital Patient Costing Standards, 50</w:t>
      </w:r>
    </w:p>
    <w:p w14:paraId="403E238B" w14:textId="77777777" w:rsidR="00DF1B95" w:rsidRDefault="00DF1B95" w:rsidP="00DF1B95">
      <w:pPr>
        <w:pStyle w:val="indexcopy"/>
      </w:pPr>
      <w:r>
        <w:t>Australian Mental Health Care Classification, 28, 43, 46, 48</w:t>
      </w:r>
    </w:p>
    <w:p w14:paraId="2AE65BF8" w14:textId="77777777" w:rsidR="00DF1B95" w:rsidRDefault="00DF1B95" w:rsidP="00DF1B95">
      <w:pPr>
        <w:pStyle w:val="indexcopy"/>
      </w:pPr>
      <w:r>
        <w:t>Australian National Audit Office (ANAO), 79–80</w:t>
      </w:r>
    </w:p>
    <w:p w14:paraId="62631614" w14:textId="77777777" w:rsidR="00DF1B95" w:rsidRDefault="00DF1B95" w:rsidP="00DF1B95">
      <w:pPr>
        <w:pStyle w:val="indexcopy"/>
      </w:pPr>
      <w:r>
        <w:t>Australian National Subacute and Non-Acute Patient Classification (AN-SNAP), 30, 32, 36, 46, 48</w:t>
      </w:r>
    </w:p>
    <w:p w14:paraId="0E52E711" w14:textId="77777777" w:rsidR="00DF1B95" w:rsidRDefault="00DF1B95" w:rsidP="00DF1B95">
      <w:pPr>
        <w:pStyle w:val="indexcopy"/>
        <w:ind w:right="-185"/>
      </w:pPr>
      <w:r>
        <w:t>Australian Non-Admitted Care Classification, 46, 48</w:t>
      </w:r>
    </w:p>
    <w:p w14:paraId="1D773CF0" w14:textId="77777777" w:rsidR="00DF1B95" w:rsidRDefault="00DF1B95" w:rsidP="00DF1B95">
      <w:pPr>
        <w:pStyle w:val="indexcopy"/>
      </w:pPr>
      <w:r>
        <w:t>Australian Refined Diagnosis Related Groups (AR</w:t>
      </w:r>
      <w:r>
        <w:noBreakHyphen/>
        <w:t>DRGs), 30, 32, 36, 46</w:t>
      </w:r>
    </w:p>
    <w:p w14:paraId="02697ACA" w14:textId="77777777" w:rsidR="00DF1B95" w:rsidRDefault="00DF1B95" w:rsidP="00DF1B95">
      <w:pPr>
        <w:pStyle w:val="indentindexcopy"/>
      </w:pPr>
      <w:r>
        <w:t>defined, 106</w:t>
      </w:r>
    </w:p>
    <w:p w14:paraId="23984252" w14:textId="77777777" w:rsidR="00DF1B95" w:rsidRDefault="00DF1B95" w:rsidP="00DF1B95">
      <w:pPr>
        <w:pStyle w:val="indexcopy"/>
      </w:pPr>
      <w:r>
        <w:t>Australian Teaching and Training Classification, 45, 47</w:t>
      </w:r>
    </w:p>
    <w:p w14:paraId="2334FA57" w14:textId="77777777" w:rsidR="00DF1B95" w:rsidRDefault="00DF1B95" w:rsidP="00DF1B95">
      <w:pPr>
        <w:pStyle w:val="indexcopy"/>
      </w:pPr>
      <w:r>
        <w:t>avoidable hospital readmissions, 5, 9, 13, 41</w:t>
      </w:r>
    </w:p>
    <w:p w14:paraId="719E8910" w14:textId="4274AF13" w:rsidR="00420073" w:rsidRDefault="00DF1B95" w:rsidP="00DF1B95">
      <w:pPr>
        <w:pStyle w:val="Body"/>
        <w:sectPr w:rsidR="00420073" w:rsidSect="00504250">
          <w:type w:val="continuous"/>
          <w:pgSz w:w="9979" w:h="14175"/>
          <w:pgMar w:top="1418" w:right="1134" w:bottom="1134" w:left="1134" w:header="709" w:footer="709" w:gutter="0"/>
          <w:cols w:num="2" w:space="708"/>
          <w:docGrid w:linePitch="360"/>
        </w:sectPr>
      </w:pPr>
      <w:r>
        <w:t>defined, 106</w:t>
      </w:r>
    </w:p>
    <w:p w14:paraId="698EA806" w14:textId="77777777" w:rsidR="00DF1B95" w:rsidRPr="00E843D6" w:rsidRDefault="00DF1B95" w:rsidP="00DF1B95">
      <w:pPr>
        <w:pStyle w:val="H3"/>
        <w:rPr>
          <w:color w:val="1C1C1C"/>
        </w:rPr>
      </w:pPr>
      <w:r w:rsidRPr="00E843D6">
        <w:rPr>
          <w:color w:val="1C1C1C"/>
        </w:rPr>
        <w:lastRenderedPageBreak/>
        <w:t>B</w:t>
      </w:r>
    </w:p>
    <w:p w14:paraId="20D0D86E" w14:textId="77777777" w:rsidR="00DF1B95" w:rsidRDefault="00DF1B95" w:rsidP="00DF1B95">
      <w:pPr>
        <w:pStyle w:val="indexcopy"/>
      </w:pPr>
      <w:r>
        <w:t>back-casting, 22</w:t>
      </w:r>
    </w:p>
    <w:p w14:paraId="070BBD2B" w14:textId="77777777" w:rsidR="00DF1B95" w:rsidRDefault="00DF1B95" w:rsidP="00DF1B95">
      <w:pPr>
        <w:pStyle w:val="indentindexcopy"/>
      </w:pPr>
      <w:r>
        <w:t>defined, 106</w:t>
      </w:r>
    </w:p>
    <w:p w14:paraId="6864DFDA" w14:textId="77777777" w:rsidR="00DF1B95" w:rsidRDefault="00DF1B95" w:rsidP="00DF1B95">
      <w:pPr>
        <w:pStyle w:val="indexcopy"/>
      </w:pPr>
      <w:r>
        <w:t>benchmarking portal, 53, 54</w:t>
      </w:r>
    </w:p>
    <w:p w14:paraId="00ECA81C" w14:textId="77777777" w:rsidR="00DF1B95" w:rsidRDefault="00DF1B95" w:rsidP="00DF1B95">
      <w:pPr>
        <w:pStyle w:val="indexcopy"/>
      </w:pPr>
      <w:r>
        <w:t>block funding, 15</w:t>
      </w:r>
    </w:p>
    <w:p w14:paraId="11F9DB98" w14:textId="77777777" w:rsidR="00DF1B95" w:rsidRDefault="00DF1B95" w:rsidP="00DF1B95">
      <w:pPr>
        <w:pStyle w:val="indentindexcopy"/>
      </w:pPr>
      <w:r>
        <w:t>defined, 106</w:t>
      </w:r>
    </w:p>
    <w:p w14:paraId="396A0A25" w14:textId="77777777" w:rsidR="00DF1B95" w:rsidRDefault="00DF1B95" w:rsidP="00DF1B95">
      <w:pPr>
        <w:pStyle w:val="indexcopy"/>
      </w:pPr>
      <w:r>
        <w:t>bundled payments, 58, 59, 61</w:t>
      </w:r>
    </w:p>
    <w:p w14:paraId="34140E10" w14:textId="77777777" w:rsidR="00DF1B95" w:rsidRDefault="00DF1B95" w:rsidP="00DF1B95">
      <w:pPr>
        <w:pStyle w:val="indexcopy"/>
      </w:pPr>
      <w:r>
        <w:t>business continuity plan, 65</w:t>
      </w:r>
    </w:p>
    <w:p w14:paraId="006C4B17" w14:textId="77777777" w:rsidR="00DF1B95" w:rsidRPr="00E843D6" w:rsidRDefault="00DF1B95" w:rsidP="00DF1B95">
      <w:pPr>
        <w:pStyle w:val="H3"/>
        <w:rPr>
          <w:color w:val="1C1C1C"/>
        </w:rPr>
      </w:pPr>
      <w:r>
        <w:rPr>
          <w:color w:val="1C1C1C"/>
        </w:rPr>
        <w:t>C</w:t>
      </w:r>
    </w:p>
    <w:p w14:paraId="55896B93" w14:textId="77777777" w:rsidR="00DF1B95" w:rsidRDefault="00DF1B95" w:rsidP="00DF1B95">
      <w:pPr>
        <w:pStyle w:val="indexcopy"/>
      </w:pPr>
      <w:r>
        <w:t>capitation funding models, 58, 59, 61</w:t>
      </w:r>
    </w:p>
    <w:p w14:paraId="13F0C56A" w14:textId="77777777" w:rsidR="00DF1B95" w:rsidRDefault="00DF1B95" w:rsidP="00DF1B95">
      <w:pPr>
        <w:pStyle w:val="indexcopy"/>
      </w:pPr>
      <w:r>
        <w:t>Care Clinical Refinement Testing Project, 46</w:t>
      </w:r>
    </w:p>
    <w:p w14:paraId="16D23EBD" w14:textId="77777777" w:rsidR="00DF1B95" w:rsidRDefault="00DF1B95" w:rsidP="00DF1B95">
      <w:pPr>
        <w:pStyle w:val="indexcopy"/>
      </w:pPr>
      <w:proofErr w:type="spellStart"/>
      <w:r>
        <w:t>casemix</w:t>
      </w:r>
      <w:proofErr w:type="spellEnd"/>
      <w:r>
        <w:t>, defined, 106</w:t>
      </w:r>
    </w:p>
    <w:p w14:paraId="1ABD9A3A" w14:textId="3A1D6233" w:rsidR="00DF1B95" w:rsidRDefault="00DF1B95" w:rsidP="00DF1B95">
      <w:pPr>
        <w:pStyle w:val="indexcopy"/>
      </w:pPr>
      <w:r>
        <w:t xml:space="preserve">Chair’s welcome, </w:t>
      </w:r>
      <w:proofErr w:type="spellStart"/>
      <w:r>
        <w:t>i</w:t>
      </w:r>
      <w:proofErr w:type="spellEnd"/>
      <w:r>
        <w:t>–i</w:t>
      </w:r>
      <w:r w:rsidR="00EF43B5">
        <w:t>ii</w:t>
      </w:r>
    </w:p>
    <w:p w14:paraId="76D25412" w14:textId="77777777" w:rsidR="00DF1B95" w:rsidRDefault="00DF1B95" w:rsidP="00DF1B95">
      <w:pPr>
        <w:pStyle w:val="indexcopy"/>
      </w:pPr>
      <w:proofErr w:type="spellStart"/>
      <w:r>
        <w:t>Chater</w:t>
      </w:r>
      <w:proofErr w:type="spellEnd"/>
      <w:r>
        <w:t>, Bruce, 24</w:t>
      </w:r>
    </w:p>
    <w:p w14:paraId="7DF02ECC" w14:textId="77777777" w:rsidR="00DF1B95" w:rsidRDefault="00DF1B95" w:rsidP="00DF1B95">
      <w:pPr>
        <w:pStyle w:val="indexcopy"/>
      </w:pPr>
      <w:r>
        <w:t>Chief Executive Officer, 23, 65, 69, 81</w:t>
      </w:r>
    </w:p>
    <w:p w14:paraId="0240367C" w14:textId="77777777" w:rsidR="00DF1B95" w:rsidRDefault="00DF1B95" w:rsidP="00DF1B95">
      <w:pPr>
        <w:pStyle w:val="indentindexcopy"/>
      </w:pPr>
      <w:r>
        <w:t>remuneration, 72</w:t>
      </w:r>
    </w:p>
    <w:p w14:paraId="7476D596" w14:textId="77777777" w:rsidR="00DF1B95" w:rsidRDefault="00DF1B95" w:rsidP="00DF1B95">
      <w:pPr>
        <w:pStyle w:val="indentindexcopy"/>
      </w:pPr>
      <w:r>
        <w:t>reporting requirements, 1, 81</w:t>
      </w:r>
    </w:p>
    <w:p w14:paraId="0DECD196" w14:textId="77777777" w:rsidR="00DF1B95" w:rsidRDefault="00DF1B95" w:rsidP="00DF1B95">
      <w:pPr>
        <w:pStyle w:val="indentindexcopy"/>
      </w:pPr>
      <w:r>
        <w:t>review of year, 28–29</w:t>
      </w:r>
    </w:p>
    <w:p w14:paraId="513115DF" w14:textId="77777777" w:rsidR="00DF1B95" w:rsidRDefault="00DF1B95" w:rsidP="00DF1B95">
      <w:pPr>
        <w:pStyle w:val="indentindexcopy"/>
      </w:pPr>
      <w:r>
        <w:t>training, 75</w:t>
      </w:r>
    </w:p>
    <w:p w14:paraId="6320F68F" w14:textId="77777777" w:rsidR="00DF1B95" w:rsidRDefault="00DF1B95" w:rsidP="00DF1B95">
      <w:pPr>
        <w:pStyle w:val="indexcopy"/>
      </w:pPr>
      <w:r>
        <w:t>Chief Financial Officer, 81</w:t>
      </w:r>
    </w:p>
    <w:p w14:paraId="029FB108" w14:textId="77777777" w:rsidR="00DF1B95" w:rsidRDefault="00DF1B95" w:rsidP="00DF1B95">
      <w:pPr>
        <w:pStyle w:val="indexcopy"/>
      </w:pPr>
      <w:r>
        <w:t>classification levels of staff, 70–71</w:t>
      </w:r>
    </w:p>
    <w:p w14:paraId="435734A8" w14:textId="77777777" w:rsidR="00DF1B95" w:rsidRDefault="00DF1B95" w:rsidP="00DF1B95">
      <w:pPr>
        <w:pStyle w:val="indexcopy"/>
      </w:pPr>
      <w:r>
        <w:t>classification systems, 28, 32, 47</w:t>
      </w:r>
    </w:p>
    <w:p w14:paraId="038BE615" w14:textId="77777777" w:rsidR="00DF1B95" w:rsidRDefault="00DF1B95" w:rsidP="00DF1B95">
      <w:pPr>
        <w:pStyle w:val="indentindexcopy"/>
      </w:pPr>
      <w:r>
        <w:t>for ABF, 14, 44–48</w:t>
      </w:r>
    </w:p>
    <w:p w14:paraId="29065DF7" w14:textId="77777777" w:rsidR="00DF1B95" w:rsidRDefault="00DF1B95" w:rsidP="00DF1B95">
      <w:pPr>
        <w:pStyle w:val="indentindexcopy"/>
      </w:pPr>
      <w:r>
        <w:t>for COVID-19, 48</w:t>
      </w:r>
    </w:p>
    <w:p w14:paraId="744F9841" w14:textId="27BA0920" w:rsidR="00DF1B95" w:rsidRDefault="00DF1B95" w:rsidP="00DF1B95">
      <w:pPr>
        <w:pStyle w:val="indexcopy"/>
      </w:pPr>
      <w:r>
        <w:t>Clinical Advisory Committee, ii, 17, 19, 29, 32–</w:t>
      </w:r>
      <w:r>
        <w:rPr>
          <w:rFonts w:ascii="Arial" w:hAnsi="Arial" w:cs="Arial" w:hint="cs"/>
          <w:rtl/>
        </w:rPr>
        <w:t>‍</w:t>
      </w:r>
      <w:r>
        <w:t>36</w:t>
      </w:r>
    </w:p>
    <w:p w14:paraId="2C90F96A" w14:textId="77777777" w:rsidR="00DF1B95" w:rsidRDefault="00DF1B95" w:rsidP="00DF1B95">
      <w:pPr>
        <w:pStyle w:val="indentindexcopy"/>
      </w:pPr>
      <w:r>
        <w:t>2020–21 highlights, 36</w:t>
      </w:r>
    </w:p>
    <w:p w14:paraId="50BD1E77" w14:textId="77777777" w:rsidR="00DF1B95" w:rsidRDefault="00DF1B95" w:rsidP="00DF1B95">
      <w:pPr>
        <w:pStyle w:val="indentindexcopy"/>
      </w:pPr>
      <w:r>
        <w:t>functions, 32, 34</w:t>
      </w:r>
    </w:p>
    <w:p w14:paraId="02469599" w14:textId="77777777" w:rsidR="00DF1B95" w:rsidRDefault="00DF1B95" w:rsidP="00DF1B95">
      <w:pPr>
        <w:pStyle w:val="indentindexcopy"/>
      </w:pPr>
      <w:r>
        <w:t>meetings, 35</w:t>
      </w:r>
    </w:p>
    <w:p w14:paraId="68E5C44E" w14:textId="77777777" w:rsidR="00DF1B95" w:rsidRDefault="00DF1B95" w:rsidP="00DF1B95">
      <w:pPr>
        <w:pStyle w:val="indentindexcopy"/>
      </w:pPr>
      <w:r>
        <w:t>membership, 33, 34, 35</w:t>
      </w:r>
    </w:p>
    <w:p w14:paraId="51A8C73E" w14:textId="77777777" w:rsidR="00DF1B95" w:rsidRDefault="00DF1B95" w:rsidP="00DF1B95">
      <w:pPr>
        <w:pStyle w:val="indentindexcopy"/>
      </w:pPr>
      <w:r>
        <w:t>remuneration, 34</w:t>
      </w:r>
    </w:p>
    <w:p w14:paraId="52F07D60" w14:textId="77777777" w:rsidR="00DF1B95" w:rsidRDefault="00DF1B95" w:rsidP="00DF1B95">
      <w:pPr>
        <w:pStyle w:val="indexcopy"/>
      </w:pPr>
      <w:r>
        <w:t>COAG Health Council, 5, 11</w:t>
      </w:r>
    </w:p>
    <w:p w14:paraId="6F069C45" w14:textId="77777777" w:rsidR="00DF1B95" w:rsidRDefault="00DF1B95" w:rsidP="00DF1B95">
      <w:pPr>
        <w:pStyle w:val="indexcopy"/>
      </w:pPr>
      <w:r>
        <w:t>committees and working groups, 17–19, 59, 66–</w:t>
      </w:r>
      <w:r>
        <w:rPr>
          <w:rFonts w:ascii="Arial" w:hAnsi="Arial" w:cs="Arial" w:hint="cs"/>
          <w:rtl/>
        </w:rPr>
        <w:t>‍</w:t>
      </w:r>
      <w:r>
        <w:t>69</w:t>
      </w:r>
    </w:p>
    <w:p w14:paraId="6BA5FF72" w14:textId="77777777" w:rsidR="00DF1B95" w:rsidRDefault="00DF1B95" w:rsidP="00DF1B95">
      <w:pPr>
        <w:pStyle w:val="indexcopy"/>
      </w:pPr>
      <w:r w:rsidRPr="003E6F2B">
        <w:rPr>
          <w:i/>
          <w:iCs/>
        </w:rPr>
        <w:t>Commonwealth Electoral Act 1918</w:t>
      </w:r>
      <w:r>
        <w:t>, 75</w:t>
      </w:r>
    </w:p>
    <w:p w14:paraId="5A45A655" w14:textId="77777777" w:rsidR="00DF1B95" w:rsidRDefault="00DF1B95" w:rsidP="00DF1B95">
      <w:pPr>
        <w:pStyle w:val="indexcopy"/>
      </w:pPr>
      <w:r>
        <w:t>Commonwealth Procurement Rules, 66</w:t>
      </w:r>
    </w:p>
    <w:p w14:paraId="3D0AF6B4" w14:textId="77777777" w:rsidR="00DF1B95" w:rsidRDefault="00DF1B95" w:rsidP="00DF1B95">
      <w:pPr>
        <w:pStyle w:val="indexcopy"/>
      </w:pPr>
      <w:r>
        <w:t>compliance index, 109–111</w:t>
      </w:r>
    </w:p>
    <w:p w14:paraId="68A7197A" w14:textId="77777777" w:rsidR="00DF1B95" w:rsidRDefault="00DF1B95" w:rsidP="00DF1B95">
      <w:pPr>
        <w:pStyle w:val="indexcopy"/>
      </w:pPr>
      <w:r>
        <w:t>compliance reports, 65</w:t>
      </w:r>
    </w:p>
    <w:p w14:paraId="6D893F19" w14:textId="77777777" w:rsidR="00DF1B95" w:rsidRDefault="00DF1B95" w:rsidP="00DF1B95">
      <w:pPr>
        <w:pStyle w:val="indexcopy"/>
      </w:pPr>
      <w:r>
        <w:t>conferences, 29</w:t>
      </w:r>
    </w:p>
    <w:p w14:paraId="4546A3DC" w14:textId="77777777" w:rsidR="00DF1B95" w:rsidRDefault="00DF1B95" w:rsidP="00DF1B95">
      <w:pPr>
        <w:pStyle w:val="indexcopy"/>
      </w:pPr>
      <w:r>
        <w:t>consultation framework, 57</w:t>
      </w:r>
    </w:p>
    <w:p w14:paraId="4208F97A" w14:textId="4BAED10F" w:rsidR="00DF1B95" w:rsidRDefault="00DF1B95" w:rsidP="00DF1B95">
      <w:pPr>
        <w:pStyle w:val="indexcopy"/>
      </w:pPr>
      <w:r>
        <w:t xml:space="preserve">contact details, </w:t>
      </w:r>
      <w:r w:rsidR="00EF43B5">
        <w:t>inside front cover</w:t>
      </w:r>
    </w:p>
    <w:p w14:paraId="6D578CE4" w14:textId="77777777" w:rsidR="00DF1B95" w:rsidRDefault="00DF1B95" w:rsidP="00DF1B95">
      <w:pPr>
        <w:pStyle w:val="indexcopy"/>
      </w:pPr>
      <w:r>
        <w:t>corporate Commonwealth entity status, 86</w:t>
      </w:r>
    </w:p>
    <w:p w14:paraId="52C50348" w14:textId="77777777" w:rsidR="00DF1B95" w:rsidRDefault="00DF1B95" w:rsidP="00DF1B95">
      <w:pPr>
        <w:pStyle w:val="indexcopy"/>
      </w:pPr>
      <w:r>
        <w:t>corporate governance, 64–68</w:t>
      </w:r>
    </w:p>
    <w:p w14:paraId="6B1BD61E" w14:textId="77777777" w:rsidR="00DF1B95" w:rsidRDefault="00DF1B95" w:rsidP="00DF1B95">
      <w:pPr>
        <w:pStyle w:val="indexcopy"/>
      </w:pPr>
      <w:r>
        <w:t>Corporate Plan, 30</w:t>
      </w:r>
    </w:p>
    <w:p w14:paraId="25F22B7F" w14:textId="77777777" w:rsidR="00DF1B95" w:rsidRDefault="00DF1B95" w:rsidP="00DF1B95">
      <w:pPr>
        <w:pStyle w:val="indentindexcopy"/>
      </w:pPr>
      <w:r>
        <w:t>defined, 107</w:t>
      </w:r>
    </w:p>
    <w:p w14:paraId="567B5E82" w14:textId="77777777" w:rsidR="00DF1B95" w:rsidRDefault="00DF1B95" w:rsidP="00DF1B95">
      <w:pPr>
        <w:pStyle w:val="indentindexcopy"/>
      </w:pPr>
      <w:r w:rsidRPr="003E6F2B">
        <w:rPr>
          <w:i/>
          <w:iCs/>
        </w:rPr>
        <w:t>See also</w:t>
      </w:r>
      <w:r>
        <w:t xml:space="preserve"> annual performance statements</w:t>
      </w:r>
    </w:p>
    <w:p w14:paraId="55E583FB" w14:textId="77777777" w:rsidR="00DF1B95" w:rsidRDefault="00DF1B95" w:rsidP="00DF1B95">
      <w:pPr>
        <w:pStyle w:val="indexcopy"/>
      </w:pPr>
      <w:r>
        <w:t xml:space="preserve">cost of providing public hospital services. </w:t>
      </w:r>
      <w:r w:rsidRPr="003E6F2B">
        <w:rPr>
          <w:i/>
          <w:iCs/>
        </w:rPr>
        <w:t>See</w:t>
      </w:r>
      <w:r>
        <w:t xml:space="preserve"> public hospital pricing and funding</w:t>
      </w:r>
    </w:p>
    <w:p w14:paraId="61051D75" w14:textId="77777777" w:rsidR="00DF1B95" w:rsidRDefault="00DF1B95" w:rsidP="00DF1B95">
      <w:pPr>
        <w:pStyle w:val="indexcopy"/>
      </w:pPr>
      <w:r>
        <w:t>cost-shifting, 55–56</w:t>
      </w:r>
    </w:p>
    <w:p w14:paraId="1C47F337" w14:textId="77777777" w:rsidR="00DF1B95" w:rsidRDefault="00DF1B95" w:rsidP="00DF1B95">
      <w:pPr>
        <w:pStyle w:val="indexcopy"/>
      </w:pPr>
      <w:r>
        <w:t>costing standards, 49–51</w:t>
      </w:r>
    </w:p>
    <w:p w14:paraId="0F4A3311" w14:textId="77777777" w:rsidR="00DF1B95" w:rsidRDefault="00DF1B95" w:rsidP="00DF1B95">
      <w:pPr>
        <w:pStyle w:val="indexcopy"/>
      </w:pPr>
      <w:r>
        <w:t>Council of Australian Governments (COAG), defined, 107</w:t>
      </w:r>
    </w:p>
    <w:p w14:paraId="2C95BB7D" w14:textId="77777777" w:rsidR="00DF1B95" w:rsidRDefault="00DF1B95" w:rsidP="00DF1B95">
      <w:pPr>
        <w:pStyle w:val="indexcopy"/>
      </w:pPr>
      <w:r>
        <w:t>COVID-19</w:t>
      </w:r>
    </w:p>
    <w:p w14:paraId="0746799D" w14:textId="77777777" w:rsidR="00DF1B95" w:rsidRDefault="00DF1B95" w:rsidP="00DF1B95">
      <w:pPr>
        <w:pStyle w:val="indentindexcopy"/>
      </w:pPr>
      <w:r>
        <w:t>coding and classification of, 4, 32, 36, 46, 48</w:t>
      </w:r>
    </w:p>
    <w:p w14:paraId="35B42F49" w14:textId="77777777" w:rsidR="00DF1B95" w:rsidRDefault="00DF1B95" w:rsidP="00DF1B95">
      <w:pPr>
        <w:pStyle w:val="indentindexcopy"/>
      </w:pPr>
      <w:r>
        <w:t>costing and pricing guidelines, 4, 28</w:t>
      </w:r>
    </w:p>
    <w:p w14:paraId="5C86E6A6" w14:textId="77777777" w:rsidR="00DF1B95" w:rsidRDefault="00DF1B95" w:rsidP="00DF1B95">
      <w:pPr>
        <w:pStyle w:val="indentindexcopy"/>
      </w:pPr>
      <w:r>
        <w:t>impacts of, 43, 50, 51, 61, 86</w:t>
      </w:r>
    </w:p>
    <w:p w14:paraId="3E4B540F" w14:textId="7B312735" w:rsidR="00DF1B95" w:rsidRDefault="00DF1B95" w:rsidP="00DF1B95">
      <w:pPr>
        <w:pStyle w:val="indentindexcopy"/>
      </w:pPr>
      <w:r>
        <w:t xml:space="preserve">response to, </w:t>
      </w:r>
      <w:proofErr w:type="spellStart"/>
      <w:r>
        <w:t>i</w:t>
      </w:r>
      <w:proofErr w:type="spellEnd"/>
      <w:r>
        <w:t>, 28, 64, 65</w:t>
      </w:r>
    </w:p>
    <w:p w14:paraId="6AE4908C" w14:textId="77777777" w:rsidR="00DF1B95" w:rsidRDefault="00DF1B95" w:rsidP="00DF1B95">
      <w:pPr>
        <w:pStyle w:val="indexcopy"/>
      </w:pPr>
      <w:r>
        <w:t>cross-border disputes, 55–56</w:t>
      </w:r>
    </w:p>
    <w:p w14:paraId="5D8A478A" w14:textId="77777777" w:rsidR="00DF1B95" w:rsidRPr="00E843D6" w:rsidRDefault="00DF1B95" w:rsidP="00DF1B95">
      <w:pPr>
        <w:pStyle w:val="H3"/>
        <w:rPr>
          <w:color w:val="1C1C1C"/>
        </w:rPr>
      </w:pPr>
      <w:r>
        <w:rPr>
          <w:color w:val="1C1C1C"/>
        </w:rPr>
        <w:t>D</w:t>
      </w:r>
    </w:p>
    <w:p w14:paraId="1CE75C91" w14:textId="77777777" w:rsidR="00DF1B95" w:rsidRDefault="00DF1B95" w:rsidP="00DF1B95">
      <w:pPr>
        <w:pStyle w:val="indexcopy"/>
      </w:pPr>
      <w:r>
        <w:t>Data Access and Release Policy, 58</w:t>
      </w:r>
    </w:p>
    <w:p w14:paraId="72D6DB93" w14:textId="77777777" w:rsidR="00DF1B95" w:rsidRDefault="00DF1B95" w:rsidP="00DF1B95">
      <w:pPr>
        <w:pStyle w:val="indexcopy"/>
      </w:pPr>
      <w:r>
        <w:t>data collection, 52–54</w:t>
      </w:r>
    </w:p>
    <w:p w14:paraId="37B27962" w14:textId="77777777" w:rsidR="00DF1B95" w:rsidRDefault="00DF1B95" w:rsidP="00DF1B95">
      <w:pPr>
        <w:pStyle w:val="indexcopy"/>
      </w:pPr>
      <w:r>
        <w:t>Data Compliance Policy and reports, 54</w:t>
      </w:r>
    </w:p>
    <w:p w14:paraId="54E77C7E" w14:textId="77777777" w:rsidR="00DF1B95" w:rsidRDefault="00DF1B95" w:rsidP="00DF1B95">
      <w:pPr>
        <w:pStyle w:val="indexcopy"/>
      </w:pPr>
      <w:r>
        <w:t>data management systems, 54</w:t>
      </w:r>
    </w:p>
    <w:p w14:paraId="4F9FCA16" w14:textId="77777777" w:rsidR="00DF1B95" w:rsidRDefault="00DF1B95" w:rsidP="00DF1B95">
      <w:pPr>
        <w:pStyle w:val="indexcopy"/>
      </w:pPr>
      <w:r>
        <w:t>data quality statements, 51</w:t>
      </w:r>
    </w:p>
    <w:p w14:paraId="40187F71" w14:textId="77777777" w:rsidR="00DF1B95" w:rsidRDefault="00DF1B95" w:rsidP="00DF1B95">
      <w:pPr>
        <w:pStyle w:val="indexcopy"/>
      </w:pPr>
      <w:r>
        <w:t>data release to researchers, 58</w:t>
      </w:r>
    </w:p>
    <w:p w14:paraId="06DDD68A" w14:textId="77777777" w:rsidR="00DF1B95" w:rsidRDefault="00DF1B95" w:rsidP="00DF1B95">
      <w:pPr>
        <w:pStyle w:val="indexcopy"/>
      </w:pPr>
      <w:r>
        <w:t>deliverables, 39</w:t>
      </w:r>
    </w:p>
    <w:p w14:paraId="077C205D" w14:textId="77777777" w:rsidR="00DF1B95" w:rsidRDefault="00DF1B95" w:rsidP="00DF1B95">
      <w:pPr>
        <w:pStyle w:val="indexcopy"/>
      </w:pPr>
      <w:r>
        <w:t>Department of Health, 10, 68, 69</w:t>
      </w:r>
    </w:p>
    <w:p w14:paraId="3FF2340D" w14:textId="26FCE79E" w:rsidR="00DF1B95" w:rsidRDefault="00DF1B95" w:rsidP="00DF1B95">
      <w:pPr>
        <w:pStyle w:val="indexcopy"/>
      </w:pPr>
      <w:r>
        <w:t>Determinations (NEP and NEC), ii, 12, 30, 40–</w:t>
      </w:r>
      <w:r>
        <w:rPr>
          <w:rFonts w:ascii="Arial" w:hAnsi="Arial" w:cs="Arial" w:hint="cs"/>
          <w:rtl/>
        </w:rPr>
        <w:t>‍</w:t>
      </w:r>
      <w:r>
        <w:t>43, 47, 48</w:t>
      </w:r>
    </w:p>
    <w:p w14:paraId="49C3AD44" w14:textId="77777777" w:rsidR="00DF1B95" w:rsidRDefault="00DF1B95" w:rsidP="00DF1B95">
      <w:pPr>
        <w:pStyle w:val="indexcopy"/>
      </w:pPr>
      <w:r>
        <w:t>digital webinar series, 61</w:t>
      </w:r>
    </w:p>
    <w:p w14:paraId="72DADBAC" w14:textId="77777777" w:rsidR="00DF1B95" w:rsidRDefault="00DF1B95" w:rsidP="00DF1B95">
      <w:pPr>
        <w:pStyle w:val="indexcopy"/>
      </w:pPr>
      <w:r>
        <w:t>disputes on cost-shifting and cross-border issues, 55–56</w:t>
      </w:r>
    </w:p>
    <w:p w14:paraId="512A4ABF" w14:textId="77777777" w:rsidR="00DF1B95" w:rsidRDefault="00DF1B95" w:rsidP="00DF1B95">
      <w:pPr>
        <w:pStyle w:val="indexcopy"/>
      </w:pPr>
      <w:r>
        <w:t>diversity of staff, 69</w:t>
      </w:r>
    </w:p>
    <w:p w14:paraId="5E826590" w14:textId="4F4E6DD1" w:rsidR="00DF1B95" w:rsidRDefault="00DF1B95" w:rsidP="00DF1B95">
      <w:pPr>
        <w:pStyle w:val="indexcopy"/>
      </w:pPr>
      <w:proofErr w:type="spellStart"/>
      <w:r>
        <w:t>Downie</w:t>
      </w:r>
      <w:proofErr w:type="spellEnd"/>
      <w:r>
        <w:t>, James (CEO), ii, 1, 38, 74</w:t>
      </w:r>
    </w:p>
    <w:p w14:paraId="4B7F3FE5" w14:textId="77777777" w:rsidR="00DF1B95" w:rsidRDefault="00DF1B95" w:rsidP="00DF1B95">
      <w:pPr>
        <w:pStyle w:val="indentindexcopy"/>
      </w:pPr>
      <w:r w:rsidRPr="00386610">
        <w:rPr>
          <w:i/>
          <w:iCs/>
        </w:rPr>
        <w:t>See also</w:t>
      </w:r>
      <w:r>
        <w:t xml:space="preserve"> Chief Executive Officer</w:t>
      </w:r>
    </w:p>
    <w:p w14:paraId="52124F2E" w14:textId="23746929" w:rsidR="00386610" w:rsidRDefault="00386610" w:rsidP="00386610">
      <w:pPr>
        <w:pStyle w:val="indexcopy"/>
      </w:pPr>
    </w:p>
    <w:p w14:paraId="08D536DE" w14:textId="77777777" w:rsidR="00F42F44" w:rsidRDefault="00F42F44" w:rsidP="00386610">
      <w:pPr>
        <w:pStyle w:val="indexcopy"/>
        <w:sectPr w:rsidR="00F42F44" w:rsidSect="00FC5187">
          <w:footerReference w:type="default" r:id="rId234"/>
          <w:pgSz w:w="9979" w:h="14175"/>
          <w:pgMar w:top="1134" w:right="1134" w:bottom="1134" w:left="1134" w:header="709" w:footer="709" w:gutter="0"/>
          <w:cols w:num="2" w:space="708"/>
          <w:docGrid w:linePitch="360"/>
        </w:sectPr>
      </w:pPr>
    </w:p>
    <w:p w14:paraId="584FBE2C" w14:textId="77777777" w:rsidR="00DF1B95" w:rsidRPr="00E843D6" w:rsidRDefault="00DF1B95" w:rsidP="00DF1B95">
      <w:pPr>
        <w:pStyle w:val="H3"/>
        <w:spacing w:before="0"/>
        <w:rPr>
          <w:color w:val="1C1C1C"/>
        </w:rPr>
      </w:pPr>
      <w:r>
        <w:rPr>
          <w:color w:val="1C1C1C"/>
        </w:rPr>
        <w:lastRenderedPageBreak/>
        <w:t>E</w:t>
      </w:r>
    </w:p>
    <w:p w14:paraId="063F71FC" w14:textId="77777777" w:rsidR="00DF1B95" w:rsidRDefault="00DF1B95" w:rsidP="00DF1B95">
      <w:pPr>
        <w:pStyle w:val="indexcopy"/>
      </w:pPr>
      <w:r>
        <w:t>ecologically sustainable development and environmental performance, 68</w:t>
      </w:r>
    </w:p>
    <w:p w14:paraId="4B047569" w14:textId="77777777" w:rsidR="00DF1B95" w:rsidRDefault="00DF1B95" w:rsidP="00DF1B95">
      <w:pPr>
        <w:pStyle w:val="indexcopy"/>
      </w:pPr>
      <w:r>
        <w:t>education and review processes, 75</w:t>
      </w:r>
    </w:p>
    <w:p w14:paraId="05192513" w14:textId="77777777" w:rsidR="00DF1B95" w:rsidRDefault="00DF1B95" w:rsidP="00DF1B95">
      <w:pPr>
        <w:pStyle w:val="indexcopy"/>
      </w:pPr>
      <w:r>
        <w:t>emergency care classification, 28, 45</w:t>
      </w:r>
    </w:p>
    <w:p w14:paraId="30AFFAE8" w14:textId="77777777" w:rsidR="00DF1B95" w:rsidRDefault="00DF1B95" w:rsidP="00DF1B95">
      <w:pPr>
        <w:pStyle w:val="indexcopy"/>
      </w:pPr>
      <w:r>
        <w:t xml:space="preserve">employees. </w:t>
      </w:r>
      <w:r w:rsidRPr="00F42F44">
        <w:rPr>
          <w:i/>
          <w:iCs/>
        </w:rPr>
        <w:t>See</w:t>
      </w:r>
      <w:r>
        <w:t xml:space="preserve"> staff</w:t>
      </w:r>
    </w:p>
    <w:p w14:paraId="6A39682D" w14:textId="77777777" w:rsidR="00DF1B95" w:rsidRDefault="00DF1B95" w:rsidP="00DF1B95">
      <w:pPr>
        <w:pStyle w:val="indexcopy"/>
      </w:pPr>
      <w:r>
        <w:t>enquiries, inbox, 60</w:t>
      </w:r>
    </w:p>
    <w:p w14:paraId="375E74A5" w14:textId="77777777" w:rsidR="00DF1B95" w:rsidRDefault="00DF1B95" w:rsidP="00DF1B95">
      <w:pPr>
        <w:pStyle w:val="indexcopy"/>
      </w:pPr>
      <w:r w:rsidRPr="00F42F44">
        <w:rPr>
          <w:i/>
          <w:iCs/>
        </w:rPr>
        <w:t>Environmental Protection Act 1999</w:t>
      </w:r>
      <w:r>
        <w:t>, 68</w:t>
      </w:r>
    </w:p>
    <w:p w14:paraId="3DAD9FCE" w14:textId="77777777" w:rsidR="00DF1B95" w:rsidRDefault="00DF1B95" w:rsidP="00DF1B95">
      <w:pPr>
        <w:pStyle w:val="indexcopy"/>
      </w:pPr>
      <w:r>
        <w:t>ethical standards, 6, 68</w:t>
      </w:r>
    </w:p>
    <w:p w14:paraId="48D86EB6" w14:textId="77777777" w:rsidR="00DF1B95" w:rsidRDefault="00DF1B95" w:rsidP="00DF1B95">
      <w:pPr>
        <w:pStyle w:val="indexcopy"/>
      </w:pPr>
      <w:r>
        <w:t>external scrutiny, 79–80</w:t>
      </w:r>
    </w:p>
    <w:p w14:paraId="321C23E5" w14:textId="77777777" w:rsidR="00DF1B95" w:rsidRPr="00E843D6" w:rsidRDefault="00DF1B95" w:rsidP="00DF1B95">
      <w:pPr>
        <w:pStyle w:val="H3"/>
        <w:rPr>
          <w:color w:val="1C1C1C"/>
        </w:rPr>
      </w:pPr>
      <w:r>
        <w:rPr>
          <w:color w:val="1C1C1C"/>
        </w:rPr>
        <w:t>F</w:t>
      </w:r>
    </w:p>
    <w:p w14:paraId="7C99D19E" w14:textId="77777777" w:rsidR="00DF1B95" w:rsidRDefault="00DF1B95" w:rsidP="00DF1B95">
      <w:pPr>
        <w:pStyle w:val="indexcopy"/>
      </w:pPr>
      <w:r>
        <w:t>Federal Budget 2021–22, 5</w:t>
      </w:r>
    </w:p>
    <w:p w14:paraId="340B9AE7" w14:textId="77777777" w:rsidR="00DF1B95" w:rsidRDefault="00DF1B95" w:rsidP="00DF1B95">
      <w:pPr>
        <w:pStyle w:val="indexcopy"/>
      </w:pPr>
      <w:r>
        <w:t>female staff, 70, 71</w:t>
      </w:r>
    </w:p>
    <w:p w14:paraId="3C42572D" w14:textId="77777777" w:rsidR="00DF1B95" w:rsidRDefault="00DF1B95" w:rsidP="00DF1B95">
      <w:pPr>
        <w:pStyle w:val="indexcopy"/>
      </w:pPr>
      <w:r>
        <w:t xml:space="preserve">financial </w:t>
      </w:r>
      <w:proofErr w:type="spellStart"/>
      <w:r>
        <w:t>authorisation</w:t>
      </w:r>
      <w:proofErr w:type="spellEnd"/>
      <w:r>
        <w:t>, 66</w:t>
      </w:r>
    </w:p>
    <w:p w14:paraId="58172938" w14:textId="77777777" w:rsidR="00DF1B95" w:rsidRDefault="00DF1B95" w:rsidP="00DF1B95">
      <w:pPr>
        <w:pStyle w:val="indexcopy"/>
      </w:pPr>
      <w:r>
        <w:t>financial management</w:t>
      </w:r>
    </w:p>
    <w:p w14:paraId="0B953B50" w14:textId="77777777" w:rsidR="00DF1B95" w:rsidRDefault="00DF1B95" w:rsidP="00DF1B95">
      <w:pPr>
        <w:pStyle w:val="indentindexcopy"/>
      </w:pPr>
      <w:r>
        <w:t>ANAO report, 79–80</w:t>
      </w:r>
    </w:p>
    <w:p w14:paraId="77112A1A" w14:textId="070BE039" w:rsidR="00DF1B95" w:rsidRDefault="00DF1B95" w:rsidP="00DF1B95">
      <w:pPr>
        <w:pStyle w:val="indentindexcopy"/>
      </w:pPr>
      <w:r>
        <w:t xml:space="preserve">COVID-19 pandemic impacts, </w:t>
      </w:r>
      <w:proofErr w:type="spellStart"/>
      <w:r>
        <w:t>i</w:t>
      </w:r>
      <w:proofErr w:type="spellEnd"/>
      <w:r>
        <w:t>, 4, 43, 51, 80, 85</w:t>
      </w:r>
    </w:p>
    <w:p w14:paraId="68891091" w14:textId="77777777" w:rsidR="00DF1B95" w:rsidRDefault="00DF1B95" w:rsidP="00DF1B95">
      <w:pPr>
        <w:pStyle w:val="indentindexcopy"/>
      </w:pPr>
      <w:r>
        <w:t>financial statements, 78–100</w:t>
      </w:r>
    </w:p>
    <w:p w14:paraId="6D4D84E2" w14:textId="77777777" w:rsidR="00DF1B95" w:rsidRDefault="00DF1B95" w:rsidP="00DF1B95">
      <w:pPr>
        <w:pStyle w:val="indentindexcopy"/>
      </w:pPr>
      <w:r>
        <w:t>overview, 86–87</w:t>
      </w:r>
    </w:p>
    <w:p w14:paraId="51EFB5C1" w14:textId="77777777" w:rsidR="00DF1B95" w:rsidRDefault="00DF1B95" w:rsidP="00DF1B95">
      <w:pPr>
        <w:pStyle w:val="indexcopy"/>
      </w:pPr>
      <w:r>
        <w:t>fixed-plus-variable cost model, 13, 15</w:t>
      </w:r>
    </w:p>
    <w:p w14:paraId="741C9D6E" w14:textId="77777777" w:rsidR="00DF1B95" w:rsidRDefault="00DF1B95" w:rsidP="00DF1B95">
      <w:pPr>
        <w:pStyle w:val="indexcopy"/>
      </w:pPr>
      <w:r>
        <w:t>Ford, Prudence, 25</w:t>
      </w:r>
    </w:p>
    <w:p w14:paraId="08D06985" w14:textId="77777777" w:rsidR="00DF1B95" w:rsidRDefault="00DF1B95" w:rsidP="00DF1B95">
      <w:pPr>
        <w:pStyle w:val="indexcopy"/>
      </w:pPr>
      <w:r>
        <w:t>fraud control plan, 68</w:t>
      </w:r>
    </w:p>
    <w:p w14:paraId="3E6CBDCD" w14:textId="77777777" w:rsidR="00DF1B95" w:rsidRDefault="00DF1B95" w:rsidP="00DF1B95">
      <w:pPr>
        <w:pStyle w:val="indexcopy"/>
      </w:pPr>
      <w:r>
        <w:t>full-time staff, 70, 71</w:t>
      </w:r>
    </w:p>
    <w:p w14:paraId="6CBA3AEF" w14:textId="77777777" w:rsidR="00DF1B95" w:rsidRDefault="00DF1B95" w:rsidP="00DF1B95">
      <w:pPr>
        <w:pStyle w:val="indexcopy"/>
      </w:pPr>
      <w:r>
        <w:t xml:space="preserve">functions. </w:t>
      </w:r>
      <w:r w:rsidRPr="00F42F44">
        <w:rPr>
          <w:i/>
          <w:iCs/>
        </w:rPr>
        <w:t>See</w:t>
      </w:r>
      <w:r>
        <w:t xml:space="preserve"> roles and functions</w:t>
      </w:r>
    </w:p>
    <w:p w14:paraId="3F73DE62" w14:textId="77777777" w:rsidR="00DF1B95" w:rsidRDefault="00DF1B95" w:rsidP="00DF1B95">
      <w:pPr>
        <w:pStyle w:val="indexcopy"/>
      </w:pPr>
      <w:r>
        <w:t>funding adjustments, 43</w:t>
      </w:r>
    </w:p>
    <w:p w14:paraId="5B271D4E" w14:textId="77777777" w:rsidR="00DF1B95" w:rsidRDefault="00DF1B95" w:rsidP="00DF1B95">
      <w:pPr>
        <w:pStyle w:val="indexcopy"/>
      </w:pPr>
      <w:r>
        <w:t>funding for innovative models of care, 61</w:t>
      </w:r>
    </w:p>
    <w:p w14:paraId="069C3306" w14:textId="77777777" w:rsidR="00DF1B95" w:rsidRDefault="00DF1B95" w:rsidP="00DF1B95">
      <w:pPr>
        <w:pStyle w:val="indexcopy"/>
      </w:pPr>
      <w:r>
        <w:t>funding models, 36, 59, 61</w:t>
      </w:r>
    </w:p>
    <w:p w14:paraId="315E200F" w14:textId="77777777" w:rsidR="00DF1B95" w:rsidRDefault="00DF1B95" w:rsidP="00DF1B95">
      <w:pPr>
        <w:pStyle w:val="indexcopy"/>
      </w:pPr>
      <w:r>
        <w:t xml:space="preserve">future. </w:t>
      </w:r>
      <w:r w:rsidRPr="00F42F44">
        <w:rPr>
          <w:i/>
          <w:iCs/>
        </w:rPr>
        <w:t>See</w:t>
      </w:r>
      <w:r>
        <w:t xml:space="preserve"> outlook</w:t>
      </w:r>
    </w:p>
    <w:p w14:paraId="03009FBE" w14:textId="77777777" w:rsidR="00DF1B95" w:rsidRPr="00E843D6" w:rsidRDefault="00DF1B95" w:rsidP="00DF1B95">
      <w:pPr>
        <w:pStyle w:val="H3"/>
        <w:rPr>
          <w:color w:val="1C1C1C"/>
        </w:rPr>
      </w:pPr>
      <w:r>
        <w:rPr>
          <w:color w:val="1C1C1C"/>
        </w:rPr>
        <w:br w:type="column"/>
      </w:r>
      <w:r>
        <w:rPr>
          <w:color w:val="1C1C1C"/>
        </w:rPr>
        <w:t>G</w:t>
      </w:r>
    </w:p>
    <w:p w14:paraId="49FCE9A8" w14:textId="77777777" w:rsidR="00DF1B95" w:rsidRPr="00F42F44" w:rsidRDefault="00DF1B95" w:rsidP="00DF1B95">
      <w:pPr>
        <w:pStyle w:val="indexcopy"/>
      </w:pPr>
      <w:r w:rsidRPr="00F42F44">
        <w:t>gender of staff, 69–71</w:t>
      </w:r>
    </w:p>
    <w:p w14:paraId="069C9D44" w14:textId="77777777" w:rsidR="00DF1B95" w:rsidRPr="00F42F44" w:rsidRDefault="00DF1B95" w:rsidP="00DF1B95">
      <w:pPr>
        <w:pStyle w:val="indexcopy"/>
      </w:pPr>
      <w:r w:rsidRPr="00F42F44">
        <w:t>General List of In-Scope Public Hospital Services, 41, 42</w:t>
      </w:r>
    </w:p>
    <w:p w14:paraId="4149EBE8" w14:textId="77777777" w:rsidR="00DF1B95" w:rsidRPr="00F42F44" w:rsidRDefault="00DF1B95" w:rsidP="00DF1B95">
      <w:pPr>
        <w:pStyle w:val="indexcopy"/>
      </w:pPr>
      <w:r w:rsidRPr="00F42F44">
        <w:t>glossary, 10</w:t>
      </w:r>
      <w:r>
        <w:t>6</w:t>
      </w:r>
      <w:r w:rsidRPr="00F42F44">
        <w:t>–10</w:t>
      </w:r>
      <w:r>
        <w:t>8</w:t>
      </w:r>
    </w:p>
    <w:p w14:paraId="4BEBF195" w14:textId="0ED7C777" w:rsidR="00DF1B95" w:rsidRPr="00F42F44" w:rsidRDefault="00DF1B95" w:rsidP="00DF1B95">
      <w:pPr>
        <w:pStyle w:val="indexcopy"/>
      </w:pPr>
      <w:r w:rsidRPr="00F42F44">
        <w:t>goals, ii</w:t>
      </w:r>
      <w:r>
        <w:t>, 86</w:t>
      </w:r>
    </w:p>
    <w:p w14:paraId="359FB3DA" w14:textId="77777777" w:rsidR="00DF1B95" w:rsidRPr="00F42F44" w:rsidRDefault="00DF1B95" w:rsidP="00DF1B95">
      <w:pPr>
        <w:pStyle w:val="indexcopy"/>
      </w:pPr>
      <w:r w:rsidRPr="00F42F44">
        <w:t>governance, 64–68</w:t>
      </w:r>
    </w:p>
    <w:p w14:paraId="4AC37A0D" w14:textId="77777777" w:rsidR="00DF1B95" w:rsidRPr="00F42F44" w:rsidRDefault="00DF1B95" w:rsidP="00DF1B95">
      <w:pPr>
        <w:pStyle w:val="indexcopy"/>
      </w:pPr>
      <w:r w:rsidRPr="00F42F44">
        <w:t>government policy orders, 11</w:t>
      </w:r>
    </w:p>
    <w:p w14:paraId="482E25FB" w14:textId="77777777" w:rsidR="00DF1B95" w:rsidRDefault="00DF1B95" w:rsidP="00DF1B95">
      <w:pPr>
        <w:pStyle w:val="indexcopy"/>
      </w:pPr>
      <w:r w:rsidRPr="00F42F44">
        <w:t>growth funding, 22</w:t>
      </w:r>
    </w:p>
    <w:p w14:paraId="2D73DF2F" w14:textId="77777777" w:rsidR="00DF1B95" w:rsidRPr="00E843D6" w:rsidRDefault="00DF1B95" w:rsidP="00DF1B95">
      <w:pPr>
        <w:pStyle w:val="H3"/>
        <w:rPr>
          <w:color w:val="1C1C1C"/>
        </w:rPr>
      </w:pPr>
      <w:r>
        <w:rPr>
          <w:color w:val="1C1C1C"/>
        </w:rPr>
        <w:t>H</w:t>
      </w:r>
    </w:p>
    <w:p w14:paraId="5145CF1C" w14:textId="77777777" w:rsidR="00DF1B95" w:rsidRDefault="00DF1B95" w:rsidP="00DF1B95">
      <w:pPr>
        <w:pStyle w:val="indexcopy"/>
      </w:pPr>
      <w:r>
        <w:t>Hall, Jane, 25</w:t>
      </w:r>
    </w:p>
    <w:p w14:paraId="7E27587C" w14:textId="77777777" w:rsidR="00DF1B95" w:rsidRDefault="00DF1B95" w:rsidP="00DF1B95">
      <w:pPr>
        <w:pStyle w:val="indexcopy"/>
      </w:pPr>
      <w:r>
        <w:t>health and safety of staff, 75</w:t>
      </w:r>
    </w:p>
    <w:p w14:paraId="467A7BCA" w14:textId="77777777" w:rsidR="00DF1B95" w:rsidRDefault="00DF1B95" w:rsidP="00DF1B95">
      <w:pPr>
        <w:pStyle w:val="indexcopy"/>
      </w:pPr>
      <w:r>
        <w:t>Health Ministers’ Meeting, defined, 107</w:t>
      </w:r>
    </w:p>
    <w:p w14:paraId="63EBE034" w14:textId="77777777" w:rsidR="00DF1B95" w:rsidRDefault="00DF1B95" w:rsidP="00DF1B95">
      <w:pPr>
        <w:pStyle w:val="indexcopy"/>
      </w:pPr>
      <w:r>
        <w:t>hospital acquired complications, 9, 13</w:t>
      </w:r>
    </w:p>
    <w:p w14:paraId="6B051357" w14:textId="77777777" w:rsidR="00DF1B95" w:rsidRDefault="00DF1B95" w:rsidP="00DF1B95">
      <w:pPr>
        <w:pStyle w:val="indentindexcopy"/>
      </w:pPr>
      <w:r>
        <w:t>defined, 107</w:t>
      </w:r>
    </w:p>
    <w:p w14:paraId="3CC3D263" w14:textId="77777777" w:rsidR="00DF1B95" w:rsidRDefault="00DF1B95" w:rsidP="00DF1B95">
      <w:pPr>
        <w:pStyle w:val="indexcopy"/>
      </w:pPr>
      <w:r>
        <w:t>hospital activity classification systems, 44–45</w:t>
      </w:r>
    </w:p>
    <w:p w14:paraId="3F6AFB74" w14:textId="77777777" w:rsidR="00DF1B95" w:rsidRDefault="00DF1B95" w:rsidP="00DF1B95">
      <w:pPr>
        <w:pStyle w:val="indexcopy"/>
      </w:pPr>
      <w:r>
        <w:t>hospital activity data, 14</w:t>
      </w:r>
    </w:p>
    <w:p w14:paraId="063D62AB" w14:textId="77777777" w:rsidR="00DF1B95" w:rsidRDefault="00DF1B95" w:rsidP="00DF1B95">
      <w:pPr>
        <w:pStyle w:val="indexcopy"/>
      </w:pPr>
      <w:r>
        <w:t>hospital avoidance programs, 58</w:t>
      </w:r>
    </w:p>
    <w:p w14:paraId="7BFEDF35" w14:textId="77777777" w:rsidR="00DF1B95" w:rsidRDefault="00DF1B95" w:rsidP="00DF1B95">
      <w:pPr>
        <w:pStyle w:val="indexcopy"/>
      </w:pPr>
      <w:r>
        <w:t>hospital costing, 22, 49–51</w:t>
      </w:r>
    </w:p>
    <w:p w14:paraId="7BC5F115" w14:textId="77777777" w:rsidR="00DF1B95" w:rsidRDefault="00DF1B95" w:rsidP="00DF1B95">
      <w:pPr>
        <w:pStyle w:val="indexcopy"/>
      </w:pPr>
      <w:r>
        <w:t>hospital data requirements, 52–54</w:t>
      </w:r>
    </w:p>
    <w:p w14:paraId="73BEA424" w14:textId="77777777" w:rsidR="00DF1B95" w:rsidRDefault="00DF1B95" w:rsidP="00DF1B95">
      <w:pPr>
        <w:pStyle w:val="indexcopy"/>
      </w:pPr>
      <w:r>
        <w:t xml:space="preserve">human resources. </w:t>
      </w:r>
      <w:r w:rsidRPr="00A16AFB">
        <w:rPr>
          <w:i/>
          <w:iCs/>
        </w:rPr>
        <w:t>See</w:t>
      </w:r>
      <w:r>
        <w:t xml:space="preserve"> staff</w:t>
      </w:r>
    </w:p>
    <w:p w14:paraId="73AC0079" w14:textId="77777777" w:rsidR="00DF1B95" w:rsidRPr="00E843D6" w:rsidRDefault="00DF1B95" w:rsidP="00DF1B95">
      <w:pPr>
        <w:pStyle w:val="H3"/>
        <w:rPr>
          <w:color w:val="1C1C1C"/>
        </w:rPr>
      </w:pPr>
      <w:r>
        <w:rPr>
          <w:color w:val="1C1C1C"/>
        </w:rPr>
        <w:t>I</w:t>
      </w:r>
    </w:p>
    <w:p w14:paraId="289B047D" w14:textId="77777777" w:rsidR="00DF1B95" w:rsidRDefault="00DF1B95" w:rsidP="00DF1B95">
      <w:pPr>
        <w:pStyle w:val="indexcopy"/>
      </w:pPr>
      <w:r>
        <w:t>ICD-10-AM/ACHI/ACS, 36, 45, 46, 47, 48, 59</w:t>
      </w:r>
    </w:p>
    <w:p w14:paraId="5E0803DA" w14:textId="77777777" w:rsidR="00DF1B95" w:rsidRDefault="00DF1B95" w:rsidP="00DF1B95">
      <w:pPr>
        <w:pStyle w:val="indexcopy"/>
      </w:pPr>
      <w:r>
        <w:t>IHPA overview, 6, 23, 28–30</w:t>
      </w:r>
    </w:p>
    <w:p w14:paraId="7488B73B" w14:textId="77777777" w:rsidR="00DF1B95" w:rsidRDefault="00DF1B95" w:rsidP="00DF1B95">
      <w:pPr>
        <w:pStyle w:val="indentindexcopy"/>
      </w:pPr>
      <w:r>
        <w:t>2020–21 highlights, 30</w:t>
      </w:r>
    </w:p>
    <w:p w14:paraId="3BEA47FF" w14:textId="77777777" w:rsidR="00DF1B95" w:rsidRDefault="00DF1B95" w:rsidP="00DF1B95">
      <w:pPr>
        <w:pStyle w:val="indentindexcopy"/>
      </w:pPr>
      <w:r>
        <w:t>business continuity plan, 65</w:t>
      </w:r>
    </w:p>
    <w:p w14:paraId="25D8DB54" w14:textId="77777777" w:rsidR="00DF1B95" w:rsidRDefault="00DF1B95" w:rsidP="00DF1B95">
      <w:pPr>
        <w:pStyle w:val="indentindexcopy"/>
      </w:pPr>
      <w:r>
        <w:t>CEO’s review, 28–29</w:t>
      </w:r>
    </w:p>
    <w:p w14:paraId="0B62E941" w14:textId="3F367717" w:rsidR="00DF1B95" w:rsidRDefault="00DF1B95" w:rsidP="00DF1B95">
      <w:pPr>
        <w:pStyle w:val="indentindexcopy"/>
      </w:pPr>
      <w:r>
        <w:t xml:space="preserve">Chair’s welcome, </w:t>
      </w:r>
      <w:proofErr w:type="spellStart"/>
      <w:r>
        <w:t>i</w:t>
      </w:r>
      <w:proofErr w:type="spellEnd"/>
      <w:r>
        <w:t>–i</w:t>
      </w:r>
      <w:r w:rsidR="00B92F9E">
        <w:t>ii</w:t>
      </w:r>
    </w:p>
    <w:p w14:paraId="6C9B1DE1" w14:textId="77777777" w:rsidR="00DF1B95" w:rsidRDefault="00DF1B95" w:rsidP="00DF1B95">
      <w:pPr>
        <w:pStyle w:val="indentindexcopy"/>
      </w:pPr>
      <w:r>
        <w:t>enabling legislation, 4–5</w:t>
      </w:r>
    </w:p>
    <w:p w14:paraId="15D63495" w14:textId="77777777" w:rsidR="00DF1B95" w:rsidRDefault="00DF1B95" w:rsidP="00DF1B95">
      <w:pPr>
        <w:pStyle w:val="indentindexcopy"/>
      </w:pPr>
      <w:r>
        <w:t>financial statements, 78–100</w:t>
      </w:r>
    </w:p>
    <w:p w14:paraId="55ABE4B6" w14:textId="278384F3" w:rsidR="00DF1B95" w:rsidRDefault="00DF1B95" w:rsidP="00DF1B95">
      <w:pPr>
        <w:pStyle w:val="indentindexcopy"/>
      </w:pPr>
      <w:r>
        <w:t>goals, ii</w:t>
      </w:r>
    </w:p>
    <w:p w14:paraId="3E71F6E1" w14:textId="77777777" w:rsidR="00DF1B95" w:rsidRDefault="00DF1B95" w:rsidP="00DF1B95">
      <w:pPr>
        <w:pStyle w:val="indentindexcopy"/>
      </w:pPr>
      <w:r>
        <w:t>governance, 64–68</w:t>
      </w:r>
    </w:p>
    <w:p w14:paraId="3518EAA2" w14:textId="77777777" w:rsidR="00DF1B95" w:rsidRDefault="00DF1B95" w:rsidP="00DF1B95">
      <w:pPr>
        <w:pStyle w:val="indentindexcopy"/>
      </w:pPr>
      <w:r>
        <w:t>meetings, 26</w:t>
      </w:r>
    </w:p>
    <w:p w14:paraId="58A6C3F7" w14:textId="17EE1AFA" w:rsidR="0044572F" w:rsidRDefault="00DF1B95" w:rsidP="00DF1B95">
      <w:pPr>
        <w:pStyle w:val="indentindexcopy"/>
      </w:pPr>
      <w:r>
        <w:t>members, 23</w:t>
      </w:r>
    </w:p>
    <w:p w14:paraId="6DDE1EEF" w14:textId="7D559E4C" w:rsidR="0044572F" w:rsidRDefault="0044572F" w:rsidP="00A16AFB">
      <w:pPr>
        <w:pStyle w:val="indentindexcopy"/>
        <w:sectPr w:rsidR="0044572F" w:rsidSect="00FC5187">
          <w:footerReference w:type="default" r:id="rId235"/>
          <w:pgSz w:w="9979" w:h="14175"/>
          <w:pgMar w:top="1134" w:right="1134" w:bottom="1134" w:left="1134" w:header="709" w:footer="709" w:gutter="0"/>
          <w:cols w:num="2" w:space="708"/>
          <w:docGrid w:linePitch="360"/>
        </w:sectPr>
      </w:pPr>
    </w:p>
    <w:p w14:paraId="7BB57B67" w14:textId="77777777" w:rsidR="00DF1B95" w:rsidRDefault="00DF1B95" w:rsidP="00DF1B95">
      <w:pPr>
        <w:pStyle w:val="indexcopy"/>
      </w:pPr>
      <w:r w:rsidRPr="006C381A">
        <w:lastRenderedPageBreak/>
        <w:t>IHPA overview</w:t>
      </w:r>
      <w:r>
        <w:t xml:space="preserve">, </w:t>
      </w:r>
      <w:r w:rsidRPr="006C381A">
        <w:rPr>
          <w:i/>
          <w:iCs/>
        </w:rPr>
        <w:t>continued</w:t>
      </w:r>
    </w:p>
    <w:p w14:paraId="7C4C0E22" w14:textId="77777777" w:rsidR="00DF1B95" w:rsidRDefault="00DF1B95" w:rsidP="00DF1B95">
      <w:pPr>
        <w:pStyle w:val="indentindexcopy"/>
      </w:pPr>
      <w:r>
        <w:t>new roles, 5</w:t>
      </w:r>
    </w:p>
    <w:p w14:paraId="0CC727F7" w14:textId="77777777" w:rsidR="00DF1B95" w:rsidRDefault="00DF1B95" w:rsidP="00DF1B95">
      <w:pPr>
        <w:pStyle w:val="indentindexcopy"/>
      </w:pPr>
      <w:proofErr w:type="spellStart"/>
      <w:r>
        <w:t>organisational</w:t>
      </w:r>
      <w:proofErr w:type="spellEnd"/>
      <w:r>
        <w:t xml:space="preserve"> structure, 16, 18</w:t>
      </w:r>
    </w:p>
    <w:p w14:paraId="4F54DAB6" w14:textId="77777777" w:rsidR="00DF1B95" w:rsidRDefault="00DF1B95" w:rsidP="00DF1B95">
      <w:pPr>
        <w:pStyle w:val="indentindexcopy"/>
      </w:pPr>
      <w:proofErr w:type="spellStart"/>
      <w:r>
        <w:t>organisational</w:t>
      </w:r>
      <w:proofErr w:type="spellEnd"/>
      <w:r>
        <w:t xml:space="preserve"> values, 6</w:t>
      </w:r>
    </w:p>
    <w:p w14:paraId="055769DD" w14:textId="77777777" w:rsidR="00DF1B95" w:rsidRDefault="00DF1B95" w:rsidP="00DF1B95">
      <w:pPr>
        <w:pStyle w:val="indentindexcopy"/>
      </w:pPr>
      <w:r>
        <w:t>performance statements, 38–61</w:t>
      </w:r>
    </w:p>
    <w:p w14:paraId="0584EC6D" w14:textId="77777777" w:rsidR="00DF1B95" w:rsidRDefault="00DF1B95" w:rsidP="00DF1B95">
      <w:pPr>
        <w:pStyle w:val="indentindexcopy"/>
      </w:pPr>
      <w:r>
        <w:t>Pricing Authority (board), 64</w:t>
      </w:r>
    </w:p>
    <w:p w14:paraId="576EBA5C" w14:textId="77777777" w:rsidR="00DF1B95" w:rsidRDefault="00DF1B95" w:rsidP="00DF1B95">
      <w:pPr>
        <w:pStyle w:val="indentindexcopy"/>
      </w:pPr>
      <w:r>
        <w:t>purpose, 6</w:t>
      </w:r>
    </w:p>
    <w:p w14:paraId="4DF02E11" w14:textId="77777777" w:rsidR="00DF1B95" w:rsidRDefault="00DF1B95" w:rsidP="00DF1B95">
      <w:pPr>
        <w:pStyle w:val="indentindexcopy"/>
      </w:pPr>
      <w:r>
        <w:t>roles and functions, 5, 7, 23, 40, 86</w:t>
      </w:r>
    </w:p>
    <w:p w14:paraId="1224296E" w14:textId="77777777" w:rsidR="00DF1B95" w:rsidRDefault="00DF1B95" w:rsidP="00DF1B95">
      <w:pPr>
        <w:pStyle w:val="indentindexcopy"/>
      </w:pPr>
      <w:r>
        <w:t>staff benefits, 72, 88, 97–98</w:t>
      </w:r>
    </w:p>
    <w:p w14:paraId="10561FFB" w14:textId="7B901EB6" w:rsidR="00DF1B95" w:rsidRDefault="00DF1B95" w:rsidP="00DF1B95">
      <w:pPr>
        <w:pStyle w:val="indentindexcopy"/>
      </w:pPr>
      <w:r>
        <w:t>stakeholders, ii, 29, 57–61</w:t>
      </w:r>
    </w:p>
    <w:p w14:paraId="53158A71" w14:textId="77777777" w:rsidR="00DF1B95" w:rsidRDefault="00DF1B95" w:rsidP="00DF1B95">
      <w:pPr>
        <w:pStyle w:val="indentindexcopy"/>
      </w:pPr>
      <w:r>
        <w:t>vision statement, 6</w:t>
      </w:r>
    </w:p>
    <w:p w14:paraId="7C6CFBF8" w14:textId="77777777" w:rsidR="00DF1B95" w:rsidRDefault="00DF1B95" w:rsidP="00DF1B95">
      <w:pPr>
        <w:pStyle w:val="indentindexcopy"/>
      </w:pPr>
      <w:r>
        <w:t>work program, 30, 39</w:t>
      </w:r>
    </w:p>
    <w:p w14:paraId="7C0B6103" w14:textId="77777777" w:rsidR="00DF1B95" w:rsidRDefault="00DF1B95" w:rsidP="00DF1B95">
      <w:pPr>
        <w:pStyle w:val="indexcopy"/>
      </w:pPr>
      <w:r>
        <w:t>Impact of New Health Technology Framework, 47</w:t>
      </w:r>
    </w:p>
    <w:p w14:paraId="5B959D1C" w14:textId="77777777" w:rsidR="00DF1B95" w:rsidRDefault="00DF1B95" w:rsidP="00DF1B95">
      <w:pPr>
        <w:pStyle w:val="indexcopy"/>
      </w:pPr>
      <w:r>
        <w:t>inbox enquiries, 60</w:t>
      </w:r>
    </w:p>
    <w:p w14:paraId="15B9201A" w14:textId="77777777" w:rsidR="00DF1B95" w:rsidRDefault="00DF1B95" w:rsidP="00DF1B95">
      <w:pPr>
        <w:pStyle w:val="indexcopy"/>
      </w:pPr>
      <w:r>
        <w:t>Individual Healthcare Identifiers (IHI), 53, 61</w:t>
      </w:r>
    </w:p>
    <w:p w14:paraId="7A11529E" w14:textId="77777777" w:rsidR="00DF1B95" w:rsidRDefault="00DF1B95" w:rsidP="00DF1B95">
      <w:pPr>
        <w:pStyle w:val="indexcopy"/>
      </w:pPr>
      <w:r>
        <w:t>infographics, 51</w:t>
      </w:r>
    </w:p>
    <w:p w14:paraId="059B7B0D" w14:textId="77777777" w:rsidR="00DF1B95" w:rsidRDefault="00DF1B95" w:rsidP="00DF1B95">
      <w:pPr>
        <w:pStyle w:val="indexcopy"/>
      </w:pPr>
      <w:r>
        <w:t>inter-agency financial activity, 68</w:t>
      </w:r>
    </w:p>
    <w:p w14:paraId="38CC5ABE" w14:textId="77777777" w:rsidR="00DF1B95" w:rsidRDefault="00DF1B95" w:rsidP="00DF1B95">
      <w:pPr>
        <w:pStyle w:val="indexcopy"/>
      </w:pPr>
      <w:r>
        <w:t>internal audits, 65</w:t>
      </w:r>
    </w:p>
    <w:p w14:paraId="12C20DA2" w14:textId="77777777" w:rsidR="00DF1B95" w:rsidRDefault="00DF1B95" w:rsidP="00DF1B95">
      <w:pPr>
        <w:pStyle w:val="indexcopy"/>
      </w:pPr>
      <w:r>
        <w:t>International Statistical Classification of Diseases and Related Health Problems, Tenth Revision, Australian Modification (ICD-</w:t>
      </w:r>
      <w:r>
        <w:rPr>
          <w:rFonts w:ascii="Arial" w:hAnsi="Arial" w:cs="Arial" w:hint="cs"/>
          <w:rtl/>
        </w:rPr>
        <w:t>‍</w:t>
      </w:r>
      <w:r>
        <w:t>10-</w:t>
      </w:r>
      <w:r>
        <w:rPr>
          <w:rFonts w:ascii="Arial" w:hAnsi="Arial" w:cs="Arial" w:hint="cs"/>
          <w:rtl/>
        </w:rPr>
        <w:t>‍</w:t>
      </w:r>
      <w:r>
        <w:t>AM), 36, 45, 46, 47, 48, 59</w:t>
      </w:r>
    </w:p>
    <w:p w14:paraId="3991B4D4" w14:textId="22ECBCE7" w:rsidR="00DF1B95" w:rsidRDefault="00DF1B95" w:rsidP="00DF1B95">
      <w:pPr>
        <w:pStyle w:val="indexcopy"/>
      </w:pPr>
      <w:r>
        <w:t>internet home page, i</w:t>
      </w:r>
      <w:r w:rsidR="00B92F9E">
        <w:t>nside front cover</w:t>
      </w:r>
    </w:p>
    <w:p w14:paraId="25D2EC9A" w14:textId="77777777" w:rsidR="00DF1B95" w:rsidRPr="00E843D6" w:rsidRDefault="00DF1B95" w:rsidP="00DF1B95">
      <w:pPr>
        <w:pStyle w:val="H3"/>
        <w:rPr>
          <w:color w:val="1C1C1C"/>
        </w:rPr>
      </w:pPr>
      <w:r>
        <w:rPr>
          <w:color w:val="1C1C1C"/>
        </w:rPr>
        <w:t>J</w:t>
      </w:r>
    </w:p>
    <w:p w14:paraId="27CBA3A4" w14:textId="77777777" w:rsidR="00DF1B95" w:rsidRDefault="00DF1B95" w:rsidP="00DF1B95">
      <w:pPr>
        <w:pStyle w:val="indexcopy"/>
      </w:pPr>
      <w:r>
        <w:t>Jurisdictional Advisory Committee, 17, 19, 58</w:t>
      </w:r>
    </w:p>
    <w:p w14:paraId="4A51A04C" w14:textId="77777777" w:rsidR="00DF1B95" w:rsidRDefault="00DF1B95" w:rsidP="00DF1B95">
      <w:pPr>
        <w:pStyle w:val="indexcopy"/>
      </w:pPr>
      <w:r>
        <w:t>jurisdictional compliance, 53, 54</w:t>
      </w:r>
    </w:p>
    <w:p w14:paraId="387F55A8" w14:textId="77777777" w:rsidR="00DF1B95" w:rsidRPr="00E843D6" w:rsidRDefault="00DF1B95" w:rsidP="00DF1B95">
      <w:pPr>
        <w:pStyle w:val="H3"/>
        <w:rPr>
          <w:color w:val="1C1C1C"/>
        </w:rPr>
      </w:pPr>
      <w:r>
        <w:rPr>
          <w:color w:val="1C1C1C"/>
        </w:rPr>
        <w:t>K</w:t>
      </w:r>
    </w:p>
    <w:p w14:paraId="0805E3E7" w14:textId="77777777" w:rsidR="00DF1B95" w:rsidRDefault="00DF1B95" w:rsidP="00DF1B95">
      <w:pPr>
        <w:pStyle w:val="indexcopy"/>
      </w:pPr>
      <w:r>
        <w:t>key management personnel, 72</w:t>
      </w:r>
    </w:p>
    <w:p w14:paraId="6504CE89" w14:textId="77777777" w:rsidR="00DF1B95" w:rsidRDefault="00DF1B95" w:rsidP="00DF1B95">
      <w:pPr>
        <w:pStyle w:val="indentindexcopy"/>
      </w:pPr>
      <w:r>
        <w:t>remuneration, 72, 98</w:t>
      </w:r>
    </w:p>
    <w:p w14:paraId="047451C3" w14:textId="77777777" w:rsidR="00DF1B95" w:rsidRPr="00E843D6" w:rsidRDefault="00DF1B95" w:rsidP="00DF1B95">
      <w:pPr>
        <w:pStyle w:val="H3"/>
        <w:rPr>
          <w:color w:val="1C1C1C"/>
        </w:rPr>
      </w:pPr>
      <w:r>
        <w:rPr>
          <w:color w:val="1C1C1C"/>
        </w:rPr>
        <w:t>L</w:t>
      </w:r>
    </w:p>
    <w:p w14:paraId="7D716035" w14:textId="77777777" w:rsidR="00DF1B95" w:rsidRDefault="00DF1B95" w:rsidP="00DF1B95">
      <w:pPr>
        <w:pStyle w:val="indexcopy"/>
      </w:pPr>
      <w:r>
        <w:t>legislation, 4–5</w:t>
      </w:r>
    </w:p>
    <w:p w14:paraId="0184BE34" w14:textId="6F17B5E5" w:rsidR="00DF1B95" w:rsidRDefault="00DF1B95" w:rsidP="00DF1B95">
      <w:pPr>
        <w:pStyle w:val="indexcopy"/>
      </w:pPr>
      <w:r>
        <w:t xml:space="preserve">letter of transmittal, </w:t>
      </w:r>
      <w:r w:rsidR="00B92F9E">
        <w:t>i</w:t>
      </w:r>
      <w:r>
        <w:t>v</w:t>
      </w:r>
    </w:p>
    <w:p w14:paraId="5C818890" w14:textId="77777777" w:rsidR="00DF1B95" w:rsidRPr="00E843D6" w:rsidRDefault="00DF1B95" w:rsidP="00DF1B95">
      <w:pPr>
        <w:pStyle w:val="H3"/>
        <w:rPr>
          <w:color w:val="1C1C1C"/>
        </w:rPr>
      </w:pPr>
      <w:r>
        <w:br w:type="column"/>
      </w:r>
      <w:r>
        <w:rPr>
          <w:color w:val="1C1C1C"/>
        </w:rPr>
        <w:t>M</w:t>
      </w:r>
    </w:p>
    <w:p w14:paraId="7060D494" w14:textId="77777777" w:rsidR="00DF1B95" w:rsidRDefault="00DF1B95" w:rsidP="00DF1B95">
      <w:pPr>
        <w:pStyle w:val="indexcopy"/>
      </w:pPr>
      <w:r>
        <w:t>MacDonald, Alasdair, 32–33, 34</w:t>
      </w:r>
    </w:p>
    <w:p w14:paraId="4DC81605" w14:textId="77777777" w:rsidR="00DF1B95" w:rsidRDefault="00DF1B95" w:rsidP="00DF1B95">
      <w:pPr>
        <w:pStyle w:val="indexcopy"/>
      </w:pPr>
      <w:r>
        <w:t>management and accountability, 64–75</w:t>
      </w:r>
    </w:p>
    <w:p w14:paraId="10019928" w14:textId="77777777" w:rsidR="00DF1B95" w:rsidRDefault="00DF1B95" w:rsidP="00DF1B95">
      <w:pPr>
        <w:pStyle w:val="indexcopy"/>
      </w:pPr>
      <w:r>
        <w:t>management committees, 17, 18</w:t>
      </w:r>
    </w:p>
    <w:p w14:paraId="285D571E" w14:textId="77777777" w:rsidR="00DF1B95" w:rsidRDefault="00DF1B95" w:rsidP="00DF1B95">
      <w:pPr>
        <w:pStyle w:val="indexcopy"/>
      </w:pPr>
      <w:r>
        <w:t xml:space="preserve">medical devices. </w:t>
      </w:r>
      <w:r w:rsidRPr="00A16AFB">
        <w:rPr>
          <w:i/>
          <w:iCs/>
        </w:rPr>
        <w:t>See</w:t>
      </w:r>
      <w:r>
        <w:t xml:space="preserve"> Prosthesis List reform</w:t>
      </w:r>
    </w:p>
    <w:p w14:paraId="1FE3ED98" w14:textId="77777777" w:rsidR="00DF1B95" w:rsidRDefault="00DF1B95" w:rsidP="00DF1B95">
      <w:pPr>
        <w:pStyle w:val="indexcopy"/>
      </w:pPr>
      <w:r>
        <w:t>meetings, 26</w:t>
      </w:r>
    </w:p>
    <w:p w14:paraId="061EB5F1" w14:textId="77777777" w:rsidR="00DF1B95" w:rsidRDefault="00DF1B95" w:rsidP="00DF1B95">
      <w:pPr>
        <w:pStyle w:val="indentindexcopy"/>
      </w:pPr>
      <w:r>
        <w:t>Audit, Risk and Compliance Committee, 67</w:t>
      </w:r>
    </w:p>
    <w:p w14:paraId="63368A3B" w14:textId="77777777" w:rsidR="00DF1B95" w:rsidRDefault="00DF1B95" w:rsidP="00DF1B95">
      <w:pPr>
        <w:pStyle w:val="indentindexcopy"/>
      </w:pPr>
      <w:r>
        <w:t>Clinical Advisory Committee, 35</w:t>
      </w:r>
    </w:p>
    <w:p w14:paraId="3E61F5AA" w14:textId="77777777" w:rsidR="00DF1B95" w:rsidRDefault="00DF1B95" w:rsidP="00DF1B95">
      <w:pPr>
        <w:pStyle w:val="indentindexcopy"/>
      </w:pPr>
      <w:r>
        <w:t>Jurisdictional Advisory Committee, 19</w:t>
      </w:r>
    </w:p>
    <w:p w14:paraId="4F1A5ABE" w14:textId="77777777" w:rsidR="00DF1B95" w:rsidRDefault="00DF1B95" w:rsidP="00DF1B95">
      <w:pPr>
        <w:pStyle w:val="indexcopy"/>
      </w:pPr>
      <w:r>
        <w:t>mental health care pricing, 43</w:t>
      </w:r>
    </w:p>
    <w:p w14:paraId="4117F8A6" w14:textId="77777777" w:rsidR="00DF1B95" w:rsidRDefault="00DF1B95" w:rsidP="00DF1B95">
      <w:pPr>
        <w:pStyle w:val="indexcopy"/>
      </w:pPr>
      <w:r>
        <w:t>Mental Health Phase of Care Clinical Refinement Testing Project, 46</w:t>
      </w:r>
    </w:p>
    <w:p w14:paraId="4FAAD909" w14:textId="77777777" w:rsidR="00DF1B95" w:rsidRDefault="00DF1B95" w:rsidP="00DF1B95">
      <w:pPr>
        <w:pStyle w:val="indexcopy"/>
      </w:pPr>
      <w:r>
        <w:t>Minister responsible, 10, 23</w:t>
      </w:r>
    </w:p>
    <w:p w14:paraId="68551B37" w14:textId="77777777" w:rsidR="00DF1B95" w:rsidRDefault="00DF1B95" w:rsidP="00DF1B95">
      <w:pPr>
        <w:pStyle w:val="indexcopy"/>
      </w:pPr>
      <w:r>
        <w:t>Ministerial directions, 11</w:t>
      </w:r>
    </w:p>
    <w:p w14:paraId="2401EADE" w14:textId="77777777" w:rsidR="00DF1B95" w:rsidRPr="00E843D6" w:rsidRDefault="00DF1B95" w:rsidP="00DF1B95">
      <w:pPr>
        <w:pStyle w:val="H3"/>
        <w:rPr>
          <w:color w:val="1C1C1C"/>
        </w:rPr>
      </w:pPr>
      <w:r>
        <w:rPr>
          <w:color w:val="1C1C1C"/>
        </w:rPr>
        <w:t>N</w:t>
      </w:r>
    </w:p>
    <w:p w14:paraId="789C10F9" w14:textId="77777777" w:rsidR="00DF1B95" w:rsidRDefault="00DF1B95" w:rsidP="00DF1B95">
      <w:pPr>
        <w:pStyle w:val="indexcopy"/>
      </w:pPr>
      <w:r>
        <w:t>National Benchmarking Portal, 14, 54</w:t>
      </w:r>
    </w:p>
    <w:p w14:paraId="164427DB" w14:textId="77777777" w:rsidR="00DF1B95" w:rsidRDefault="00DF1B95" w:rsidP="00DF1B95">
      <w:pPr>
        <w:pStyle w:val="indexcopy"/>
      </w:pPr>
      <w:r>
        <w:t xml:space="preserve">National Best </w:t>
      </w:r>
      <w:proofErr w:type="spellStart"/>
      <w:r>
        <w:t>Endeavours</w:t>
      </w:r>
      <w:proofErr w:type="spellEnd"/>
      <w:r>
        <w:t xml:space="preserve"> Data Sets, 53</w:t>
      </w:r>
    </w:p>
    <w:p w14:paraId="4FB9B8BA" w14:textId="40A28992" w:rsidR="00DF1B95" w:rsidRDefault="00DF1B95" w:rsidP="00DF1B95">
      <w:pPr>
        <w:pStyle w:val="indexcopy"/>
      </w:pPr>
      <w:r>
        <w:t>national efficient cost, ii, 15</w:t>
      </w:r>
    </w:p>
    <w:p w14:paraId="22F08BF1" w14:textId="77777777" w:rsidR="00DF1B95" w:rsidRDefault="00DF1B95" w:rsidP="00DF1B95">
      <w:pPr>
        <w:pStyle w:val="indentindexcopy"/>
      </w:pPr>
      <w:r>
        <w:t>defined, 107</w:t>
      </w:r>
    </w:p>
    <w:p w14:paraId="01356443" w14:textId="77777777" w:rsidR="00DF1B95" w:rsidRDefault="00DF1B95" w:rsidP="00DF1B95">
      <w:pPr>
        <w:pStyle w:val="indentindexcopy"/>
      </w:pPr>
      <w:r>
        <w:t>Determinations, 30, 40–43</w:t>
      </w:r>
    </w:p>
    <w:p w14:paraId="78540B4B" w14:textId="62F73469" w:rsidR="00DF1B95" w:rsidRDefault="00DF1B95" w:rsidP="00DF1B95">
      <w:pPr>
        <w:pStyle w:val="indexcopy"/>
      </w:pPr>
      <w:r>
        <w:t>national efficient price, ii, 12–13, 22</w:t>
      </w:r>
    </w:p>
    <w:p w14:paraId="4B423BDA" w14:textId="77777777" w:rsidR="00DF1B95" w:rsidRDefault="00DF1B95" w:rsidP="00DF1B95">
      <w:pPr>
        <w:pStyle w:val="indentindexcopy"/>
      </w:pPr>
      <w:r>
        <w:t>defined, 107</w:t>
      </w:r>
    </w:p>
    <w:p w14:paraId="46FEE619" w14:textId="77777777" w:rsidR="00DF1B95" w:rsidRDefault="00DF1B95" w:rsidP="00DF1B95">
      <w:pPr>
        <w:pStyle w:val="indentindexcopy"/>
      </w:pPr>
      <w:r>
        <w:t>Determinations, 30, 40–43</w:t>
      </w:r>
    </w:p>
    <w:p w14:paraId="3BCE26FF" w14:textId="77777777" w:rsidR="00DF1B95" w:rsidRDefault="00DF1B95" w:rsidP="00DF1B95">
      <w:pPr>
        <w:pStyle w:val="indexcopy"/>
      </w:pPr>
      <w:r>
        <w:t>National Health Funding Body, 65</w:t>
      </w:r>
    </w:p>
    <w:p w14:paraId="6EBADD46" w14:textId="77777777" w:rsidR="00DF1B95" w:rsidRDefault="00DF1B95" w:rsidP="00DF1B95">
      <w:pPr>
        <w:pStyle w:val="indexcopy"/>
      </w:pPr>
      <w:r>
        <w:t>National Health Funding Pool, 4, 12</w:t>
      </w:r>
    </w:p>
    <w:p w14:paraId="11C7C211" w14:textId="77777777" w:rsidR="00DF1B95" w:rsidRDefault="00DF1B95" w:rsidP="00DF1B95">
      <w:pPr>
        <w:pStyle w:val="indexcopy"/>
      </w:pPr>
      <w:r w:rsidRPr="000A40F6">
        <w:rPr>
          <w:i/>
          <w:iCs/>
        </w:rPr>
        <w:t>National Health Reform Act 2011</w:t>
      </w:r>
      <w:r>
        <w:t>, 4, 6, 7, 64, 65, 86</w:t>
      </w:r>
    </w:p>
    <w:p w14:paraId="376CAE90" w14:textId="77777777" w:rsidR="00DF1B95" w:rsidRDefault="00DF1B95" w:rsidP="00DF1B95">
      <w:pPr>
        <w:pStyle w:val="indentindexcopy"/>
      </w:pPr>
      <w:r>
        <w:t>accountable authority, 1, 16, 73</w:t>
      </w:r>
    </w:p>
    <w:p w14:paraId="5F71A07A" w14:textId="77777777" w:rsidR="00DF1B95" w:rsidRDefault="00DF1B95" w:rsidP="00DF1B95">
      <w:pPr>
        <w:pStyle w:val="indentindexcopy"/>
      </w:pPr>
      <w:r>
        <w:t>advisory committees, 17, 19, 34</w:t>
      </w:r>
    </w:p>
    <w:p w14:paraId="2526642E" w14:textId="77777777" w:rsidR="00DF1B95" w:rsidRDefault="00DF1B95" w:rsidP="00DF1B95">
      <w:pPr>
        <w:pStyle w:val="indentindexcopy"/>
      </w:pPr>
      <w:r>
        <w:t>cost-shifting and cross-border disputes, 56</w:t>
      </w:r>
    </w:p>
    <w:p w14:paraId="4CDDF5DA" w14:textId="77777777" w:rsidR="00DF1B95" w:rsidRDefault="00DF1B95" w:rsidP="00DF1B95">
      <w:pPr>
        <w:pStyle w:val="indentindexcopy"/>
      </w:pPr>
      <w:r>
        <w:t>defined, 107</w:t>
      </w:r>
    </w:p>
    <w:p w14:paraId="7A2D8E6C" w14:textId="77777777" w:rsidR="00DF1B95" w:rsidRDefault="00DF1B95" w:rsidP="00DF1B95">
      <w:pPr>
        <w:pStyle w:val="indentindexcopy"/>
      </w:pPr>
      <w:r>
        <w:t>Ministerial Directions, 11</w:t>
      </w:r>
    </w:p>
    <w:p w14:paraId="40BDCA75" w14:textId="77777777" w:rsidR="00DF1B95" w:rsidRDefault="00DF1B95" w:rsidP="00DF1B95">
      <w:pPr>
        <w:pStyle w:val="indexcopy"/>
      </w:pPr>
      <w:r>
        <w:t>National Health Reform Agreement, 4, 7</w:t>
      </w:r>
    </w:p>
    <w:p w14:paraId="4C0CC2D8" w14:textId="77777777" w:rsidR="00DF1B95" w:rsidRDefault="00DF1B95" w:rsidP="00DF1B95">
      <w:pPr>
        <w:pStyle w:val="indentindexcopy"/>
      </w:pPr>
      <w:r>
        <w:t>defined, 107</w:t>
      </w:r>
    </w:p>
    <w:p w14:paraId="2C099163" w14:textId="77777777" w:rsidR="00A16AFB" w:rsidRDefault="00A16AFB" w:rsidP="00504250">
      <w:pPr>
        <w:pStyle w:val="Body"/>
      </w:pPr>
    </w:p>
    <w:p w14:paraId="60F83133" w14:textId="77777777" w:rsidR="0044572F" w:rsidRDefault="0044572F" w:rsidP="00504250">
      <w:pPr>
        <w:pStyle w:val="Body"/>
        <w:sectPr w:rsidR="0044572F" w:rsidSect="00FC5187">
          <w:footerReference w:type="default" r:id="rId236"/>
          <w:pgSz w:w="9979" w:h="14175"/>
          <w:pgMar w:top="1134" w:right="1134" w:bottom="1134" w:left="1134" w:header="709" w:footer="709" w:gutter="0"/>
          <w:cols w:num="2" w:space="708"/>
          <w:docGrid w:linePitch="360"/>
        </w:sectPr>
      </w:pPr>
    </w:p>
    <w:p w14:paraId="0B7E2C8F" w14:textId="77777777" w:rsidR="00DF1B95" w:rsidRDefault="00DF1B95" w:rsidP="00DF1B95">
      <w:pPr>
        <w:pStyle w:val="indexcopy"/>
      </w:pPr>
      <w:r>
        <w:lastRenderedPageBreak/>
        <w:t>National Hospital Cost Data Collection (NHCDC), 14, 30, 49–51</w:t>
      </w:r>
    </w:p>
    <w:p w14:paraId="028030FC" w14:textId="77777777" w:rsidR="00DF1B95" w:rsidRDefault="00DF1B95" w:rsidP="00DF1B95">
      <w:pPr>
        <w:pStyle w:val="indexcopy"/>
      </w:pPr>
      <w:r>
        <w:t>National Minimum Data Sets, 53</w:t>
      </w:r>
    </w:p>
    <w:p w14:paraId="0AE3EE85" w14:textId="77777777" w:rsidR="00DF1B95" w:rsidRDefault="00DF1B95" w:rsidP="00DF1B95">
      <w:pPr>
        <w:pStyle w:val="indexcopy"/>
      </w:pPr>
      <w:r>
        <w:t>National Partnership on Coronavirus Disease 2019 (COVID-19) Response, 4, 32, 36</w:t>
      </w:r>
    </w:p>
    <w:p w14:paraId="654215EB" w14:textId="77777777" w:rsidR="00DF1B95" w:rsidRDefault="00DF1B95" w:rsidP="00DF1B95">
      <w:pPr>
        <w:pStyle w:val="indexcopy"/>
      </w:pPr>
      <w:r>
        <w:t>National Weighted Activity Units (NWAU), 22</w:t>
      </w:r>
    </w:p>
    <w:p w14:paraId="334FD2A5" w14:textId="77777777" w:rsidR="00DF1B95" w:rsidRDefault="00DF1B95" w:rsidP="00DF1B95">
      <w:pPr>
        <w:pStyle w:val="indentindexcopy"/>
      </w:pPr>
      <w:r>
        <w:t>defined, 108</w:t>
      </w:r>
    </w:p>
    <w:p w14:paraId="1850DF48" w14:textId="77777777" w:rsidR="00DF1B95" w:rsidRDefault="00DF1B95" w:rsidP="00DF1B95">
      <w:pPr>
        <w:pStyle w:val="indexcopy"/>
      </w:pPr>
      <w:r>
        <w:t xml:space="preserve">Nationally Funded </w:t>
      </w:r>
      <w:proofErr w:type="spellStart"/>
      <w:r>
        <w:t>Centres</w:t>
      </w:r>
      <w:proofErr w:type="spellEnd"/>
      <w:r>
        <w:t xml:space="preserve"> Program, 11, 29, 30, 41–42</w:t>
      </w:r>
    </w:p>
    <w:p w14:paraId="719290BD" w14:textId="77777777" w:rsidR="00DF1B95" w:rsidRDefault="00DF1B95" w:rsidP="00DF1B95">
      <w:pPr>
        <w:pStyle w:val="indexcopy"/>
      </w:pPr>
      <w:r>
        <w:t>new health technology assessments, 5, 36, 47, 48</w:t>
      </w:r>
    </w:p>
    <w:p w14:paraId="1EC79CB8" w14:textId="77777777" w:rsidR="00DF1B95" w:rsidRDefault="00DF1B95" w:rsidP="00DF1B95">
      <w:pPr>
        <w:pStyle w:val="indexcopy"/>
      </w:pPr>
      <w:r>
        <w:t>NHCDC Independent Financial Review, 50</w:t>
      </w:r>
    </w:p>
    <w:p w14:paraId="6AD414A2" w14:textId="77777777" w:rsidR="00DF1B95" w:rsidRDefault="00DF1B95" w:rsidP="00DF1B95">
      <w:pPr>
        <w:pStyle w:val="indexcopy"/>
      </w:pPr>
      <w:r>
        <w:t>non-ABF funding models, 59</w:t>
      </w:r>
    </w:p>
    <w:p w14:paraId="65288A3A" w14:textId="77777777" w:rsidR="00DF1B95" w:rsidRDefault="00DF1B95" w:rsidP="00DF1B95">
      <w:pPr>
        <w:pStyle w:val="indexcopy"/>
      </w:pPr>
      <w:r>
        <w:t>non-acute patient classification, 28</w:t>
      </w:r>
    </w:p>
    <w:p w14:paraId="5F4BCB2E" w14:textId="77777777" w:rsidR="00DF1B95" w:rsidRDefault="00DF1B95" w:rsidP="00DF1B95">
      <w:pPr>
        <w:pStyle w:val="indexcopy"/>
      </w:pPr>
      <w:r>
        <w:t>non-admitted care classification, 46, 48</w:t>
      </w:r>
    </w:p>
    <w:p w14:paraId="79BE8411" w14:textId="77777777" w:rsidR="00DF1B95" w:rsidRDefault="00DF1B95" w:rsidP="00DF1B95">
      <w:pPr>
        <w:pStyle w:val="indexcopy"/>
      </w:pPr>
      <w:r>
        <w:t>non-admitted care patient level data, 53</w:t>
      </w:r>
    </w:p>
    <w:p w14:paraId="1CDD70A5" w14:textId="77777777" w:rsidR="00DF1B95" w:rsidRDefault="00DF1B95" w:rsidP="00DF1B95">
      <w:pPr>
        <w:pStyle w:val="indexcopy"/>
      </w:pPr>
      <w:r>
        <w:t>non-admitted mental health care, 15</w:t>
      </w:r>
    </w:p>
    <w:p w14:paraId="76373624" w14:textId="77777777" w:rsidR="00DF1B95" w:rsidRDefault="00DF1B95" w:rsidP="00DF1B95">
      <w:pPr>
        <w:pStyle w:val="indexcopy"/>
      </w:pPr>
      <w:r>
        <w:t>non-ongoing seconded employees, 69, 71</w:t>
      </w:r>
    </w:p>
    <w:p w14:paraId="3F24F8DE" w14:textId="77777777" w:rsidR="00DF1B95" w:rsidRDefault="00DF1B95" w:rsidP="00DF1B95">
      <w:pPr>
        <w:pStyle w:val="indexcopy"/>
      </w:pPr>
      <w:r>
        <w:t>notifiable incidents, 75</w:t>
      </w:r>
    </w:p>
    <w:p w14:paraId="086C24CF" w14:textId="77777777" w:rsidR="00DF1B95" w:rsidRPr="00E843D6" w:rsidRDefault="00DF1B95" w:rsidP="00DF1B95">
      <w:pPr>
        <w:pStyle w:val="H3"/>
        <w:rPr>
          <w:color w:val="1C1C1C"/>
        </w:rPr>
      </w:pPr>
      <w:r>
        <w:rPr>
          <w:color w:val="1C1C1C"/>
        </w:rPr>
        <w:t>O</w:t>
      </w:r>
    </w:p>
    <w:p w14:paraId="37CCC99B" w14:textId="19A70803" w:rsidR="00DF1B95" w:rsidRDefault="00DF1B95" w:rsidP="00DF1B95">
      <w:pPr>
        <w:pStyle w:val="indexcopy"/>
      </w:pPr>
      <w:r>
        <w:t>objectives, ii, 86</w:t>
      </w:r>
    </w:p>
    <w:p w14:paraId="465EFFD2" w14:textId="77777777" w:rsidR="00DF1B95" w:rsidRDefault="00DF1B95" w:rsidP="00DF1B95">
      <w:pPr>
        <w:pStyle w:val="indexcopy"/>
      </w:pPr>
      <w:r>
        <w:t xml:space="preserve">occupational health and safety. </w:t>
      </w:r>
      <w:r w:rsidRPr="00251AC1">
        <w:rPr>
          <w:i/>
          <w:iCs/>
        </w:rPr>
        <w:t>See</w:t>
      </w:r>
      <w:r>
        <w:t xml:space="preserve"> work health and safety</w:t>
      </w:r>
    </w:p>
    <w:p w14:paraId="45890430" w14:textId="77777777" w:rsidR="00DF1B95" w:rsidRDefault="00DF1B95" w:rsidP="00DF1B95">
      <w:pPr>
        <w:pStyle w:val="indexcopy"/>
      </w:pPr>
      <w:r>
        <w:t>office location, 16</w:t>
      </w:r>
    </w:p>
    <w:p w14:paraId="34728AAB" w14:textId="77777777" w:rsidR="00DF1B95" w:rsidRDefault="00DF1B95" w:rsidP="00DF1B95">
      <w:pPr>
        <w:pStyle w:val="indexcopy"/>
      </w:pPr>
      <w:r>
        <w:t>ongoing seconded employees, 69–70</w:t>
      </w:r>
    </w:p>
    <w:p w14:paraId="293E84CF" w14:textId="77777777" w:rsidR="00DF1B95" w:rsidRDefault="00DF1B95" w:rsidP="00DF1B95">
      <w:pPr>
        <w:pStyle w:val="indexcopy"/>
      </w:pPr>
      <w:r>
        <w:t>online training, 61</w:t>
      </w:r>
    </w:p>
    <w:p w14:paraId="5E79C600" w14:textId="77777777" w:rsidR="00DF1B95" w:rsidRDefault="00DF1B95" w:rsidP="00DF1B95">
      <w:pPr>
        <w:pStyle w:val="indexcopy"/>
      </w:pPr>
      <w:proofErr w:type="spellStart"/>
      <w:r>
        <w:t>organisational</w:t>
      </w:r>
      <w:proofErr w:type="spellEnd"/>
      <w:r>
        <w:t xml:space="preserve"> structure, 16</w:t>
      </w:r>
    </w:p>
    <w:p w14:paraId="00ADCED0" w14:textId="77777777" w:rsidR="00DF1B95" w:rsidRDefault="00DF1B95" w:rsidP="00DF1B95">
      <w:pPr>
        <w:pStyle w:val="indexcopy"/>
      </w:pPr>
      <w:proofErr w:type="spellStart"/>
      <w:r>
        <w:t>organisational</w:t>
      </w:r>
      <w:proofErr w:type="spellEnd"/>
      <w:r>
        <w:t xml:space="preserve"> values, 6</w:t>
      </w:r>
    </w:p>
    <w:p w14:paraId="26E3A8C0" w14:textId="0DF383E6" w:rsidR="00DF1B95" w:rsidRDefault="00DF1B95" w:rsidP="00DF1B95">
      <w:pPr>
        <w:pStyle w:val="indexcopy"/>
      </w:pPr>
      <w:r>
        <w:t>outlook, i</w:t>
      </w:r>
      <w:r w:rsidR="00B92F9E">
        <w:t>ii</w:t>
      </w:r>
      <w:r>
        <w:t>, 29</w:t>
      </w:r>
    </w:p>
    <w:p w14:paraId="06CDA785" w14:textId="77777777" w:rsidR="00DF1B95" w:rsidRDefault="00DF1B95" w:rsidP="00DF1B95">
      <w:pPr>
        <w:pStyle w:val="indentindexcopy"/>
      </w:pPr>
      <w:r>
        <w:t>2022 conference, 61</w:t>
      </w:r>
    </w:p>
    <w:p w14:paraId="1AA04929" w14:textId="77777777" w:rsidR="00DF1B95" w:rsidRDefault="00DF1B95" w:rsidP="00DF1B95">
      <w:pPr>
        <w:pStyle w:val="indexcopy"/>
      </w:pPr>
      <w:r>
        <w:t>overview, 28–30</w:t>
      </w:r>
    </w:p>
    <w:p w14:paraId="12236FB2" w14:textId="77777777" w:rsidR="00DF1B95" w:rsidRPr="00E843D6" w:rsidRDefault="00DF1B95" w:rsidP="00DF1B95">
      <w:pPr>
        <w:pStyle w:val="H3"/>
        <w:rPr>
          <w:color w:val="1C1C1C"/>
        </w:rPr>
      </w:pPr>
      <w:r>
        <w:rPr>
          <w:color w:val="1C1C1C"/>
        </w:rPr>
        <w:br w:type="column"/>
      </w:r>
      <w:r>
        <w:rPr>
          <w:color w:val="1C1C1C"/>
        </w:rPr>
        <w:t>P</w:t>
      </w:r>
    </w:p>
    <w:p w14:paraId="7480A78F" w14:textId="77777777" w:rsidR="00DF1B95" w:rsidRDefault="00DF1B95" w:rsidP="00DF1B95">
      <w:pPr>
        <w:pStyle w:val="indexcopy"/>
      </w:pPr>
      <w:r>
        <w:t xml:space="preserve">pandemic response. </w:t>
      </w:r>
      <w:r w:rsidRPr="00251AC1">
        <w:rPr>
          <w:i/>
          <w:iCs/>
        </w:rPr>
        <w:t>See</w:t>
      </w:r>
      <w:r>
        <w:t xml:space="preserve"> COVID-19</w:t>
      </w:r>
    </w:p>
    <w:p w14:paraId="06A921BC" w14:textId="77777777" w:rsidR="00DF1B95" w:rsidRDefault="00DF1B95" w:rsidP="00DF1B95">
      <w:pPr>
        <w:pStyle w:val="indexcopy"/>
      </w:pPr>
      <w:r>
        <w:t>part-time staff, 70, 71</w:t>
      </w:r>
    </w:p>
    <w:p w14:paraId="217FE012" w14:textId="77777777" w:rsidR="00DF1B95" w:rsidRDefault="00DF1B95" w:rsidP="00DF1B95">
      <w:pPr>
        <w:pStyle w:val="indexcopy"/>
      </w:pPr>
      <w:r>
        <w:t xml:space="preserve">performance statements. </w:t>
      </w:r>
      <w:r w:rsidRPr="00251AC1">
        <w:rPr>
          <w:i/>
          <w:iCs/>
        </w:rPr>
        <w:t>See</w:t>
      </w:r>
      <w:r>
        <w:t xml:space="preserve"> annual performance statements</w:t>
      </w:r>
    </w:p>
    <w:p w14:paraId="41C3E3E9" w14:textId="77777777" w:rsidR="00DF1B95" w:rsidRDefault="00DF1B95" w:rsidP="00DF1B95">
      <w:pPr>
        <w:pStyle w:val="indexcopy"/>
      </w:pPr>
      <w:r>
        <w:t xml:space="preserve">personnel. </w:t>
      </w:r>
      <w:r w:rsidRPr="00251AC1">
        <w:rPr>
          <w:i/>
          <w:iCs/>
        </w:rPr>
        <w:t>See</w:t>
      </w:r>
      <w:r>
        <w:t xml:space="preserve"> staff</w:t>
      </w:r>
    </w:p>
    <w:p w14:paraId="130B4587" w14:textId="77777777" w:rsidR="00DF1B95" w:rsidRDefault="00DF1B95" w:rsidP="00DF1B95">
      <w:pPr>
        <w:pStyle w:val="indexcopy"/>
      </w:pPr>
      <w:r>
        <w:t>plans and planning, conferences, 61</w:t>
      </w:r>
    </w:p>
    <w:p w14:paraId="32770464" w14:textId="77777777" w:rsidR="00DF1B95" w:rsidRDefault="00DF1B95" w:rsidP="00DF1B95">
      <w:pPr>
        <w:pStyle w:val="indexcopy"/>
      </w:pPr>
      <w:r>
        <w:t>Portfolio Budget Statements, performance against objectives, 39</w:t>
      </w:r>
    </w:p>
    <w:p w14:paraId="1AF03A96" w14:textId="77777777" w:rsidR="00DF1B95" w:rsidRDefault="00DF1B95" w:rsidP="00DF1B95">
      <w:pPr>
        <w:pStyle w:val="indexcopy"/>
      </w:pPr>
      <w:r>
        <w:t xml:space="preserve">price </w:t>
      </w:r>
      <w:proofErr w:type="spellStart"/>
      <w:r>
        <w:t>harmonisation</w:t>
      </w:r>
      <w:proofErr w:type="spellEnd"/>
      <w:r>
        <w:t>, 36, 41, 43</w:t>
      </w:r>
    </w:p>
    <w:p w14:paraId="0D044032" w14:textId="77777777" w:rsidR="00DF1B95" w:rsidRDefault="00DF1B95" w:rsidP="00DF1B95">
      <w:pPr>
        <w:pStyle w:val="indexcopy"/>
      </w:pPr>
      <w:r>
        <w:t>pricing and funding adjustments, 9, 13, 41, 42</w:t>
      </w:r>
    </w:p>
    <w:p w14:paraId="771F7E60" w14:textId="77777777" w:rsidR="00DF1B95" w:rsidRDefault="00DF1B95" w:rsidP="00DF1B95">
      <w:pPr>
        <w:pStyle w:val="indexcopy"/>
      </w:pPr>
      <w:r>
        <w:t>Pricing Authority (board), 58, 64</w:t>
      </w:r>
    </w:p>
    <w:p w14:paraId="0E401C45" w14:textId="7BA9F312" w:rsidR="00DF1B95" w:rsidRDefault="00DF1B95" w:rsidP="00DF1B95">
      <w:pPr>
        <w:pStyle w:val="indexcopy"/>
      </w:pPr>
      <w:r>
        <w:t xml:space="preserve">Pricing Framework for Australian Public Hospital Services, </w:t>
      </w:r>
      <w:proofErr w:type="spellStart"/>
      <w:r>
        <w:t>i</w:t>
      </w:r>
      <w:proofErr w:type="spellEnd"/>
      <w:r>
        <w:t>, 30, 32, 40–43, 59, 61</w:t>
      </w:r>
    </w:p>
    <w:p w14:paraId="4C892C0D" w14:textId="77777777" w:rsidR="00DF1B95" w:rsidRDefault="00DF1B95" w:rsidP="00DF1B95">
      <w:pPr>
        <w:pStyle w:val="indexcopy"/>
      </w:pPr>
      <w:r>
        <w:t>pricing models, 5, 58, 59, 61</w:t>
      </w:r>
    </w:p>
    <w:p w14:paraId="456BD646" w14:textId="77777777" w:rsidR="00DF1B95" w:rsidRDefault="00DF1B95" w:rsidP="00DF1B95">
      <w:pPr>
        <w:pStyle w:val="indexcopy"/>
      </w:pPr>
      <w:r>
        <w:t>Privacy Threshold Assessment, 64</w:t>
      </w:r>
    </w:p>
    <w:p w14:paraId="55081651" w14:textId="77777777" w:rsidR="00DF1B95" w:rsidRDefault="00DF1B95" w:rsidP="00DF1B95">
      <w:pPr>
        <w:pStyle w:val="indexcopy"/>
      </w:pPr>
      <w:r>
        <w:t>private patients, 5, 50</w:t>
      </w:r>
    </w:p>
    <w:p w14:paraId="324D07EE" w14:textId="0FCBD495" w:rsidR="00DF1B95" w:rsidRDefault="00DF1B95" w:rsidP="00DF1B95">
      <w:pPr>
        <w:pStyle w:val="indexcopy"/>
      </w:pPr>
      <w:r>
        <w:t>Prosthesis List reform, i</w:t>
      </w:r>
      <w:r w:rsidR="00B92F9E">
        <w:t>ii</w:t>
      </w:r>
      <w:r>
        <w:t>, 5, 29</w:t>
      </w:r>
    </w:p>
    <w:p w14:paraId="5035FB85" w14:textId="77777777" w:rsidR="00DF1B95" w:rsidRDefault="00DF1B95" w:rsidP="00DF1B95">
      <w:pPr>
        <w:pStyle w:val="indexcopy"/>
      </w:pPr>
      <w:r>
        <w:t>Protective Security Policy Framework, 65</w:t>
      </w:r>
    </w:p>
    <w:p w14:paraId="41FEF0C9" w14:textId="77777777" w:rsidR="00DF1B95" w:rsidRDefault="00DF1B95" w:rsidP="00DF1B95">
      <w:pPr>
        <w:pStyle w:val="indentindexcopy"/>
      </w:pPr>
      <w:r>
        <w:t>defined, 108</w:t>
      </w:r>
    </w:p>
    <w:p w14:paraId="6C683632" w14:textId="77777777" w:rsidR="00DF1B95" w:rsidRDefault="00DF1B95" w:rsidP="00DF1B95">
      <w:pPr>
        <w:pStyle w:val="indexcopy"/>
      </w:pPr>
      <w:r>
        <w:t>public consultations, 59, 61</w:t>
      </w:r>
    </w:p>
    <w:p w14:paraId="74F3FA92" w14:textId="77777777" w:rsidR="00DF1B95" w:rsidRDefault="00DF1B95" w:rsidP="00DF1B95">
      <w:pPr>
        <w:pStyle w:val="indexcopy"/>
        <w:ind w:right="-43"/>
      </w:pPr>
      <w:r w:rsidRPr="00251AC1">
        <w:rPr>
          <w:i/>
          <w:iCs/>
        </w:rPr>
        <w:t>Public Governance, Performance and Accountability Act 2013</w:t>
      </w:r>
      <w:r>
        <w:t>, 1, 38, 65, 81, 86</w:t>
      </w:r>
    </w:p>
    <w:p w14:paraId="4EE0AE25" w14:textId="77777777" w:rsidR="00DF1B95" w:rsidRDefault="00DF1B95" w:rsidP="00DF1B95">
      <w:pPr>
        <w:pStyle w:val="indentindexcopy"/>
      </w:pPr>
      <w:r>
        <w:t>defined, 108</w:t>
      </w:r>
    </w:p>
    <w:p w14:paraId="1C85AC11" w14:textId="77777777" w:rsidR="00DF1B95" w:rsidRDefault="00DF1B95" w:rsidP="00DF1B95">
      <w:pPr>
        <w:pStyle w:val="indexcopy"/>
      </w:pPr>
      <w:r>
        <w:t>Public Governance Performance and Accountability Rule 2014, 1, 65</w:t>
      </w:r>
    </w:p>
    <w:p w14:paraId="4F26CDDC" w14:textId="77777777" w:rsidR="00DF1B95" w:rsidRDefault="00DF1B95" w:rsidP="00DF1B95">
      <w:pPr>
        <w:pStyle w:val="indexcopy"/>
      </w:pPr>
      <w:r>
        <w:t>public hospital pricing and funding, 8–9, 12–15</w:t>
      </w:r>
    </w:p>
    <w:p w14:paraId="1EB447EA" w14:textId="77777777" w:rsidR="00DF1B95" w:rsidRDefault="00DF1B95" w:rsidP="00DF1B95">
      <w:pPr>
        <w:pStyle w:val="indentindexcopy"/>
      </w:pPr>
      <w:r>
        <w:t>Clinical Advisory Committee input, 32</w:t>
      </w:r>
    </w:p>
    <w:p w14:paraId="0537B16E" w14:textId="77777777" w:rsidR="00DF1B95" w:rsidRDefault="00DF1B95" w:rsidP="00DF1B95">
      <w:pPr>
        <w:pStyle w:val="indentindexcopy"/>
      </w:pPr>
      <w:r w:rsidRPr="00251AC1">
        <w:rPr>
          <w:i/>
          <w:iCs/>
        </w:rPr>
        <w:t>See also</w:t>
      </w:r>
      <w:r>
        <w:t xml:space="preserve"> </w:t>
      </w:r>
      <w:proofErr w:type="gramStart"/>
      <w:r>
        <w:t>activity based</w:t>
      </w:r>
      <w:proofErr w:type="gramEnd"/>
      <w:r>
        <w:t xml:space="preserve"> funding (ABF); national efficient cost; national efficient price</w:t>
      </w:r>
    </w:p>
    <w:p w14:paraId="42A7E4CB" w14:textId="449E7F22" w:rsidR="0044572F" w:rsidRDefault="00DF1B95" w:rsidP="00DF1B95">
      <w:pPr>
        <w:pStyle w:val="Body"/>
      </w:pPr>
      <w:r>
        <w:t>purpose statement, 6</w:t>
      </w:r>
    </w:p>
    <w:p w14:paraId="2F75D3F3" w14:textId="77777777" w:rsidR="00251AC1" w:rsidRDefault="00251AC1" w:rsidP="00504250">
      <w:pPr>
        <w:pStyle w:val="Body"/>
        <w:sectPr w:rsidR="00251AC1" w:rsidSect="00FC5187">
          <w:footerReference w:type="default" r:id="rId237"/>
          <w:pgSz w:w="9979" w:h="14175"/>
          <w:pgMar w:top="1134" w:right="1134" w:bottom="1134" w:left="1134" w:header="709" w:footer="709" w:gutter="0"/>
          <w:cols w:num="2" w:space="708"/>
          <w:docGrid w:linePitch="360"/>
        </w:sectPr>
      </w:pPr>
    </w:p>
    <w:p w14:paraId="720CEE49" w14:textId="77777777" w:rsidR="00DF1B95" w:rsidRPr="00E843D6" w:rsidRDefault="00DF1B95" w:rsidP="00DF1B95">
      <w:pPr>
        <w:pStyle w:val="H3"/>
        <w:rPr>
          <w:color w:val="1C1C1C"/>
        </w:rPr>
      </w:pPr>
      <w:r>
        <w:rPr>
          <w:color w:val="1C1C1C"/>
        </w:rPr>
        <w:lastRenderedPageBreak/>
        <w:t>R</w:t>
      </w:r>
    </w:p>
    <w:p w14:paraId="751E6A8A" w14:textId="77777777" w:rsidR="00DF1B95" w:rsidRDefault="00DF1B95" w:rsidP="00DF1B95">
      <w:pPr>
        <w:pStyle w:val="indexcopy"/>
      </w:pPr>
      <w:r>
        <w:t xml:space="preserve">readmissions. </w:t>
      </w:r>
      <w:r w:rsidRPr="00251AC1">
        <w:rPr>
          <w:i/>
          <w:iCs/>
        </w:rPr>
        <w:t>See</w:t>
      </w:r>
      <w:r>
        <w:t xml:space="preserve"> avoidable hospital readmissions</w:t>
      </w:r>
    </w:p>
    <w:p w14:paraId="2AEA326F" w14:textId="77777777" w:rsidR="00DF1B95" w:rsidRDefault="00DF1B95" w:rsidP="00DF1B95">
      <w:pPr>
        <w:pStyle w:val="indexcopy"/>
      </w:pPr>
      <w:r>
        <w:t>remuneration, 98</w:t>
      </w:r>
    </w:p>
    <w:p w14:paraId="759DA15D" w14:textId="77777777" w:rsidR="00DF1B95" w:rsidRDefault="00DF1B95" w:rsidP="00DF1B95">
      <w:pPr>
        <w:pStyle w:val="indentindexcopy"/>
      </w:pPr>
      <w:r>
        <w:t>key management personnel, 72</w:t>
      </w:r>
    </w:p>
    <w:p w14:paraId="3B447335" w14:textId="77777777" w:rsidR="00DF1B95" w:rsidRDefault="00DF1B95" w:rsidP="00DF1B95">
      <w:pPr>
        <w:pStyle w:val="indexcopy"/>
      </w:pPr>
      <w:r>
        <w:t>reporting</w:t>
      </w:r>
    </w:p>
    <w:p w14:paraId="4C048CFF" w14:textId="77777777" w:rsidR="00DF1B95" w:rsidRDefault="00DF1B95" w:rsidP="00DF1B95">
      <w:pPr>
        <w:pStyle w:val="indentindexcopy"/>
      </w:pPr>
      <w:r>
        <w:t>Clinical Advisory Committee, 36</w:t>
      </w:r>
    </w:p>
    <w:p w14:paraId="65A1FD2F" w14:textId="77777777" w:rsidR="00DF1B95" w:rsidRDefault="00DF1B95" w:rsidP="00DF1B95">
      <w:pPr>
        <w:pStyle w:val="indentindexcopy"/>
      </w:pPr>
      <w:r>
        <w:t>data compliance, 54</w:t>
      </w:r>
    </w:p>
    <w:p w14:paraId="127AD928" w14:textId="77777777" w:rsidR="00DF1B95" w:rsidRDefault="00DF1B95" w:rsidP="00DF1B95">
      <w:pPr>
        <w:pStyle w:val="indentindexcopy"/>
      </w:pPr>
      <w:r>
        <w:t>National Hospital Cost Data Collection, 50</w:t>
      </w:r>
    </w:p>
    <w:p w14:paraId="0DE98849" w14:textId="77777777" w:rsidR="00DF1B95" w:rsidRDefault="00DF1B95" w:rsidP="00DF1B95">
      <w:pPr>
        <w:pStyle w:val="indexcopy"/>
      </w:pPr>
      <w:r>
        <w:t>response rate to enquiries, 60</w:t>
      </w:r>
    </w:p>
    <w:p w14:paraId="531E0733" w14:textId="77777777" w:rsidR="00DF1B95" w:rsidRDefault="00DF1B95" w:rsidP="00DF1B95">
      <w:pPr>
        <w:pStyle w:val="indexcopy"/>
      </w:pPr>
      <w:r>
        <w:t>responsible Minister, 10</w:t>
      </w:r>
    </w:p>
    <w:p w14:paraId="42070F96" w14:textId="77777777" w:rsidR="00DF1B95" w:rsidRDefault="00DF1B95" w:rsidP="00DF1B95">
      <w:pPr>
        <w:pStyle w:val="indexcopy"/>
      </w:pPr>
      <w:r>
        <w:t>Richter, Jenny, 25</w:t>
      </w:r>
    </w:p>
    <w:p w14:paraId="23EDC217" w14:textId="77777777" w:rsidR="00DF1B95" w:rsidRDefault="00DF1B95" w:rsidP="00DF1B95">
      <w:pPr>
        <w:pStyle w:val="indexcopy"/>
      </w:pPr>
      <w:r>
        <w:t>risk management, 64–65</w:t>
      </w:r>
    </w:p>
    <w:p w14:paraId="733BA29A" w14:textId="77777777" w:rsidR="00DF1B95" w:rsidRDefault="00DF1B95" w:rsidP="00DF1B95">
      <w:pPr>
        <w:pStyle w:val="indexcopy"/>
      </w:pPr>
      <w:r>
        <w:t>roles and functions, 5, 7, 23, 86</w:t>
      </w:r>
    </w:p>
    <w:p w14:paraId="51D9DB44" w14:textId="77777777" w:rsidR="00DF1B95" w:rsidRDefault="00DF1B95" w:rsidP="00DF1B95">
      <w:pPr>
        <w:pStyle w:val="indexcopy"/>
      </w:pPr>
      <w:r>
        <w:t>Royal Commission into Aged Care Quality and Safety, 5</w:t>
      </w:r>
    </w:p>
    <w:p w14:paraId="2DBD9A25" w14:textId="77777777" w:rsidR="00DF1B95" w:rsidRDefault="00DF1B95" w:rsidP="00DF1B95">
      <w:pPr>
        <w:pStyle w:val="indexcopy"/>
      </w:pPr>
      <w:r>
        <w:t>rural and regional hospitals, 15</w:t>
      </w:r>
    </w:p>
    <w:p w14:paraId="5DCF3A22" w14:textId="77777777" w:rsidR="00DF1B95" w:rsidRPr="00E843D6" w:rsidRDefault="00DF1B95" w:rsidP="00DF1B95">
      <w:pPr>
        <w:pStyle w:val="H3"/>
        <w:rPr>
          <w:color w:val="1C1C1C"/>
        </w:rPr>
      </w:pPr>
      <w:r>
        <w:rPr>
          <w:color w:val="1C1C1C"/>
        </w:rPr>
        <w:t>S</w:t>
      </w:r>
    </w:p>
    <w:p w14:paraId="71F60922" w14:textId="3C6D95FF" w:rsidR="00DF1B95" w:rsidRDefault="00DF1B95" w:rsidP="00DF1B95">
      <w:pPr>
        <w:pStyle w:val="indexcopy"/>
      </w:pPr>
      <w:r>
        <w:t>safety and quality, ii, 8–9</w:t>
      </w:r>
    </w:p>
    <w:p w14:paraId="06C954F1" w14:textId="77777777" w:rsidR="00DF1B95" w:rsidRDefault="00DF1B95" w:rsidP="00DF1B95">
      <w:pPr>
        <w:pStyle w:val="indexcopy"/>
      </w:pPr>
      <w:r>
        <w:t>sentinel events, 9, 12</w:t>
      </w:r>
    </w:p>
    <w:p w14:paraId="74CC5121" w14:textId="77777777" w:rsidR="00DF1B95" w:rsidRDefault="00DF1B95" w:rsidP="00DF1B95">
      <w:pPr>
        <w:pStyle w:val="indentindexcopy"/>
      </w:pPr>
      <w:r>
        <w:t>defined, 108</w:t>
      </w:r>
    </w:p>
    <w:p w14:paraId="5D5145F0" w14:textId="77777777" w:rsidR="00DF1B95" w:rsidRDefault="00DF1B95" w:rsidP="00DF1B95">
      <w:pPr>
        <w:pStyle w:val="indexcopy"/>
      </w:pPr>
      <w:r>
        <w:t>shadow period, 29, 30</w:t>
      </w:r>
    </w:p>
    <w:p w14:paraId="11F4F835" w14:textId="77777777" w:rsidR="00DF1B95" w:rsidRDefault="00DF1B95" w:rsidP="00DF1B95">
      <w:pPr>
        <w:pStyle w:val="indexcopy"/>
      </w:pPr>
      <w:r>
        <w:t>shadow pricing, 5, 43</w:t>
      </w:r>
    </w:p>
    <w:p w14:paraId="7DE2D1EE" w14:textId="77777777" w:rsidR="00DF1B95" w:rsidRDefault="00DF1B95" w:rsidP="00DF1B95">
      <w:pPr>
        <w:pStyle w:val="indentindexcopy"/>
      </w:pPr>
      <w:r>
        <w:t>defined, 108</w:t>
      </w:r>
    </w:p>
    <w:p w14:paraId="019C9F03" w14:textId="1CA970DE" w:rsidR="00DF1B95" w:rsidRDefault="00DF1B95" w:rsidP="00DF1B95">
      <w:pPr>
        <w:pStyle w:val="indexcopy"/>
      </w:pPr>
      <w:r>
        <w:t>social media, i</w:t>
      </w:r>
      <w:r w:rsidR="00D561DA">
        <w:t>nside front cover</w:t>
      </w:r>
    </w:p>
    <w:p w14:paraId="708CD9D4" w14:textId="77777777" w:rsidR="00DF1B95" w:rsidRDefault="00DF1B95" w:rsidP="00DF1B95">
      <w:pPr>
        <w:pStyle w:val="indexcopy"/>
      </w:pPr>
      <w:r>
        <w:t>Solomon, Shane, 24</w:t>
      </w:r>
    </w:p>
    <w:p w14:paraId="668D8C81" w14:textId="7A2AE6C1" w:rsidR="00DF1B95" w:rsidRDefault="00DF1B95" w:rsidP="00DF1B95">
      <w:pPr>
        <w:pStyle w:val="indentindexcopy"/>
      </w:pPr>
      <w:r>
        <w:t xml:space="preserve">Chair’s welcome, </w:t>
      </w:r>
      <w:proofErr w:type="spellStart"/>
      <w:r>
        <w:t>i</w:t>
      </w:r>
      <w:proofErr w:type="spellEnd"/>
      <w:r>
        <w:t>–i</w:t>
      </w:r>
      <w:r w:rsidR="00D561DA">
        <w:t>ii</w:t>
      </w:r>
    </w:p>
    <w:p w14:paraId="5F542B38" w14:textId="77777777" w:rsidR="00DF1B95" w:rsidRDefault="00DF1B95" w:rsidP="00DF1B95">
      <w:pPr>
        <w:pStyle w:val="indexcopy"/>
      </w:pPr>
      <w:r>
        <w:t>staff, 69–75</w:t>
      </w:r>
    </w:p>
    <w:p w14:paraId="3B0AF4F0" w14:textId="77777777" w:rsidR="00DF1B95" w:rsidRDefault="00DF1B95" w:rsidP="00DF1B95">
      <w:pPr>
        <w:pStyle w:val="indentindexcopy"/>
      </w:pPr>
      <w:r>
        <w:t>benefits, 72, 88, 97–98</w:t>
      </w:r>
    </w:p>
    <w:p w14:paraId="2E635CC0" w14:textId="77777777" w:rsidR="00DF1B95" w:rsidRDefault="00DF1B95" w:rsidP="00DF1B95">
      <w:pPr>
        <w:pStyle w:val="indentindexcopy"/>
      </w:pPr>
      <w:r>
        <w:t>commendations, 29</w:t>
      </w:r>
    </w:p>
    <w:p w14:paraId="34EA091E" w14:textId="77777777" w:rsidR="00DF1B95" w:rsidRDefault="00DF1B95" w:rsidP="00DF1B95">
      <w:pPr>
        <w:pStyle w:val="indentindexcopy"/>
      </w:pPr>
      <w:r>
        <w:t>development, 73</w:t>
      </w:r>
    </w:p>
    <w:p w14:paraId="116C95CC" w14:textId="77777777" w:rsidR="00DF1B95" w:rsidRDefault="00DF1B95" w:rsidP="00DF1B95">
      <w:pPr>
        <w:pStyle w:val="indentindexcopy"/>
      </w:pPr>
      <w:r>
        <w:t>diversity, 69</w:t>
      </w:r>
    </w:p>
    <w:p w14:paraId="0DBB7B0B" w14:textId="77777777" w:rsidR="00DF1B95" w:rsidRDefault="00DF1B95" w:rsidP="00DF1B95">
      <w:pPr>
        <w:pStyle w:val="indentindexcopy"/>
      </w:pPr>
      <w:r>
        <w:t>gender, 70–71</w:t>
      </w:r>
    </w:p>
    <w:p w14:paraId="6C6C16DB" w14:textId="77777777" w:rsidR="00DF1B95" w:rsidRDefault="00DF1B95" w:rsidP="00DF1B95">
      <w:pPr>
        <w:pStyle w:val="indentindexcopy"/>
      </w:pPr>
      <w:r>
        <w:t>key management personnel, 98</w:t>
      </w:r>
    </w:p>
    <w:p w14:paraId="09B5C2CD" w14:textId="77777777" w:rsidR="00DF1B95" w:rsidRDefault="00DF1B95" w:rsidP="00DF1B95">
      <w:pPr>
        <w:pStyle w:val="indentindexcopy"/>
      </w:pPr>
      <w:r>
        <w:t>numbers and workforce composition, 69–71</w:t>
      </w:r>
    </w:p>
    <w:p w14:paraId="1CFEF40A" w14:textId="77777777" w:rsidR="00DF1B95" w:rsidRDefault="00DF1B95" w:rsidP="00DF1B95">
      <w:pPr>
        <w:pStyle w:val="indentindexcopy"/>
      </w:pPr>
      <w:r>
        <w:t>provisions for, 97–98</w:t>
      </w:r>
    </w:p>
    <w:p w14:paraId="7BE4D4A2" w14:textId="77777777" w:rsidR="00DF1B95" w:rsidRDefault="00DF1B95" w:rsidP="00DF1B95">
      <w:pPr>
        <w:pStyle w:val="indentindexcopy"/>
      </w:pPr>
      <w:r>
        <w:t>remuneration, 98</w:t>
      </w:r>
    </w:p>
    <w:p w14:paraId="14BE431D" w14:textId="77777777" w:rsidR="00DF1B95" w:rsidRDefault="00DF1B95" w:rsidP="00DF1B95">
      <w:pPr>
        <w:pStyle w:val="indentindexcopy"/>
      </w:pPr>
      <w:r>
        <w:t>response to COVID-19 restrictions, 75</w:t>
      </w:r>
    </w:p>
    <w:p w14:paraId="6221778A" w14:textId="77777777" w:rsidR="00DF1B95" w:rsidRDefault="00DF1B95" w:rsidP="00DF1B95">
      <w:pPr>
        <w:pStyle w:val="indexcopy"/>
      </w:pPr>
      <w:r w:rsidRPr="00500B36">
        <w:t>staff,</w:t>
      </w:r>
      <w:r>
        <w:t xml:space="preserve"> </w:t>
      </w:r>
      <w:r w:rsidRPr="00C811A8">
        <w:rPr>
          <w:i/>
          <w:iCs/>
        </w:rPr>
        <w:t>continued</w:t>
      </w:r>
    </w:p>
    <w:p w14:paraId="38F3D854" w14:textId="77777777" w:rsidR="00DF1B95" w:rsidRDefault="00DF1B95" w:rsidP="00DF1B95">
      <w:pPr>
        <w:pStyle w:val="indentindexcopy"/>
      </w:pPr>
      <w:r>
        <w:t>training, 73, 75</w:t>
      </w:r>
    </w:p>
    <w:p w14:paraId="7DBED744" w14:textId="77777777" w:rsidR="00DF1B95" w:rsidRDefault="00DF1B95" w:rsidP="00DF1B95">
      <w:pPr>
        <w:pStyle w:val="indentindexcopy"/>
      </w:pPr>
      <w:r>
        <w:t>work health and safety, 75</w:t>
      </w:r>
    </w:p>
    <w:p w14:paraId="1D555A38" w14:textId="77777777" w:rsidR="00DF1B95" w:rsidRDefault="00DF1B95" w:rsidP="00DF1B95">
      <w:pPr>
        <w:pStyle w:val="indentindexcopy"/>
      </w:pPr>
      <w:r>
        <w:t>working from home, 65, 75</w:t>
      </w:r>
    </w:p>
    <w:p w14:paraId="6E72DC66" w14:textId="77777777" w:rsidR="00DF1B95" w:rsidRDefault="00DF1B95" w:rsidP="00DF1B95">
      <w:pPr>
        <w:pStyle w:val="indentindexcopy"/>
      </w:pPr>
      <w:r>
        <w:t>workplace assessments, 75</w:t>
      </w:r>
    </w:p>
    <w:p w14:paraId="477E2EE3" w14:textId="77777777" w:rsidR="00DF1B95" w:rsidRDefault="00DF1B95" w:rsidP="00DF1B95">
      <w:pPr>
        <w:pStyle w:val="indentindexcopy"/>
      </w:pPr>
      <w:r w:rsidRPr="00251AC1">
        <w:rPr>
          <w:i/>
          <w:iCs/>
        </w:rPr>
        <w:t>See also</w:t>
      </w:r>
      <w:r>
        <w:t xml:space="preserve"> Chief Executive Officer</w:t>
      </w:r>
    </w:p>
    <w:p w14:paraId="4ED9A1CA" w14:textId="5217C387" w:rsidR="00DF1B95" w:rsidRDefault="00DF1B95" w:rsidP="00DF1B95">
      <w:pPr>
        <w:pStyle w:val="indexcopy"/>
      </w:pPr>
      <w:r>
        <w:t>stakeholders, ii, 29, 57–61</w:t>
      </w:r>
    </w:p>
    <w:p w14:paraId="0E20AEBC" w14:textId="77777777" w:rsidR="00DF1B95" w:rsidRDefault="00DF1B95" w:rsidP="00DF1B95">
      <w:pPr>
        <w:pStyle w:val="indexcopy"/>
      </w:pPr>
      <w:r>
        <w:t>statutory committees, 17, 18</w:t>
      </w:r>
    </w:p>
    <w:p w14:paraId="16DC0870" w14:textId="77777777" w:rsidR="00DF1B95" w:rsidRDefault="00DF1B95" w:rsidP="00DF1B95">
      <w:pPr>
        <w:pStyle w:val="indexcopy"/>
      </w:pPr>
      <w:r>
        <w:t>statutory obligations, 65</w:t>
      </w:r>
    </w:p>
    <w:p w14:paraId="123C75A0" w14:textId="77777777" w:rsidR="00DF1B95" w:rsidRDefault="00DF1B95" w:rsidP="00DF1B95">
      <w:pPr>
        <w:pStyle w:val="indexcopy"/>
      </w:pPr>
      <w:r>
        <w:t>Strategic Risk Register, 65</w:t>
      </w:r>
    </w:p>
    <w:p w14:paraId="347932CC" w14:textId="77777777" w:rsidR="00DF1B95" w:rsidRDefault="00DF1B95" w:rsidP="00DF1B95">
      <w:pPr>
        <w:pStyle w:val="indexcopy"/>
      </w:pPr>
      <w:r>
        <w:t>subacute patient classification, 28</w:t>
      </w:r>
    </w:p>
    <w:p w14:paraId="289E9460" w14:textId="77777777" w:rsidR="00DF1B95" w:rsidRDefault="00DF1B95" w:rsidP="00DF1B95">
      <w:pPr>
        <w:pStyle w:val="indexcopy"/>
      </w:pPr>
      <w:r>
        <w:t>Supplementary National Efficient Cost Determination 2020–21, 41</w:t>
      </w:r>
    </w:p>
    <w:p w14:paraId="66AEFFAA" w14:textId="77777777" w:rsidR="00DF1B95" w:rsidRPr="00E843D6" w:rsidRDefault="00DF1B95" w:rsidP="00DF1B95">
      <w:pPr>
        <w:pStyle w:val="H3"/>
        <w:rPr>
          <w:color w:val="1C1C1C"/>
        </w:rPr>
      </w:pPr>
      <w:r>
        <w:rPr>
          <w:color w:val="1C1C1C"/>
        </w:rPr>
        <w:t>T</w:t>
      </w:r>
    </w:p>
    <w:p w14:paraId="6292FFF6" w14:textId="77777777" w:rsidR="00DF1B95" w:rsidRDefault="00DF1B95" w:rsidP="00DF1B95">
      <w:pPr>
        <w:pStyle w:val="indexcopy"/>
      </w:pPr>
      <w:r>
        <w:t>tactical risks, 64</w:t>
      </w:r>
    </w:p>
    <w:p w14:paraId="3C726D17" w14:textId="77777777" w:rsidR="00DF1B95" w:rsidRDefault="00DF1B95" w:rsidP="00DF1B95">
      <w:pPr>
        <w:pStyle w:val="indexcopy"/>
      </w:pPr>
      <w:r>
        <w:t>taxation, 87</w:t>
      </w:r>
    </w:p>
    <w:p w14:paraId="0CCFD457" w14:textId="77777777" w:rsidR="00DF1B95" w:rsidRDefault="00DF1B95" w:rsidP="00DF1B95">
      <w:pPr>
        <w:pStyle w:val="indexcopy"/>
      </w:pPr>
      <w:r>
        <w:t>Taylor, Kate, 25</w:t>
      </w:r>
    </w:p>
    <w:p w14:paraId="1C11BDF0" w14:textId="77777777" w:rsidR="00DF1B95" w:rsidRDefault="00DF1B95" w:rsidP="00DF1B95">
      <w:pPr>
        <w:pStyle w:val="indexcopy"/>
      </w:pPr>
      <w:r>
        <w:t>teaching and training classification, 45, 47</w:t>
      </w:r>
    </w:p>
    <w:p w14:paraId="6FB059BB" w14:textId="77777777" w:rsidR="00DF1B95" w:rsidRDefault="00DF1B95" w:rsidP="00DF1B95">
      <w:pPr>
        <w:pStyle w:val="indexcopy"/>
      </w:pPr>
      <w:r>
        <w:t>telemedicine, 43</w:t>
      </w:r>
    </w:p>
    <w:p w14:paraId="5B6F47F4" w14:textId="77777777" w:rsidR="00DF1B95" w:rsidRDefault="00DF1B95" w:rsidP="00DF1B95">
      <w:pPr>
        <w:pStyle w:val="indexcopy"/>
      </w:pPr>
      <w:r>
        <w:t>Three Year Data Plan, 30, 52–54</w:t>
      </w:r>
    </w:p>
    <w:p w14:paraId="57284091" w14:textId="77777777" w:rsidR="00DF1B95" w:rsidRDefault="00DF1B95" w:rsidP="00DF1B95">
      <w:pPr>
        <w:pStyle w:val="indexcopy"/>
      </w:pPr>
      <w:r>
        <w:t>training, staff, 73, 75</w:t>
      </w:r>
    </w:p>
    <w:p w14:paraId="3E41EE37" w14:textId="77777777" w:rsidR="00DF1B95" w:rsidRPr="00E843D6" w:rsidRDefault="00DF1B95" w:rsidP="00DF1B95">
      <w:pPr>
        <w:pStyle w:val="H3"/>
        <w:rPr>
          <w:color w:val="1C1C1C"/>
        </w:rPr>
      </w:pPr>
      <w:r>
        <w:rPr>
          <w:color w:val="1C1C1C"/>
        </w:rPr>
        <w:t>V</w:t>
      </w:r>
    </w:p>
    <w:p w14:paraId="025C9145" w14:textId="77777777" w:rsidR="00DF1B95" w:rsidRDefault="00DF1B95" w:rsidP="00DF1B95">
      <w:pPr>
        <w:pStyle w:val="Body"/>
      </w:pPr>
      <w:r w:rsidRPr="00251AC1">
        <w:t>vision statement, 6</w:t>
      </w:r>
    </w:p>
    <w:p w14:paraId="343DBD03" w14:textId="77777777" w:rsidR="00DF1B95" w:rsidRPr="00E843D6" w:rsidRDefault="00DF1B95" w:rsidP="00DF1B95">
      <w:pPr>
        <w:pStyle w:val="H3"/>
        <w:rPr>
          <w:color w:val="1C1C1C"/>
        </w:rPr>
      </w:pPr>
      <w:r>
        <w:rPr>
          <w:color w:val="1C1C1C"/>
        </w:rPr>
        <w:t>W</w:t>
      </w:r>
    </w:p>
    <w:p w14:paraId="3F88F7BB" w14:textId="77777777" w:rsidR="00DF1B95" w:rsidRDefault="00DF1B95" w:rsidP="00DF1B95">
      <w:pPr>
        <w:pStyle w:val="indexcopy"/>
      </w:pPr>
      <w:r>
        <w:t>webinar series, 61</w:t>
      </w:r>
    </w:p>
    <w:p w14:paraId="04949109" w14:textId="162AA72B" w:rsidR="00DF1B95" w:rsidRDefault="00DF1B95" w:rsidP="00DF1B95">
      <w:pPr>
        <w:pStyle w:val="indexcopy"/>
      </w:pPr>
      <w:r>
        <w:t>website, i</w:t>
      </w:r>
      <w:r w:rsidR="00431658">
        <w:t>nside front cover</w:t>
      </w:r>
    </w:p>
    <w:p w14:paraId="528CC06A" w14:textId="77777777" w:rsidR="00DF1B95" w:rsidRDefault="00DF1B95" w:rsidP="00DF1B95">
      <w:pPr>
        <w:pStyle w:val="indexcopy"/>
      </w:pPr>
      <w:r>
        <w:t>Williams, Jennifer (Deputy Chair), 24</w:t>
      </w:r>
    </w:p>
    <w:p w14:paraId="7CBE7A8C" w14:textId="77777777" w:rsidR="00DF1B95" w:rsidRDefault="00DF1B95" w:rsidP="00DF1B95">
      <w:pPr>
        <w:pStyle w:val="indexcopy"/>
      </w:pPr>
      <w:r>
        <w:t>Work, Health and Safety Committee, 75</w:t>
      </w:r>
    </w:p>
    <w:p w14:paraId="3270371C" w14:textId="77777777" w:rsidR="00DF1B95" w:rsidRDefault="00DF1B95" w:rsidP="00DF1B95">
      <w:pPr>
        <w:pStyle w:val="indexcopy"/>
      </w:pPr>
      <w:r w:rsidRPr="00251AC1">
        <w:rPr>
          <w:i/>
          <w:iCs/>
        </w:rPr>
        <w:t>Work Health and Safety Act 2011</w:t>
      </w:r>
      <w:r>
        <w:t>, 75</w:t>
      </w:r>
    </w:p>
    <w:p w14:paraId="15FEF688" w14:textId="77777777" w:rsidR="00DF1B95" w:rsidRDefault="00DF1B95" w:rsidP="00DF1B95">
      <w:pPr>
        <w:pStyle w:val="indexcopy"/>
      </w:pPr>
      <w:r>
        <w:t>Work Program, 39</w:t>
      </w:r>
    </w:p>
    <w:p w14:paraId="71446C36" w14:textId="77777777" w:rsidR="00DF1B95" w:rsidRDefault="00DF1B95" w:rsidP="00DF1B95">
      <w:pPr>
        <w:pStyle w:val="indentindexcopy"/>
      </w:pPr>
      <w:r>
        <w:t>2020–21 highlights, 30</w:t>
      </w:r>
    </w:p>
    <w:p w14:paraId="68F84548" w14:textId="77777777" w:rsidR="00DF1B95" w:rsidRDefault="00DF1B95" w:rsidP="00DF1B95">
      <w:pPr>
        <w:pStyle w:val="indentindexcopy"/>
      </w:pPr>
      <w:r>
        <w:t>defined, 108</w:t>
      </w:r>
    </w:p>
    <w:p w14:paraId="1786CA21" w14:textId="77777777" w:rsidR="00DF1B95" w:rsidRDefault="00DF1B95" w:rsidP="00DF1B95">
      <w:pPr>
        <w:pStyle w:val="indexcopy"/>
      </w:pPr>
      <w:r>
        <w:t>workers’ compensation claims, 75</w:t>
      </w:r>
    </w:p>
    <w:p w14:paraId="290507D7" w14:textId="77777777" w:rsidR="00DF1B95" w:rsidRDefault="00DF1B95" w:rsidP="00DF1B95">
      <w:pPr>
        <w:pStyle w:val="indexcopy"/>
      </w:pPr>
      <w:r>
        <w:t>working from home, 65, 75</w:t>
      </w:r>
    </w:p>
    <w:p w14:paraId="410A9142" w14:textId="77777777" w:rsidR="00DF1B95" w:rsidRDefault="00DF1B95" w:rsidP="00DF1B95">
      <w:pPr>
        <w:pStyle w:val="indexcopy"/>
      </w:pPr>
      <w:r>
        <w:t>working groups and committees, 17–19, 59</w:t>
      </w:r>
    </w:p>
    <w:p w14:paraId="2D830D34" w14:textId="4D7355C3" w:rsidR="00251AC1" w:rsidRDefault="00DF1B95" w:rsidP="00DF1B95">
      <w:pPr>
        <w:pStyle w:val="indexcopy"/>
      </w:pPr>
      <w:r>
        <w:t>workplace assessments, staff, 75</w:t>
      </w:r>
    </w:p>
    <w:p w14:paraId="775AC4CE" w14:textId="77777777" w:rsidR="00251AC1" w:rsidRDefault="00251AC1" w:rsidP="00504250">
      <w:pPr>
        <w:pStyle w:val="Body"/>
        <w:sectPr w:rsidR="00251AC1" w:rsidSect="00FC5187">
          <w:footerReference w:type="default" r:id="rId238"/>
          <w:pgSz w:w="9979" w:h="14175"/>
          <w:pgMar w:top="1134" w:right="1134" w:bottom="1134" w:left="1134" w:header="709" w:footer="709" w:gutter="0"/>
          <w:cols w:num="2" w:space="708"/>
          <w:docGrid w:linePitch="360"/>
        </w:sectPr>
      </w:pPr>
    </w:p>
    <w:p w14:paraId="05DF77BC" w14:textId="70B133E8" w:rsidR="009C057B" w:rsidRDefault="00B65091" w:rsidP="00504250">
      <w:pPr>
        <w:pStyle w:val="Body"/>
        <w:sectPr w:rsidR="009C057B" w:rsidSect="00FC5187">
          <w:footerReference w:type="default" r:id="rId239"/>
          <w:pgSz w:w="9979" w:h="14175"/>
          <w:pgMar w:top="1134" w:right="1134" w:bottom="1134" w:left="1134" w:header="709" w:footer="709" w:gutter="0"/>
          <w:cols w:num="2" w:space="708"/>
          <w:docGrid w:linePitch="360"/>
        </w:sectPr>
      </w:pPr>
      <w:r>
        <w:rPr>
          <w:noProof/>
          <w:lang w:val="en-AU" w:eastAsia="en-AU"/>
        </w:rPr>
        <w:lastRenderedPageBreak/>
        <w:drawing>
          <wp:anchor distT="0" distB="0" distL="114300" distR="114300" simplePos="0" relativeHeight="251977728" behindDoc="1" locked="0" layoutInCell="1" allowOverlap="1" wp14:anchorId="59214A5C" wp14:editId="096514B0">
            <wp:simplePos x="0" y="0"/>
            <wp:positionH relativeFrom="column">
              <wp:posOffset>-367665</wp:posOffset>
            </wp:positionH>
            <wp:positionV relativeFrom="paragraph">
              <wp:posOffset>3810</wp:posOffset>
            </wp:positionV>
            <wp:extent cx="5615940" cy="9448277"/>
            <wp:effectExtent l="0" t="0" r="3810" b="635"/>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615940" cy="9448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BD5475" w14:textId="77777777" w:rsidR="009C057B" w:rsidRDefault="009C057B" w:rsidP="00504250">
      <w:pPr>
        <w:pStyle w:val="Body"/>
      </w:pPr>
    </w:p>
    <w:p w14:paraId="24ECC668" w14:textId="69D8F124" w:rsidR="0044572F" w:rsidRDefault="0044572F" w:rsidP="00504250">
      <w:pPr>
        <w:pStyle w:val="Body"/>
        <w:sectPr w:rsidR="0044572F" w:rsidSect="00FC5187">
          <w:pgSz w:w="9979" w:h="14175"/>
          <w:pgMar w:top="1134" w:right="1134" w:bottom="1134" w:left="1134" w:header="709" w:footer="709" w:gutter="0"/>
          <w:cols w:num="2" w:space="708"/>
          <w:docGrid w:linePitch="360"/>
        </w:sectPr>
      </w:pPr>
    </w:p>
    <w:p w14:paraId="2DBEC8ED" w14:textId="4B4162FF" w:rsidR="00504250" w:rsidRDefault="009C29B1" w:rsidP="001D3C99">
      <w:pPr>
        <w:pStyle w:val="Body"/>
        <w:jc w:val="center"/>
      </w:pPr>
      <w:r>
        <w:rPr>
          <w:noProof/>
          <w:lang w:val="en-AU" w:eastAsia="en-AU"/>
        </w:rPr>
        <w:lastRenderedPageBreak/>
        <w:drawing>
          <wp:anchor distT="0" distB="0" distL="114300" distR="114300" simplePos="0" relativeHeight="252000256" behindDoc="1" locked="0" layoutInCell="1" allowOverlap="1" wp14:anchorId="267FA77B" wp14:editId="7491CA7D">
            <wp:simplePos x="0" y="0"/>
            <wp:positionH relativeFrom="column">
              <wp:posOffset>-721995</wp:posOffset>
            </wp:positionH>
            <wp:positionV relativeFrom="paragraph">
              <wp:posOffset>-901065</wp:posOffset>
            </wp:positionV>
            <wp:extent cx="6334125" cy="8983613"/>
            <wp:effectExtent l="0" t="0" r="0" b="8255"/>
            <wp:wrapNone/>
            <wp:docPr id="136" name="Picture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344928" cy="89989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C99">
        <w:rPr>
          <w:noProof/>
          <w:lang w:val="en-AU" w:eastAsia="en-AU"/>
        </w:rPr>
        <w:drawing>
          <wp:inline distT="0" distB="0" distL="0" distR="0" wp14:anchorId="138924BB" wp14:editId="4DE7C6EF">
            <wp:extent cx="488129" cy="739775"/>
            <wp:effectExtent l="0" t="0" r="7620" b="3175"/>
            <wp:docPr id="55" name="Picture 55" descr="IH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IHPA logo"/>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488129" cy="739775"/>
                    </a:xfrm>
                    <a:prstGeom prst="rect">
                      <a:avLst/>
                    </a:prstGeom>
                    <a:noFill/>
                    <a:ln>
                      <a:noFill/>
                    </a:ln>
                  </pic:spPr>
                </pic:pic>
              </a:graphicData>
            </a:graphic>
          </wp:inline>
        </w:drawing>
      </w:r>
    </w:p>
    <w:p w14:paraId="34D865C7" w14:textId="1EAB7CD9" w:rsidR="001D3C99" w:rsidRPr="00AC7712" w:rsidRDefault="001D3C99" w:rsidP="001D3C99">
      <w:pPr>
        <w:pStyle w:val="Body"/>
        <w:spacing w:before="8880" w:after="120"/>
        <w:jc w:val="center"/>
        <w:rPr>
          <w:color w:val="FFFFFF" w:themeColor="background2"/>
        </w:rPr>
      </w:pPr>
      <w:r>
        <w:rPr>
          <w:color w:val="FFFFFF" w:themeColor="background2"/>
        </w:rPr>
        <w:t xml:space="preserve">Eora Nation, </w:t>
      </w:r>
      <w:r w:rsidRPr="00AC7712">
        <w:rPr>
          <w:color w:val="FFFFFF" w:themeColor="background2"/>
        </w:rPr>
        <w:t>Level 6, 1 Oxford Street</w:t>
      </w:r>
      <w:r>
        <w:rPr>
          <w:color w:val="FFFFFF" w:themeColor="background2"/>
        </w:rPr>
        <w:br/>
      </w:r>
      <w:r w:rsidRPr="00AC7712">
        <w:rPr>
          <w:color w:val="FFFFFF" w:themeColor="background2"/>
        </w:rPr>
        <w:t>Sydney NSW 2000</w:t>
      </w:r>
    </w:p>
    <w:p w14:paraId="17B9270F" w14:textId="2DDD55D7" w:rsidR="001D3C99" w:rsidRDefault="001D3C99" w:rsidP="001D3C99">
      <w:pPr>
        <w:pStyle w:val="Body"/>
        <w:spacing w:after="120"/>
        <w:jc w:val="center"/>
        <w:rPr>
          <w:color w:val="FFFFFF" w:themeColor="background2"/>
        </w:rPr>
      </w:pPr>
      <w:r w:rsidRPr="001D3C99">
        <w:rPr>
          <w:rFonts w:asciiTheme="majorHAnsi" w:hAnsiTheme="majorHAnsi"/>
          <w:color w:val="FFFFFF" w:themeColor="background2"/>
        </w:rPr>
        <w:t>T</w:t>
      </w:r>
      <w:r w:rsidRPr="00AC7712">
        <w:rPr>
          <w:color w:val="FFFFFF" w:themeColor="background2"/>
        </w:rPr>
        <w:t xml:space="preserve">  </w:t>
      </w:r>
      <w:r>
        <w:rPr>
          <w:color w:val="FFFFFF" w:themeColor="background2"/>
        </w:rPr>
        <w:t xml:space="preserve"> </w:t>
      </w:r>
      <w:r w:rsidRPr="00AC7712">
        <w:rPr>
          <w:color w:val="FFFFFF" w:themeColor="background2"/>
        </w:rPr>
        <w:t>02 8215 1100</w:t>
      </w:r>
    </w:p>
    <w:p w14:paraId="577F8178" w14:textId="1F32F5F2" w:rsidR="001D3C99" w:rsidRDefault="001D3C99" w:rsidP="001D3C99">
      <w:pPr>
        <w:pStyle w:val="Body"/>
        <w:spacing w:after="120"/>
        <w:jc w:val="center"/>
        <w:rPr>
          <w:color w:val="FFFFFF" w:themeColor="background2"/>
        </w:rPr>
      </w:pPr>
      <w:r w:rsidRPr="001D3C99">
        <w:rPr>
          <w:rFonts w:asciiTheme="majorHAnsi" w:hAnsiTheme="majorHAnsi"/>
          <w:color w:val="FFFFFF" w:themeColor="background2"/>
        </w:rPr>
        <w:t>E</w:t>
      </w:r>
      <w:r w:rsidRPr="00AC7712">
        <w:rPr>
          <w:color w:val="FFFFFF" w:themeColor="background2"/>
        </w:rPr>
        <w:t xml:space="preserve">  </w:t>
      </w:r>
      <w:r>
        <w:rPr>
          <w:color w:val="FFFFFF" w:themeColor="background2"/>
        </w:rPr>
        <w:t xml:space="preserve"> </w:t>
      </w:r>
      <w:hyperlink r:id="rId241" w:history="1">
        <w:r w:rsidRPr="001D3C99">
          <w:rPr>
            <w:rStyle w:val="Hyperlink"/>
            <w:color w:val="FFFFFF" w:themeColor="background2"/>
            <w:u w:val="none"/>
          </w:rPr>
          <w:t>enquiries.ihpa@ihpa.gov.au</w:t>
        </w:r>
      </w:hyperlink>
    </w:p>
    <w:p w14:paraId="655CD15A" w14:textId="6FFBE717" w:rsidR="001D3C99" w:rsidRPr="001D3C99" w:rsidRDefault="001D3C99" w:rsidP="001D3C99">
      <w:pPr>
        <w:pStyle w:val="Body"/>
        <w:spacing w:after="0"/>
        <w:jc w:val="center"/>
        <w:rPr>
          <w:color w:val="FFFFFF" w:themeColor="background2"/>
        </w:rPr>
      </w:pPr>
      <w:r>
        <w:rPr>
          <w:noProof/>
          <w:color w:val="FFFFFF" w:themeColor="background2"/>
          <w:lang w:val="en-AU" w:eastAsia="en-AU"/>
        </w:rPr>
        <w:drawing>
          <wp:inline distT="0" distB="0" distL="0" distR="0" wp14:anchorId="2AD5C7EB" wp14:editId="66635ADC">
            <wp:extent cx="81915" cy="67945"/>
            <wp:effectExtent l="0" t="0" r="0" b="8255"/>
            <wp:docPr id="56" name="Picture 56" descr="P453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4531#yIS1"/>
                    <pic:cNvPicPr>
                      <a:picLocks noChangeAspect="1" noChangeArrowheads="1"/>
                    </pic:cNvPicPr>
                  </pic:nvPicPr>
                  <pic:blipFill>
                    <a:blip r:embed="rId242" cstate="print">
                      <a:extLst>
                        <a:ext uri="{28A0092B-C50C-407E-A947-70E740481C1C}">
                          <a14:useLocalDpi xmlns:a14="http://schemas.microsoft.com/office/drawing/2010/main"/>
                        </a:ext>
                      </a:extLst>
                    </a:blip>
                    <a:srcRect/>
                    <a:stretch>
                      <a:fillRect/>
                    </a:stretch>
                  </pic:blipFill>
                  <pic:spPr bwMode="auto">
                    <a:xfrm>
                      <a:off x="0" y="0"/>
                      <a:ext cx="81915" cy="67945"/>
                    </a:xfrm>
                    <a:prstGeom prst="rect">
                      <a:avLst/>
                    </a:prstGeom>
                    <a:noFill/>
                    <a:ln>
                      <a:noFill/>
                    </a:ln>
                  </pic:spPr>
                </pic:pic>
              </a:graphicData>
            </a:graphic>
          </wp:inline>
        </w:drawing>
      </w:r>
      <w:r>
        <w:rPr>
          <w:color w:val="FFFFFF" w:themeColor="background2"/>
        </w:rPr>
        <w:t xml:space="preserve">   </w:t>
      </w:r>
      <w:r w:rsidRPr="00AC7712">
        <w:rPr>
          <w:color w:val="FFFFFF" w:themeColor="background2"/>
        </w:rPr>
        <w:t>@IHPAnews</w:t>
      </w:r>
    </w:p>
    <w:sectPr w:rsidR="001D3C99" w:rsidRPr="001D3C99" w:rsidSect="001D3C99">
      <w:headerReference w:type="default" r:id="rId243"/>
      <w:footerReference w:type="default" r:id="rId244"/>
      <w:pgSz w:w="9979" w:h="14175"/>
      <w:pgMar w:top="1418"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D00460" w14:textId="77777777" w:rsidR="003079E3" w:rsidRDefault="003079E3" w:rsidP="00DD1A86">
      <w:pPr>
        <w:spacing w:after="0" w:line="240" w:lineRule="auto"/>
      </w:pPr>
      <w:r>
        <w:separator/>
      </w:r>
    </w:p>
  </w:endnote>
  <w:endnote w:type="continuationSeparator" w:id="0">
    <w:p w14:paraId="4B876D52" w14:textId="77777777" w:rsidR="003079E3" w:rsidRDefault="003079E3" w:rsidP="00DD1A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utura PT Book">
    <w:panose1 w:val="020B0502020204020303"/>
    <w:charset w:val="00"/>
    <w:family w:val="swiss"/>
    <w:notTrueType/>
    <w:pitch w:val="variable"/>
    <w:sig w:usb0="A00002FF" w:usb1="5000204B" w:usb2="00000000" w:usb3="00000000" w:csb0="000000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otham Book">
    <w:panose1 w:val="00000000000000000000"/>
    <w:charset w:val="00"/>
    <w:family w:val="modern"/>
    <w:notTrueType/>
    <w:pitch w:val="variable"/>
    <w:sig w:usb0="A10002FF" w:usb1="4000005B" w:usb2="00000000" w:usb3="00000000" w:csb0="0000009F" w:csb1="00000000"/>
  </w:font>
  <w:font w:name="Futura PT Bold">
    <w:panose1 w:val="020B0902020204020203"/>
    <w:charset w:val="00"/>
    <w:family w:val="swiss"/>
    <w:notTrueType/>
    <w:pitch w:val="variable"/>
    <w:sig w:usb0="A00002FF" w:usb1="5000204A" w:usb2="00000000" w:usb3="00000000" w:csb0="00000097" w:csb1="00000000"/>
  </w:font>
  <w:font w:name="Futura PT Light">
    <w:panose1 w:val="020B0402020204020303"/>
    <w:charset w:val="00"/>
    <w:family w:val="swiss"/>
    <w:notTrueType/>
    <w:pitch w:val="variable"/>
    <w:sig w:usb0="A00002FF" w:usb1="5000204B" w:usb2="00000000" w:usb3="00000000" w:csb0="00000097" w:csb1="00000000"/>
  </w:font>
  <w:font w:name="Futura PT Demi">
    <w:panose1 w:val="020B0702020204020303"/>
    <w:charset w:val="00"/>
    <w:family w:val="swiss"/>
    <w:notTrueType/>
    <w:pitch w:val="variable"/>
    <w:sig w:usb0="A00002FF" w:usb1="5000204B" w:usb2="00000000" w:usb3="00000000" w:csb0="00000097"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embedRegular r:id="rId1" w:fontKey="{6BDF448F-9481-4EE3-A80F-425D142A8B3B}"/>
  </w:font>
  <w:font w:name="Arial">
    <w:panose1 w:val="020B0604020202020204"/>
    <w:charset w:val="00"/>
    <w:family w:val="swiss"/>
    <w:pitch w:val="variable"/>
    <w:sig w:usb0="E0002EFF" w:usb1="C000785B" w:usb2="00000009" w:usb3="00000000" w:csb0="000001FF" w:csb1="00000000"/>
  </w:font>
  <w:font w:name="ZWAdobeF">
    <w:panose1 w:val="00000000000000000000"/>
    <w:charset w:val="00"/>
    <w:family w:val="auto"/>
    <w:pitch w:val="variable"/>
    <w:sig w:usb0="20002A87" w:usb1="00000000" w:usb2="00000000" w:usb3="00000000" w:csb0="000001FF" w:csb1="00000000"/>
    <w:embedRegular r:id="rId2" w:subsetted="1" w:fontKey="{A3763196-12A1-4CAD-8979-1CCB9C1AA128}"/>
  </w:font>
  <w:font w:name="Futura PT Heavy">
    <w:panose1 w:val="020B0802020204020303"/>
    <w:charset w:val="00"/>
    <w:family w:val="swiss"/>
    <w:notTrueType/>
    <w:pitch w:val="variable"/>
    <w:sig w:usb0="A00002FF" w:usb1="5000204A" w:usb2="00000000" w:usb3="00000000" w:csb0="00000097"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FF7C8" w14:textId="399F7777" w:rsidR="00B51E6F" w:rsidRPr="00B578E9" w:rsidRDefault="00B51E6F" w:rsidP="003F1D11">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2020-21 </w:t>
    </w:r>
    <w:r>
      <w:rPr>
        <w:color w:val="003F2C" w:themeColor="text1"/>
        <w:sz w:val="16"/>
        <w:szCs w:val="16"/>
      </w:rPr>
      <w:tab/>
    </w:r>
    <w:r w:rsidRPr="003F1D11">
      <w:rPr>
        <w:color w:val="003F2C" w:themeColor="text1"/>
        <w:sz w:val="16"/>
        <w:szCs w:val="16"/>
      </w:rPr>
      <w:fldChar w:fldCharType="begin"/>
    </w:r>
    <w:r w:rsidRPr="003F1D11">
      <w:rPr>
        <w:color w:val="003F2C" w:themeColor="text1"/>
        <w:sz w:val="16"/>
        <w:szCs w:val="16"/>
      </w:rPr>
      <w:instrText xml:space="preserve"> PAGE   \* MERGEFORMAT </w:instrText>
    </w:r>
    <w:r w:rsidRPr="003F1D11">
      <w:rPr>
        <w:color w:val="003F2C" w:themeColor="text1"/>
        <w:sz w:val="16"/>
        <w:szCs w:val="16"/>
      </w:rPr>
      <w:fldChar w:fldCharType="separate"/>
    </w:r>
    <w:r w:rsidR="00AC534F">
      <w:rPr>
        <w:noProof/>
        <w:color w:val="003F2C" w:themeColor="text1"/>
        <w:sz w:val="16"/>
        <w:szCs w:val="16"/>
      </w:rPr>
      <w:t>1</w:t>
    </w:r>
    <w:r w:rsidRPr="003F1D11">
      <w:rPr>
        <w:noProof/>
        <w:color w:val="003F2C" w:themeColor="text1"/>
        <w:sz w:val="16"/>
        <w:szCs w:val="16"/>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25494" w14:textId="4E3A500A" w:rsidR="00B51E6F"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348577" w14:textId="6EDF2D5F"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89</w:t>
    </w:r>
    <w:r w:rsidRPr="00BB75D1">
      <w:rPr>
        <w:noProof/>
        <w:color w:val="003F2C" w:themeColor="text1"/>
        <w:sz w:val="16"/>
        <w:szCs w:val="16"/>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A7F74" w14:textId="5F9FAAE2"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671F1" w14:textId="0D6BBF5C"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91</w:t>
    </w:r>
    <w:r w:rsidRPr="00BB75D1">
      <w:rPr>
        <w:noProof/>
        <w:color w:val="003F2C" w:themeColor="text1"/>
        <w:sz w:val="16"/>
        <w:szCs w:val="16"/>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8F77D" w14:textId="595E012D"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1BF4B3" w14:textId="2A56A3B9"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93</w:t>
    </w:r>
    <w:r w:rsidRPr="00BB75D1">
      <w:rPr>
        <w:noProof/>
        <w:color w:val="003F2C" w:themeColor="text1"/>
        <w:sz w:val="16"/>
        <w:szCs w:val="16"/>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D3E4A" w14:textId="4E0F7625"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89B44A" w14:textId="6C13FB29"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95</w:t>
    </w:r>
    <w:r w:rsidRPr="00BB75D1">
      <w:rPr>
        <w:noProof/>
        <w:color w:val="003F2C" w:themeColor="text1"/>
        <w:sz w:val="16"/>
        <w:szCs w:val="16"/>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6F78D" w14:textId="25A8211D"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38FA6" w14:textId="5FA235B2"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97</w:t>
    </w:r>
    <w:r w:rsidRPr="00BB75D1">
      <w:rPr>
        <w:noProof/>
        <w:color w:val="003F2C" w:themeColor="text1"/>
        <w:sz w:val="16"/>
        <w:szCs w:val="16"/>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B3C1A" w14:textId="3AE4BA21"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8B389" w14:textId="4FB15861" w:rsidR="00B51E6F" w:rsidRDefault="00B51E6F" w:rsidP="00770BB9">
    <w:pPr>
      <w:pStyle w:val="Footer"/>
      <w:jc w:val="cente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C48BD" w14:textId="73127DB0"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99</w:t>
    </w:r>
    <w:r w:rsidRPr="00BB75D1">
      <w:rPr>
        <w:noProof/>
        <w:color w:val="003F2C" w:themeColor="text1"/>
        <w:sz w:val="16"/>
        <w:szCs w:val="16"/>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B0BEE" w14:textId="12EEC185"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2415B0" w14:textId="6E45EA45"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101</w:t>
    </w:r>
    <w:r w:rsidRPr="00BB75D1">
      <w:rPr>
        <w:noProof/>
        <w:color w:val="003F2C" w:themeColor="text1"/>
        <w:sz w:val="16"/>
        <w:szCs w:val="16"/>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330B5" w14:textId="3050D2C4"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ECBFF" w14:textId="78CCBA97" w:rsidR="00B51E6F" w:rsidRDefault="00B51E6F" w:rsidP="00770BB9">
    <w:pPr>
      <w:pStyle w:val="Footer"/>
      <w:jc w:val="cente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617BE" w14:textId="235F1079"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36A734" w14:textId="4401BF1A"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105</w:t>
    </w:r>
    <w:r w:rsidRPr="00BB75D1">
      <w:rPr>
        <w:noProof/>
        <w:color w:val="003F2C" w:themeColor="text1"/>
        <w:sz w:val="16"/>
        <w:szCs w:val="16"/>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A2668" w14:textId="1CBB1E43"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B3324" w14:textId="6C9DEBC7"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107</w:t>
    </w:r>
    <w:r w:rsidRPr="00BB75D1">
      <w:rPr>
        <w:noProof/>
        <w:color w:val="003F2C" w:themeColor="text1"/>
        <w:sz w:val="16"/>
        <w:szCs w:val="16"/>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674D2" w14:textId="08EC202A"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639B9" w14:textId="3BC29D57"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B7096" w14:textId="5348B105"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109</w:t>
    </w:r>
    <w:r w:rsidRPr="00BB75D1">
      <w:rPr>
        <w:noProof/>
        <w:color w:val="003F2C" w:themeColor="text1"/>
        <w:sz w:val="16"/>
        <w:szCs w:val="16"/>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56D9DB" w14:textId="12C2FEBD"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110</w:t>
    </w:r>
    <w:r w:rsidRPr="00BB75D1">
      <w:rPr>
        <w:noProof/>
        <w:color w:val="003F2C" w:themeColor="text1"/>
        <w:sz w:val="16"/>
        <w:szCs w:val="16"/>
      </w:rPr>
      <w:fldChar w:fldCharType="end"/>
    </w:r>
    <w:r>
      <w:rPr>
        <w:noProof/>
        <w:color w:val="003F2C" w:themeColor="text1"/>
        <w:sz w:val="16"/>
        <w:szCs w:val="16"/>
      </w:rPr>
      <w:tab/>
    </w: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21</w:t>
    </w: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24709" w14:textId="44B5D2C8"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111</w:t>
    </w:r>
    <w:r w:rsidRPr="00BB75D1">
      <w:rPr>
        <w:noProof/>
        <w:color w:val="003F2C" w:themeColor="text1"/>
        <w:sz w:val="16"/>
        <w:szCs w:val="16"/>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98A79" w14:textId="3008186F"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112</w:t>
    </w:r>
    <w:r w:rsidRPr="00BB75D1">
      <w:rPr>
        <w:noProof/>
        <w:color w:val="003F2C" w:themeColor="text1"/>
        <w:sz w:val="16"/>
        <w:szCs w:val="16"/>
      </w:rPr>
      <w:fldChar w:fldCharType="end"/>
    </w:r>
    <w:r>
      <w:rPr>
        <w:noProof/>
        <w:color w:val="003F2C" w:themeColor="text1"/>
        <w:sz w:val="16"/>
        <w:szCs w:val="16"/>
      </w:rPr>
      <w:tab/>
    </w: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21</w:t>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48775" w14:textId="6A24E4E1"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113</w:t>
    </w:r>
    <w:r w:rsidRPr="00BB75D1">
      <w:rPr>
        <w:noProof/>
        <w:color w:val="003F2C" w:themeColor="text1"/>
        <w:sz w:val="16"/>
        <w:szCs w:val="16"/>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9293A" w14:textId="18C3F80E" w:rsidR="00B51E6F" w:rsidRPr="0044572F" w:rsidRDefault="00B51E6F" w:rsidP="0044572F">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114</w:t>
    </w:r>
    <w:r w:rsidRPr="00BB75D1">
      <w:rPr>
        <w:noProof/>
        <w:color w:val="003F2C" w:themeColor="text1"/>
        <w:sz w:val="16"/>
        <w:szCs w:val="16"/>
      </w:rPr>
      <w:fldChar w:fldCharType="end"/>
    </w:r>
    <w:r>
      <w:rPr>
        <w:noProof/>
        <w:color w:val="003F2C" w:themeColor="text1"/>
        <w:sz w:val="16"/>
        <w:szCs w:val="16"/>
      </w:rPr>
      <w:tab/>
    </w: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21</w: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46DF7" w14:textId="1B48AA88" w:rsidR="00B51E6F" w:rsidRPr="0044572F" w:rsidRDefault="00B51E6F" w:rsidP="0044572F">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115</w:t>
    </w:r>
    <w:r w:rsidRPr="00BB75D1">
      <w:rPr>
        <w:noProof/>
        <w:color w:val="003F2C" w:themeColor="text1"/>
        <w:sz w:val="16"/>
        <w:szCs w:val="16"/>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DC604" w14:textId="4772657F" w:rsidR="00B51E6F" w:rsidRPr="0044572F" w:rsidRDefault="00B51E6F" w:rsidP="0044572F">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116</w:t>
    </w:r>
    <w:r w:rsidRPr="00BB75D1">
      <w:rPr>
        <w:noProof/>
        <w:color w:val="003F2C" w:themeColor="text1"/>
        <w:sz w:val="16"/>
        <w:szCs w:val="16"/>
      </w:rPr>
      <w:fldChar w:fldCharType="end"/>
    </w:r>
    <w:r>
      <w:rPr>
        <w:noProof/>
        <w:color w:val="003F2C" w:themeColor="text1"/>
        <w:sz w:val="16"/>
        <w:szCs w:val="16"/>
      </w:rPr>
      <w:tab/>
    </w: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21</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4D358" w14:textId="1A360AFE" w:rsidR="00B51E6F" w:rsidRPr="00251AC1" w:rsidRDefault="00B51E6F" w:rsidP="00251AC1">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117</w:t>
    </w:r>
    <w:r w:rsidRPr="00BB75D1">
      <w:rPr>
        <w:noProof/>
        <w:color w:val="003F2C" w:themeColor="text1"/>
        <w:sz w:val="16"/>
        <w:szCs w:val="16"/>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19419" w14:textId="6F2C9BF8" w:rsidR="00B51E6F" w:rsidRPr="0044572F" w:rsidRDefault="00B51E6F" w:rsidP="0044572F">
    <w:pPr>
      <w:pStyle w:val="Footer"/>
      <w:tabs>
        <w:tab w:val="clear" w:pos="4680"/>
        <w:tab w:val="right" w:pos="7655"/>
      </w:tabs>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57AA1" w14:textId="09C7EDC0"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5</w:t>
    </w:r>
    <w:r w:rsidRPr="00BB75D1">
      <w:rPr>
        <w:noProof/>
        <w:color w:val="003F2C" w:themeColor="text1"/>
        <w:sz w:val="16"/>
        <w:szCs w:val="16"/>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7D07A" w14:textId="7FC59336" w:rsidR="00B51E6F" w:rsidRDefault="00B51E6F" w:rsidP="00770BB9">
    <w:pPr>
      <w:pStyle w:val="Foote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8E12F3" w14:textId="3D929B49"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661F5" w14:textId="3151B21C"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7</w:t>
    </w:r>
    <w:r w:rsidRPr="00BB75D1">
      <w:rPr>
        <w:noProof/>
        <w:color w:val="003F2C" w:themeColor="text1"/>
        <w:sz w:val="16"/>
        <w:szCs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C34F40" w14:textId="4B373512"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98EEB" w14:textId="18B842C9"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9</w:t>
    </w:r>
    <w:r w:rsidRPr="00BB75D1">
      <w:rPr>
        <w:noProof/>
        <w:color w:val="003F2C" w:themeColor="text1"/>
        <w:sz w:val="16"/>
        <w:szCs w:val="16"/>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209BD" w14:textId="0636FF2E"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111E5" w14:textId="174D2570"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11</w:t>
    </w:r>
    <w:r w:rsidRPr="00BB75D1">
      <w:rPr>
        <w:noProof/>
        <w:color w:val="003F2C" w:themeColor="text1"/>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121A4" w14:textId="49346C97" w:rsidR="00B51E6F" w:rsidRPr="00B578E9" w:rsidRDefault="00B51E6F" w:rsidP="003F1D11">
    <w:pPr>
      <w:pStyle w:val="Footer"/>
      <w:tabs>
        <w:tab w:val="clear" w:pos="4680"/>
        <w:tab w:val="right" w:pos="7655"/>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30154" w14:textId="32BA9769"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5168D" w14:textId="6F979D45"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13</w:t>
    </w:r>
    <w:r w:rsidRPr="00BB75D1">
      <w:rPr>
        <w:noProof/>
        <w:color w:val="003F2C" w:themeColor="text1"/>
        <w:sz w:val="16"/>
        <w:szCs w:val="16"/>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86738" w14:textId="216BBB3B"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F9124F">
      <w:rPr>
        <w:noProof/>
        <w:color w:val="003F2C" w:themeColor="text1"/>
        <w:sz w:val="16"/>
        <w:szCs w:val="16"/>
      </w:rPr>
      <w:t>14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A431C" w14:textId="733D0D9F"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F9124F">
      <w:rPr>
        <w:noProof/>
        <w:color w:val="003F2C" w:themeColor="text1"/>
        <w:sz w:val="16"/>
        <w:szCs w:val="16"/>
      </w:rPr>
      <w:t>15</w:t>
    </w:r>
    <w:r w:rsidRPr="00BB75D1">
      <w:rPr>
        <w:noProof/>
        <w:color w:val="003F2C" w:themeColor="text1"/>
        <w:sz w:val="16"/>
        <w:szCs w:val="16"/>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33A85" w14:textId="3B2066A2"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16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B9FC6" w14:textId="789D34BF"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17</w:t>
    </w:r>
    <w:r w:rsidRPr="00BB75D1">
      <w:rPr>
        <w:noProof/>
        <w:color w:val="003F2C" w:themeColor="text1"/>
        <w:sz w:val="16"/>
        <w:szCs w:val="16"/>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C62C5D" w14:textId="333B65CC"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4D3FE" w14:textId="3E69B740"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19</w:t>
    </w:r>
    <w:r w:rsidRPr="00BB75D1">
      <w:rPr>
        <w:noProof/>
        <w:color w:val="003F2C" w:themeColor="text1"/>
        <w:sz w:val="16"/>
        <w:szCs w:val="16"/>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82677" w14:textId="59A0C7FD"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78BC9D" w14:textId="31E88709" w:rsidR="00B51E6F" w:rsidRDefault="00B51E6F" w:rsidP="00770BB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A3335" w14:textId="6078D289" w:rsidR="009076D5" w:rsidRPr="009076D5" w:rsidRDefault="009076D5" w:rsidP="009076D5">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iii</w:t>
    </w:r>
    <w:r w:rsidRPr="00BB75D1">
      <w:rPr>
        <w:noProof/>
        <w:color w:val="003F2C" w:themeColor="text1"/>
        <w:sz w:val="16"/>
        <w:szCs w:val="16"/>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0E30D" w14:textId="2E7C0730"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w:t>
    </w:r>
    <w:r w:rsidRPr="00BB75D1">
      <w:rPr>
        <w:noProof/>
        <w:color w:val="003F2C" w:themeColor="text1"/>
        <w:sz w:val="16"/>
        <w:szCs w:val="16"/>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4554E" w14:textId="0F37E4BC"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33AAC" w14:textId="5F786064"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23</w:t>
    </w:r>
    <w:r w:rsidRPr="00BB75D1">
      <w:rPr>
        <w:noProof/>
        <w:color w:val="003F2C" w:themeColor="text1"/>
        <w:sz w:val="16"/>
        <w:szCs w:val="16"/>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44C12" w14:textId="09D8E6FD"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83136" w14:textId="75439984"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25</w:t>
    </w:r>
    <w:r w:rsidRPr="00BB75D1">
      <w:rPr>
        <w:noProof/>
        <w:color w:val="003F2C" w:themeColor="text1"/>
        <w:sz w:val="16"/>
        <w:szCs w:val="16"/>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F3D3B" w14:textId="72D0AF01"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FFCEF" w14:textId="2BDE7084" w:rsidR="00B51E6F" w:rsidRDefault="00B51E6F" w:rsidP="00770BB9">
    <w:pPr>
      <w:pStyle w:val="Foote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BF7C6" w14:textId="3FB8599C"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92B798" w14:textId="2619155C"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29</w:t>
    </w:r>
    <w:r w:rsidRPr="00BB75D1">
      <w:rPr>
        <w:noProof/>
        <w:color w:val="003F2C" w:themeColor="text1"/>
        <w:sz w:val="16"/>
        <w:szCs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A08BA" w14:textId="6D0D1D7F"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9BC990" w14:textId="0A42003B" w:rsidR="00B51E6F" w:rsidRPr="009076D5" w:rsidRDefault="009076D5" w:rsidP="009076D5">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iii</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22BFB" w14:textId="259DF19C" w:rsidR="00B51E6F" w:rsidRDefault="00B51E6F" w:rsidP="0037308D">
    <w:pPr>
      <w:pStyle w:val="Foo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358981" w14:textId="24ECC799"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3B08F" w14:textId="081B5D38"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33</w:t>
    </w:r>
    <w:r w:rsidRPr="00BB75D1">
      <w:rPr>
        <w:noProof/>
        <w:color w:val="003F2C" w:themeColor="text1"/>
        <w:sz w:val="16"/>
        <w:szCs w:val="16"/>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0BCFAC" w14:textId="061A18D6"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6814F" w14:textId="17C2A863"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35</w:t>
    </w:r>
    <w:r w:rsidRPr="00BB75D1">
      <w:rPr>
        <w:noProof/>
        <w:color w:val="003F2C" w:themeColor="text1"/>
        <w:sz w:val="16"/>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E9F344" w14:textId="4169412E"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45610" w14:textId="4F395B59" w:rsidR="00B51E6F" w:rsidRDefault="00B51E6F" w:rsidP="00770BB9">
    <w:pPr>
      <w:pStyle w:val="Footer"/>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0AF8C" w14:textId="6CA7BE79"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38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9C847" w14:textId="39227A51"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39</w:t>
    </w:r>
    <w:r w:rsidRPr="00BB75D1">
      <w:rPr>
        <w:noProof/>
        <w:color w:val="003F2C" w:themeColor="text1"/>
        <w:sz w:val="16"/>
        <w:szCs w:val="16"/>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20535" w14:textId="7E051F12"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A8C45" w14:textId="5378612B" w:rsidR="00B51E6F" w:rsidRPr="009076D5" w:rsidRDefault="009076D5" w:rsidP="009076D5">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w:t>
    </w:r>
    <w:r w:rsidRPr="00BB75D1">
      <w:rPr>
        <w:noProof/>
        <w:color w:val="003F2C" w:themeColor="text1"/>
        <w:sz w:val="16"/>
        <w:szCs w:val="16"/>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5368B5" w14:textId="1F7648AB"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41</w:t>
    </w:r>
    <w:r w:rsidRPr="00BB75D1">
      <w:rPr>
        <w:noProof/>
        <w:color w:val="003F2C" w:themeColor="text1"/>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CAD656" w14:textId="6ACF6711"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64E47" w14:textId="164FEE4E"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43</w:t>
    </w:r>
    <w:r w:rsidRPr="00BB75D1">
      <w:rPr>
        <w:noProof/>
        <w:color w:val="003F2C" w:themeColor="text1"/>
        <w:sz w:val="16"/>
        <w:szCs w:val="16"/>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C6B12" w14:textId="6BCD8A6E"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9FB75" w14:textId="2C695A8B"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45</w:t>
    </w:r>
    <w:r w:rsidRPr="00BB75D1">
      <w:rPr>
        <w:noProof/>
        <w:color w:val="003F2C" w:themeColor="text1"/>
        <w:sz w:val="16"/>
        <w:szCs w:val="16"/>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8DAE0" w14:textId="40B88768"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98DF0" w14:textId="74828048"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604592">
      <w:rPr>
        <w:noProof/>
        <w:color w:val="003F2C" w:themeColor="text1"/>
        <w:sz w:val="16"/>
        <w:szCs w:val="16"/>
      </w:rPr>
      <w:t>47</w:t>
    </w:r>
    <w:r w:rsidRPr="00BB75D1">
      <w:rPr>
        <w:noProof/>
        <w:color w:val="003F2C" w:themeColor="text1"/>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46D13" w14:textId="4C6CE44B"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35599">
      <w:rPr>
        <w:noProof/>
        <w:color w:val="003F2C" w:themeColor="text1"/>
        <w:sz w:val="16"/>
        <w:szCs w:val="16"/>
      </w:rPr>
      <w:t>48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75DA0" w14:textId="0B2C98B7"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35599">
      <w:rPr>
        <w:noProof/>
        <w:color w:val="003F2C" w:themeColor="text1"/>
        <w:sz w:val="16"/>
        <w:szCs w:val="16"/>
      </w:rPr>
      <w:t>49</w:t>
    </w:r>
    <w:r w:rsidRPr="00BB75D1">
      <w:rPr>
        <w:noProof/>
        <w:color w:val="003F2C" w:themeColor="text1"/>
        <w:sz w:val="16"/>
        <w:szCs w:val="16"/>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C872A" w14:textId="0F1B157C"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35599">
      <w:rPr>
        <w:noProof/>
        <w:color w:val="003F2C" w:themeColor="text1"/>
        <w:sz w:val="16"/>
        <w:szCs w:val="16"/>
      </w:rPr>
      <w:t>50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E9577" w14:textId="152DC01B" w:rsidR="00B51E6F" w:rsidRPr="008D6F00" w:rsidRDefault="008D6F00" w:rsidP="008D6F00">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ii</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624E8" w14:textId="1DFE61DB"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135599">
      <w:rPr>
        <w:noProof/>
        <w:color w:val="003F2C" w:themeColor="text1"/>
        <w:sz w:val="16"/>
        <w:szCs w:val="16"/>
      </w:rPr>
      <w:t>51</w:t>
    </w:r>
    <w:r w:rsidRPr="00BB75D1">
      <w:rPr>
        <w:noProof/>
        <w:color w:val="003F2C" w:themeColor="text1"/>
        <w:sz w:val="16"/>
        <w:szCs w:val="16"/>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E463F" w14:textId="671C6D1F"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52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C8005" w14:textId="4F04C420"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53</w:t>
    </w:r>
    <w:r w:rsidRPr="00BB75D1">
      <w:rPr>
        <w:noProof/>
        <w:color w:val="003F2C" w:themeColor="text1"/>
        <w:sz w:val="16"/>
        <w:szCs w:val="16"/>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E5006" w14:textId="59A5A558"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54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141461" w14:textId="501FC8C7"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55</w:t>
    </w:r>
    <w:r w:rsidRPr="00BB75D1">
      <w:rPr>
        <w:noProof/>
        <w:color w:val="003F2C" w:themeColor="text1"/>
        <w:sz w:val="16"/>
        <w:szCs w:val="16"/>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E48DA" w14:textId="6A7F2270"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56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41872" w14:textId="5C5B97B1"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57</w:t>
    </w:r>
    <w:r w:rsidRPr="00BB75D1">
      <w:rPr>
        <w:noProof/>
        <w:color w:val="003F2C" w:themeColor="text1"/>
        <w:sz w:val="16"/>
        <w:szCs w:val="16"/>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4F5B49" w14:textId="1B35AF10"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58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5081D" w14:textId="281AB319"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59</w:t>
    </w:r>
    <w:r w:rsidRPr="00BB75D1">
      <w:rPr>
        <w:noProof/>
        <w:color w:val="003F2C" w:themeColor="text1"/>
        <w:sz w:val="16"/>
        <w:szCs w:val="16"/>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D1EBE" w14:textId="24EDE90A"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2AD0E" w14:textId="5E826711" w:rsidR="00B51E6F" w:rsidRPr="00010118" w:rsidRDefault="00010118" w:rsidP="00010118">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iii</w:t>
    </w:r>
    <w:r w:rsidRPr="00BB75D1">
      <w:rPr>
        <w:noProof/>
        <w:color w:val="003F2C" w:themeColor="text1"/>
        <w:sz w:val="16"/>
        <w:szCs w:val="16"/>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42BD2" w14:textId="0A22E7BB"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61</w:t>
    </w:r>
    <w:r w:rsidRPr="00BB75D1">
      <w:rPr>
        <w:noProof/>
        <w:color w:val="003F2C" w:themeColor="text1"/>
        <w:sz w:val="16"/>
        <w:szCs w:val="16"/>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E0BC5" w14:textId="159295DD"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77002" w14:textId="26EA1075" w:rsidR="00B51E6F" w:rsidRDefault="00B51E6F" w:rsidP="00770BB9">
    <w:pPr>
      <w:pStyle w:val="Footer"/>
      <w:jc w:val="cente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E0EA7" w14:textId="1E9BCA18"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81FB9" w14:textId="520E6119"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2020-21</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9CFB2" w14:textId="221113EB"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65</w:t>
    </w:r>
    <w:r w:rsidRPr="00BB75D1">
      <w:rPr>
        <w:noProof/>
        <w:color w:val="003F2C" w:themeColor="text1"/>
        <w:sz w:val="16"/>
        <w:szCs w:val="16"/>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B507C" w14:textId="22C2A0D9"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A6BDA" w14:textId="0CEAD32F"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67</w:t>
    </w:r>
    <w:r w:rsidRPr="00BB75D1">
      <w:rPr>
        <w:noProof/>
        <w:color w:val="003F2C" w:themeColor="text1"/>
        <w:sz w:val="16"/>
        <w:szCs w:val="16"/>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3E52AC" w14:textId="4ED6A1D3"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BF6FE" w14:textId="1005629A" w:rsidR="00B51E6F" w:rsidRPr="00B578E9" w:rsidRDefault="00B51E6F" w:rsidP="00B578E9">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69</w:t>
    </w:r>
    <w:r w:rsidRPr="00BB75D1">
      <w:rPr>
        <w:noProof/>
        <w:color w:val="003F2C" w:themeColor="text1"/>
        <w:sz w:val="16"/>
        <w:szCs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3AE87F" w14:textId="77777777" w:rsidR="00010118" w:rsidRPr="00010118" w:rsidRDefault="00010118" w:rsidP="00010118">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iv</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A892A" w14:textId="732BB30A" w:rsidR="00B51E6F" w:rsidRPr="00B578E9" w:rsidRDefault="00B51E6F" w:rsidP="00B578E9">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70</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323FC" w14:textId="538DD3D1" w:rsidR="00B51E6F" w:rsidRPr="00B578E9" w:rsidRDefault="00B51E6F" w:rsidP="00B578E9">
    <w:pPr>
      <w:pStyle w:val="Footer"/>
      <w:tabs>
        <w:tab w:val="clear" w:pos="4680"/>
        <w:tab w:val="right" w:pos="7655"/>
      </w:tabs>
    </w:pP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71</w:t>
    </w:r>
    <w:r w:rsidRPr="00BB75D1">
      <w:rPr>
        <w:noProof/>
        <w:color w:val="003F2C" w:themeColor="text1"/>
        <w:sz w:val="16"/>
        <w:szCs w:val="16"/>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FC17C" w14:textId="414657EB" w:rsidR="00B51E6F" w:rsidRPr="00B578E9" w:rsidRDefault="00B51E6F" w:rsidP="00EE4866">
    <w:pPr>
      <w:pStyle w:val="Footer"/>
      <w:tabs>
        <w:tab w:val="clear" w:pos="4680"/>
        <w:tab w:val="clear" w:pos="9360"/>
        <w:tab w:val="right" w:pos="11766"/>
      </w:tabs>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F2A4E" w14:textId="77777777" w:rsidR="00B51E6F" w:rsidRPr="00BB75D1" w:rsidRDefault="00B51E6F" w:rsidP="006544B5">
    <w:pPr>
      <w:pStyle w:val="Footer"/>
      <w:rPr>
        <w:color w:val="003F2C" w:themeColor="text1"/>
        <w:sz w:val="16"/>
        <w:szCs w:val="16"/>
      </w:rPr>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noProof/>
        <w:color w:val="003F2C" w:themeColor="text1"/>
        <w:sz w:val="16"/>
        <w:szCs w:val="16"/>
      </w:rPr>
      <w:t>68</w:t>
    </w:r>
    <w:r w:rsidRPr="00BB75D1">
      <w:rPr>
        <w:noProof/>
        <w:color w:val="003F2C" w:themeColor="text1"/>
        <w:sz w:val="16"/>
        <w:szCs w:val="16"/>
      </w:rPr>
      <w:fldChar w:fldCharType="end"/>
    </w:r>
    <w:r w:rsidRPr="00BB75D1">
      <w:rPr>
        <w:color w:val="003F2C" w:themeColor="text1"/>
        <w:sz w:val="16"/>
        <w:szCs w:val="16"/>
      </w:rPr>
      <w:ptab w:relativeTo="margin" w:alignment="center" w:leader="none"/>
    </w:r>
    <w:r w:rsidRPr="00BB75D1">
      <w:rPr>
        <w:color w:val="003F2C" w:themeColor="text1"/>
        <w:sz w:val="16"/>
        <w:szCs w:val="16"/>
      </w:rPr>
      <w:ptab w:relativeTo="margin" w:alignment="right" w:leader="none"/>
    </w:r>
    <w:r>
      <w:rPr>
        <w:color w:val="003F2C" w:themeColor="text1"/>
        <w:sz w:val="16"/>
        <w:szCs w:val="16"/>
      </w:rPr>
      <w:t>IHPA</w: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1F692" w14:textId="4554B3E4"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73</w:t>
    </w:r>
    <w:r w:rsidRPr="00BB75D1">
      <w:rPr>
        <w:noProof/>
        <w:color w:val="003F2C" w:themeColor="text1"/>
        <w:sz w:val="16"/>
        <w:szCs w:val="16"/>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65AEB4" w14:textId="7B8E7B61"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96F0FA" w14:textId="7FE91DD6" w:rsidR="00B51E6F" w:rsidRPr="00EE4866" w:rsidRDefault="00B51E6F" w:rsidP="00EE4866">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75</w:t>
    </w:r>
    <w:r w:rsidRPr="00BB75D1">
      <w:rPr>
        <w:noProof/>
        <w:color w:val="003F2C" w:themeColor="text1"/>
        <w:sz w:val="16"/>
        <w:szCs w:val="16"/>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8E080" w14:textId="557BB3C3"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1823C" w14:textId="4DFDF5FD" w:rsidR="00B51E6F" w:rsidRDefault="00B51E6F" w:rsidP="00770BB9">
    <w:pPr>
      <w:pStyle w:val="Footer"/>
      <w:jc w:val="cen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C3570" w14:textId="38590340" w:rsidR="00B51E6F" w:rsidRPr="00EE4866" w:rsidRDefault="00B51E6F" w:rsidP="00EE4866">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78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D7547" w14:textId="5D24DC58" w:rsidR="00B51E6F" w:rsidRPr="00010118" w:rsidRDefault="00010118" w:rsidP="00010118">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3</w:t>
    </w:r>
    <w:r w:rsidRPr="00BB75D1">
      <w:rPr>
        <w:noProof/>
        <w:color w:val="003F2C" w:themeColor="text1"/>
        <w:sz w:val="16"/>
        <w:szCs w:val="16"/>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7ED21" w14:textId="5C32449A" w:rsidR="00B51E6F" w:rsidRPr="00C14FCE" w:rsidRDefault="00C14FCE" w:rsidP="00C14FCE">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80</w:t>
    </w:r>
    <w:r w:rsidRPr="00BB75D1">
      <w:rPr>
        <w:noProof/>
        <w:color w:val="003F2C" w:themeColor="text1"/>
        <w:sz w:val="16"/>
        <w:szCs w:val="16"/>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4F738" w14:textId="623A62DA" w:rsidR="00B51E6F" w:rsidRPr="00C14FCE" w:rsidRDefault="00C14FCE" w:rsidP="00C14FCE">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82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E133B3" w14:textId="35C43DF9" w:rsidR="00581245" w:rsidRPr="00581245" w:rsidRDefault="00581245" w:rsidP="00581245">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Pr>
        <w:color w:val="003F2C" w:themeColor="text1"/>
        <w:sz w:val="16"/>
        <w:szCs w:val="16"/>
      </w:rPr>
      <w:t>79</w:t>
    </w:r>
    <w:r w:rsidRPr="00BB75D1">
      <w:rPr>
        <w:noProof/>
        <w:color w:val="003F2C" w:themeColor="text1"/>
        <w:sz w:val="16"/>
        <w:szCs w:val="16"/>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AF0DC" w14:textId="005B75F6"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803303">
      <w:rPr>
        <w:noProof/>
        <w:color w:val="003F2C" w:themeColor="text1"/>
        <w:sz w:val="16"/>
        <w:szCs w:val="16"/>
      </w:rPr>
      <w:t>82</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426DD" w14:textId="276D18FB"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83</w:t>
    </w:r>
    <w:r w:rsidRPr="00BB75D1">
      <w:rPr>
        <w:noProof/>
        <w:color w:val="003F2C" w:themeColor="text1"/>
        <w:sz w:val="16"/>
        <w:szCs w:val="16"/>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F2A92" w14:textId="60057B04"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84</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23CE9D" w14:textId="258DAD60"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85</w:t>
    </w:r>
    <w:r w:rsidRPr="00BB75D1">
      <w:rPr>
        <w:noProof/>
        <w:color w:val="003F2C" w:themeColor="text1"/>
        <w:sz w:val="16"/>
        <w:szCs w:val="16"/>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78563" w14:textId="4D270981"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86</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86CA6" w14:textId="57D53F20" w:rsidR="00B51E6F" w:rsidRPr="0080406A" w:rsidRDefault="00B51E6F" w:rsidP="0080406A">
    <w:pPr>
      <w:pStyle w:val="Footer"/>
      <w:tabs>
        <w:tab w:val="clear" w:pos="4680"/>
        <w:tab w:val="right" w:pos="7655"/>
      </w:tabs>
    </w:pPr>
    <w:r w:rsidRPr="00B578E9">
      <w:rPr>
        <w:b/>
        <w:bCs/>
        <w:color w:val="003F2C" w:themeColor="text1"/>
        <w:sz w:val="16"/>
        <w:szCs w:val="16"/>
      </w:rPr>
      <w:t>IHPA</w:t>
    </w:r>
    <w:r>
      <w:rPr>
        <w:color w:val="003F2C" w:themeColor="text1"/>
        <w:sz w:val="16"/>
        <w:szCs w:val="16"/>
      </w:rPr>
      <w:t xml:space="preserve"> Annual Report 2020</w:t>
    </w:r>
    <w:r>
      <w:rPr>
        <w:noProof/>
        <w:color w:val="003F2C" w:themeColor="text1"/>
        <w:sz w:val="16"/>
        <w:szCs w:val="16"/>
      </w:rPr>
      <w:t>–</w:t>
    </w:r>
    <w:r>
      <w:rPr>
        <w:color w:val="003F2C" w:themeColor="text1"/>
        <w:sz w:val="16"/>
        <w:szCs w:val="16"/>
      </w:rPr>
      <w:t xml:space="preserve">21 </w:t>
    </w:r>
    <w:r>
      <w:rPr>
        <w:color w:val="003F2C" w:themeColor="text1"/>
        <w:sz w:val="16"/>
        <w:szCs w:val="16"/>
      </w:rPr>
      <w:tab/>
    </w: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87</w:t>
    </w:r>
    <w:r w:rsidRPr="00BB75D1">
      <w:rPr>
        <w:noProof/>
        <w:color w:val="003F2C" w:themeColor="text1"/>
        <w:sz w:val="16"/>
        <w:szCs w:val="16"/>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76E16" w14:textId="750B5981" w:rsidR="00B51E6F" w:rsidRPr="0080406A" w:rsidRDefault="00B51E6F" w:rsidP="0080406A">
    <w:pPr>
      <w:pStyle w:val="Footer"/>
      <w:tabs>
        <w:tab w:val="clear" w:pos="4680"/>
        <w:tab w:val="right" w:pos="7655"/>
      </w:tabs>
    </w:pPr>
    <w:r w:rsidRPr="00BB75D1">
      <w:rPr>
        <w:color w:val="003F2C" w:themeColor="text1"/>
        <w:sz w:val="16"/>
        <w:szCs w:val="16"/>
      </w:rPr>
      <w:fldChar w:fldCharType="begin"/>
    </w:r>
    <w:r w:rsidRPr="00BB75D1">
      <w:rPr>
        <w:color w:val="003F2C" w:themeColor="text1"/>
        <w:sz w:val="16"/>
        <w:szCs w:val="16"/>
      </w:rPr>
      <w:instrText xml:space="preserve"> PAGE   \* MERGEFORMAT </w:instrText>
    </w:r>
    <w:r w:rsidRPr="00BB75D1">
      <w:rPr>
        <w:color w:val="003F2C" w:themeColor="text1"/>
        <w:sz w:val="16"/>
        <w:szCs w:val="16"/>
      </w:rPr>
      <w:fldChar w:fldCharType="separate"/>
    </w:r>
    <w:r w:rsidR="00AC534F">
      <w:rPr>
        <w:noProof/>
        <w:color w:val="003F2C" w:themeColor="text1"/>
        <w:sz w:val="16"/>
        <w:szCs w:val="16"/>
      </w:rPr>
      <w:t>88</w:t>
    </w:r>
    <w:r w:rsidRPr="00BB75D1">
      <w:rPr>
        <w:noProof/>
        <w:color w:val="003F2C" w:themeColor="text1"/>
        <w:sz w:val="16"/>
        <w:szCs w:val="16"/>
      </w:rPr>
      <w:fldChar w:fldCharType="end"/>
    </w:r>
    <w:r>
      <w:rPr>
        <w:noProof/>
        <w:color w:val="003F2C" w:themeColor="text1"/>
        <w:sz w:val="16"/>
        <w:szCs w:val="16"/>
      </w:rPr>
      <w:tab/>
    </w:r>
    <w:r w:rsidRPr="00924469">
      <w:rPr>
        <w:b/>
        <w:bCs/>
        <w:noProof/>
        <w:color w:val="003F2C" w:themeColor="text1"/>
        <w:sz w:val="16"/>
        <w:szCs w:val="16"/>
      </w:rPr>
      <w:t>IHPA</w:t>
    </w:r>
    <w:r w:rsidRPr="00924469">
      <w:rPr>
        <w:noProof/>
        <w:color w:val="003F2C" w:themeColor="text1"/>
        <w:sz w:val="16"/>
        <w:szCs w:val="16"/>
      </w:rPr>
      <w:t xml:space="preserve"> Annual Report 2020</w:t>
    </w:r>
    <w:r>
      <w:rPr>
        <w:noProof/>
        <w:color w:val="003F2C" w:themeColor="text1"/>
        <w:sz w:val="16"/>
        <w:szCs w:val="16"/>
      </w:rPr>
      <w:t>–</w:t>
    </w:r>
    <w:r w:rsidRPr="00924469">
      <w:rPr>
        <w:noProof/>
        <w:color w:val="003F2C" w:themeColor="text1"/>
        <w:sz w:val="16"/>
        <w:szCs w:val="16"/>
      </w:rPr>
      <w:t>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260559" w14:textId="77777777" w:rsidR="003079E3" w:rsidRDefault="003079E3" w:rsidP="00DD1A86">
      <w:pPr>
        <w:spacing w:after="0" w:line="240" w:lineRule="auto"/>
      </w:pPr>
      <w:r>
        <w:separator/>
      </w:r>
    </w:p>
  </w:footnote>
  <w:footnote w:type="continuationSeparator" w:id="0">
    <w:p w14:paraId="7E6A04D8" w14:textId="77777777" w:rsidR="003079E3" w:rsidRDefault="003079E3" w:rsidP="00DD1A86">
      <w:pPr>
        <w:spacing w:after="0" w:line="240" w:lineRule="auto"/>
      </w:pPr>
      <w:r>
        <w:continuationSeparator/>
      </w:r>
    </w:p>
  </w:footnote>
  <w:footnote w:id="1">
    <w:p w14:paraId="18A702FC" w14:textId="77777777" w:rsidR="00B51E6F" w:rsidRPr="005B0E4E" w:rsidRDefault="00B51E6F" w:rsidP="00AA34C7">
      <w:pPr>
        <w:pStyle w:val="FootnoteText"/>
        <w:rPr>
          <w:lang w:val="en-AU"/>
        </w:rPr>
      </w:pPr>
      <w:r>
        <w:rPr>
          <w:rStyle w:val="FootnoteReference"/>
        </w:rPr>
        <w:footnoteRef/>
      </w:r>
      <w:r>
        <w:t xml:space="preserve"> </w:t>
      </w:r>
      <w:r w:rsidRPr="00923811">
        <w:rPr>
          <w:rStyle w:val="FootnotesChar"/>
        </w:rPr>
        <w:t>IHPA notes that the Council of Australian Governments has been dissolved and the Health Ministers’ Meetings has been established to consider matters previously brought to the Council of Austra</w:t>
      </w:r>
      <w:r>
        <w:rPr>
          <w:rStyle w:val="FootnotesChar"/>
        </w:rPr>
        <w:t xml:space="preserve">lian Governments Health Council. </w:t>
      </w:r>
    </w:p>
  </w:footnote>
  <w:footnote w:id="2">
    <w:p w14:paraId="76087EF7" w14:textId="5F104850" w:rsidR="00B51E6F" w:rsidRDefault="00B51E6F">
      <w:pPr>
        <w:pStyle w:val="FootnoteText"/>
      </w:pPr>
      <w:r>
        <w:rPr>
          <w:rStyle w:val="FootnoteReference"/>
        </w:rPr>
        <w:footnoteRef/>
      </w:r>
      <w:r>
        <w:t xml:space="preserve"> </w:t>
      </w:r>
      <w:r w:rsidRPr="008B57A7">
        <w:rPr>
          <w:rStyle w:val="FootnotesChar"/>
        </w:rPr>
        <w:t>IHPA notes that the Council of Australian Governments has been dissolved and the Health Ministers’ Meetings has been established to consider matters previously brought to the Council of Australian Governments Health Council.</w:t>
      </w:r>
    </w:p>
  </w:footnote>
  <w:footnote w:id="3">
    <w:p w14:paraId="7B3A1EC0" w14:textId="1E16ADD0" w:rsidR="00B51E6F" w:rsidRPr="00912F01" w:rsidRDefault="00B51E6F" w:rsidP="00716E1B">
      <w:pPr>
        <w:pStyle w:val="Footnotes"/>
      </w:pPr>
      <w:r>
        <w:rPr>
          <w:rStyle w:val="FootnoteReference"/>
        </w:rPr>
        <w:footnoteRef/>
      </w:r>
      <w:r>
        <w:t xml:space="preserve"> </w:t>
      </w:r>
      <w:r w:rsidRPr="005919CF">
        <w:t>Clinical Advisory Committee membership changes: Ms Nicole Harwood, and Mr Christopher O’Donnell were appointed</w:t>
      </w:r>
      <w:r w:rsidR="00543EDC">
        <w:t> </w:t>
      </w:r>
      <w:r w:rsidRPr="005919CF">
        <w:t>on 1 January 2021. The appointments of Dr Philip Hoyle, Mrs Jan Erven, A/Prof Louis Irving, Prof Daryl Williams, Dr</w:t>
      </w:r>
      <w:r w:rsidR="00543EDC">
        <w:t> </w:t>
      </w:r>
      <w:r w:rsidRPr="005919CF">
        <w:t>Ruth</w:t>
      </w:r>
      <w:r w:rsidR="00543EDC">
        <w:t> </w:t>
      </w:r>
      <w:r w:rsidRPr="005919CF">
        <w:t>Vine and Dr Amanda Ling ended on 30 June 2021.</w:t>
      </w:r>
    </w:p>
  </w:footnote>
  <w:footnote w:id="4">
    <w:p w14:paraId="71427E84" w14:textId="77777777" w:rsidR="00B51E6F" w:rsidRDefault="00B51E6F">
      <w:pPr>
        <w:pStyle w:val="FootnoteText"/>
      </w:pPr>
      <w:r>
        <w:rPr>
          <w:rStyle w:val="FootnoteReference"/>
        </w:rPr>
        <w:footnoteRef/>
      </w:r>
      <w:r>
        <w:t xml:space="preserve"> </w:t>
      </w:r>
      <w:r w:rsidRPr="00F456EA">
        <w:rPr>
          <w:rStyle w:val="FootnotesChar"/>
        </w:rPr>
        <w:t>Delivered in March 2021</w:t>
      </w:r>
    </w:p>
  </w:footnote>
  <w:footnote w:id="5">
    <w:p w14:paraId="38CDE8E6" w14:textId="61413621" w:rsidR="00B51E6F" w:rsidRDefault="00B51E6F">
      <w:pPr>
        <w:pStyle w:val="FootnoteText"/>
      </w:pPr>
      <w:r>
        <w:rPr>
          <w:rStyle w:val="FootnoteReference"/>
        </w:rPr>
        <w:footnoteRef/>
      </w:r>
      <w:r>
        <w:t xml:space="preserve"> </w:t>
      </w:r>
      <w:r w:rsidRPr="00F456EA">
        <w:rPr>
          <w:rStyle w:val="FootnotesChar"/>
        </w:rPr>
        <w:t xml:space="preserve">Delivered in </w:t>
      </w:r>
      <w:r>
        <w:rPr>
          <w:rStyle w:val="FootnotesChar"/>
        </w:rPr>
        <w:t>December</w:t>
      </w:r>
      <w:r w:rsidRPr="00F456EA">
        <w:rPr>
          <w:rStyle w:val="FootnotesChar"/>
        </w:rPr>
        <w:t xml:space="preserve"> 202</w:t>
      </w:r>
      <w:r>
        <w:rPr>
          <w:rStyle w:val="FootnotesChar"/>
        </w:rPr>
        <w:t>0</w:t>
      </w:r>
    </w:p>
  </w:footnote>
  <w:footnote w:id="6">
    <w:p w14:paraId="134042E4" w14:textId="637530BA" w:rsidR="00B51E6F" w:rsidRPr="00290F4A" w:rsidRDefault="00B51E6F" w:rsidP="008F0110">
      <w:pPr>
        <w:pStyle w:val="Footnotes"/>
        <w:ind w:right="-327"/>
        <w:rPr>
          <w:rFonts w:ascii="Arial" w:eastAsia="Times New Roman" w:hAnsi="Arial" w:cs="Arial"/>
          <w:sz w:val="20"/>
          <w:szCs w:val="20"/>
          <w:lang w:eastAsia="en-PH"/>
        </w:rPr>
      </w:pPr>
      <w:r>
        <w:rPr>
          <w:rStyle w:val="FootnoteReference"/>
        </w:rPr>
        <w:footnoteRef/>
      </w:r>
      <w:r>
        <w:t xml:space="preserve"> </w:t>
      </w:r>
      <w:r w:rsidRPr="00290F4A">
        <w:rPr>
          <w:rStyle w:val="FootnotesChar"/>
          <w:lang w:eastAsia="en-PH"/>
        </w:rPr>
        <w:t>Mr John Lenarduzzi was appointed on 24 November 2020 and Ms Joanna Stone was appointed on 24 May</w:t>
      </w:r>
      <w:r w:rsidR="008F0110">
        <w:rPr>
          <w:rStyle w:val="FootnotesChar"/>
          <w:lang w:eastAsia="en-PH"/>
        </w:rPr>
        <w:t> </w:t>
      </w:r>
      <w:r w:rsidRPr="00290F4A">
        <w:rPr>
          <w:rStyle w:val="FootnotesChar"/>
          <w:lang w:eastAsia="en-PH"/>
        </w:rPr>
        <w:t>2021. The</w:t>
      </w:r>
      <w:r w:rsidR="008F0110">
        <w:rPr>
          <w:rStyle w:val="FootnotesChar"/>
          <w:lang w:eastAsia="en-PH"/>
        </w:rPr>
        <w:t> </w:t>
      </w:r>
      <w:r w:rsidRPr="00290F4A">
        <w:rPr>
          <w:rStyle w:val="FootnotesChar"/>
          <w:lang w:eastAsia="en-PH"/>
        </w:rPr>
        <w:t>appointment of Mr Alan Bansemer ended on 30</w:t>
      </w:r>
      <w:r w:rsidR="008F0110">
        <w:rPr>
          <w:rStyle w:val="FootnotesChar"/>
          <w:lang w:eastAsia="en-PH"/>
        </w:rPr>
        <w:t> </w:t>
      </w:r>
      <w:r w:rsidRPr="00290F4A">
        <w:rPr>
          <w:rStyle w:val="FootnotesChar"/>
          <w:lang w:eastAsia="en-PH"/>
        </w:rPr>
        <w:t>June</w:t>
      </w:r>
      <w:r w:rsidR="008F0110">
        <w:rPr>
          <w:rStyle w:val="FootnotesChar"/>
          <w:lang w:eastAsia="en-PH"/>
        </w:rPr>
        <w:t> </w:t>
      </w:r>
      <w:r w:rsidRPr="00290F4A">
        <w:rPr>
          <w:rStyle w:val="FootnotesChar"/>
          <w:lang w:eastAsia="en-PH"/>
        </w:rPr>
        <w:t>2021.</w:t>
      </w:r>
    </w:p>
    <w:p w14:paraId="2352CE31" w14:textId="77777777" w:rsidR="00B51E6F" w:rsidRDefault="00B51E6F" w:rsidP="008D1EDE">
      <w:pPr>
        <w:pStyle w:val="FootnoteText"/>
      </w:pPr>
    </w:p>
  </w:footnote>
  <w:footnote w:id="7">
    <w:p w14:paraId="16B103C0" w14:textId="7B3203F5" w:rsidR="00B51E6F" w:rsidRDefault="00B51E6F">
      <w:pPr>
        <w:pStyle w:val="FootnoteText"/>
      </w:pPr>
      <w:r>
        <w:rPr>
          <w:rStyle w:val="FootnoteReference"/>
        </w:rPr>
        <w:footnoteRef/>
      </w:r>
      <w:r>
        <w:t xml:space="preserve"> </w:t>
      </w:r>
      <w:r w:rsidRPr="009C60C8">
        <w:rPr>
          <w:rStyle w:val="FootnotesChar"/>
        </w:rPr>
        <w:t>Base salary includes Audit Review and Compliance Committee sitting fees</w:t>
      </w:r>
    </w:p>
  </w:footnote>
  <w:footnote w:id="8">
    <w:p w14:paraId="0C31D6C2" w14:textId="6FA9E272" w:rsidR="00B51E6F" w:rsidRPr="00260CA9" w:rsidRDefault="00B51E6F" w:rsidP="00260CA9">
      <w:pPr>
        <w:rPr>
          <w:rFonts w:ascii="Times New Roman" w:eastAsia="Times New Roman" w:hAnsi="Times New Roman" w:cs="Times New Roman"/>
          <w:sz w:val="24"/>
          <w:szCs w:val="24"/>
          <w:lang w:val="en-AU" w:eastAsia="en-GB"/>
        </w:rPr>
      </w:pPr>
      <w:r>
        <w:rPr>
          <w:rStyle w:val="FootnoteReference"/>
        </w:rPr>
        <w:footnoteRef/>
      </w:r>
      <w:r w:rsidRPr="00833BDD">
        <w:rPr>
          <w:rStyle w:val="FootnotesChar"/>
        </w:rPr>
        <w:t xml:space="preserve"> IHPA notes that the Council of Australian Governments has been dissolved and the Health Ministers’ Meetings has been established to consider matters previously brought to the Council of Austra</w:t>
      </w:r>
      <w:r>
        <w:rPr>
          <w:rStyle w:val="FootnotesChar"/>
        </w:rPr>
        <w:t>lian Governments Health Council.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30600" w14:textId="308320F9" w:rsidR="00B51E6F" w:rsidRDefault="008B279C">
    <w:pPr>
      <w:pStyle w:val="Header"/>
    </w:pPr>
    <w:r>
      <w:rPr>
        <w:noProof/>
        <w:lang w:val="en-AU" w:eastAsia="en-AU"/>
      </w:rPr>
      <w:drawing>
        <wp:anchor distT="0" distB="0" distL="114300" distR="114300" simplePos="0" relativeHeight="251658240" behindDoc="0" locked="0" layoutInCell="1" allowOverlap="1" wp14:anchorId="7FE0D825" wp14:editId="3244BCBC">
          <wp:simplePos x="0" y="0"/>
          <wp:positionH relativeFrom="margin">
            <wp:posOffset>-724535</wp:posOffset>
          </wp:positionH>
          <wp:positionV relativeFrom="paragraph">
            <wp:posOffset>-450215</wp:posOffset>
          </wp:positionV>
          <wp:extent cx="6345141" cy="9012882"/>
          <wp:effectExtent l="0" t="0" r="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345141" cy="9012882"/>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97A66" w14:textId="77777777" w:rsidR="00B51E6F" w:rsidRDefault="00B51E6F" w:rsidP="00770BB9">
    <w:pPr>
      <w:pStyle w:val="Heade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A61FA" w14:textId="069A7C3A" w:rsidR="00B51E6F" w:rsidRDefault="00B51E6F" w:rsidP="00770BB9">
    <w:pPr>
      <w:pStyle w:val="Header"/>
      <w:jc w:val="center"/>
    </w:pPr>
    <w:r>
      <w:rPr>
        <w:noProof/>
        <w:lang w:val="en-AU" w:eastAsia="en-AU"/>
      </w:rPr>
      <w:drawing>
        <wp:anchor distT="0" distB="0" distL="114300" distR="114300" simplePos="0" relativeHeight="251663360" behindDoc="1" locked="0" layoutInCell="1" allowOverlap="1" wp14:anchorId="4C27B09F" wp14:editId="77D1F4F9">
          <wp:simplePos x="0" y="0"/>
          <wp:positionH relativeFrom="column">
            <wp:posOffset>-720091</wp:posOffset>
          </wp:positionH>
          <wp:positionV relativeFrom="paragraph">
            <wp:posOffset>-450215</wp:posOffset>
          </wp:positionV>
          <wp:extent cx="6334125" cy="8995936"/>
          <wp:effectExtent l="0" t="0" r="0" b="0"/>
          <wp:wrapNone/>
          <wp:docPr id="85" name="Pictur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39815" cy="9004017"/>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A09F82" w14:textId="03B0A589" w:rsidR="00B51E6F" w:rsidRDefault="00B51E6F" w:rsidP="00770BB9">
    <w:pPr>
      <w:pStyle w:val="Heade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3D7A22" w14:textId="3B78B7A7" w:rsidR="00B51E6F" w:rsidRPr="0037308D" w:rsidRDefault="00B51E6F" w:rsidP="0037308D">
    <w:pPr>
      <w:pStyle w:val="Header"/>
    </w:pPr>
    <w:r>
      <w:rPr>
        <w:noProof/>
        <w:lang w:val="en-AU" w:eastAsia="en-AU"/>
      </w:rPr>
      <w:drawing>
        <wp:anchor distT="0" distB="0" distL="114300" distR="114300" simplePos="0" relativeHeight="251664384" behindDoc="1" locked="0" layoutInCell="1" allowOverlap="1" wp14:anchorId="54D3BC07" wp14:editId="42826F2A">
          <wp:simplePos x="0" y="0"/>
          <wp:positionH relativeFrom="column">
            <wp:posOffset>-720090</wp:posOffset>
          </wp:positionH>
          <wp:positionV relativeFrom="paragraph">
            <wp:posOffset>-450215</wp:posOffset>
          </wp:positionV>
          <wp:extent cx="6332079" cy="8991600"/>
          <wp:effectExtent l="0" t="0" r="5080" b="1905"/>
          <wp:wrapNone/>
          <wp:docPr id="129" name="Picture 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32079" cy="89916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D1A9A" w14:textId="2C9DF7ED" w:rsidR="00B51E6F" w:rsidRDefault="00B51E6F" w:rsidP="00770BB9">
    <w:pPr>
      <w:pStyle w:val="Header"/>
      <w:jc w:val="cent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E8ECD" w14:textId="77777777" w:rsidR="00B51E6F" w:rsidRDefault="00B51E6F">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93AE0" w14:textId="68F8B05E" w:rsidR="00B51E6F" w:rsidRDefault="00B51E6F" w:rsidP="00A40DDC">
    <w:pPr>
      <w:pStyle w:val="Heade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858CF" w14:textId="7ACCE06F" w:rsidR="00B51E6F" w:rsidRDefault="00B51E6F" w:rsidP="00A40DDC">
    <w:pPr>
      <w:pStyle w:val="Header"/>
      <w:jc w:val="cent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0AC29" w14:textId="45071325" w:rsidR="00B51E6F" w:rsidRDefault="00B51E6F" w:rsidP="00A40DDC">
    <w:pPr>
      <w:pStyle w:val="Header"/>
      <w:jc w:val="center"/>
    </w:pPr>
    <w:r>
      <w:rPr>
        <w:noProof/>
        <w:lang w:val="en-AU" w:eastAsia="en-AU"/>
      </w:rPr>
      <w:drawing>
        <wp:anchor distT="0" distB="0" distL="114300" distR="114300" simplePos="0" relativeHeight="251665408" behindDoc="1" locked="0" layoutInCell="1" allowOverlap="1" wp14:anchorId="718FD061" wp14:editId="640699D8">
          <wp:simplePos x="0" y="0"/>
          <wp:positionH relativeFrom="column">
            <wp:posOffset>-720090</wp:posOffset>
          </wp:positionH>
          <wp:positionV relativeFrom="paragraph">
            <wp:posOffset>-450215</wp:posOffset>
          </wp:positionV>
          <wp:extent cx="6361043" cy="9032731"/>
          <wp:effectExtent l="0" t="0" r="1905" b="0"/>
          <wp:wrapNone/>
          <wp:docPr id="130" name="Picture 1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6034" cy="9068218"/>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00396" w14:textId="7FFA1B27" w:rsidR="00B51E6F" w:rsidRDefault="00B51E6F" w:rsidP="00A40DDC">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09524" w14:textId="20733D70" w:rsidR="00B51E6F" w:rsidRDefault="00B51E6F" w:rsidP="00770BB9">
    <w:pPr>
      <w:pStyle w:val="Header"/>
      <w:jc w:val="cent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9C5FF" w14:textId="551C384E" w:rsidR="00B51E6F" w:rsidRDefault="00B51E6F" w:rsidP="00A40DDC">
    <w:pPr>
      <w:pStyle w:val="Header"/>
      <w:jc w:val="center"/>
    </w:pPr>
    <w:r>
      <w:rPr>
        <w:noProof/>
        <w:lang w:val="en-AU" w:eastAsia="en-AU"/>
      </w:rPr>
      <w:drawing>
        <wp:anchor distT="0" distB="0" distL="114300" distR="114300" simplePos="0" relativeHeight="251666432" behindDoc="1" locked="0" layoutInCell="1" allowOverlap="1" wp14:anchorId="0C0A751C" wp14:editId="44D9ABDA">
          <wp:simplePos x="0" y="0"/>
          <wp:positionH relativeFrom="column">
            <wp:posOffset>-720090</wp:posOffset>
          </wp:positionH>
          <wp:positionV relativeFrom="paragraph">
            <wp:posOffset>-450215</wp:posOffset>
          </wp:positionV>
          <wp:extent cx="6338170" cy="9007522"/>
          <wp:effectExtent l="0" t="0" r="5715" b="3175"/>
          <wp:wrapNone/>
          <wp:docPr id="131" name="Picture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50744" cy="9025392"/>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2BAD8" w14:textId="55D2C167" w:rsidR="00B51E6F" w:rsidRDefault="00B51E6F" w:rsidP="00A40DDC">
    <w:pPr>
      <w:pStyle w:val="Heade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E33F1" w14:textId="660A3EDD" w:rsidR="00B51E6F" w:rsidRDefault="00B51E6F" w:rsidP="00A40DDC">
    <w:pPr>
      <w:pStyle w:val="Heade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7AAA1" w14:textId="77777777" w:rsidR="00B51E6F" w:rsidRDefault="00B51E6F">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03FFA" w14:textId="5E34C100" w:rsidR="00B51E6F" w:rsidRDefault="00B51E6F" w:rsidP="00A40DDC">
    <w:pPr>
      <w:pStyle w:val="Heade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1CA31" w14:textId="0C284266" w:rsidR="00B51E6F" w:rsidRDefault="00B51E6F" w:rsidP="00A40DDC">
    <w:pPr>
      <w:pStyle w:val="Header"/>
      <w:jc w:val="center"/>
    </w:pPr>
    <w:r>
      <w:rPr>
        <w:noProof/>
        <w:lang w:val="en-AU" w:eastAsia="en-AU"/>
      </w:rPr>
      <w:drawing>
        <wp:anchor distT="0" distB="0" distL="114300" distR="114300" simplePos="0" relativeHeight="251667456" behindDoc="1" locked="0" layoutInCell="1" allowOverlap="1" wp14:anchorId="2AE98C6F" wp14:editId="2468AF65">
          <wp:simplePos x="0" y="0"/>
          <wp:positionH relativeFrom="column">
            <wp:posOffset>-720090</wp:posOffset>
          </wp:positionH>
          <wp:positionV relativeFrom="paragraph">
            <wp:posOffset>-450216</wp:posOffset>
          </wp:positionV>
          <wp:extent cx="6323765" cy="8987051"/>
          <wp:effectExtent l="0" t="0" r="1270" b="5080"/>
          <wp:wrapNone/>
          <wp:docPr id="132" name="Picture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30254" cy="899627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0C1A1" w14:textId="31886BE0" w:rsidR="00B51E6F" w:rsidRDefault="00B51E6F" w:rsidP="00A40DDC">
    <w:pPr>
      <w:pStyle w:val="Header"/>
      <w:jc w:val="cent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3FEC19" w14:textId="244EA999" w:rsidR="00B51E6F" w:rsidRDefault="00B51E6F" w:rsidP="00A40DDC">
    <w:pPr>
      <w:pStyle w:val="Header"/>
      <w:jc w:val="center"/>
    </w:pPr>
    <w:r>
      <w:rPr>
        <w:noProof/>
        <w:lang w:val="en-AU" w:eastAsia="en-AU"/>
      </w:rPr>
      <w:drawing>
        <wp:anchor distT="0" distB="0" distL="114300" distR="114300" simplePos="0" relativeHeight="251669504" behindDoc="1" locked="0" layoutInCell="1" allowOverlap="1" wp14:anchorId="78CD15B7" wp14:editId="00A61EA9">
          <wp:simplePos x="0" y="0"/>
          <wp:positionH relativeFrom="column">
            <wp:posOffset>-723265</wp:posOffset>
          </wp:positionH>
          <wp:positionV relativeFrom="paragraph">
            <wp:posOffset>-450850</wp:posOffset>
          </wp:positionV>
          <wp:extent cx="6323765" cy="8987051"/>
          <wp:effectExtent l="0" t="0" r="1270" b="5080"/>
          <wp:wrapNone/>
          <wp:docPr id="133" name="Picture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30254" cy="899627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87650" w14:textId="77777777" w:rsidR="00B51E6F" w:rsidRDefault="00B51E6F">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EC035B" w14:textId="77777777" w:rsidR="00B51E6F" w:rsidRDefault="00B51E6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1A050" w14:textId="77777777" w:rsidR="009076D5" w:rsidRDefault="009076D5" w:rsidP="00770BB9">
    <w:pPr>
      <w:pStyle w:val="Heade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79D1A" w14:textId="3F03C1A8" w:rsidR="00B51E6F" w:rsidRDefault="00B51E6F" w:rsidP="00A40DDC">
    <w:pPr>
      <w:pStyle w:val="Heade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D53EF" w14:textId="26F8ACD6" w:rsidR="00B51E6F" w:rsidRDefault="00B51E6F" w:rsidP="00A40DDC">
    <w:pPr>
      <w:pStyle w:val="Header"/>
      <w:jc w:val="center"/>
    </w:pPr>
    <w:r>
      <w:rPr>
        <w:noProof/>
        <w:lang w:val="en-AU" w:eastAsia="en-AU"/>
      </w:rPr>
      <w:drawing>
        <wp:anchor distT="0" distB="0" distL="114300" distR="114300" simplePos="0" relativeHeight="251670528" behindDoc="1" locked="0" layoutInCell="1" allowOverlap="1" wp14:anchorId="7B7460FB" wp14:editId="04F0BB5B">
          <wp:simplePos x="0" y="0"/>
          <wp:positionH relativeFrom="column">
            <wp:posOffset>-720091</wp:posOffset>
          </wp:positionH>
          <wp:positionV relativeFrom="paragraph">
            <wp:posOffset>-450215</wp:posOffset>
          </wp:positionV>
          <wp:extent cx="6334125" cy="8983613"/>
          <wp:effectExtent l="0" t="0" r="0" b="8255"/>
          <wp:wrapNone/>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44928" cy="8998934"/>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7829D" w14:textId="367D33D3" w:rsidR="00B51E6F" w:rsidRPr="00B578E9" w:rsidRDefault="00B51E6F" w:rsidP="00B578E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EBD41" w14:textId="43905BB1" w:rsidR="00B51E6F" w:rsidRDefault="00B51E6F">
    <w:pPr>
      <w:pStyle w:val="Header"/>
    </w:pPr>
    <w:r>
      <w:rPr>
        <w:noProof/>
        <w:lang w:val="en-AU" w:eastAsia="en-AU"/>
      </w:rPr>
      <w:drawing>
        <wp:anchor distT="0" distB="0" distL="114300" distR="114300" simplePos="0" relativeHeight="251659264" behindDoc="1" locked="0" layoutInCell="1" allowOverlap="1" wp14:anchorId="1035E1ED" wp14:editId="79E10A24">
          <wp:simplePos x="0" y="0"/>
          <wp:positionH relativeFrom="column">
            <wp:posOffset>-720090</wp:posOffset>
          </wp:positionH>
          <wp:positionV relativeFrom="paragraph">
            <wp:posOffset>-450216</wp:posOffset>
          </wp:positionV>
          <wp:extent cx="6329548" cy="8987055"/>
          <wp:effectExtent l="0" t="0" r="0" b="5080"/>
          <wp:wrapNone/>
          <wp:docPr id="79" name="Picture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46362" cy="9010929"/>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2D543" w14:textId="2E59EC17" w:rsidR="00B51E6F" w:rsidRDefault="00B51E6F" w:rsidP="00770BB9">
    <w:pPr>
      <w:pStyle w:val="Heade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2AE06" w14:textId="4FA49AD1" w:rsidR="00B51E6F" w:rsidRPr="00F934E5" w:rsidRDefault="00B51E6F" w:rsidP="00F934E5">
    <w:pPr>
      <w:pStyle w:val="Header"/>
    </w:pPr>
    <w:r>
      <w:rPr>
        <w:noProof/>
        <w:lang w:val="en-AU" w:eastAsia="en-AU"/>
      </w:rPr>
      <w:drawing>
        <wp:anchor distT="0" distB="0" distL="114300" distR="114300" simplePos="0" relativeHeight="251660288" behindDoc="1" locked="0" layoutInCell="1" allowOverlap="1" wp14:anchorId="0E03E33D" wp14:editId="308CBF91">
          <wp:simplePos x="0" y="0"/>
          <wp:positionH relativeFrom="column">
            <wp:posOffset>-720090</wp:posOffset>
          </wp:positionH>
          <wp:positionV relativeFrom="paragraph">
            <wp:posOffset>-450216</wp:posOffset>
          </wp:positionV>
          <wp:extent cx="6362700" cy="9036519"/>
          <wp:effectExtent l="0" t="0" r="0" b="0"/>
          <wp:wrapNone/>
          <wp:docPr id="80" name="Picture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7652" cy="904355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D51E0F" w14:textId="4EBF0CB9" w:rsidR="00B51E6F" w:rsidRDefault="00B51E6F" w:rsidP="00770BB9">
    <w:pPr>
      <w:pStyle w:val="Header"/>
      <w:jc w:val="cent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799DB" w14:textId="77777777" w:rsidR="00B51E6F" w:rsidRDefault="00B51E6F">
    <w:pPr>
      <w:pStyle w:val="Header"/>
    </w:pPr>
    <w:r>
      <w:rPr>
        <w:noProof/>
        <w:lang w:val="en-AU" w:eastAsia="en-AU"/>
      </w:rPr>
      <w:drawing>
        <wp:anchor distT="0" distB="0" distL="114300" distR="114300" simplePos="0" relativeHeight="251662336" behindDoc="0" locked="0" layoutInCell="1" allowOverlap="1" wp14:anchorId="0F628526" wp14:editId="519ABED2">
          <wp:simplePos x="0" y="0"/>
          <wp:positionH relativeFrom="column">
            <wp:posOffset>-914078</wp:posOffset>
          </wp:positionH>
          <wp:positionV relativeFrom="paragraph">
            <wp:posOffset>-467418</wp:posOffset>
          </wp:positionV>
          <wp:extent cx="6352209" cy="9020921"/>
          <wp:effectExtent l="0" t="0" r="0" b="8890"/>
          <wp:wrapNone/>
          <wp:docPr id="81" name="Pictur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6507" cy="904122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C6013B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C292FC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6DC08E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624DA2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0F249C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050229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A7C427C"/>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7F886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388C8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B8A037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F1B06F4"/>
    <w:multiLevelType w:val="hybridMultilevel"/>
    <w:tmpl w:val="172C6B4E"/>
    <w:lvl w:ilvl="0" w:tplc="0B86933E">
      <w:start w:val="1"/>
      <w:numFmt w:val="decimal"/>
      <w:pStyle w:val="NumberListNoIndent"/>
      <w:lvlText w:val="%1."/>
      <w:lvlJc w:val="left"/>
      <w:pPr>
        <w:ind w:left="360" w:hanging="360"/>
      </w:pPr>
      <w:rPr>
        <w:rFonts w:hint="default"/>
        <w:u w:color="7EC352" w:themeColor="accent2"/>
      </w:rPr>
    </w:lvl>
    <w:lvl w:ilvl="1" w:tplc="3D84644E">
      <w:numFmt w:val="bullet"/>
      <w:lvlText w:val=""/>
      <w:lvlJc w:val="left"/>
      <w:pPr>
        <w:ind w:left="1687" w:hanging="720"/>
      </w:pPr>
      <w:rPr>
        <w:rFonts w:ascii="Symbol" w:eastAsiaTheme="minorHAnsi" w:hAnsi="Symbol" w:cstheme="minorBidi" w:hint="default"/>
      </w:rPr>
    </w:lvl>
    <w:lvl w:ilvl="2" w:tplc="34090005" w:tentative="1">
      <w:start w:val="1"/>
      <w:numFmt w:val="bullet"/>
      <w:lvlText w:val=""/>
      <w:lvlJc w:val="left"/>
      <w:pPr>
        <w:ind w:left="2047" w:hanging="360"/>
      </w:pPr>
      <w:rPr>
        <w:rFonts w:ascii="Wingdings" w:hAnsi="Wingdings" w:hint="default"/>
      </w:rPr>
    </w:lvl>
    <w:lvl w:ilvl="3" w:tplc="34090001" w:tentative="1">
      <w:start w:val="1"/>
      <w:numFmt w:val="bullet"/>
      <w:lvlText w:val=""/>
      <w:lvlJc w:val="left"/>
      <w:pPr>
        <w:ind w:left="2767" w:hanging="360"/>
      </w:pPr>
      <w:rPr>
        <w:rFonts w:ascii="Symbol" w:hAnsi="Symbol" w:hint="default"/>
      </w:rPr>
    </w:lvl>
    <w:lvl w:ilvl="4" w:tplc="34090003" w:tentative="1">
      <w:start w:val="1"/>
      <w:numFmt w:val="bullet"/>
      <w:lvlText w:val="o"/>
      <w:lvlJc w:val="left"/>
      <w:pPr>
        <w:ind w:left="3487" w:hanging="360"/>
      </w:pPr>
      <w:rPr>
        <w:rFonts w:ascii="Courier New" w:hAnsi="Courier New" w:cs="Courier New" w:hint="default"/>
      </w:rPr>
    </w:lvl>
    <w:lvl w:ilvl="5" w:tplc="34090005" w:tentative="1">
      <w:start w:val="1"/>
      <w:numFmt w:val="bullet"/>
      <w:lvlText w:val=""/>
      <w:lvlJc w:val="left"/>
      <w:pPr>
        <w:ind w:left="4207" w:hanging="360"/>
      </w:pPr>
      <w:rPr>
        <w:rFonts w:ascii="Wingdings" w:hAnsi="Wingdings" w:hint="default"/>
      </w:rPr>
    </w:lvl>
    <w:lvl w:ilvl="6" w:tplc="34090001" w:tentative="1">
      <w:start w:val="1"/>
      <w:numFmt w:val="bullet"/>
      <w:lvlText w:val=""/>
      <w:lvlJc w:val="left"/>
      <w:pPr>
        <w:ind w:left="4927" w:hanging="360"/>
      </w:pPr>
      <w:rPr>
        <w:rFonts w:ascii="Symbol" w:hAnsi="Symbol" w:hint="default"/>
      </w:rPr>
    </w:lvl>
    <w:lvl w:ilvl="7" w:tplc="34090003" w:tentative="1">
      <w:start w:val="1"/>
      <w:numFmt w:val="bullet"/>
      <w:lvlText w:val="o"/>
      <w:lvlJc w:val="left"/>
      <w:pPr>
        <w:ind w:left="5647" w:hanging="360"/>
      </w:pPr>
      <w:rPr>
        <w:rFonts w:ascii="Courier New" w:hAnsi="Courier New" w:cs="Courier New" w:hint="default"/>
      </w:rPr>
    </w:lvl>
    <w:lvl w:ilvl="8" w:tplc="34090005" w:tentative="1">
      <w:start w:val="1"/>
      <w:numFmt w:val="bullet"/>
      <w:lvlText w:val=""/>
      <w:lvlJc w:val="left"/>
      <w:pPr>
        <w:ind w:left="6367" w:hanging="360"/>
      </w:pPr>
      <w:rPr>
        <w:rFonts w:ascii="Wingdings" w:hAnsi="Wingdings" w:hint="default"/>
      </w:rPr>
    </w:lvl>
  </w:abstractNum>
  <w:abstractNum w:abstractNumId="11" w15:restartNumberingAfterBreak="0">
    <w:nsid w:val="3E307475"/>
    <w:multiLevelType w:val="hybridMultilevel"/>
    <w:tmpl w:val="5B6C948A"/>
    <w:lvl w:ilvl="0" w:tplc="0B8EC5A0">
      <w:start w:val="1"/>
      <w:numFmt w:val="decimal"/>
      <w:pStyle w:val="TOCHeader"/>
      <w:lvlText w:val="%1"/>
      <w:lvlJc w:val="left"/>
      <w:pPr>
        <w:ind w:left="360" w:hanging="360"/>
      </w:pPr>
      <w:rPr>
        <w:rFonts w:hint="default"/>
      </w:rPr>
    </w:lvl>
    <w:lvl w:ilvl="1" w:tplc="34090019" w:tentative="1">
      <w:start w:val="1"/>
      <w:numFmt w:val="lowerLetter"/>
      <w:lvlText w:val="%2."/>
      <w:lvlJc w:val="left"/>
      <w:pPr>
        <w:ind w:left="1080" w:hanging="360"/>
      </w:pPr>
    </w:lvl>
    <w:lvl w:ilvl="2" w:tplc="3409001B" w:tentative="1">
      <w:start w:val="1"/>
      <w:numFmt w:val="lowerRoman"/>
      <w:lvlText w:val="%3."/>
      <w:lvlJc w:val="right"/>
      <w:pPr>
        <w:ind w:left="1800" w:hanging="180"/>
      </w:pPr>
    </w:lvl>
    <w:lvl w:ilvl="3" w:tplc="3409000F" w:tentative="1">
      <w:start w:val="1"/>
      <w:numFmt w:val="decimal"/>
      <w:lvlText w:val="%4."/>
      <w:lvlJc w:val="left"/>
      <w:pPr>
        <w:ind w:left="2520" w:hanging="360"/>
      </w:pPr>
    </w:lvl>
    <w:lvl w:ilvl="4" w:tplc="34090019" w:tentative="1">
      <w:start w:val="1"/>
      <w:numFmt w:val="lowerLetter"/>
      <w:lvlText w:val="%5."/>
      <w:lvlJc w:val="left"/>
      <w:pPr>
        <w:ind w:left="3240" w:hanging="360"/>
      </w:pPr>
    </w:lvl>
    <w:lvl w:ilvl="5" w:tplc="3409001B" w:tentative="1">
      <w:start w:val="1"/>
      <w:numFmt w:val="lowerRoman"/>
      <w:lvlText w:val="%6."/>
      <w:lvlJc w:val="right"/>
      <w:pPr>
        <w:ind w:left="3960" w:hanging="180"/>
      </w:pPr>
    </w:lvl>
    <w:lvl w:ilvl="6" w:tplc="3409000F" w:tentative="1">
      <w:start w:val="1"/>
      <w:numFmt w:val="decimal"/>
      <w:lvlText w:val="%7."/>
      <w:lvlJc w:val="left"/>
      <w:pPr>
        <w:ind w:left="4680" w:hanging="360"/>
      </w:pPr>
    </w:lvl>
    <w:lvl w:ilvl="7" w:tplc="34090019" w:tentative="1">
      <w:start w:val="1"/>
      <w:numFmt w:val="lowerLetter"/>
      <w:lvlText w:val="%8."/>
      <w:lvlJc w:val="left"/>
      <w:pPr>
        <w:ind w:left="5400" w:hanging="360"/>
      </w:pPr>
    </w:lvl>
    <w:lvl w:ilvl="8" w:tplc="3409001B" w:tentative="1">
      <w:start w:val="1"/>
      <w:numFmt w:val="lowerRoman"/>
      <w:lvlText w:val="%9."/>
      <w:lvlJc w:val="right"/>
      <w:pPr>
        <w:ind w:left="6120" w:hanging="180"/>
      </w:pPr>
    </w:lvl>
  </w:abstractNum>
  <w:abstractNum w:abstractNumId="12" w15:restartNumberingAfterBreak="0">
    <w:nsid w:val="5AE00E06"/>
    <w:multiLevelType w:val="hybridMultilevel"/>
    <w:tmpl w:val="2446E4B8"/>
    <w:lvl w:ilvl="0" w:tplc="E82EE748">
      <w:start w:val="1"/>
      <w:numFmt w:val="lowerLetter"/>
      <w:pStyle w:val="AlphabetListL2"/>
      <w:lvlText w:val="%1."/>
      <w:lvlJc w:val="left"/>
      <w:pPr>
        <w:ind w:left="720" w:hanging="360"/>
      </w:pPr>
      <w:rPr>
        <w:rFonts w:hint="default"/>
        <w:u w:color="7EC352" w:themeColor="accent2"/>
      </w:rPr>
    </w:lvl>
    <w:lvl w:ilvl="1" w:tplc="3D84644E">
      <w:numFmt w:val="bullet"/>
      <w:lvlText w:val=""/>
      <w:lvlJc w:val="left"/>
      <w:pPr>
        <w:ind w:left="2047" w:hanging="720"/>
      </w:pPr>
      <w:rPr>
        <w:rFonts w:ascii="Symbol" w:eastAsiaTheme="minorHAnsi" w:hAnsi="Symbol" w:cstheme="minorBidi" w:hint="default"/>
      </w:rPr>
    </w:lvl>
    <w:lvl w:ilvl="2" w:tplc="34090005" w:tentative="1">
      <w:start w:val="1"/>
      <w:numFmt w:val="bullet"/>
      <w:lvlText w:val=""/>
      <w:lvlJc w:val="left"/>
      <w:pPr>
        <w:ind w:left="2407" w:hanging="360"/>
      </w:pPr>
      <w:rPr>
        <w:rFonts w:ascii="Wingdings" w:hAnsi="Wingdings" w:hint="default"/>
      </w:rPr>
    </w:lvl>
    <w:lvl w:ilvl="3" w:tplc="34090001" w:tentative="1">
      <w:start w:val="1"/>
      <w:numFmt w:val="bullet"/>
      <w:lvlText w:val=""/>
      <w:lvlJc w:val="left"/>
      <w:pPr>
        <w:ind w:left="3127" w:hanging="360"/>
      </w:pPr>
      <w:rPr>
        <w:rFonts w:ascii="Symbol" w:hAnsi="Symbol" w:hint="default"/>
      </w:rPr>
    </w:lvl>
    <w:lvl w:ilvl="4" w:tplc="34090003" w:tentative="1">
      <w:start w:val="1"/>
      <w:numFmt w:val="bullet"/>
      <w:lvlText w:val="o"/>
      <w:lvlJc w:val="left"/>
      <w:pPr>
        <w:ind w:left="3847" w:hanging="360"/>
      </w:pPr>
      <w:rPr>
        <w:rFonts w:ascii="Courier New" w:hAnsi="Courier New" w:cs="Courier New" w:hint="default"/>
      </w:rPr>
    </w:lvl>
    <w:lvl w:ilvl="5" w:tplc="34090005" w:tentative="1">
      <w:start w:val="1"/>
      <w:numFmt w:val="bullet"/>
      <w:lvlText w:val=""/>
      <w:lvlJc w:val="left"/>
      <w:pPr>
        <w:ind w:left="4567" w:hanging="360"/>
      </w:pPr>
      <w:rPr>
        <w:rFonts w:ascii="Wingdings" w:hAnsi="Wingdings" w:hint="default"/>
      </w:rPr>
    </w:lvl>
    <w:lvl w:ilvl="6" w:tplc="34090001" w:tentative="1">
      <w:start w:val="1"/>
      <w:numFmt w:val="bullet"/>
      <w:lvlText w:val=""/>
      <w:lvlJc w:val="left"/>
      <w:pPr>
        <w:ind w:left="5287" w:hanging="360"/>
      </w:pPr>
      <w:rPr>
        <w:rFonts w:ascii="Symbol" w:hAnsi="Symbol" w:hint="default"/>
      </w:rPr>
    </w:lvl>
    <w:lvl w:ilvl="7" w:tplc="34090003" w:tentative="1">
      <w:start w:val="1"/>
      <w:numFmt w:val="bullet"/>
      <w:lvlText w:val="o"/>
      <w:lvlJc w:val="left"/>
      <w:pPr>
        <w:ind w:left="6007" w:hanging="360"/>
      </w:pPr>
      <w:rPr>
        <w:rFonts w:ascii="Courier New" w:hAnsi="Courier New" w:cs="Courier New" w:hint="default"/>
      </w:rPr>
    </w:lvl>
    <w:lvl w:ilvl="8" w:tplc="34090005" w:tentative="1">
      <w:start w:val="1"/>
      <w:numFmt w:val="bullet"/>
      <w:lvlText w:val=""/>
      <w:lvlJc w:val="left"/>
      <w:pPr>
        <w:ind w:left="6727" w:hanging="360"/>
      </w:pPr>
      <w:rPr>
        <w:rFonts w:ascii="Wingdings" w:hAnsi="Wingdings" w:hint="default"/>
      </w:rPr>
    </w:lvl>
  </w:abstractNum>
  <w:abstractNum w:abstractNumId="13" w15:restartNumberingAfterBreak="0">
    <w:nsid w:val="60B12A6F"/>
    <w:multiLevelType w:val="hybridMultilevel"/>
    <w:tmpl w:val="36247864"/>
    <w:lvl w:ilvl="0" w:tplc="1FD80DB2">
      <w:start w:val="1"/>
      <w:numFmt w:val="decimal"/>
      <w:pStyle w:val="ListNumberedlvl1"/>
      <w:lvlText w:val="%1."/>
      <w:lvlJc w:val="left"/>
      <w:pPr>
        <w:ind w:left="720" w:hanging="360"/>
      </w:pPr>
      <w:rPr>
        <w:rFonts w:hint="default"/>
        <w:b w:val="0"/>
      </w:rPr>
    </w:lvl>
    <w:lvl w:ilvl="1" w:tplc="3A2880FA">
      <w:start w:val="1"/>
      <w:numFmt w:val="lowerLetter"/>
      <w:lvlText w:val="%2."/>
      <w:lvlJc w:val="left"/>
      <w:pPr>
        <w:ind w:left="1440" w:hanging="360"/>
      </w:pPr>
    </w:lvl>
    <w:lvl w:ilvl="2" w:tplc="37844A7E">
      <w:start w:val="1"/>
      <w:numFmt w:val="lowerRoman"/>
      <w:lvlText w:val="%3."/>
      <w:lvlJc w:val="right"/>
      <w:pPr>
        <w:ind w:left="2160" w:hanging="180"/>
      </w:pPr>
    </w:lvl>
    <w:lvl w:ilvl="3" w:tplc="87264702">
      <w:start w:val="1"/>
      <w:numFmt w:val="decimal"/>
      <w:lvlText w:val="%4."/>
      <w:lvlJc w:val="left"/>
      <w:pPr>
        <w:ind w:left="2880" w:hanging="360"/>
      </w:pPr>
    </w:lvl>
    <w:lvl w:ilvl="4" w:tplc="C7DE4C48">
      <w:start w:val="1"/>
      <w:numFmt w:val="lowerLetter"/>
      <w:lvlText w:val="%5."/>
      <w:lvlJc w:val="left"/>
      <w:pPr>
        <w:ind w:left="3600" w:hanging="360"/>
      </w:pPr>
    </w:lvl>
    <w:lvl w:ilvl="5" w:tplc="571AF820">
      <w:start w:val="1"/>
      <w:numFmt w:val="lowerRoman"/>
      <w:lvlText w:val="%6."/>
      <w:lvlJc w:val="right"/>
      <w:pPr>
        <w:ind w:left="4320" w:hanging="180"/>
      </w:pPr>
    </w:lvl>
    <w:lvl w:ilvl="6" w:tplc="E7568C1E">
      <w:start w:val="1"/>
      <w:numFmt w:val="decimal"/>
      <w:lvlText w:val="%7."/>
      <w:lvlJc w:val="left"/>
      <w:pPr>
        <w:ind w:left="5040" w:hanging="360"/>
      </w:pPr>
    </w:lvl>
    <w:lvl w:ilvl="7" w:tplc="CF44FDAA">
      <w:start w:val="1"/>
      <w:numFmt w:val="lowerLetter"/>
      <w:lvlText w:val="%8."/>
      <w:lvlJc w:val="left"/>
      <w:pPr>
        <w:ind w:left="5760" w:hanging="360"/>
      </w:pPr>
    </w:lvl>
    <w:lvl w:ilvl="8" w:tplc="B8BA5F62">
      <w:start w:val="1"/>
      <w:numFmt w:val="lowerRoman"/>
      <w:lvlText w:val="%9."/>
      <w:lvlJc w:val="right"/>
      <w:pPr>
        <w:ind w:left="6480" w:hanging="180"/>
      </w:pPr>
    </w:lvl>
  </w:abstractNum>
  <w:abstractNum w:abstractNumId="14" w15:restartNumberingAfterBreak="0">
    <w:nsid w:val="68E615B0"/>
    <w:multiLevelType w:val="hybridMultilevel"/>
    <w:tmpl w:val="9EB61954"/>
    <w:lvl w:ilvl="0" w:tplc="E2AEF0BE">
      <w:start w:val="1"/>
      <w:numFmt w:val="bullet"/>
      <w:pStyle w:val="Bullets"/>
      <w:lvlText w:val="–"/>
      <w:lvlJc w:val="left"/>
      <w:pPr>
        <w:ind w:left="473" w:hanging="360"/>
      </w:pPr>
      <w:rPr>
        <w:rFonts w:ascii="Gotham Book" w:hAnsi="Gotham Book" w:hint="default"/>
        <w:u w:color="7EC352" w:themeColor="accent2"/>
      </w:rPr>
    </w:lvl>
    <w:lvl w:ilvl="1" w:tplc="F050C200">
      <w:numFmt w:val="bullet"/>
      <w:pStyle w:val="BulletsL2"/>
      <w:lvlText w:val=""/>
      <w:lvlJc w:val="left"/>
      <w:pPr>
        <w:ind w:left="1800" w:hanging="720"/>
      </w:pPr>
      <w:rPr>
        <w:rFonts w:ascii="Symbol" w:eastAsiaTheme="minorHAnsi" w:hAnsi="Symbol" w:cstheme="minorBidi"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num w:numId="1">
    <w:abstractNumId w:val="14"/>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0"/>
  </w:num>
  <w:num w:numId="13">
    <w:abstractNumId w:val="13"/>
  </w:num>
  <w:num w:numId="14">
    <w:abstractNumId w:val="12"/>
  </w:num>
  <w:num w:numId="15">
    <w:abstractNumId w:val="12"/>
    <w:lvlOverride w:ilvl="0">
      <w:startOverride w:val="1"/>
    </w:lvlOverride>
  </w:num>
  <w:num w:numId="16">
    <w:abstractNumId w:val="12"/>
    <w:lvlOverride w:ilvl="0">
      <w:startOverride w:val="1"/>
    </w:lvlOverride>
  </w:num>
  <w:num w:numId="17">
    <w:abstractNumId w:val="12"/>
    <w:lvlOverride w:ilvl="0">
      <w:startOverride w:val="1"/>
    </w:lvlOverride>
  </w:num>
  <w:num w:numId="18">
    <w:abstractNumId w:val="12"/>
    <w:lvlOverride w:ilvl="0">
      <w:startOverride w:val="1"/>
    </w:lvlOverride>
  </w:num>
  <w:num w:numId="19">
    <w:abstractNumId w:val="11"/>
  </w:num>
  <w:num w:numId="20">
    <w:abstractNumId w:val="10"/>
    <w:lvlOverride w:ilvl="0">
      <w:startOverride w:val="3"/>
    </w:lvlOverride>
  </w:num>
  <w:num w:numId="21">
    <w:abstractNumId w:val="10"/>
    <w:lvlOverride w:ilvl="0">
      <w:startOverride w:val="4"/>
    </w:lvlOverride>
  </w:num>
  <w:num w:numId="22">
    <w:abstractNumId w:val="10"/>
    <w:lvlOverride w:ilvl="0">
      <w:startOverride w:val="1"/>
    </w:lvlOverride>
  </w:num>
  <w:num w:numId="23">
    <w:abstractNumId w:val="10"/>
  </w:num>
  <w:num w:numId="24">
    <w:abstractNumId w:val="10"/>
    <w:lvlOverride w:ilvl="0">
      <w:startOverride w:val="1"/>
    </w:lvlOverride>
  </w:num>
  <w:num w:numId="25">
    <w:abstractNumId w:val="10"/>
    <w:lvlOverride w:ilvl="0">
      <w:startOverride w:val="1"/>
    </w:lvlOverride>
  </w:num>
  <w:num w:numId="26">
    <w:abstractNumId w:val="10"/>
    <w:lvlOverride w:ilvl="0">
      <w:startOverride w:val="1"/>
    </w:lvlOverride>
  </w:num>
  <w:num w:numId="27">
    <w:abstractNumId w:val="10"/>
    <w:lvlOverride w:ilvl="0">
      <w:startOverride w:val="1"/>
    </w:lvlOverride>
  </w:num>
  <w:num w:numId="28">
    <w:abstractNumId w:val="10"/>
    <w:lvlOverride w:ilvl="0">
      <w:startOverride w:val="1"/>
    </w:lvlOverride>
  </w:num>
  <w:num w:numId="29">
    <w:abstractNumId w:val="12"/>
    <w:lvlOverride w:ilvl="0">
      <w:startOverride w:val="1"/>
    </w:lvlOverride>
  </w:num>
  <w:num w:numId="30">
    <w:abstractNumId w:val="12"/>
    <w:lvlOverride w:ilvl="0">
      <w:startOverride w:val="1"/>
    </w:lvlOverride>
  </w:num>
  <w:num w:numId="31">
    <w:abstractNumId w:val="12"/>
    <w:lvlOverride w:ilvl="0">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embedTrueTypeFonts/>
  <w:saveSubset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25B0"/>
    <w:rsid w:val="0000226A"/>
    <w:rsid w:val="0000279E"/>
    <w:rsid w:val="00005752"/>
    <w:rsid w:val="0000608A"/>
    <w:rsid w:val="00010118"/>
    <w:rsid w:val="00010AB3"/>
    <w:rsid w:val="00010FC6"/>
    <w:rsid w:val="00011005"/>
    <w:rsid w:val="00011391"/>
    <w:rsid w:val="000123CC"/>
    <w:rsid w:val="00015447"/>
    <w:rsid w:val="000166DD"/>
    <w:rsid w:val="00016B9B"/>
    <w:rsid w:val="00021442"/>
    <w:rsid w:val="00022E20"/>
    <w:rsid w:val="00025989"/>
    <w:rsid w:val="00027408"/>
    <w:rsid w:val="00032E5D"/>
    <w:rsid w:val="00035C42"/>
    <w:rsid w:val="0004038E"/>
    <w:rsid w:val="0004289A"/>
    <w:rsid w:val="000431F3"/>
    <w:rsid w:val="00044BF3"/>
    <w:rsid w:val="00044D09"/>
    <w:rsid w:val="00046B54"/>
    <w:rsid w:val="000506AA"/>
    <w:rsid w:val="00054602"/>
    <w:rsid w:val="00060F44"/>
    <w:rsid w:val="000613FD"/>
    <w:rsid w:val="00061788"/>
    <w:rsid w:val="000622C7"/>
    <w:rsid w:val="00064783"/>
    <w:rsid w:val="000655A6"/>
    <w:rsid w:val="00065765"/>
    <w:rsid w:val="0006618A"/>
    <w:rsid w:val="00067654"/>
    <w:rsid w:val="000725B0"/>
    <w:rsid w:val="00081645"/>
    <w:rsid w:val="000826EF"/>
    <w:rsid w:val="00083784"/>
    <w:rsid w:val="0008731D"/>
    <w:rsid w:val="0009049D"/>
    <w:rsid w:val="0009119B"/>
    <w:rsid w:val="000915E2"/>
    <w:rsid w:val="0009189B"/>
    <w:rsid w:val="000927A3"/>
    <w:rsid w:val="000928D2"/>
    <w:rsid w:val="000A1C4F"/>
    <w:rsid w:val="000A1CCA"/>
    <w:rsid w:val="000A2F5B"/>
    <w:rsid w:val="000A40F6"/>
    <w:rsid w:val="000A6316"/>
    <w:rsid w:val="000A73F3"/>
    <w:rsid w:val="000A77AD"/>
    <w:rsid w:val="000B07E9"/>
    <w:rsid w:val="000B45B5"/>
    <w:rsid w:val="000B5A91"/>
    <w:rsid w:val="000B6A9B"/>
    <w:rsid w:val="000C1832"/>
    <w:rsid w:val="000C36F9"/>
    <w:rsid w:val="000C4EC8"/>
    <w:rsid w:val="000C5C48"/>
    <w:rsid w:val="000D0E29"/>
    <w:rsid w:val="000D140D"/>
    <w:rsid w:val="000D3AC4"/>
    <w:rsid w:val="000D73AF"/>
    <w:rsid w:val="000D799B"/>
    <w:rsid w:val="000E1617"/>
    <w:rsid w:val="000E31B3"/>
    <w:rsid w:val="000E3D72"/>
    <w:rsid w:val="000E566B"/>
    <w:rsid w:val="000E7BC9"/>
    <w:rsid w:val="000E7FB0"/>
    <w:rsid w:val="000F1277"/>
    <w:rsid w:val="000F3D30"/>
    <w:rsid w:val="00100003"/>
    <w:rsid w:val="00101111"/>
    <w:rsid w:val="0010199F"/>
    <w:rsid w:val="00101AD9"/>
    <w:rsid w:val="00122EB0"/>
    <w:rsid w:val="00124B6F"/>
    <w:rsid w:val="001309DC"/>
    <w:rsid w:val="00133389"/>
    <w:rsid w:val="00134343"/>
    <w:rsid w:val="00134BDD"/>
    <w:rsid w:val="00134E66"/>
    <w:rsid w:val="00135599"/>
    <w:rsid w:val="001356C9"/>
    <w:rsid w:val="00137322"/>
    <w:rsid w:val="0014305E"/>
    <w:rsid w:val="001442DB"/>
    <w:rsid w:val="00144465"/>
    <w:rsid w:val="001450F2"/>
    <w:rsid w:val="001455BE"/>
    <w:rsid w:val="00146440"/>
    <w:rsid w:val="0014701E"/>
    <w:rsid w:val="00150D17"/>
    <w:rsid w:val="00153DC1"/>
    <w:rsid w:val="00154210"/>
    <w:rsid w:val="00155BED"/>
    <w:rsid w:val="00155D22"/>
    <w:rsid w:val="00156309"/>
    <w:rsid w:val="0015771D"/>
    <w:rsid w:val="001611CF"/>
    <w:rsid w:val="00161FEF"/>
    <w:rsid w:val="001635E4"/>
    <w:rsid w:val="001636A3"/>
    <w:rsid w:val="001659E1"/>
    <w:rsid w:val="00174179"/>
    <w:rsid w:val="00174683"/>
    <w:rsid w:val="00181E61"/>
    <w:rsid w:val="001837C4"/>
    <w:rsid w:val="00183D2D"/>
    <w:rsid w:val="0018628C"/>
    <w:rsid w:val="001907C4"/>
    <w:rsid w:val="00190C9B"/>
    <w:rsid w:val="001945A7"/>
    <w:rsid w:val="00195A89"/>
    <w:rsid w:val="001A0DC7"/>
    <w:rsid w:val="001A34FD"/>
    <w:rsid w:val="001A3BD5"/>
    <w:rsid w:val="001B4586"/>
    <w:rsid w:val="001B7E7B"/>
    <w:rsid w:val="001C00F2"/>
    <w:rsid w:val="001C049A"/>
    <w:rsid w:val="001C1474"/>
    <w:rsid w:val="001C2533"/>
    <w:rsid w:val="001C4D8A"/>
    <w:rsid w:val="001C4FAD"/>
    <w:rsid w:val="001D0531"/>
    <w:rsid w:val="001D06C8"/>
    <w:rsid w:val="001D0F68"/>
    <w:rsid w:val="001D3C99"/>
    <w:rsid w:val="001D4FF1"/>
    <w:rsid w:val="001D57D2"/>
    <w:rsid w:val="001D6773"/>
    <w:rsid w:val="001E0949"/>
    <w:rsid w:val="001E2083"/>
    <w:rsid w:val="001E2294"/>
    <w:rsid w:val="001E3BD3"/>
    <w:rsid w:val="001F0043"/>
    <w:rsid w:val="001F0F34"/>
    <w:rsid w:val="001F2DCC"/>
    <w:rsid w:val="001F52D4"/>
    <w:rsid w:val="00200763"/>
    <w:rsid w:val="002015FA"/>
    <w:rsid w:val="002031C3"/>
    <w:rsid w:val="002036F9"/>
    <w:rsid w:val="00203ABC"/>
    <w:rsid w:val="00220A32"/>
    <w:rsid w:val="00222987"/>
    <w:rsid w:val="002264AD"/>
    <w:rsid w:val="00230A2B"/>
    <w:rsid w:val="00230D96"/>
    <w:rsid w:val="00232FE3"/>
    <w:rsid w:val="00235D7B"/>
    <w:rsid w:val="002377A1"/>
    <w:rsid w:val="00240D19"/>
    <w:rsid w:val="00241765"/>
    <w:rsid w:val="00242842"/>
    <w:rsid w:val="00245B3E"/>
    <w:rsid w:val="00245DB9"/>
    <w:rsid w:val="00251AC1"/>
    <w:rsid w:val="00252245"/>
    <w:rsid w:val="00254D78"/>
    <w:rsid w:val="0025629F"/>
    <w:rsid w:val="00260CA9"/>
    <w:rsid w:val="002613B5"/>
    <w:rsid w:val="00267E1C"/>
    <w:rsid w:val="002708DD"/>
    <w:rsid w:val="002716A2"/>
    <w:rsid w:val="00273118"/>
    <w:rsid w:val="00274B4F"/>
    <w:rsid w:val="00280440"/>
    <w:rsid w:val="0028126D"/>
    <w:rsid w:val="0028582D"/>
    <w:rsid w:val="00285DF7"/>
    <w:rsid w:val="00290D0A"/>
    <w:rsid w:val="00290F4A"/>
    <w:rsid w:val="002914EE"/>
    <w:rsid w:val="002924F2"/>
    <w:rsid w:val="00295E25"/>
    <w:rsid w:val="0029672B"/>
    <w:rsid w:val="002A21FB"/>
    <w:rsid w:val="002A4162"/>
    <w:rsid w:val="002A4F53"/>
    <w:rsid w:val="002A604B"/>
    <w:rsid w:val="002A6644"/>
    <w:rsid w:val="002A69C2"/>
    <w:rsid w:val="002A6CC9"/>
    <w:rsid w:val="002A7134"/>
    <w:rsid w:val="002B0F0E"/>
    <w:rsid w:val="002B187A"/>
    <w:rsid w:val="002B1F28"/>
    <w:rsid w:val="002B4037"/>
    <w:rsid w:val="002C254A"/>
    <w:rsid w:val="002C5B2C"/>
    <w:rsid w:val="002C779C"/>
    <w:rsid w:val="002D002B"/>
    <w:rsid w:val="002D76B6"/>
    <w:rsid w:val="002D7EA2"/>
    <w:rsid w:val="002E08CC"/>
    <w:rsid w:val="002E2413"/>
    <w:rsid w:val="002E3286"/>
    <w:rsid w:val="002E680E"/>
    <w:rsid w:val="002F0F36"/>
    <w:rsid w:val="002F5E91"/>
    <w:rsid w:val="002F66A4"/>
    <w:rsid w:val="00300754"/>
    <w:rsid w:val="00301EE3"/>
    <w:rsid w:val="003044B4"/>
    <w:rsid w:val="003074BC"/>
    <w:rsid w:val="003075D4"/>
    <w:rsid w:val="003079E3"/>
    <w:rsid w:val="00310719"/>
    <w:rsid w:val="00313219"/>
    <w:rsid w:val="0031408C"/>
    <w:rsid w:val="00314AED"/>
    <w:rsid w:val="003164DA"/>
    <w:rsid w:val="00316E60"/>
    <w:rsid w:val="00317F01"/>
    <w:rsid w:val="003205CB"/>
    <w:rsid w:val="00320DBC"/>
    <w:rsid w:val="00321E86"/>
    <w:rsid w:val="003252C4"/>
    <w:rsid w:val="00327299"/>
    <w:rsid w:val="00334B62"/>
    <w:rsid w:val="00334DD5"/>
    <w:rsid w:val="003361D1"/>
    <w:rsid w:val="00336661"/>
    <w:rsid w:val="00337F26"/>
    <w:rsid w:val="00340771"/>
    <w:rsid w:val="003415CA"/>
    <w:rsid w:val="00343C77"/>
    <w:rsid w:val="00343FFD"/>
    <w:rsid w:val="00344225"/>
    <w:rsid w:val="0035446D"/>
    <w:rsid w:val="003555F9"/>
    <w:rsid w:val="00355BDB"/>
    <w:rsid w:val="003636AD"/>
    <w:rsid w:val="00363F98"/>
    <w:rsid w:val="003663C0"/>
    <w:rsid w:val="00366734"/>
    <w:rsid w:val="00370A8D"/>
    <w:rsid w:val="00371315"/>
    <w:rsid w:val="00371EAC"/>
    <w:rsid w:val="0037308D"/>
    <w:rsid w:val="00375B9F"/>
    <w:rsid w:val="00381206"/>
    <w:rsid w:val="00382DA2"/>
    <w:rsid w:val="00383D8E"/>
    <w:rsid w:val="00386610"/>
    <w:rsid w:val="00386C88"/>
    <w:rsid w:val="003904B7"/>
    <w:rsid w:val="00390694"/>
    <w:rsid w:val="00392F85"/>
    <w:rsid w:val="00394784"/>
    <w:rsid w:val="00395000"/>
    <w:rsid w:val="003A1F74"/>
    <w:rsid w:val="003A5846"/>
    <w:rsid w:val="003B31C2"/>
    <w:rsid w:val="003B6D41"/>
    <w:rsid w:val="003C10EC"/>
    <w:rsid w:val="003C33F4"/>
    <w:rsid w:val="003C360C"/>
    <w:rsid w:val="003D1068"/>
    <w:rsid w:val="003E2695"/>
    <w:rsid w:val="003E6F2B"/>
    <w:rsid w:val="003F1D11"/>
    <w:rsid w:val="003F20C6"/>
    <w:rsid w:val="003F373E"/>
    <w:rsid w:val="003F4FF7"/>
    <w:rsid w:val="003F57B6"/>
    <w:rsid w:val="003F6818"/>
    <w:rsid w:val="00400ACB"/>
    <w:rsid w:val="00412397"/>
    <w:rsid w:val="00414898"/>
    <w:rsid w:val="00417A60"/>
    <w:rsid w:val="00420073"/>
    <w:rsid w:val="00422E00"/>
    <w:rsid w:val="0042367E"/>
    <w:rsid w:val="00425456"/>
    <w:rsid w:val="004301F6"/>
    <w:rsid w:val="00431658"/>
    <w:rsid w:val="0043338C"/>
    <w:rsid w:val="004334A8"/>
    <w:rsid w:val="00433CD9"/>
    <w:rsid w:val="00434793"/>
    <w:rsid w:val="004364C8"/>
    <w:rsid w:val="004403B5"/>
    <w:rsid w:val="004408B7"/>
    <w:rsid w:val="00441438"/>
    <w:rsid w:val="00441466"/>
    <w:rsid w:val="00441579"/>
    <w:rsid w:val="004431CE"/>
    <w:rsid w:val="00444F60"/>
    <w:rsid w:val="004453BC"/>
    <w:rsid w:val="0044572F"/>
    <w:rsid w:val="00445B46"/>
    <w:rsid w:val="00451210"/>
    <w:rsid w:val="00451A75"/>
    <w:rsid w:val="00452772"/>
    <w:rsid w:val="00453217"/>
    <w:rsid w:val="00453C0A"/>
    <w:rsid w:val="00454BF9"/>
    <w:rsid w:val="004556FF"/>
    <w:rsid w:val="00464CA5"/>
    <w:rsid w:val="0046669E"/>
    <w:rsid w:val="00473E79"/>
    <w:rsid w:val="004751AE"/>
    <w:rsid w:val="00482D63"/>
    <w:rsid w:val="00487461"/>
    <w:rsid w:val="0049603E"/>
    <w:rsid w:val="00496E44"/>
    <w:rsid w:val="004976C9"/>
    <w:rsid w:val="004A378E"/>
    <w:rsid w:val="004A41CD"/>
    <w:rsid w:val="004A4568"/>
    <w:rsid w:val="004A7250"/>
    <w:rsid w:val="004A74AA"/>
    <w:rsid w:val="004B0AEC"/>
    <w:rsid w:val="004B0FFE"/>
    <w:rsid w:val="004B4A7D"/>
    <w:rsid w:val="004B5D17"/>
    <w:rsid w:val="004B5F1D"/>
    <w:rsid w:val="004B67A6"/>
    <w:rsid w:val="004B70EF"/>
    <w:rsid w:val="004C02F7"/>
    <w:rsid w:val="004C0AAB"/>
    <w:rsid w:val="004C2AE4"/>
    <w:rsid w:val="004C5524"/>
    <w:rsid w:val="004C7ABB"/>
    <w:rsid w:val="004D0366"/>
    <w:rsid w:val="004D1057"/>
    <w:rsid w:val="004D4D81"/>
    <w:rsid w:val="004E121D"/>
    <w:rsid w:val="004E67F4"/>
    <w:rsid w:val="004E7F69"/>
    <w:rsid w:val="004F0AD1"/>
    <w:rsid w:val="004F27FE"/>
    <w:rsid w:val="004F4503"/>
    <w:rsid w:val="004F531C"/>
    <w:rsid w:val="004F5D55"/>
    <w:rsid w:val="004F6224"/>
    <w:rsid w:val="004F6728"/>
    <w:rsid w:val="00500B36"/>
    <w:rsid w:val="005035BB"/>
    <w:rsid w:val="00504250"/>
    <w:rsid w:val="00504F8C"/>
    <w:rsid w:val="00505F9D"/>
    <w:rsid w:val="005060D2"/>
    <w:rsid w:val="00510A95"/>
    <w:rsid w:val="00512D4A"/>
    <w:rsid w:val="00514951"/>
    <w:rsid w:val="00514B18"/>
    <w:rsid w:val="00514CC3"/>
    <w:rsid w:val="00514CE4"/>
    <w:rsid w:val="005152C8"/>
    <w:rsid w:val="00517526"/>
    <w:rsid w:val="0051776D"/>
    <w:rsid w:val="00521543"/>
    <w:rsid w:val="00524BBD"/>
    <w:rsid w:val="00525707"/>
    <w:rsid w:val="00526815"/>
    <w:rsid w:val="0053061F"/>
    <w:rsid w:val="00531AFF"/>
    <w:rsid w:val="00532D6B"/>
    <w:rsid w:val="005334CD"/>
    <w:rsid w:val="00536A32"/>
    <w:rsid w:val="00536DF1"/>
    <w:rsid w:val="0053761D"/>
    <w:rsid w:val="00542F87"/>
    <w:rsid w:val="00543EDC"/>
    <w:rsid w:val="005450A6"/>
    <w:rsid w:val="00545486"/>
    <w:rsid w:val="00546A4D"/>
    <w:rsid w:val="00547D25"/>
    <w:rsid w:val="005503E5"/>
    <w:rsid w:val="00551598"/>
    <w:rsid w:val="00552589"/>
    <w:rsid w:val="00556B5E"/>
    <w:rsid w:val="00557C6A"/>
    <w:rsid w:val="0056110C"/>
    <w:rsid w:val="00561183"/>
    <w:rsid w:val="005629DC"/>
    <w:rsid w:val="00564967"/>
    <w:rsid w:val="00565009"/>
    <w:rsid w:val="00565DA2"/>
    <w:rsid w:val="00566DF3"/>
    <w:rsid w:val="005738DE"/>
    <w:rsid w:val="00581245"/>
    <w:rsid w:val="00581E82"/>
    <w:rsid w:val="00583436"/>
    <w:rsid w:val="00585911"/>
    <w:rsid w:val="00587F4D"/>
    <w:rsid w:val="005912EB"/>
    <w:rsid w:val="005919CF"/>
    <w:rsid w:val="00593439"/>
    <w:rsid w:val="00595077"/>
    <w:rsid w:val="005A0C8C"/>
    <w:rsid w:val="005A2404"/>
    <w:rsid w:val="005A3416"/>
    <w:rsid w:val="005A69ED"/>
    <w:rsid w:val="005A6F86"/>
    <w:rsid w:val="005B0620"/>
    <w:rsid w:val="005B16CB"/>
    <w:rsid w:val="005B2B57"/>
    <w:rsid w:val="005C2759"/>
    <w:rsid w:val="005C5B6D"/>
    <w:rsid w:val="005C6A30"/>
    <w:rsid w:val="005D34B4"/>
    <w:rsid w:val="005E28D1"/>
    <w:rsid w:val="005E34BE"/>
    <w:rsid w:val="005E4F26"/>
    <w:rsid w:val="005E546B"/>
    <w:rsid w:val="005E6AA1"/>
    <w:rsid w:val="005F11C2"/>
    <w:rsid w:val="005F1420"/>
    <w:rsid w:val="005F1E59"/>
    <w:rsid w:val="006013B2"/>
    <w:rsid w:val="0060237D"/>
    <w:rsid w:val="006027A6"/>
    <w:rsid w:val="00604592"/>
    <w:rsid w:val="0060649A"/>
    <w:rsid w:val="006124B7"/>
    <w:rsid w:val="00612EEC"/>
    <w:rsid w:val="00615550"/>
    <w:rsid w:val="00615C6B"/>
    <w:rsid w:val="00617C89"/>
    <w:rsid w:val="006212A9"/>
    <w:rsid w:val="00621479"/>
    <w:rsid w:val="00624210"/>
    <w:rsid w:val="00625910"/>
    <w:rsid w:val="00627FBA"/>
    <w:rsid w:val="00633CB6"/>
    <w:rsid w:val="006340E7"/>
    <w:rsid w:val="00634DE7"/>
    <w:rsid w:val="00640BC4"/>
    <w:rsid w:val="00644D04"/>
    <w:rsid w:val="00647A65"/>
    <w:rsid w:val="006517A1"/>
    <w:rsid w:val="006517AA"/>
    <w:rsid w:val="006544B5"/>
    <w:rsid w:val="0065465D"/>
    <w:rsid w:val="00655B71"/>
    <w:rsid w:val="006631D3"/>
    <w:rsid w:val="00666F7E"/>
    <w:rsid w:val="00667DA5"/>
    <w:rsid w:val="00667F70"/>
    <w:rsid w:val="0067118B"/>
    <w:rsid w:val="00671B55"/>
    <w:rsid w:val="00675982"/>
    <w:rsid w:val="00677D2A"/>
    <w:rsid w:val="00683F14"/>
    <w:rsid w:val="0068524F"/>
    <w:rsid w:val="006918B9"/>
    <w:rsid w:val="00691B7A"/>
    <w:rsid w:val="00691BFA"/>
    <w:rsid w:val="00691C6A"/>
    <w:rsid w:val="00691EE6"/>
    <w:rsid w:val="006946D2"/>
    <w:rsid w:val="00694D19"/>
    <w:rsid w:val="006950BD"/>
    <w:rsid w:val="00695385"/>
    <w:rsid w:val="0069591B"/>
    <w:rsid w:val="0069635A"/>
    <w:rsid w:val="00696A70"/>
    <w:rsid w:val="006A05CA"/>
    <w:rsid w:val="006A0C1E"/>
    <w:rsid w:val="006A2670"/>
    <w:rsid w:val="006A623D"/>
    <w:rsid w:val="006A751C"/>
    <w:rsid w:val="006A7A74"/>
    <w:rsid w:val="006B3FA3"/>
    <w:rsid w:val="006B4E99"/>
    <w:rsid w:val="006B5964"/>
    <w:rsid w:val="006C0D92"/>
    <w:rsid w:val="006C12DF"/>
    <w:rsid w:val="006C381A"/>
    <w:rsid w:val="006D658F"/>
    <w:rsid w:val="006D7262"/>
    <w:rsid w:val="006D7C1C"/>
    <w:rsid w:val="006E06E6"/>
    <w:rsid w:val="006E63B9"/>
    <w:rsid w:val="006E6CC9"/>
    <w:rsid w:val="006E7361"/>
    <w:rsid w:val="006E79E8"/>
    <w:rsid w:val="006F1958"/>
    <w:rsid w:val="006F4B21"/>
    <w:rsid w:val="006F7325"/>
    <w:rsid w:val="00705609"/>
    <w:rsid w:val="007059E7"/>
    <w:rsid w:val="00706F7A"/>
    <w:rsid w:val="007107C3"/>
    <w:rsid w:val="0071170E"/>
    <w:rsid w:val="0071289B"/>
    <w:rsid w:val="0071594B"/>
    <w:rsid w:val="00716E1B"/>
    <w:rsid w:val="00720E29"/>
    <w:rsid w:val="007223D5"/>
    <w:rsid w:val="00722C14"/>
    <w:rsid w:val="007267B6"/>
    <w:rsid w:val="00727848"/>
    <w:rsid w:val="00730FCA"/>
    <w:rsid w:val="00732D95"/>
    <w:rsid w:val="00735309"/>
    <w:rsid w:val="00735672"/>
    <w:rsid w:val="00736A50"/>
    <w:rsid w:val="007377EC"/>
    <w:rsid w:val="007406AB"/>
    <w:rsid w:val="00740BB4"/>
    <w:rsid w:val="00741365"/>
    <w:rsid w:val="00741536"/>
    <w:rsid w:val="007424FC"/>
    <w:rsid w:val="00743605"/>
    <w:rsid w:val="00747545"/>
    <w:rsid w:val="00750F49"/>
    <w:rsid w:val="007514B3"/>
    <w:rsid w:val="00752E23"/>
    <w:rsid w:val="007532FE"/>
    <w:rsid w:val="00754005"/>
    <w:rsid w:val="007569E5"/>
    <w:rsid w:val="00760CF7"/>
    <w:rsid w:val="00762DB6"/>
    <w:rsid w:val="00765D39"/>
    <w:rsid w:val="00766958"/>
    <w:rsid w:val="00770BB9"/>
    <w:rsid w:val="00770E81"/>
    <w:rsid w:val="007757ED"/>
    <w:rsid w:val="007808A0"/>
    <w:rsid w:val="00780AAF"/>
    <w:rsid w:val="00780B25"/>
    <w:rsid w:val="00780B28"/>
    <w:rsid w:val="00781022"/>
    <w:rsid w:val="00782945"/>
    <w:rsid w:val="00796CFC"/>
    <w:rsid w:val="007971EE"/>
    <w:rsid w:val="007A2FF0"/>
    <w:rsid w:val="007A46BE"/>
    <w:rsid w:val="007A61DC"/>
    <w:rsid w:val="007B1C66"/>
    <w:rsid w:val="007B2F21"/>
    <w:rsid w:val="007B3EE4"/>
    <w:rsid w:val="007D021D"/>
    <w:rsid w:val="007D175A"/>
    <w:rsid w:val="007D3740"/>
    <w:rsid w:val="007D3E99"/>
    <w:rsid w:val="007D5862"/>
    <w:rsid w:val="007D6047"/>
    <w:rsid w:val="007E2288"/>
    <w:rsid w:val="007F148A"/>
    <w:rsid w:val="007F1BB7"/>
    <w:rsid w:val="007F26F7"/>
    <w:rsid w:val="007F327F"/>
    <w:rsid w:val="007F6398"/>
    <w:rsid w:val="007F79DF"/>
    <w:rsid w:val="00800D2D"/>
    <w:rsid w:val="00803303"/>
    <w:rsid w:val="0080406A"/>
    <w:rsid w:val="008041D4"/>
    <w:rsid w:val="00805671"/>
    <w:rsid w:val="008077F7"/>
    <w:rsid w:val="00807AD8"/>
    <w:rsid w:val="00810167"/>
    <w:rsid w:val="00816728"/>
    <w:rsid w:val="00820096"/>
    <w:rsid w:val="008243FE"/>
    <w:rsid w:val="00826E13"/>
    <w:rsid w:val="00830631"/>
    <w:rsid w:val="008337C4"/>
    <w:rsid w:val="008345F1"/>
    <w:rsid w:val="008347A6"/>
    <w:rsid w:val="00835F6A"/>
    <w:rsid w:val="00841934"/>
    <w:rsid w:val="00844E61"/>
    <w:rsid w:val="00845192"/>
    <w:rsid w:val="00845BA4"/>
    <w:rsid w:val="008509E5"/>
    <w:rsid w:val="00851167"/>
    <w:rsid w:val="00851349"/>
    <w:rsid w:val="00855A40"/>
    <w:rsid w:val="008569C2"/>
    <w:rsid w:val="00856AE1"/>
    <w:rsid w:val="008664C1"/>
    <w:rsid w:val="00866CD4"/>
    <w:rsid w:val="0087219A"/>
    <w:rsid w:val="00872CC1"/>
    <w:rsid w:val="00873A10"/>
    <w:rsid w:val="00874569"/>
    <w:rsid w:val="0087547F"/>
    <w:rsid w:val="008766F8"/>
    <w:rsid w:val="0087781D"/>
    <w:rsid w:val="00881BB7"/>
    <w:rsid w:val="0088339B"/>
    <w:rsid w:val="008858A7"/>
    <w:rsid w:val="0089226E"/>
    <w:rsid w:val="00892971"/>
    <w:rsid w:val="0089645E"/>
    <w:rsid w:val="008A114C"/>
    <w:rsid w:val="008A298D"/>
    <w:rsid w:val="008A51CF"/>
    <w:rsid w:val="008A76BA"/>
    <w:rsid w:val="008B279C"/>
    <w:rsid w:val="008B3CAB"/>
    <w:rsid w:val="008B4216"/>
    <w:rsid w:val="008B57A7"/>
    <w:rsid w:val="008B5A5C"/>
    <w:rsid w:val="008B6B11"/>
    <w:rsid w:val="008C05CE"/>
    <w:rsid w:val="008C19C9"/>
    <w:rsid w:val="008D15BE"/>
    <w:rsid w:val="008D1EDE"/>
    <w:rsid w:val="008D2A25"/>
    <w:rsid w:val="008D3F84"/>
    <w:rsid w:val="008D4C45"/>
    <w:rsid w:val="008D6F00"/>
    <w:rsid w:val="008D763E"/>
    <w:rsid w:val="008E0432"/>
    <w:rsid w:val="008E403F"/>
    <w:rsid w:val="008E4BC3"/>
    <w:rsid w:val="008F0110"/>
    <w:rsid w:val="00900486"/>
    <w:rsid w:val="009017AE"/>
    <w:rsid w:val="00902497"/>
    <w:rsid w:val="00904E79"/>
    <w:rsid w:val="00905A64"/>
    <w:rsid w:val="009076D5"/>
    <w:rsid w:val="00907EEA"/>
    <w:rsid w:val="00910668"/>
    <w:rsid w:val="0091076C"/>
    <w:rsid w:val="00910D5D"/>
    <w:rsid w:val="00914209"/>
    <w:rsid w:val="00914451"/>
    <w:rsid w:val="00915C78"/>
    <w:rsid w:val="00920F0B"/>
    <w:rsid w:val="00922892"/>
    <w:rsid w:val="00924469"/>
    <w:rsid w:val="009250C5"/>
    <w:rsid w:val="00925391"/>
    <w:rsid w:val="00925509"/>
    <w:rsid w:val="009268F3"/>
    <w:rsid w:val="009275BA"/>
    <w:rsid w:val="00934E72"/>
    <w:rsid w:val="00936CA4"/>
    <w:rsid w:val="00942010"/>
    <w:rsid w:val="009440A6"/>
    <w:rsid w:val="00945293"/>
    <w:rsid w:val="00950287"/>
    <w:rsid w:val="00950EB4"/>
    <w:rsid w:val="00955AFF"/>
    <w:rsid w:val="00956181"/>
    <w:rsid w:val="00957727"/>
    <w:rsid w:val="00957DFA"/>
    <w:rsid w:val="0096075C"/>
    <w:rsid w:val="0096235A"/>
    <w:rsid w:val="00965F5E"/>
    <w:rsid w:val="0096609F"/>
    <w:rsid w:val="00967251"/>
    <w:rsid w:val="009705B8"/>
    <w:rsid w:val="009705DA"/>
    <w:rsid w:val="00970B28"/>
    <w:rsid w:val="00973164"/>
    <w:rsid w:val="00975FA8"/>
    <w:rsid w:val="00980755"/>
    <w:rsid w:val="00981499"/>
    <w:rsid w:val="00983715"/>
    <w:rsid w:val="009847D1"/>
    <w:rsid w:val="0098579F"/>
    <w:rsid w:val="0098746F"/>
    <w:rsid w:val="0099380B"/>
    <w:rsid w:val="0099553C"/>
    <w:rsid w:val="0099561A"/>
    <w:rsid w:val="0099566A"/>
    <w:rsid w:val="00997299"/>
    <w:rsid w:val="009A10E9"/>
    <w:rsid w:val="009A17F6"/>
    <w:rsid w:val="009A2D17"/>
    <w:rsid w:val="009A2FF3"/>
    <w:rsid w:val="009A4F8D"/>
    <w:rsid w:val="009B0DB4"/>
    <w:rsid w:val="009B0F87"/>
    <w:rsid w:val="009B1982"/>
    <w:rsid w:val="009B226B"/>
    <w:rsid w:val="009B3003"/>
    <w:rsid w:val="009B327A"/>
    <w:rsid w:val="009B4449"/>
    <w:rsid w:val="009C057B"/>
    <w:rsid w:val="009C0C5A"/>
    <w:rsid w:val="009C144B"/>
    <w:rsid w:val="009C29B1"/>
    <w:rsid w:val="009C33E9"/>
    <w:rsid w:val="009C37E2"/>
    <w:rsid w:val="009C6E92"/>
    <w:rsid w:val="009C6F4F"/>
    <w:rsid w:val="009C7C46"/>
    <w:rsid w:val="009D0955"/>
    <w:rsid w:val="009D1E53"/>
    <w:rsid w:val="009D607C"/>
    <w:rsid w:val="009D65FF"/>
    <w:rsid w:val="009E348E"/>
    <w:rsid w:val="009E6579"/>
    <w:rsid w:val="009F39A0"/>
    <w:rsid w:val="009F3A8F"/>
    <w:rsid w:val="009F752B"/>
    <w:rsid w:val="00A01685"/>
    <w:rsid w:val="00A02341"/>
    <w:rsid w:val="00A03076"/>
    <w:rsid w:val="00A05A86"/>
    <w:rsid w:val="00A06824"/>
    <w:rsid w:val="00A0682B"/>
    <w:rsid w:val="00A06F70"/>
    <w:rsid w:val="00A10848"/>
    <w:rsid w:val="00A137B9"/>
    <w:rsid w:val="00A13CEB"/>
    <w:rsid w:val="00A147BC"/>
    <w:rsid w:val="00A16AFB"/>
    <w:rsid w:val="00A20778"/>
    <w:rsid w:val="00A21378"/>
    <w:rsid w:val="00A223DC"/>
    <w:rsid w:val="00A23648"/>
    <w:rsid w:val="00A25C13"/>
    <w:rsid w:val="00A273D3"/>
    <w:rsid w:val="00A30F40"/>
    <w:rsid w:val="00A33C9B"/>
    <w:rsid w:val="00A35F4C"/>
    <w:rsid w:val="00A360AA"/>
    <w:rsid w:val="00A36D89"/>
    <w:rsid w:val="00A40909"/>
    <w:rsid w:val="00A40DDC"/>
    <w:rsid w:val="00A43FEE"/>
    <w:rsid w:val="00A522C1"/>
    <w:rsid w:val="00A5232B"/>
    <w:rsid w:val="00A73EAC"/>
    <w:rsid w:val="00A75A9B"/>
    <w:rsid w:val="00A8103D"/>
    <w:rsid w:val="00A810C5"/>
    <w:rsid w:val="00A9038D"/>
    <w:rsid w:val="00A923FB"/>
    <w:rsid w:val="00A92F27"/>
    <w:rsid w:val="00A949EA"/>
    <w:rsid w:val="00A953CA"/>
    <w:rsid w:val="00A96E15"/>
    <w:rsid w:val="00AA07F9"/>
    <w:rsid w:val="00AA302E"/>
    <w:rsid w:val="00AA34C7"/>
    <w:rsid w:val="00AA5C38"/>
    <w:rsid w:val="00AA7987"/>
    <w:rsid w:val="00AB2D2F"/>
    <w:rsid w:val="00AB3AE1"/>
    <w:rsid w:val="00AB3F7D"/>
    <w:rsid w:val="00AB49A0"/>
    <w:rsid w:val="00AB7E6B"/>
    <w:rsid w:val="00AC0B3C"/>
    <w:rsid w:val="00AC0B86"/>
    <w:rsid w:val="00AC254C"/>
    <w:rsid w:val="00AC32F5"/>
    <w:rsid w:val="00AC39A7"/>
    <w:rsid w:val="00AC44CC"/>
    <w:rsid w:val="00AC534F"/>
    <w:rsid w:val="00AE44F3"/>
    <w:rsid w:val="00AE5E91"/>
    <w:rsid w:val="00AE6983"/>
    <w:rsid w:val="00AF497E"/>
    <w:rsid w:val="00AF525D"/>
    <w:rsid w:val="00AF52C3"/>
    <w:rsid w:val="00B02A98"/>
    <w:rsid w:val="00B043E1"/>
    <w:rsid w:val="00B141CA"/>
    <w:rsid w:val="00B17B02"/>
    <w:rsid w:val="00B20BFA"/>
    <w:rsid w:val="00B219FE"/>
    <w:rsid w:val="00B25742"/>
    <w:rsid w:val="00B41161"/>
    <w:rsid w:val="00B424D0"/>
    <w:rsid w:val="00B449E2"/>
    <w:rsid w:val="00B45CFC"/>
    <w:rsid w:val="00B511A0"/>
    <w:rsid w:val="00B51AF3"/>
    <w:rsid w:val="00B51E6F"/>
    <w:rsid w:val="00B52AB4"/>
    <w:rsid w:val="00B571C8"/>
    <w:rsid w:val="00B578E9"/>
    <w:rsid w:val="00B61E00"/>
    <w:rsid w:val="00B65091"/>
    <w:rsid w:val="00B660E5"/>
    <w:rsid w:val="00B662FD"/>
    <w:rsid w:val="00B71C77"/>
    <w:rsid w:val="00B7792A"/>
    <w:rsid w:val="00B77C0D"/>
    <w:rsid w:val="00B828B2"/>
    <w:rsid w:val="00B85AE8"/>
    <w:rsid w:val="00B85FD6"/>
    <w:rsid w:val="00B8729D"/>
    <w:rsid w:val="00B90123"/>
    <w:rsid w:val="00B92F9E"/>
    <w:rsid w:val="00B9360F"/>
    <w:rsid w:val="00B93CB4"/>
    <w:rsid w:val="00BA2A16"/>
    <w:rsid w:val="00BA7FE2"/>
    <w:rsid w:val="00BB0656"/>
    <w:rsid w:val="00BB3265"/>
    <w:rsid w:val="00BB6F6A"/>
    <w:rsid w:val="00BB743F"/>
    <w:rsid w:val="00BB7C84"/>
    <w:rsid w:val="00BC0DED"/>
    <w:rsid w:val="00BC15AC"/>
    <w:rsid w:val="00BC53A5"/>
    <w:rsid w:val="00BC5F42"/>
    <w:rsid w:val="00BD0D93"/>
    <w:rsid w:val="00BD1068"/>
    <w:rsid w:val="00BD49C5"/>
    <w:rsid w:val="00BD4E5F"/>
    <w:rsid w:val="00BD5C17"/>
    <w:rsid w:val="00BD5D9B"/>
    <w:rsid w:val="00BD6CDD"/>
    <w:rsid w:val="00BE1A65"/>
    <w:rsid w:val="00BE1F68"/>
    <w:rsid w:val="00BE2923"/>
    <w:rsid w:val="00BE3928"/>
    <w:rsid w:val="00BE49A5"/>
    <w:rsid w:val="00BE4CFB"/>
    <w:rsid w:val="00BE6898"/>
    <w:rsid w:val="00BF0EDF"/>
    <w:rsid w:val="00BF1754"/>
    <w:rsid w:val="00BF1DF7"/>
    <w:rsid w:val="00BF2BED"/>
    <w:rsid w:val="00BF2C31"/>
    <w:rsid w:val="00C022DE"/>
    <w:rsid w:val="00C10C6B"/>
    <w:rsid w:val="00C12873"/>
    <w:rsid w:val="00C12B37"/>
    <w:rsid w:val="00C13CA4"/>
    <w:rsid w:val="00C14FCE"/>
    <w:rsid w:val="00C15840"/>
    <w:rsid w:val="00C16393"/>
    <w:rsid w:val="00C17B98"/>
    <w:rsid w:val="00C20068"/>
    <w:rsid w:val="00C219EA"/>
    <w:rsid w:val="00C27D82"/>
    <w:rsid w:val="00C32CFC"/>
    <w:rsid w:val="00C34F2A"/>
    <w:rsid w:val="00C3723A"/>
    <w:rsid w:val="00C40957"/>
    <w:rsid w:val="00C40FAB"/>
    <w:rsid w:val="00C41F5A"/>
    <w:rsid w:val="00C42E02"/>
    <w:rsid w:val="00C452ED"/>
    <w:rsid w:val="00C454F2"/>
    <w:rsid w:val="00C473B7"/>
    <w:rsid w:val="00C530FC"/>
    <w:rsid w:val="00C531E5"/>
    <w:rsid w:val="00C56CF1"/>
    <w:rsid w:val="00C6098B"/>
    <w:rsid w:val="00C66362"/>
    <w:rsid w:val="00C67C3F"/>
    <w:rsid w:val="00C7201E"/>
    <w:rsid w:val="00C72B89"/>
    <w:rsid w:val="00C7523F"/>
    <w:rsid w:val="00C752AA"/>
    <w:rsid w:val="00C757AB"/>
    <w:rsid w:val="00C77501"/>
    <w:rsid w:val="00C801E0"/>
    <w:rsid w:val="00C80409"/>
    <w:rsid w:val="00C80987"/>
    <w:rsid w:val="00C811A8"/>
    <w:rsid w:val="00C963EA"/>
    <w:rsid w:val="00CA2E97"/>
    <w:rsid w:val="00CB144D"/>
    <w:rsid w:val="00CB1671"/>
    <w:rsid w:val="00CB3C3D"/>
    <w:rsid w:val="00CB5D7E"/>
    <w:rsid w:val="00CC00A8"/>
    <w:rsid w:val="00CC04F0"/>
    <w:rsid w:val="00CC33E2"/>
    <w:rsid w:val="00CC417C"/>
    <w:rsid w:val="00CD00E1"/>
    <w:rsid w:val="00CD0946"/>
    <w:rsid w:val="00CD1B09"/>
    <w:rsid w:val="00CD21D7"/>
    <w:rsid w:val="00CD58ED"/>
    <w:rsid w:val="00CD7556"/>
    <w:rsid w:val="00CD7EAA"/>
    <w:rsid w:val="00CE2E97"/>
    <w:rsid w:val="00CE6835"/>
    <w:rsid w:val="00CE7DDF"/>
    <w:rsid w:val="00CF2FE3"/>
    <w:rsid w:val="00CF39BF"/>
    <w:rsid w:val="00D00E4E"/>
    <w:rsid w:val="00D01C79"/>
    <w:rsid w:val="00D01E48"/>
    <w:rsid w:val="00D0747D"/>
    <w:rsid w:val="00D10CAB"/>
    <w:rsid w:val="00D14DF3"/>
    <w:rsid w:val="00D15555"/>
    <w:rsid w:val="00D230CD"/>
    <w:rsid w:val="00D24F5C"/>
    <w:rsid w:val="00D26B0D"/>
    <w:rsid w:val="00D3170E"/>
    <w:rsid w:val="00D32811"/>
    <w:rsid w:val="00D362E1"/>
    <w:rsid w:val="00D375DE"/>
    <w:rsid w:val="00D378EB"/>
    <w:rsid w:val="00D37CE0"/>
    <w:rsid w:val="00D4055A"/>
    <w:rsid w:val="00D41668"/>
    <w:rsid w:val="00D5016A"/>
    <w:rsid w:val="00D53D08"/>
    <w:rsid w:val="00D561DA"/>
    <w:rsid w:val="00D60A6A"/>
    <w:rsid w:val="00D621E4"/>
    <w:rsid w:val="00D6245B"/>
    <w:rsid w:val="00D628F0"/>
    <w:rsid w:val="00D62CCA"/>
    <w:rsid w:val="00D63E95"/>
    <w:rsid w:val="00D6469C"/>
    <w:rsid w:val="00D65D4B"/>
    <w:rsid w:val="00D7012D"/>
    <w:rsid w:val="00D709E4"/>
    <w:rsid w:val="00D7160A"/>
    <w:rsid w:val="00D730F3"/>
    <w:rsid w:val="00D74C1C"/>
    <w:rsid w:val="00D8026B"/>
    <w:rsid w:val="00D8133C"/>
    <w:rsid w:val="00D83392"/>
    <w:rsid w:val="00D83F24"/>
    <w:rsid w:val="00D8425D"/>
    <w:rsid w:val="00D920B9"/>
    <w:rsid w:val="00D92577"/>
    <w:rsid w:val="00D9416A"/>
    <w:rsid w:val="00DA03FD"/>
    <w:rsid w:val="00DA0D2C"/>
    <w:rsid w:val="00DA1178"/>
    <w:rsid w:val="00DA135D"/>
    <w:rsid w:val="00DA35CE"/>
    <w:rsid w:val="00DA3F61"/>
    <w:rsid w:val="00DA4B4D"/>
    <w:rsid w:val="00DB323F"/>
    <w:rsid w:val="00DC1865"/>
    <w:rsid w:val="00DC518D"/>
    <w:rsid w:val="00DC6305"/>
    <w:rsid w:val="00DC730B"/>
    <w:rsid w:val="00DD1A86"/>
    <w:rsid w:val="00DD2539"/>
    <w:rsid w:val="00DD2C08"/>
    <w:rsid w:val="00DD337D"/>
    <w:rsid w:val="00DD6185"/>
    <w:rsid w:val="00DD66E6"/>
    <w:rsid w:val="00DE23A4"/>
    <w:rsid w:val="00DF0D1E"/>
    <w:rsid w:val="00DF1B95"/>
    <w:rsid w:val="00DF1BDC"/>
    <w:rsid w:val="00DF53B9"/>
    <w:rsid w:val="00DF5D28"/>
    <w:rsid w:val="00DF792C"/>
    <w:rsid w:val="00E004E6"/>
    <w:rsid w:val="00E051B0"/>
    <w:rsid w:val="00E05A96"/>
    <w:rsid w:val="00E0646D"/>
    <w:rsid w:val="00E10529"/>
    <w:rsid w:val="00E1134A"/>
    <w:rsid w:val="00E114A4"/>
    <w:rsid w:val="00E1738C"/>
    <w:rsid w:val="00E2005A"/>
    <w:rsid w:val="00E20CB6"/>
    <w:rsid w:val="00E20E6B"/>
    <w:rsid w:val="00E21117"/>
    <w:rsid w:val="00E24FC6"/>
    <w:rsid w:val="00E250AA"/>
    <w:rsid w:val="00E254C4"/>
    <w:rsid w:val="00E25BC7"/>
    <w:rsid w:val="00E325F6"/>
    <w:rsid w:val="00E335F0"/>
    <w:rsid w:val="00E344CE"/>
    <w:rsid w:val="00E34949"/>
    <w:rsid w:val="00E36053"/>
    <w:rsid w:val="00E3731D"/>
    <w:rsid w:val="00E40D9B"/>
    <w:rsid w:val="00E40E17"/>
    <w:rsid w:val="00E449A0"/>
    <w:rsid w:val="00E45F31"/>
    <w:rsid w:val="00E47B93"/>
    <w:rsid w:val="00E50445"/>
    <w:rsid w:val="00E513D9"/>
    <w:rsid w:val="00E54B9D"/>
    <w:rsid w:val="00E5578B"/>
    <w:rsid w:val="00E56744"/>
    <w:rsid w:val="00E627FC"/>
    <w:rsid w:val="00E63CFA"/>
    <w:rsid w:val="00E640B0"/>
    <w:rsid w:val="00E66026"/>
    <w:rsid w:val="00E73543"/>
    <w:rsid w:val="00E745BD"/>
    <w:rsid w:val="00E75973"/>
    <w:rsid w:val="00E75F74"/>
    <w:rsid w:val="00E8083D"/>
    <w:rsid w:val="00E80A77"/>
    <w:rsid w:val="00E82A40"/>
    <w:rsid w:val="00E8359E"/>
    <w:rsid w:val="00E843D6"/>
    <w:rsid w:val="00E90F8A"/>
    <w:rsid w:val="00E91C33"/>
    <w:rsid w:val="00EA03B9"/>
    <w:rsid w:val="00EA22A9"/>
    <w:rsid w:val="00EA6FFC"/>
    <w:rsid w:val="00EA738A"/>
    <w:rsid w:val="00EB111A"/>
    <w:rsid w:val="00EB46A3"/>
    <w:rsid w:val="00EB4763"/>
    <w:rsid w:val="00EB4A19"/>
    <w:rsid w:val="00EC329C"/>
    <w:rsid w:val="00EC37F7"/>
    <w:rsid w:val="00EC4756"/>
    <w:rsid w:val="00EC666A"/>
    <w:rsid w:val="00EC6778"/>
    <w:rsid w:val="00EC791E"/>
    <w:rsid w:val="00ED09A4"/>
    <w:rsid w:val="00ED2593"/>
    <w:rsid w:val="00ED2F51"/>
    <w:rsid w:val="00ED59EF"/>
    <w:rsid w:val="00ED5E75"/>
    <w:rsid w:val="00EE1FE9"/>
    <w:rsid w:val="00EE21F4"/>
    <w:rsid w:val="00EE42A3"/>
    <w:rsid w:val="00EE4866"/>
    <w:rsid w:val="00EE49C9"/>
    <w:rsid w:val="00EE77F3"/>
    <w:rsid w:val="00EF17D1"/>
    <w:rsid w:val="00EF1C4D"/>
    <w:rsid w:val="00EF3B42"/>
    <w:rsid w:val="00EF4256"/>
    <w:rsid w:val="00EF43B5"/>
    <w:rsid w:val="00F0186A"/>
    <w:rsid w:val="00F01C9B"/>
    <w:rsid w:val="00F03C69"/>
    <w:rsid w:val="00F04630"/>
    <w:rsid w:val="00F059A4"/>
    <w:rsid w:val="00F07283"/>
    <w:rsid w:val="00F1276E"/>
    <w:rsid w:val="00F12B73"/>
    <w:rsid w:val="00F13706"/>
    <w:rsid w:val="00F156CC"/>
    <w:rsid w:val="00F20DC1"/>
    <w:rsid w:val="00F21F53"/>
    <w:rsid w:val="00F24701"/>
    <w:rsid w:val="00F31526"/>
    <w:rsid w:val="00F319BC"/>
    <w:rsid w:val="00F335C6"/>
    <w:rsid w:val="00F343D4"/>
    <w:rsid w:val="00F35F4A"/>
    <w:rsid w:val="00F42F44"/>
    <w:rsid w:val="00F434F7"/>
    <w:rsid w:val="00F4472A"/>
    <w:rsid w:val="00F456EA"/>
    <w:rsid w:val="00F4601A"/>
    <w:rsid w:val="00F51327"/>
    <w:rsid w:val="00F5160F"/>
    <w:rsid w:val="00F531A1"/>
    <w:rsid w:val="00F54B44"/>
    <w:rsid w:val="00F54D46"/>
    <w:rsid w:val="00F55362"/>
    <w:rsid w:val="00F55BC1"/>
    <w:rsid w:val="00F561CB"/>
    <w:rsid w:val="00F60018"/>
    <w:rsid w:val="00F63653"/>
    <w:rsid w:val="00F641EF"/>
    <w:rsid w:val="00F65F41"/>
    <w:rsid w:val="00F673BF"/>
    <w:rsid w:val="00F71418"/>
    <w:rsid w:val="00F73860"/>
    <w:rsid w:val="00F7418C"/>
    <w:rsid w:val="00F74A5E"/>
    <w:rsid w:val="00F7762B"/>
    <w:rsid w:val="00F813E7"/>
    <w:rsid w:val="00F825E4"/>
    <w:rsid w:val="00F82B0F"/>
    <w:rsid w:val="00F84230"/>
    <w:rsid w:val="00F84AEA"/>
    <w:rsid w:val="00F9072A"/>
    <w:rsid w:val="00F9124F"/>
    <w:rsid w:val="00F92CE2"/>
    <w:rsid w:val="00F933AB"/>
    <w:rsid w:val="00F934E5"/>
    <w:rsid w:val="00F94813"/>
    <w:rsid w:val="00F95819"/>
    <w:rsid w:val="00F977A9"/>
    <w:rsid w:val="00FA1BA9"/>
    <w:rsid w:val="00FA2E01"/>
    <w:rsid w:val="00FA3894"/>
    <w:rsid w:val="00FA540D"/>
    <w:rsid w:val="00FB0277"/>
    <w:rsid w:val="00FB0E91"/>
    <w:rsid w:val="00FB23C5"/>
    <w:rsid w:val="00FB4C1A"/>
    <w:rsid w:val="00FB584A"/>
    <w:rsid w:val="00FB5AE9"/>
    <w:rsid w:val="00FB6C3F"/>
    <w:rsid w:val="00FB79B1"/>
    <w:rsid w:val="00FC08F2"/>
    <w:rsid w:val="00FC0D92"/>
    <w:rsid w:val="00FC5187"/>
    <w:rsid w:val="00FC727D"/>
    <w:rsid w:val="00FD1D0F"/>
    <w:rsid w:val="00FD1D99"/>
    <w:rsid w:val="00FD58A7"/>
    <w:rsid w:val="00FE0445"/>
    <w:rsid w:val="00FE2387"/>
    <w:rsid w:val="00FE4298"/>
    <w:rsid w:val="00FE6438"/>
    <w:rsid w:val="00FF1108"/>
    <w:rsid w:val="00FF458B"/>
    <w:rsid w:val="00FF5DE3"/>
    <w:rsid w:val="00FF62A7"/>
    <w:rsid w:val="00FF6FD6"/>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ACAECB"/>
  <w14:defaultImageDpi w14:val="330"/>
  <w15:chartTrackingRefBased/>
  <w15:docId w15:val="{842CE855-6AFB-4276-AD01-50D9CCFF9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0096"/>
  </w:style>
  <w:style w:type="paragraph" w:styleId="Heading1">
    <w:name w:val="heading 1"/>
    <w:aliases w:val="H2"/>
    <w:basedOn w:val="Heading2"/>
    <w:next w:val="Heading2"/>
    <w:link w:val="Heading1Char"/>
    <w:uiPriority w:val="9"/>
    <w:qFormat/>
    <w:rsid w:val="00C34F2A"/>
    <w:pPr>
      <w:spacing w:before="100" w:beforeAutospacing="1" w:after="480" w:line="240" w:lineRule="auto"/>
      <w:outlineLvl w:val="0"/>
    </w:pPr>
    <w:rPr>
      <w:spacing w:val="-12"/>
      <w:sz w:val="60"/>
      <w:szCs w:val="32"/>
    </w:rPr>
  </w:style>
  <w:style w:type="paragraph" w:styleId="Heading2">
    <w:name w:val="heading 2"/>
    <w:basedOn w:val="Normal"/>
    <w:next w:val="Normal"/>
    <w:link w:val="Heading2Char"/>
    <w:uiPriority w:val="9"/>
    <w:unhideWhenUsed/>
    <w:qFormat/>
    <w:rsid w:val="00C34F2A"/>
    <w:pPr>
      <w:keepNext/>
      <w:keepLines/>
      <w:spacing w:before="40" w:after="0"/>
      <w:outlineLvl w:val="1"/>
    </w:pPr>
    <w:rPr>
      <w:rFonts w:asciiTheme="majorHAnsi" w:eastAsiaTheme="majorEastAsia" w:hAnsiTheme="majorHAnsi" w:cstheme="majorBidi"/>
      <w:color w:val="006B3E" w:themeColor="accent1" w:themeShade="BF"/>
      <w:sz w:val="26"/>
      <w:szCs w:val="26"/>
    </w:rPr>
  </w:style>
  <w:style w:type="paragraph" w:styleId="Heading3">
    <w:name w:val="heading 3"/>
    <w:basedOn w:val="Normal"/>
    <w:next w:val="Normal"/>
    <w:link w:val="Heading3Char"/>
    <w:uiPriority w:val="9"/>
    <w:semiHidden/>
    <w:unhideWhenUsed/>
    <w:qFormat/>
    <w:rsid w:val="0096075C"/>
    <w:pPr>
      <w:keepNext/>
      <w:keepLines/>
      <w:spacing w:before="40" w:after="0"/>
      <w:outlineLvl w:val="2"/>
    </w:pPr>
    <w:rPr>
      <w:rFonts w:asciiTheme="majorHAnsi" w:eastAsiaTheme="majorEastAsia" w:hAnsiTheme="majorHAnsi" w:cstheme="majorBidi"/>
      <w:color w:val="004729" w:themeColor="accent1" w:themeShade="7F"/>
      <w:sz w:val="24"/>
      <w:szCs w:val="24"/>
    </w:rPr>
  </w:style>
  <w:style w:type="paragraph" w:styleId="Heading4">
    <w:name w:val="heading 4"/>
    <w:basedOn w:val="Normal"/>
    <w:next w:val="Normal"/>
    <w:link w:val="Heading4Char"/>
    <w:uiPriority w:val="9"/>
    <w:semiHidden/>
    <w:unhideWhenUsed/>
    <w:qFormat/>
    <w:rsid w:val="0096075C"/>
    <w:pPr>
      <w:keepNext/>
      <w:keepLines/>
      <w:spacing w:before="40" w:after="0"/>
      <w:outlineLvl w:val="3"/>
    </w:pPr>
    <w:rPr>
      <w:rFonts w:asciiTheme="majorHAnsi" w:eastAsiaTheme="majorEastAsia" w:hAnsiTheme="majorHAnsi" w:cstheme="majorBidi"/>
      <w:i/>
      <w:iCs/>
      <w:color w:val="006B3E" w:themeColor="accent1" w:themeShade="BF"/>
    </w:rPr>
  </w:style>
  <w:style w:type="paragraph" w:styleId="Heading5">
    <w:name w:val="heading 5"/>
    <w:basedOn w:val="Normal"/>
    <w:next w:val="Normal"/>
    <w:link w:val="Heading5Char"/>
    <w:uiPriority w:val="9"/>
    <w:semiHidden/>
    <w:unhideWhenUsed/>
    <w:qFormat/>
    <w:rsid w:val="0096075C"/>
    <w:pPr>
      <w:keepNext/>
      <w:keepLines/>
      <w:spacing w:before="40" w:after="0"/>
      <w:outlineLvl w:val="4"/>
    </w:pPr>
    <w:rPr>
      <w:rFonts w:asciiTheme="majorHAnsi" w:eastAsiaTheme="majorEastAsia" w:hAnsiTheme="majorHAnsi" w:cstheme="majorBidi"/>
      <w:color w:val="006B3E" w:themeColor="accent1" w:themeShade="BF"/>
    </w:rPr>
  </w:style>
  <w:style w:type="paragraph" w:styleId="Heading6">
    <w:name w:val="heading 6"/>
    <w:basedOn w:val="Normal"/>
    <w:next w:val="Normal"/>
    <w:link w:val="Heading6Char"/>
    <w:uiPriority w:val="9"/>
    <w:semiHidden/>
    <w:unhideWhenUsed/>
    <w:qFormat/>
    <w:rsid w:val="0096075C"/>
    <w:pPr>
      <w:keepNext/>
      <w:keepLines/>
      <w:spacing w:before="40" w:after="0"/>
      <w:outlineLvl w:val="5"/>
    </w:pPr>
    <w:rPr>
      <w:rFonts w:asciiTheme="majorHAnsi" w:eastAsiaTheme="majorEastAsia" w:hAnsiTheme="majorHAnsi" w:cstheme="majorBidi"/>
      <w:color w:val="004729" w:themeColor="accent1" w:themeShade="7F"/>
    </w:rPr>
  </w:style>
  <w:style w:type="paragraph" w:styleId="Heading7">
    <w:name w:val="heading 7"/>
    <w:basedOn w:val="Normal"/>
    <w:next w:val="Normal"/>
    <w:link w:val="Heading7Char"/>
    <w:uiPriority w:val="9"/>
    <w:semiHidden/>
    <w:unhideWhenUsed/>
    <w:qFormat/>
    <w:rsid w:val="0096075C"/>
    <w:pPr>
      <w:keepNext/>
      <w:keepLines/>
      <w:spacing w:before="40" w:after="0"/>
      <w:outlineLvl w:val="6"/>
    </w:pPr>
    <w:rPr>
      <w:rFonts w:asciiTheme="majorHAnsi" w:eastAsiaTheme="majorEastAsia" w:hAnsiTheme="majorHAnsi" w:cstheme="majorBidi"/>
      <w:i/>
      <w:iCs/>
      <w:color w:val="004729" w:themeColor="accent1" w:themeShade="7F"/>
    </w:rPr>
  </w:style>
  <w:style w:type="paragraph" w:styleId="Heading8">
    <w:name w:val="heading 8"/>
    <w:basedOn w:val="Normal"/>
    <w:next w:val="Normal"/>
    <w:link w:val="Heading8Char"/>
    <w:uiPriority w:val="9"/>
    <w:semiHidden/>
    <w:unhideWhenUsed/>
    <w:qFormat/>
    <w:rsid w:val="0096075C"/>
    <w:pPr>
      <w:keepNext/>
      <w:keepLines/>
      <w:spacing w:before="40" w:after="0"/>
      <w:outlineLvl w:val="7"/>
    </w:pPr>
    <w:rPr>
      <w:rFonts w:asciiTheme="majorHAnsi" w:eastAsiaTheme="majorEastAsia" w:hAnsiTheme="majorHAnsi" w:cstheme="majorBidi"/>
      <w:color w:val="00835B" w:themeColor="text1" w:themeTint="D8"/>
      <w:sz w:val="21"/>
      <w:szCs w:val="21"/>
    </w:rPr>
  </w:style>
  <w:style w:type="paragraph" w:styleId="Heading9">
    <w:name w:val="heading 9"/>
    <w:basedOn w:val="Normal"/>
    <w:next w:val="Normal"/>
    <w:link w:val="Heading9Char"/>
    <w:uiPriority w:val="9"/>
    <w:semiHidden/>
    <w:unhideWhenUsed/>
    <w:qFormat/>
    <w:rsid w:val="0096075C"/>
    <w:pPr>
      <w:keepNext/>
      <w:keepLines/>
      <w:spacing w:before="40" w:after="0"/>
      <w:outlineLvl w:val="8"/>
    </w:pPr>
    <w:rPr>
      <w:rFonts w:asciiTheme="majorHAnsi" w:eastAsiaTheme="majorEastAsia" w:hAnsiTheme="majorHAnsi" w:cstheme="majorBidi"/>
      <w:i/>
      <w:iCs/>
      <w:color w:val="00835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1A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1A86"/>
  </w:style>
  <w:style w:type="paragraph" w:styleId="Footer">
    <w:name w:val="footer"/>
    <w:basedOn w:val="Normal"/>
    <w:link w:val="FooterChar"/>
    <w:uiPriority w:val="99"/>
    <w:unhideWhenUsed/>
    <w:rsid w:val="00DD1A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1A86"/>
  </w:style>
  <w:style w:type="paragraph" w:styleId="Title">
    <w:name w:val="Title"/>
    <w:basedOn w:val="Normal"/>
    <w:next w:val="Normal"/>
    <w:link w:val="TitleChar"/>
    <w:uiPriority w:val="10"/>
    <w:qFormat/>
    <w:rsid w:val="00EE1FE9"/>
    <w:pPr>
      <w:spacing w:after="0" w:line="192" w:lineRule="auto"/>
      <w:jc w:val="center"/>
    </w:pPr>
    <w:rPr>
      <w:rFonts w:asciiTheme="majorHAnsi" w:hAnsiTheme="majorHAnsi"/>
      <w:color w:val="FFFFFF" w:themeColor="background2"/>
      <w:sz w:val="144"/>
      <w:szCs w:val="144"/>
    </w:rPr>
  </w:style>
  <w:style w:type="character" w:customStyle="1" w:styleId="TitleChar">
    <w:name w:val="Title Char"/>
    <w:basedOn w:val="DefaultParagraphFont"/>
    <w:link w:val="Title"/>
    <w:uiPriority w:val="10"/>
    <w:rsid w:val="00EE1FE9"/>
    <w:rPr>
      <w:rFonts w:asciiTheme="majorHAnsi" w:hAnsiTheme="majorHAnsi"/>
      <w:color w:val="FFFFFF" w:themeColor="background2"/>
      <w:sz w:val="144"/>
      <w:szCs w:val="144"/>
    </w:rPr>
  </w:style>
  <w:style w:type="paragraph" w:customStyle="1" w:styleId="Year">
    <w:name w:val="Year"/>
    <w:basedOn w:val="Normal"/>
    <w:link w:val="YearChar"/>
    <w:qFormat/>
    <w:rsid w:val="00EE1FE9"/>
    <w:pPr>
      <w:spacing w:line="192" w:lineRule="auto"/>
      <w:jc w:val="center"/>
    </w:pPr>
    <w:rPr>
      <w:rFonts w:ascii="Futura PT Light" w:hAnsi="Futura PT Light"/>
      <w:color w:val="7EC352" w:themeColor="background1"/>
      <w:sz w:val="144"/>
      <w:szCs w:val="144"/>
    </w:rPr>
  </w:style>
  <w:style w:type="paragraph" w:styleId="Subtitle">
    <w:name w:val="Subtitle"/>
    <w:basedOn w:val="Normal"/>
    <w:next w:val="Normal"/>
    <w:link w:val="SubtitleChar"/>
    <w:uiPriority w:val="11"/>
    <w:qFormat/>
    <w:rsid w:val="00EE1FE9"/>
    <w:pPr>
      <w:spacing w:before="2700" w:after="0"/>
      <w:jc w:val="center"/>
    </w:pPr>
    <w:rPr>
      <w:rFonts w:asciiTheme="majorHAnsi" w:hAnsiTheme="majorHAnsi"/>
      <w:color w:val="FFFFFF" w:themeColor="background2"/>
      <w:sz w:val="28"/>
      <w:szCs w:val="28"/>
    </w:rPr>
  </w:style>
  <w:style w:type="character" w:customStyle="1" w:styleId="YearChar">
    <w:name w:val="Year Char"/>
    <w:basedOn w:val="DefaultParagraphFont"/>
    <w:link w:val="Year"/>
    <w:rsid w:val="00EE1FE9"/>
    <w:rPr>
      <w:rFonts w:ascii="Futura PT Light" w:hAnsi="Futura PT Light"/>
      <w:color w:val="7EC352" w:themeColor="background1"/>
      <w:sz w:val="144"/>
      <w:szCs w:val="144"/>
    </w:rPr>
  </w:style>
  <w:style w:type="character" w:customStyle="1" w:styleId="SubtitleChar">
    <w:name w:val="Subtitle Char"/>
    <w:basedOn w:val="DefaultParagraphFont"/>
    <w:link w:val="Subtitle"/>
    <w:uiPriority w:val="11"/>
    <w:rsid w:val="00EE1FE9"/>
    <w:rPr>
      <w:rFonts w:asciiTheme="majorHAnsi" w:hAnsiTheme="majorHAnsi"/>
      <w:color w:val="FFFFFF" w:themeColor="background2"/>
      <w:sz w:val="28"/>
      <w:szCs w:val="28"/>
    </w:rPr>
  </w:style>
  <w:style w:type="character" w:customStyle="1" w:styleId="Heading1Char">
    <w:name w:val="Heading 1 Char"/>
    <w:aliases w:val="H2 Char"/>
    <w:basedOn w:val="DefaultParagraphFont"/>
    <w:link w:val="Heading1"/>
    <w:uiPriority w:val="9"/>
    <w:rsid w:val="00C34F2A"/>
    <w:rPr>
      <w:rFonts w:asciiTheme="majorHAnsi" w:eastAsiaTheme="majorEastAsia" w:hAnsiTheme="majorHAnsi" w:cstheme="majorBidi"/>
      <w:color w:val="006B3E" w:themeColor="accent1" w:themeShade="BF"/>
      <w:spacing w:val="-12"/>
      <w:sz w:val="60"/>
      <w:szCs w:val="32"/>
    </w:rPr>
  </w:style>
  <w:style w:type="paragraph" w:customStyle="1" w:styleId="Body">
    <w:name w:val="Body"/>
    <w:basedOn w:val="Normal"/>
    <w:link w:val="BodyChar"/>
    <w:uiPriority w:val="99"/>
    <w:qFormat/>
    <w:rsid w:val="00C34F2A"/>
    <w:rPr>
      <w:color w:val="1C1C1C"/>
      <w:sz w:val="18"/>
      <w:szCs w:val="18"/>
    </w:rPr>
  </w:style>
  <w:style w:type="character" w:styleId="Hyperlink">
    <w:name w:val="Hyperlink"/>
    <w:basedOn w:val="DefaultParagraphFont"/>
    <w:uiPriority w:val="99"/>
    <w:unhideWhenUsed/>
    <w:rsid w:val="00C34F2A"/>
    <w:rPr>
      <w:color w:val="008F54" w:themeColor="hyperlink"/>
      <w:u w:val="single"/>
    </w:rPr>
  </w:style>
  <w:style w:type="character" w:customStyle="1" w:styleId="BodyChar">
    <w:name w:val="Body Char"/>
    <w:basedOn w:val="DefaultParagraphFont"/>
    <w:link w:val="Body"/>
    <w:uiPriority w:val="99"/>
    <w:rsid w:val="00C34F2A"/>
    <w:rPr>
      <w:color w:val="1C1C1C"/>
      <w:sz w:val="18"/>
      <w:szCs w:val="18"/>
    </w:rPr>
  </w:style>
  <w:style w:type="paragraph" w:customStyle="1" w:styleId="H4">
    <w:name w:val="H4"/>
    <w:basedOn w:val="Body"/>
    <w:link w:val="H4Char"/>
    <w:qFormat/>
    <w:rsid w:val="00F977A9"/>
    <w:pPr>
      <w:spacing w:before="240"/>
    </w:pPr>
    <w:rPr>
      <w:rFonts w:ascii="Futura PT Demi" w:hAnsi="Futura PT Demi"/>
      <w:bCs/>
      <w:sz w:val="22"/>
    </w:rPr>
  </w:style>
  <w:style w:type="character" w:customStyle="1" w:styleId="H4Char">
    <w:name w:val="H4 Char"/>
    <w:basedOn w:val="BodyChar"/>
    <w:link w:val="H4"/>
    <w:rsid w:val="00F977A9"/>
    <w:rPr>
      <w:rFonts w:ascii="Futura PT Demi" w:hAnsi="Futura PT Demi"/>
      <w:bCs/>
      <w:color w:val="1C1C1C"/>
      <w:sz w:val="18"/>
      <w:szCs w:val="18"/>
    </w:rPr>
  </w:style>
  <w:style w:type="character" w:customStyle="1" w:styleId="Heading2Char">
    <w:name w:val="Heading 2 Char"/>
    <w:basedOn w:val="DefaultParagraphFont"/>
    <w:link w:val="Heading2"/>
    <w:uiPriority w:val="9"/>
    <w:rsid w:val="00C34F2A"/>
    <w:rPr>
      <w:rFonts w:asciiTheme="majorHAnsi" w:eastAsiaTheme="majorEastAsia" w:hAnsiTheme="majorHAnsi" w:cstheme="majorBidi"/>
      <w:color w:val="006B3E" w:themeColor="accent1" w:themeShade="BF"/>
      <w:sz w:val="26"/>
      <w:szCs w:val="26"/>
    </w:rPr>
  </w:style>
  <w:style w:type="paragraph" w:customStyle="1" w:styleId="H3">
    <w:name w:val="H3"/>
    <w:basedOn w:val="H4"/>
    <w:link w:val="H3Char"/>
    <w:qFormat/>
    <w:rsid w:val="00081645"/>
    <w:rPr>
      <w:rFonts w:asciiTheme="majorHAnsi" w:hAnsiTheme="majorHAnsi"/>
      <w:color w:val="008F54" w:themeColor="accent1"/>
      <w:sz w:val="24"/>
      <w:szCs w:val="24"/>
    </w:rPr>
  </w:style>
  <w:style w:type="character" w:customStyle="1" w:styleId="H3Char">
    <w:name w:val="H3 Char"/>
    <w:basedOn w:val="H4Char"/>
    <w:link w:val="H3"/>
    <w:rsid w:val="00081645"/>
    <w:rPr>
      <w:rFonts w:asciiTheme="majorHAnsi" w:hAnsiTheme="majorHAnsi"/>
      <w:bCs/>
      <w:color w:val="008F54" w:themeColor="accent1"/>
      <w:sz w:val="24"/>
      <w:szCs w:val="24"/>
    </w:rPr>
  </w:style>
  <w:style w:type="paragraph" w:customStyle="1" w:styleId="Bullets">
    <w:name w:val="Bullets"/>
    <w:basedOn w:val="Body"/>
    <w:link w:val="BulletsChar"/>
    <w:qFormat/>
    <w:rsid w:val="00634DE7"/>
    <w:pPr>
      <w:numPr>
        <w:numId w:val="1"/>
      </w:numPr>
    </w:pPr>
  </w:style>
  <w:style w:type="character" w:customStyle="1" w:styleId="BulletsChar">
    <w:name w:val="Bullets Char"/>
    <w:basedOn w:val="BodyChar"/>
    <w:link w:val="Bullets"/>
    <w:rsid w:val="00634DE7"/>
    <w:rPr>
      <w:color w:val="1C1C1C"/>
      <w:sz w:val="18"/>
      <w:szCs w:val="18"/>
    </w:rPr>
  </w:style>
  <w:style w:type="paragraph" w:customStyle="1" w:styleId="BulletsL2">
    <w:name w:val="Bullets L2"/>
    <w:basedOn w:val="Bullets"/>
    <w:link w:val="BulletsL2Char"/>
    <w:qFormat/>
    <w:rsid w:val="00AA07F9"/>
    <w:pPr>
      <w:numPr>
        <w:ilvl w:val="1"/>
      </w:numPr>
      <w:ind w:left="851" w:hanging="284"/>
    </w:pPr>
  </w:style>
  <w:style w:type="paragraph" w:styleId="FootnoteText">
    <w:name w:val="footnote text"/>
    <w:basedOn w:val="Normal"/>
    <w:link w:val="FootnoteTextChar"/>
    <w:uiPriority w:val="99"/>
    <w:semiHidden/>
    <w:unhideWhenUsed/>
    <w:rsid w:val="00634DE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34DE7"/>
    <w:rPr>
      <w:sz w:val="20"/>
      <w:szCs w:val="20"/>
    </w:rPr>
  </w:style>
  <w:style w:type="character" w:styleId="FootnoteReference">
    <w:name w:val="footnote reference"/>
    <w:basedOn w:val="DefaultParagraphFont"/>
    <w:uiPriority w:val="99"/>
    <w:semiHidden/>
    <w:unhideWhenUsed/>
    <w:rsid w:val="00634DE7"/>
    <w:rPr>
      <w:vertAlign w:val="superscript"/>
    </w:rPr>
  </w:style>
  <w:style w:type="paragraph" w:customStyle="1" w:styleId="Footnotes">
    <w:name w:val="Footnotes"/>
    <w:basedOn w:val="FootnoteText"/>
    <w:link w:val="FootnotesChar"/>
    <w:qFormat/>
    <w:rsid w:val="00634DE7"/>
    <w:rPr>
      <w:color w:val="1C1C1C"/>
      <w:sz w:val="16"/>
      <w:szCs w:val="16"/>
    </w:rPr>
  </w:style>
  <w:style w:type="character" w:customStyle="1" w:styleId="FootnotesChar">
    <w:name w:val="Footnotes Char"/>
    <w:basedOn w:val="FootnoteTextChar"/>
    <w:link w:val="Footnotes"/>
    <w:rsid w:val="00634DE7"/>
    <w:rPr>
      <w:color w:val="1C1C1C"/>
      <w:sz w:val="16"/>
      <w:szCs w:val="16"/>
    </w:rPr>
  </w:style>
  <w:style w:type="paragraph" w:customStyle="1" w:styleId="Bulletslast">
    <w:name w:val="Bullets last"/>
    <w:basedOn w:val="Bullets"/>
    <w:link w:val="BulletslastChar"/>
    <w:qFormat/>
    <w:rsid w:val="00634DE7"/>
    <w:pPr>
      <w:spacing w:after="360"/>
    </w:pPr>
  </w:style>
  <w:style w:type="character" w:customStyle="1" w:styleId="BulletslastChar">
    <w:name w:val="Bullets last Char"/>
    <w:basedOn w:val="BulletsChar"/>
    <w:link w:val="Bulletslast"/>
    <w:rsid w:val="00634DE7"/>
    <w:rPr>
      <w:color w:val="1C1C1C"/>
      <w:sz w:val="18"/>
      <w:szCs w:val="18"/>
    </w:rPr>
  </w:style>
  <w:style w:type="character" w:styleId="SubtleReference">
    <w:name w:val="Subtle Reference"/>
    <w:basedOn w:val="DefaultParagraphFont"/>
    <w:uiPriority w:val="31"/>
    <w:qFormat/>
    <w:rsid w:val="00B85FD6"/>
    <w:rPr>
      <w:smallCaps/>
      <w:color w:val="00DC9A" w:themeColor="text1" w:themeTint="A5"/>
    </w:rPr>
  </w:style>
  <w:style w:type="table" w:styleId="TableGrid">
    <w:name w:val="Table Grid"/>
    <w:aliases w:val="Performance Criteria"/>
    <w:basedOn w:val="TableNormal"/>
    <w:uiPriority w:val="39"/>
    <w:rsid w:val="0087547F"/>
    <w:pPr>
      <w:spacing w:after="0" w:line="240" w:lineRule="auto"/>
    </w:pPr>
    <w:tblPr/>
    <w:trPr>
      <w:tblHeader/>
    </w:trPr>
    <w:tcPr>
      <w:shd w:val="clear" w:color="auto" w:fill="DCD3E2"/>
    </w:tcPr>
    <w:tblStylePr w:type="firstRow">
      <w:rPr>
        <w:color w:val="FFFFFF" w:themeColor="background2"/>
      </w:rPr>
      <w:tblPr/>
      <w:tcPr>
        <w:shd w:val="clear" w:color="auto" w:fill="5E2F7E" w:themeFill="accent5"/>
      </w:tcPr>
    </w:tblStylePr>
  </w:style>
  <w:style w:type="character" w:styleId="CommentReference">
    <w:name w:val="annotation reference"/>
    <w:basedOn w:val="DefaultParagraphFont"/>
    <w:uiPriority w:val="99"/>
    <w:unhideWhenUsed/>
    <w:rsid w:val="00375B9F"/>
    <w:rPr>
      <w:sz w:val="16"/>
      <w:szCs w:val="16"/>
    </w:rPr>
  </w:style>
  <w:style w:type="paragraph" w:styleId="CommentText">
    <w:name w:val="annotation text"/>
    <w:basedOn w:val="Normal"/>
    <w:link w:val="CommentTextChar"/>
    <w:uiPriority w:val="99"/>
    <w:unhideWhenUsed/>
    <w:rsid w:val="00375B9F"/>
    <w:pPr>
      <w:spacing w:line="240" w:lineRule="auto"/>
    </w:pPr>
    <w:rPr>
      <w:sz w:val="20"/>
      <w:szCs w:val="20"/>
    </w:rPr>
  </w:style>
  <w:style w:type="character" w:customStyle="1" w:styleId="CommentTextChar">
    <w:name w:val="Comment Text Char"/>
    <w:basedOn w:val="DefaultParagraphFont"/>
    <w:link w:val="CommentText"/>
    <w:uiPriority w:val="99"/>
    <w:rsid w:val="00375B9F"/>
    <w:rPr>
      <w:sz w:val="20"/>
      <w:szCs w:val="20"/>
    </w:rPr>
  </w:style>
  <w:style w:type="paragraph" w:customStyle="1" w:styleId="FigureHeading">
    <w:name w:val="Figure Heading"/>
    <w:basedOn w:val="H4"/>
    <w:link w:val="FigureHeadingChar"/>
    <w:qFormat/>
    <w:rsid w:val="007532FE"/>
  </w:style>
  <w:style w:type="character" w:customStyle="1" w:styleId="FigureHeadingChar">
    <w:name w:val="Figure Heading Char"/>
    <w:basedOn w:val="H4Char"/>
    <w:link w:val="FigureHeading"/>
    <w:rsid w:val="007532FE"/>
    <w:rPr>
      <w:rFonts w:ascii="Futura PT Demi" w:hAnsi="Futura PT Demi"/>
      <w:bCs/>
      <w:color w:val="1C1C1C"/>
      <w:sz w:val="18"/>
      <w:szCs w:val="18"/>
    </w:rPr>
  </w:style>
  <w:style w:type="paragraph" w:styleId="BalloonText">
    <w:name w:val="Balloon Text"/>
    <w:basedOn w:val="Normal"/>
    <w:link w:val="BalloonTextChar"/>
    <w:uiPriority w:val="99"/>
    <w:semiHidden/>
    <w:unhideWhenUsed/>
    <w:rsid w:val="009607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075C"/>
    <w:rPr>
      <w:rFonts w:ascii="Segoe UI" w:hAnsi="Segoe UI" w:cs="Segoe UI"/>
      <w:sz w:val="18"/>
      <w:szCs w:val="18"/>
    </w:rPr>
  </w:style>
  <w:style w:type="paragraph" w:styleId="Bibliography">
    <w:name w:val="Bibliography"/>
    <w:basedOn w:val="Normal"/>
    <w:next w:val="Normal"/>
    <w:uiPriority w:val="37"/>
    <w:semiHidden/>
    <w:unhideWhenUsed/>
    <w:rsid w:val="0096075C"/>
  </w:style>
  <w:style w:type="paragraph" w:styleId="BlockText">
    <w:name w:val="Block Text"/>
    <w:basedOn w:val="Normal"/>
    <w:uiPriority w:val="99"/>
    <w:semiHidden/>
    <w:unhideWhenUsed/>
    <w:rsid w:val="0096075C"/>
    <w:pPr>
      <w:pBdr>
        <w:top w:val="single" w:sz="2" w:space="10" w:color="008F54" w:themeColor="accent1"/>
        <w:left w:val="single" w:sz="2" w:space="10" w:color="008F54" w:themeColor="accent1"/>
        <w:bottom w:val="single" w:sz="2" w:space="10" w:color="008F54" w:themeColor="accent1"/>
        <w:right w:val="single" w:sz="2" w:space="10" w:color="008F54" w:themeColor="accent1"/>
      </w:pBdr>
      <w:ind w:left="1152" w:right="1152"/>
    </w:pPr>
    <w:rPr>
      <w:rFonts w:eastAsiaTheme="minorEastAsia"/>
      <w:i/>
      <w:iCs/>
      <w:color w:val="008F54" w:themeColor="accent1"/>
    </w:rPr>
  </w:style>
  <w:style w:type="paragraph" w:styleId="BodyText">
    <w:name w:val="Body Text"/>
    <w:basedOn w:val="Normal"/>
    <w:link w:val="BodyTextChar"/>
    <w:uiPriority w:val="99"/>
    <w:semiHidden/>
    <w:unhideWhenUsed/>
    <w:rsid w:val="0096075C"/>
    <w:pPr>
      <w:spacing w:after="120"/>
    </w:pPr>
  </w:style>
  <w:style w:type="character" w:customStyle="1" w:styleId="BodyTextChar">
    <w:name w:val="Body Text Char"/>
    <w:basedOn w:val="DefaultParagraphFont"/>
    <w:link w:val="BodyText"/>
    <w:uiPriority w:val="99"/>
    <w:semiHidden/>
    <w:rsid w:val="0096075C"/>
  </w:style>
  <w:style w:type="paragraph" w:styleId="BodyText2">
    <w:name w:val="Body Text 2"/>
    <w:basedOn w:val="Normal"/>
    <w:link w:val="BodyText2Char"/>
    <w:uiPriority w:val="99"/>
    <w:semiHidden/>
    <w:unhideWhenUsed/>
    <w:rsid w:val="0096075C"/>
    <w:pPr>
      <w:spacing w:after="120" w:line="480" w:lineRule="auto"/>
    </w:pPr>
  </w:style>
  <w:style w:type="character" w:customStyle="1" w:styleId="BodyText2Char">
    <w:name w:val="Body Text 2 Char"/>
    <w:basedOn w:val="DefaultParagraphFont"/>
    <w:link w:val="BodyText2"/>
    <w:uiPriority w:val="99"/>
    <w:semiHidden/>
    <w:rsid w:val="0096075C"/>
  </w:style>
  <w:style w:type="paragraph" w:styleId="BodyText3">
    <w:name w:val="Body Text 3"/>
    <w:basedOn w:val="Normal"/>
    <w:link w:val="BodyText3Char"/>
    <w:uiPriority w:val="99"/>
    <w:semiHidden/>
    <w:unhideWhenUsed/>
    <w:rsid w:val="0096075C"/>
    <w:pPr>
      <w:spacing w:after="120"/>
    </w:pPr>
    <w:rPr>
      <w:sz w:val="16"/>
      <w:szCs w:val="16"/>
    </w:rPr>
  </w:style>
  <w:style w:type="character" w:customStyle="1" w:styleId="BodyText3Char">
    <w:name w:val="Body Text 3 Char"/>
    <w:basedOn w:val="DefaultParagraphFont"/>
    <w:link w:val="BodyText3"/>
    <w:uiPriority w:val="99"/>
    <w:semiHidden/>
    <w:rsid w:val="0096075C"/>
    <w:rPr>
      <w:sz w:val="16"/>
      <w:szCs w:val="16"/>
    </w:rPr>
  </w:style>
  <w:style w:type="paragraph" w:styleId="BodyTextFirstIndent">
    <w:name w:val="Body Text First Indent"/>
    <w:basedOn w:val="BodyText"/>
    <w:link w:val="BodyTextFirstIndentChar"/>
    <w:uiPriority w:val="99"/>
    <w:semiHidden/>
    <w:unhideWhenUsed/>
    <w:rsid w:val="0096075C"/>
    <w:pPr>
      <w:spacing w:after="160"/>
      <w:ind w:firstLine="360"/>
    </w:pPr>
  </w:style>
  <w:style w:type="character" w:customStyle="1" w:styleId="BodyTextFirstIndentChar">
    <w:name w:val="Body Text First Indent Char"/>
    <w:basedOn w:val="BodyTextChar"/>
    <w:link w:val="BodyTextFirstIndent"/>
    <w:uiPriority w:val="99"/>
    <w:semiHidden/>
    <w:rsid w:val="0096075C"/>
  </w:style>
  <w:style w:type="paragraph" w:styleId="BodyTextIndent">
    <w:name w:val="Body Text Indent"/>
    <w:basedOn w:val="Normal"/>
    <w:link w:val="BodyTextIndentChar"/>
    <w:uiPriority w:val="99"/>
    <w:semiHidden/>
    <w:unhideWhenUsed/>
    <w:rsid w:val="0096075C"/>
    <w:pPr>
      <w:spacing w:after="120"/>
      <w:ind w:left="283"/>
    </w:pPr>
  </w:style>
  <w:style w:type="character" w:customStyle="1" w:styleId="BodyTextIndentChar">
    <w:name w:val="Body Text Indent Char"/>
    <w:basedOn w:val="DefaultParagraphFont"/>
    <w:link w:val="BodyTextIndent"/>
    <w:uiPriority w:val="99"/>
    <w:semiHidden/>
    <w:rsid w:val="0096075C"/>
  </w:style>
  <w:style w:type="paragraph" w:styleId="BodyTextFirstIndent2">
    <w:name w:val="Body Text First Indent 2"/>
    <w:basedOn w:val="BodyTextIndent"/>
    <w:link w:val="BodyTextFirstIndent2Char"/>
    <w:uiPriority w:val="99"/>
    <w:semiHidden/>
    <w:unhideWhenUsed/>
    <w:rsid w:val="0096075C"/>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96075C"/>
  </w:style>
  <w:style w:type="paragraph" w:styleId="BodyTextIndent2">
    <w:name w:val="Body Text Indent 2"/>
    <w:basedOn w:val="Normal"/>
    <w:link w:val="BodyTextIndent2Char"/>
    <w:uiPriority w:val="99"/>
    <w:semiHidden/>
    <w:unhideWhenUsed/>
    <w:rsid w:val="0096075C"/>
    <w:pPr>
      <w:spacing w:after="120" w:line="480" w:lineRule="auto"/>
      <w:ind w:left="283"/>
    </w:pPr>
  </w:style>
  <w:style w:type="character" w:customStyle="1" w:styleId="BodyTextIndent2Char">
    <w:name w:val="Body Text Indent 2 Char"/>
    <w:basedOn w:val="DefaultParagraphFont"/>
    <w:link w:val="BodyTextIndent2"/>
    <w:uiPriority w:val="99"/>
    <w:semiHidden/>
    <w:rsid w:val="0096075C"/>
  </w:style>
  <w:style w:type="paragraph" w:styleId="BodyTextIndent3">
    <w:name w:val="Body Text Indent 3"/>
    <w:basedOn w:val="Normal"/>
    <w:link w:val="BodyTextIndent3Char"/>
    <w:uiPriority w:val="99"/>
    <w:semiHidden/>
    <w:unhideWhenUsed/>
    <w:rsid w:val="0096075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6075C"/>
    <w:rPr>
      <w:sz w:val="16"/>
      <w:szCs w:val="16"/>
    </w:rPr>
  </w:style>
  <w:style w:type="paragraph" w:styleId="Caption">
    <w:name w:val="caption"/>
    <w:basedOn w:val="Normal"/>
    <w:next w:val="Normal"/>
    <w:uiPriority w:val="35"/>
    <w:semiHidden/>
    <w:unhideWhenUsed/>
    <w:qFormat/>
    <w:rsid w:val="0096075C"/>
    <w:pPr>
      <w:spacing w:after="200" w:line="240" w:lineRule="auto"/>
    </w:pPr>
    <w:rPr>
      <w:i/>
      <w:iCs/>
      <w:color w:val="003F2C" w:themeColor="text2"/>
      <w:sz w:val="18"/>
      <w:szCs w:val="18"/>
    </w:rPr>
  </w:style>
  <w:style w:type="paragraph" w:styleId="Closing">
    <w:name w:val="Closing"/>
    <w:basedOn w:val="Normal"/>
    <w:link w:val="ClosingChar"/>
    <w:uiPriority w:val="99"/>
    <w:semiHidden/>
    <w:unhideWhenUsed/>
    <w:rsid w:val="0096075C"/>
    <w:pPr>
      <w:spacing w:after="0" w:line="240" w:lineRule="auto"/>
      <w:ind w:left="4252"/>
    </w:pPr>
  </w:style>
  <w:style w:type="character" w:customStyle="1" w:styleId="ClosingChar">
    <w:name w:val="Closing Char"/>
    <w:basedOn w:val="DefaultParagraphFont"/>
    <w:link w:val="Closing"/>
    <w:uiPriority w:val="99"/>
    <w:semiHidden/>
    <w:rsid w:val="0096075C"/>
  </w:style>
  <w:style w:type="paragraph" w:styleId="CommentSubject">
    <w:name w:val="annotation subject"/>
    <w:basedOn w:val="CommentText"/>
    <w:next w:val="CommentText"/>
    <w:link w:val="CommentSubjectChar"/>
    <w:uiPriority w:val="99"/>
    <w:semiHidden/>
    <w:unhideWhenUsed/>
    <w:rsid w:val="0096075C"/>
    <w:rPr>
      <w:b/>
      <w:bCs/>
    </w:rPr>
  </w:style>
  <w:style w:type="character" w:customStyle="1" w:styleId="CommentSubjectChar">
    <w:name w:val="Comment Subject Char"/>
    <w:basedOn w:val="CommentTextChar"/>
    <w:link w:val="CommentSubject"/>
    <w:uiPriority w:val="99"/>
    <w:semiHidden/>
    <w:rsid w:val="0096075C"/>
    <w:rPr>
      <w:b/>
      <w:bCs/>
      <w:sz w:val="20"/>
      <w:szCs w:val="20"/>
    </w:rPr>
  </w:style>
  <w:style w:type="paragraph" w:styleId="Date">
    <w:name w:val="Date"/>
    <w:basedOn w:val="Normal"/>
    <w:next w:val="Normal"/>
    <w:link w:val="DateChar"/>
    <w:uiPriority w:val="99"/>
    <w:semiHidden/>
    <w:unhideWhenUsed/>
    <w:rsid w:val="0096075C"/>
  </w:style>
  <w:style w:type="character" w:customStyle="1" w:styleId="DateChar">
    <w:name w:val="Date Char"/>
    <w:basedOn w:val="DefaultParagraphFont"/>
    <w:link w:val="Date"/>
    <w:uiPriority w:val="99"/>
    <w:semiHidden/>
    <w:rsid w:val="0096075C"/>
  </w:style>
  <w:style w:type="paragraph" w:styleId="DocumentMap">
    <w:name w:val="Document Map"/>
    <w:basedOn w:val="Normal"/>
    <w:link w:val="DocumentMapChar"/>
    <w:uiPriority w:val="99"/>
    <w:semiHidden/>
    <w:unhideWhenUsed/>
    <w:rsid w:val="0096075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6075C"/>
    <w:rPr>
      <w:rFonts w:ascii="Segoe UI" w:hAnsi="Segoe UI" w:cs="Segoe UI"/>
      <w:sz w:val="16"/>
      <w:szCs w:val="16"/>
    </w:rPr>
  </w:style>
  <w:style w:type="paragraph" w:styleId="E-mailSignature">
    <w:name w:val="E-mail Signature"/>
    <w:basedOn w:val="Normal"/>
    <w:link w:val="E-mailSignatureChar"/>
    <w:uiPriority w:val="99"/>
    <w:semiHidden/>
    <w:unhideWhenUsed/>
    <w:rsid w:val="0096075C"/>
    <w:pPr>
      <w:spacing w:after="0" w:line="240" w:lineRule="auto"/>
    </w:pPr>
  </w:style>
  <w:style w:type="character" w:customStyle="1" w:styleId="E-mailSignatureChar">
    <w:name w:val="E-mail Signature Char"/>
    <w:basedOn w:val="DefaultParagraphFont"/>
    <w:link w:val="E-mailSignature"/>
    <w:uiPriority w:val="99"/>
    <w:semiHidden/>
    <w:rsid w:val="0096075C"/>
  </w:style>
  <w:style w:type="paragraph" w:styleId="EndnoteText">
    <w:name w:val="endnote text"/>
    <w:basedOn w:val="Normal"/>
    <w:link w:val="EndnoteTextChar"/>
    <w:uiPriority w:val="99"/>
    <w:semiHidden/>
    <w:unhideWhenUsed/>
    <w:rsid w:val="0096075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6075C"/>
    <w:rPr>
      <w:sz w:val="20"/>
      <w:szCs w:val="20"/>
    </w:rPr>
  </w:style>
  <w:style w:type="paragraph" w:styleId="EnvelopeAddress">
    <w:name w:val="envelope address"/>
    <w:basedOn w:val="Normal"/>
    <w:uiPriority w:val="99"/>
    <w:semiHidden/>
    <w:unhideWhenUsed/>
    <w:rsid w:val="0096075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96075C"/>
    <w:pPr>
      <w:spacing w:after="0" w:line="240" w:lineRule="auto"/>
    </w:pPr>
    <w:rPr>
      <w:rFonts w:asciiTheme="majorHAnsi" w:eastAsiaTheme="majorEastAsia" w:hAnsiTheme="majorHAnsi" w:cstheme="majorBidi"/>
      <w:sz w:val="20"/>
      <w:szCs w:val="20"/>
    </w:rPr>
  </w:style>
  <w:style w:type="character" w:customStyle="1" w:styleId="Heading3Char">
    <w:name w:val="Heading 3 Char"/>
    <w:basedOn w:val="DefaultParagraphFont"/>
    <w:link w:val="Heading3"/>
    <w:uiPriority w:val="9"/>
    <w:semiHidden/>
    <w:rsid w:val="0096075C"/>
    <w:rPr>
      <w:rFonts w:asciiTheme="majorHAnsi" w:eastAsiaTheme="majorEastAsia" w:hAnsiTheme="majorHAnsi" w:cstheme="majorBidi"/>
      <w:color w:val="004729" w:themeColor="accent1" w:themeShade="7F"/>
      <w:sz w:val="24"/>
      <w:szCs w:val="24"/>
    </w:rPr>
  </w:style>
  <w:style w:type="character" w:customStyle="1" w:styleId="Heading4Char">
    <w:name w:val="Heading 4 Char"/>
    <w:basedOn w:val="DefaultParagraphFont"/>
    <w:link w:val="Heading4"/>
    <w:uiPriority w:val="9"/>
    <w:semiHidden/>
    <w:rsid w:val="0096075C"/>
    <w:rPr>
      <w:rFonts w:asciiTheme="majorHAnsi" w:eastAsiaTheme="majorEastAsia" w:hAnsiTheme="majorHAnsi" w:cstheme="majorBidi"/>
      <w:i/>
      <w:iCs/>
      <w:color w:val="006B3E" w:themeColor="accent1" w:themeShade="BF"/>
    </w:rPr>
  </w:style>
  <w:style w:type="character" w:customStyle="1" w:styleId="Heading5Char">
    <w:name w:val="Heading 5 Char"/>
    <w:basedOn w:val="DefaultParagraphFont"/>
    <w:link w:val="Heading5"/>
    <w:uiPriority w:val="9"/>
    <w:semiHidden/>
    <w:rsid w:val="0096075C"/>
    <w:rPr>
      <w:rFonts w:asciiTheme="majorHAnsi" w:eastAsiaTheme="majorEastAsia" w:hAnsiTheme="majorHAnsi" w:cstheme="majorBidi"/>
      <w:color w:val="006B3E" w:themeColor="accent1" w:themeShade="BF"/>
    </w:rPr>
  </w:style>
  <w:style w:type="character" w:customStyle="1" w:styleId="Heading6Char">
    <w:name w:val="Heading 6 Char"/>
    <w:basedOn w:val="DefaultParagraphFont"/>
    <w:link w:val="Heading6"/>
    <w:uiPriority w:val="9"/>
    <w:semiHidden/>
    <w:rsid w:val="0096075C"/>
    <w:rPr>
      <w:rFonts w:asciiTheme="majorHAnsi" w:eastAsiaTheme="majorEastAsia" w:hAnsiTheme="majorHAnsi" w:cstheme="majorBidi"/>
      <w:color w:val="004729" w:themeColor="accent1" w:themeShade="7F"/>
    </w:rPr>
  </w:style>
  <w:style w:type="character" w:customStyle="1" w:styleId="Heading7Char">
    <w:name w:val="Heading 7 Char"/>
    <w:basedOn w:val="DefaultParagraphFont"/>
    <w:link w:val="Heading7"/>
    <w:uiPriority w:val="9"/>
    <w:semiHidden/>
    <w:rsid w:val="0096075C"/>
    <w:rPr>
      <w:rFonts w:asciiTheme="majorHAnsi" w:eastAsiaTheme="majorEastAsia" w:hAnsiTheme="majorHAnsi" w:cstheme="majorBidi"/>
      <w:i/>
      <w:iCs/>
      <w:color w:val="004729" w:themeColor="accent1" w:themeShade="7F"/>
    </w:rPr>
  </w:style>
  <w:style w:type="character" w:customStyle="1" w:styleId="Heading8Char">
    <w:name w:val="Heading 8 Char"/>
    <w:basedOn w:val="DefaultParagraphFont"/>
    <w:link w:val="Heading8"/>
    <w:uiPriority w:val="9"/>
    <w:semiHidden/>
    <w:rsid w:val="0096075C"/>
    <w:rPr>
      <w:rFonts w:asciiTheme="majorHAnsi" w:eastAsiaTheme="majorEastAsia" w:hAnsiTheme="majorHAnsi" w:cstheme="majorBidi"/>
      <w:color w:val="00835B" w:themeColor="text1" w:themeTint="D8"/>
      <w:sz w:val="21"/>
      <w:szCs w:val="21"/>
    </w:rPr>
  </w:style>
  <w:style w:type="character" w:customStyle="1" w:styleId="Heading9Char">
    <w:name w:val="Heading 9 Char"/>
    <w:basedOn w:val="DefaultParagraphFont"/>
    <w:link w:val="Heading9"/>
    <w:uiPriority w:val="9"/>
    <w:semiHidden/>
    <w:rsid w:val="0096075C"/>
    <w:rPr>
      <w:rFonts w:asciiTheme="majorHAnsi" w:eastAsiaTheme="majorEastAsia" w:hAnsiTheme="majorHAnsi" w:cstheme="majorBidi"/>
      <w:i/>
      <w:iCs/>
      <w:color w:val="00835B" w:themeColor="text1" w:themeTint="D8"/>
      <w:sz w:val="21"/>
      <w:szCs w:val="21"/>
    </w:rPr>
  </w:style>
  <w:style w:type="paragraph" w:styleId="HTMLAddress">
    <w:name w:val="HTML Address"/>
    <w:basedOn w:val="Normal"/>
    <w:link w:val="HTMLAddressChar"/>
    <w:uiPriority w:val="99"/>
    <w:semiHidden/>
    <w:unhideWhenUsed/>
    <w:rsid w:val="0096075C"/>
    <w:pPr>
      <w:spacing w:after="0" w:line="240" w:lineRule="auto"/>
    </w:pPr>
    <w:rPr>
      <w:i/>
      <w:iCs/>
    </w:rPr>
  </w:style>
  <w:style w:type="character" w:customStyle="1" w:styleId="HTMLAddressChar">
    <w:name w:val="HTML Address Char"/>
    <w:basedOn w:val="DefaultParagraphFont"/>
    <w:link w:val="HTMLAddress"/>
    <w:uiPriority w:val="99"/>
    <w:semiHidden/>
    <w:rsid w:val="0096075C"/>
    <w:rPr>
      <w:i/>
      <w:iCs/>
    </w:rPr>
  </w:style>
  <w:style w:type="paragraph" w:styleId="HTMLPreformatted">
    <w:name w:val="HTML Preformatted"/>
    <w:basedOn w:val="Normal"/>
    <w:link w:val="HTMLPreformattedChar"/>
    <w:uiPriority w:val="99"/>
    <w:semiHidden/>
    <w:unhideWhenUsed/>
    <w:rsid w:val="0096075C"/>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6075C"/>
    <w:rPr>
      <w:rFonts w:ascii="Consolas" w:hAnsi="Consolas"/>
      <w:sz w:val="20"/>
      <w:szCs w:val="20"/>
    </w:rPr>
  </w:style>
  <w:style w:type="paragraph" w:styleId="Index1">
    <w:name w:val="index 1"/>
    <w:basedOn w:val="Normal"/>
    <w:next w:val="Normal"/>
    <w:autoRedefine/>
    <w:uiPriority w:val="99"/>
    <w:semiHidden/>
    <w:unhideWhenUsed/>
    <w:rsid w:val="0096075C"/>
    <w:pPr>
      <w:spacing w:after="0" w:line="240" w:lineRule="auto"/>
      <w:ind w:left="220" w:hanging="220"/>
    </w:pPr>
  </w:style>
  <w:style w:type="paragraph" w:styleId="Index2">
    <w:name w:val="index 2"/>
    <w:basedOn w:val="Normal"/>
    <w:next w:val="Normal"/>
    <w:autoRedefine/>
    <w:uiPriority w:val="99"/>
    <w:semiHidden/>
    <w:unhideWhenUsed/>
    <w:rsid w:val="0096075C"/>
    <w:pPr>
      <w:spacing w:after="0" w:line="240" w:lineRule="auto"/>
      <w:ind w:left="440" w:hanging="220"/>
    </w:pPr>
  </w:style>
  <w:style w:type="paragraph" w:styleId="Index3">
    <w:name w:val="index 3"/>
    <w:basedOn w:val="Normal"/>
    <w:next w:val="Normal"/>
    <w:autoRedefine/>
    <w:uiPriority w:val="99"/>
    <w:semiHidden/>
    <w:unhideWhenUsed/>
    <w:rsid w:val="0096075C"/>
    <w:pPr>
      <w:spacing w:after="0" w:line="240" w:lineRule="auto"/>
      <w:ind w:left="660" w:hanging="220"/>
    </w:pPr>
  </w:style>
  <w:style w:type="paragraph" w:styleId="Index4">
    <w:name w:val="index 4"/>
    <w:basedOn w:val="Normal"/>
    <w:next w:val="Normal"/>
    <w:autoRedefine/>
    <w:uiPriority w:val="99"/>
    <w:semiHidden/>
    <w:unhideWhenUsed/>
    <w:rsid w:val="0096075C"/>
    <w:pPr>
      <w:spacing w:after="0" w:line="240" w:lineRule="auto"/>
      <w:ind w:left="880" w:hanging="220"/>
    </w:pPr>
  </w:style>
  <w:style w:type="paragraph" w:styleId="Index5">
    <w:name w:val="index 5"/>
    <w:basedOn w:val="Normal"/>
    <w:next w:val="Normal"/>
    <w:autoRedefine/>
    <w:uiPriority w:val="99"/>
    <w:semiHidden/>
    <w:unhideWhenUsed/>
    <w:rsid w:val="0096075C"/>
    <w:pPr>
      <w:spacing w:after="0" w:line="240" w:lineRule="auto"/>
      <w:ind w:left="1100" w:hanging="220"/>
    </w:pPr>
  </w:style>
  <w:style w:type="paragraph" w:styleId="Index6">
    <w:name w:val="index 6"/>
    <w:basedOn w:val="Normal"/>
    <w:next w:val="Normal"/>
    <w:autoRedefine/>
    <w:uiPriority w:val="99"/>
    <w:semiHidden/>
    <w:unhideWhenUsed/>
    <w:rsid w:val="0096075C"/>
    <w:pPr>
      <w:spacing w:after="0" w:line="240" w:lineRule="auto"/>
      <w:ind w:left="1320" w:hanging="220"/>
    </w:pPr>
  </w:style>
  <w:style w:type="paragraph" w:styleId="Index7">
    <w:name w:val="index 7"/>
    <w:basedOn w:val="Normal"/>
    <w:next w:val="Normal"/>
    <w:autoRedefine/>
    <w:uiPriority w:val="99"/>
    <w:semiHidden/>
    <w:unhideWhenUsed/>
    <w:rsid w:val="0096075C"/>
    <w:pPr>
      <w:spacing w:after="0" w:line="240" w:lineRule="auto"/>
      <w:ind w:left="1540" w:hanging="220"/>
    </w:pPr>
  </w:style>
  <w:style w:type="paragraph" w:styleId="Index8">
    <w:name w:val="index 8"/>
    <w:basedOn w:val="Normal"/>
    <w:next w:val="Normal"/>
    <w:autoRedefine/>
    <w:uiPriority w:val="99"/>
    <w:semiHidden/>
    <w:unhideWhenUsed/>
    <w:rsid w:val="0096075C"/>
    <w:pPr>
      <w:spacing w:after="0" w:line="240" w:lineRule="auto"/>
      <w:ind w:left="1760" w:hanging="220"/>
    </w:pPr>
  </w:style>
  <w:style w:type="paragraph" w:styleId="Index9">
    <w:name w:val="index 9"/>
    <w:basedOn w:val="Normal"/>
    <w:next w:val="Normal"/>
    <w:autoRedefine/>
    <w:uiPriority w:val="99"/>
    <w:semiHidden/>
    <w:unhideWhenUsed/>
    <w:rsid w:val="0096075C"/>
    <w:pPr>
      <w:spacing w:after="0" w:line="240" w:lineRule="auto"/>
      <w:ind w:left="1980" w:hanging="220"/>
    </w:pPr>
  </w:style>
  <w:style w:type="paragraph" w:styleId="IndexHeading">
    <w:name w:val="index heading"/>
    <w:basedOn w:val="Normal"/>
    <w:next w:val="Index1"/>
    <w:uiPriority w:val="99"/>
    <w:semiHidden/>
    <w:unhideWhenUsed/>
    <w:rsid w:val="0096075C"/>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96075C"/>
    <w:pPr>
      <w:pBdr>
        <w:top w:val="single" w:sz="4" w:space="10" w:color="008F54" w:themeColor="accent1"/>
        <w:bottom w:val="single" w:sz="4" w:space="10" w:color="008F54" w:themeColor="accent1"/>
      </w:pBdr>
      <w:spacing w:before="360" w:after="360"/>
      <w:ind w:left="864" w:right="864"/>
      <w:jc w:val="center"/>
    </w:pPr>
    <w:rPr>
      <w:i/>
      <w:iCs/>
      <w:color w:val="008F54" w:themeColor="accent1"/>
    </w:rPr>
  </w:style>
  <w:style w:type="character" w:customStyle="1" w:styleId="IntenseQuoteChar">
    <w:name w:val="Intense Quote Char"/>
    <w:basedOn w:val="DefaultParagraphFont"/>
    <w:link w:val="IntenseQuote"/>
    <w:uiPriority w:val="30"/>
    <w:rsid w:val="0096075C"/>
    <w:rPr>
      <w:i/>
      <w:iCs/>
      <w:color w:val="008F54" w:themeColor="accent1"/>
    </w:rPr>
  </w:style>
  <w:style w:type="paragraph" w:styleId="List">
    <w:name w:val="List"/>
    <w:basedOn w:val="Normal"/>
    <w:uiPriority w:val="99"/>
    <w:semiHidden/>
    <w:unhideWhenUsed/>
    <w:rsid w:val="0096075C"/>
    <w:pPr>
      <w:ind w:left="283" w:hanging="283"/>
      <w:contextualSpacing/>
    </w:pPr>
  </w:style>
  <w:style w:type="paragraph" w:styleId="List2">
    <w:name w:val="List 2"/>
    <w:basedOn w:val="Normal"/>
    <w:uiPriority w:val="99"/>
    <w:semiHidden/>
    <w:unhideWhenUsed/>
    <w:rsid w:val="0096075C"/>
    <w:pPr>
      <w:ind w:left="566" w:hanging="283"/>
      <w:contextualSpacing/>
    </w:pPr>
  </w:style>
  <w:style w:type="paragraph" w:styleId="List3">
    <w:name w:val="List 3"/>
    <w:basedOn w:val="Normal"/>
    <w:uiPriority w:val="99"/>
    <w:semiHidden/>
    <w:unhideWhenUsed/>
    <w:rsid w:val="0096075C"/>
    <w:pPr>
      <w:ind w:left="849" w:hanging="283"/>
      <w:contextualSpacing/>
    </w:pPr>
  </w:style>
  <w:style w:type="paragraph" w:styleId="List4">
    <w:name w:val="List 4"/>
    <w:basedOn w:val="Normal"/>
    <w:uiPriority w:val="99"/>
    <w:semiHidden/>
    <w:unhideWhenUsed/>
    <w:rsid w:val="0096075C"/>
    <w:pPr>
      <w:ind w:left="1132" w:hanging="283"/>
      <w:contextualSpacing/>
    </w:pPr>
  </w:style>
  <w:style w:type="paragraph" w:styleId="List5">
    <w:name w:val="List 5"/>
    <w:basedOn w:val="Normal"/>
    <w:uiPriority w:val="99"/>
    <w:semiHidden/>
    <w:unhideWhenUsed/>
    <w:rsid w:val="0096075C"/>
    <w:pPr>
      <w:ind w:left="1415" w:hanging="283"/>
      <w:contextualSpacing/>
    </w:pPr>
  </w:style>
  <w:style w:type="paragraph" w:styleId="ListBullet">
    <w:name w:val="List Bullet"/>
    <w:basedOn w:val="Normal"/>
    <w:uiPriority w:val="99"/>
    <w:semiHidden/>
    <w:unhideWhenUsed/>
    <w:rsid w:val="0096075C"/>
    <w:pPr>
      <w:numPr>
        <w:numId w:val="2"/>
      </w:numPr>
      <w:contextualSpacing/>
    </w:pPr>
  </w:style>
  <w:style w:type="paragraph" w:styleId="ListBullet2">
    <w:name w:val="List Bullet 2"/>
    <w:basedOn w:val="Normal"/>
    <w:uiPriority w:val="99"/>
    <w:semiHidden/>
    <w:unhideWhenUsed/>
    <w:rsid w:val="0096075C"/>
    <w:pPr>
      <w:numPr>
        <w:numId w:val="3"/>
      </w:numPr>
      <w:contextualSpacing/>
    </w:pPr>
  </w:style>
  <w:style w:type="paragraph" w:styleId="ListBullet3">
    <w:name w:val="List Bullet 3"/>
    <w:basedOn w:val="Normal"/>
    <w:uiPriority w:val="99"/>
    <w:semiHidden/>
    <w:unhideWhenUsed/>
    <w:rsid w:val="0096075C"/>
    <w:pPr>
      <w:numPr>
        <w:numId w:val="4"/>
      </w:numPr>
      <w:contextualSpacing/>
    </w:pPr>
  </w:style>
  <w:style w:type="paragraph" w:styleId="ListBullet4">
    <w:name w:val="List Bullet 4"/>
    <w:basedOn w:val="Normal"/>
    <w:uiPriority w:val="99"/>
    <w:semiHidden/>
    <w:unhideWhenUsed/>
    <w:rsid w:val="0096075C"/>
    <w:pPr>
      <w:numPr>
        <w:numId w:val="5"/>
      </w:numPr>
      <w:contextualSpacing/>
    </w:pPr>
  </w:style>
  <w:style w:type="paragraph" w:styleId="ListBullet5">
    <w:name w:val="List Bullet 5"/>
    <w:basedOn w:val="Normal"/>
    <w:uiPriority w:val="99"/>
    <w:semiHidden/>
    <w:unhideWhenUsed/>
    <w:rsid w:val="0096075C"/>
    <w:pPr>
      <w:numPr>
        <w:numId w:val="6"/>
      </w:numPr>
      <w:contextualSpacing/>
    </w:pPr>
  </w:style>
  <w:style w:type="paragraph" w:styleId="ListContinue">
    <w:name w:val="List Continue"/>
    <w:basedOn w:val="Normal"/>
    <w:uiPriority w:val="99"/>
    <w:semiHidden/>
    <w:unhideWhenUsed/>
    <w:rsid w:val="0096075C"/>
    <w:pPr>
      <w:spacing w:after="120"/>
      <w:ind w:left="283"/>
      <w:contextualSpacing/>
    </w:pPr>
  </w:style>
  <w:style w:type="paragraph" w:styleId="ListContinue2">
    <w:name w:val="List Continue 2"/>
    <w:basedOn w:val="Normal"/>
    <w:uiPriority w:val="99"/>
    <w:semiHidden/>
    <w:unhideWhenUsed/>
    <w:rsid w:val="0096075C"/>
    <w:pPr>
      <w:spacing w:after="120"/>
      <w:ind w:left="566"/>
      <w:contextualSpacing/>
    </w:pPr>
  </w:style>
  <w:style w:type="paragraph" w:styleId="ListContinue3">
    <w:name w:val="List Continue 3"/>
    <w:basedOn w:val="Normal"/>
    <w:uiPriority w:val="99"/>
    <w:semiHidden/>
    <w:unhideWhenUsed/>
    <w:rsid w:val="0096075C"/>
    <w:pPr>
      <w:spacing w:after="120"/>
      <w:ind w:left="849"/>
      <w:contextualSpacing/>
    </w:pPr>
  </w:style>
  <w:style w:type="paragraph" w:styleId="ListContinue4">
    <w:name w:val="List Continue 4"/>
    <w:basedOn w:val="Normal"/>
    <w:uiPriority w:val="99"/>
    <w:semiHidden/>
    <w:unhideWhenUsed/>
    <w:rsid w:val="0096075C"/>
    <w:pPr>
      <w:spacing w:after="120"/>
      <w:ind w:left="1132"/>
      <w:contextualSpacing/>
    </w:pPr>
  </w:style>
  <w:style w:type="paragraph" w:styleId="ListContinue5">
    <w:name w:val="List Continue 5"/>
    <w:basedOn w:val="Normal"/>
    <w:uiPriority w:val="99"/>
    <w:semiHidden/>
    <w:unhideWhenUsed/>
    <w:rsid w:val="0096075C"/>
    <w:pPr>
      <w:spacing w:after="120"/>
      <w:ind w:left="1415"/>
      <w:contextualSpacing/>
    </w:pPr>
  </w:style>
  <w:style w:type="paragraph" w:styleId="ListNumber">
    <w:name w:val="List Number"/>
    <w:basedOn w:val="Normal"/>
    <w:uiPriority w:val="99"/>
    <w:semiHidden/>
    <w:unhideWhenUsed/>
    <w:rsid w:val="0096075C"/>
    <w:pPr>
      <w:numPr>
        <w:numId w:val="7"/>
      </w:numPr>
      <w:contextualSpacing/>
    </w:pPr>
  </w:style>
  <w:style w:type="paragraph" w:styleId="ListNumber2">
    <w:name w:val="List Number 2"/>
    <w:basedOn w:val="Normal"/>
    <w:uiPriority w:val="99"/>
    <w:semiHidden/>
    <w:unhideWhenUsed/>
    <w:rsid w:val="0096075C"/>
    <w:pPr>
      <w:numPr>
        <w:numId w:val="8"/>
      </w:numPr>
      <w:contextualSpacing/>
    </w:pPr>
  </w:style>
  <w:style w:type="paragraph" w:styleId="ListNumber3">
    <w:name w:val="List Number 3"/>
    <w:basedOn w:val="Normal"/>
    <w:uiPriority w:val="99"/>
    <w:semiHidden/>
    <w:unhideWhenUsed/>
    <w:rsid w:val="0096075C"/>
    <w:pPr>
      <w:numPr>
        <w:numId w:val="9"/>
      </w:numPr>
      <w:contextualSpacing/>
    </w:pPr>
  </w:style>
  <w:style w:type="paragraph" w:styleId="ListNumber4">
    <w:name w:val="List Number 4"/>
    <w:basedOn w:val="Normal"/>
    <w:uiPriority w:val="99"/>
    <w:semiHidden/>
    <w:unhideWhenUsed/>
    <w:rsid w:val="0096075C"/>
    <w:pPr>
      <w:numPr>
        <w:numId w:val="10"/>
      </w:numPr>
      <w:contextualSpacing/>
    </w:pPr>
  </w:style>
  <w:style w:type="paragraph" w:styleId="ListNumber5">
    <w:name w:val="List Number 5"/>
    <w:basedOn w:val="Normal"/>
    <w:uiPriority w:val="99"/>
    <w:semiHidden/>
    <w:unhideWhenUsed/>
    <w:rsid w:val="0096075C"/>
    <w:pPr>
      <w:numPr>
        <w:numId w:val="11"/>
      </w:numPr>
      <w:contextualSpacing/>
    </w:pPr>
  </w:style>
  <w:style w:type="paragraph" w:styleId="ListParagraph">
    <w:name w:val="List Paragraph"/>
    <w:basedOn w:val="Normal"/>
    <w:uiPriority w:val="34"/>
    <w:qFormat/>
    <w:rsid w:val="0096075C"/>
    <w:pPr>
      <w:ind w:left="720"/>
      <w:contextualSpacing/>
    </w:pPr>
  </w:style>
  <w:style w:type="paragraph" w:styleId="MacroText">
    <w:name w:val="macro"/>
    <w:link w:val="MacroTextChar"/>
    <w:uiPriority w:val="99"/>
    <w:semiHidden/>
    <w:unhideWhenUsed/>
    <w:rsid w:val="0096075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96075C"/>
    <w:rPr>
      <w:rFonts w:ascii="Consolas" w:hAnsi="Consolas"/>
      <w:sz w:val="20"/>
      <w:szCs w:val="20"/>
    </w:rPr>
  </w:style>
  <w:style w:type="paragraph" w:styleId="MessageHeader">
    <w:name w:val="Message Header"/>
    <w:basedOn w:val="Normal"/>
    <w:link w:val="MessageHeaderChar"/>
    <w:uiPriority w:val="99"/>
    <w:semiHidden/>
    <w:unhideWhenUsed/>
    <w:rsid w:val="0096075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6075C"/>
    <w:rPr>
      <w:rFonts w:asciiTheme="majorHAnsi" w:eastAsiaTheme="majorEastAsia" w:hAnsiTheme="majorHAnsi" w:cstheme="majorBidi"/>
      <w:sz w:val="24"/>
      <w:szCs w:val="24"/>
      <w:shd w:val="pct20" w:color="auto" w:fill="auto"/>
    </w:rPr>
  </w:style>
  <w:style w:type="paragraph" w:styleId="NoSpacing">
    <w:name w:val="No Spacing"/>
    <w:uiPriority w:val="1"/>
    <w:qFormat/>
    <w:rsid w:val="0096075C"/>
    <w:pPr>
      <w:spacing w:after="0" w:line="240" w:lineRule="auto"/>
    </w:pPr>
  </w:style>
  <w:style w:type="paragraph" w:styleId="NormalWeb">
    <w:name w:val="Normal (Web)"/>
    <w:basedOn w:val="Normal"/>
    <w:uiPriority w:val="99"/>
    <w:semiHidden/>
    <w:unhideWhenUsed/>
    <w:rsid w:val="0096075C"/>
    <w:rPr>
      <w:rFonts w:ascii="Times New Roman" w:hAnsi="Times New Roman" w:cs="Times New Roman"/>
      <w:sz w:val="24"/>
      <w:szCs w:val="24"/>
    </w:rPr>
  </w:style>
  <w:style w:type="paragraph" w:styleId="NormalIndent">
    <w:name w:val="Normal Indent"/>
    <w:basedOn w:val="Normal"/>
    <w:uiPriority w:val="99"/>
    <w:semiHidden/>
    <w:unhideWhenUsed/>
    <w:rsid w:val="0096075C"/>
    <w:pPr>
      <w:ind w:left="720"/>
    </w:pPr>
  </w:style>
  <w:style w:type="paragraph" w:styleId="NoteHeading">
    <w:name w:val="Note Heading"/>
    <w:basedOn w:val="Normal"/>
    <w:next w:val="Normal"/>
    <w:link w:val="NoteHeadingChar"/>
    <w:uiPriority w:val="99"/>
    <w:semiHidden/>
    <w:unhideWhenUsed/>
    <w:rsid w:val="0096075C"/>
    <w:pPr>
      <w:spacing w:after="0" w:line="240" w:lineRule="auto"/>
    </w:pPr>
  </w:style>
  <w:style w:type="character" w:customStyle="1" w:styleId="NoteHeadingChar">
    <w:name w:val="Note Heading Char"/>
    <w:basedOn w:val="DefaultParagraphFont"/>
    <w:link w:val="NoteHeading"/>
    <w:uiPriority w:val="99"/>
    <w:semiHidden/>
    <w:rsid w:val="0096075C"/>
  </w:style>
  <w:style w:type="paragraph" w:styleId="PlainText">
    <w:name w:val="Plain Text"/>
    <w:basedOn w:val="Normal"/>
    <w:link w:val="PlainTextChar"/>
    <w:uiPriority w:val="99"/>
    <w:semiHidden/>
    <w:unhideWhenUsed/>
    <w:rsid w:val="0096075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96075C"/>
    <w:rPr>
      <w:rFonts w:ascii="Consolas" w:hAnsi="Consolas"/>
      <w:sz w:val="21"/>
      <w:szCs w:val="21"/>
    </w:rPr>
  </w:style>
  <w:style w:type="paragraph" w:styleId="Quote">
    <w:name w:val="Quote"/>
    <w:basedOn w:val="Normal"/>
    <w:next w:val="Normal"/>
    <w:link w:val="QuoteChar"/>
    <w:uiPriority w:val="29"/>
    <w:qFormat/>
    <w:rsid w:val="0096075C"/>
    <w:pPr>
      <w:spacing w:before="200"/>
      <w:ind w:left="864" w:right="864"/>
      <w:jc w:val="center"/>
    </w:pPr>
    <w:rPr>
      <w:i/>
      <w:iCs/>
      <w:color w:val="00AF7A" w:themeColor="text1" w:themeTint="BF"/>
    </w:rPr>
  </w:style>
  <w:style w:type="character" w:customStyle="1" w:styleId="QuoteChar">
    <w:name w:val="Quote Char"/>
    <w:basedOn w:val="DefaultParagraphFont"/>
    <w:link w:val="Quote"/>
    <w:uiPriority w:val="29"/>
    <w:rsid w:val="0096075C"/>
    <w:rPr>
      <w:i/>
      <w:iCs/>
      <w:color w:val="00AF7A" w:themeColor="text1" w:themeTint="BF"/>
    </w:rPr>
  </w:style>
  <w:style w:type="paragraph" w:styleId="Salutation">
    <w:name w:val="Salutation"/>
    <w:basedOn w:val="Normal"/>
    <w:next w:val="Normal"/>
    <w:link w:val="SalutationChar"/>
    <w:uiPriority w:val="99"/>
    <w:semiHidden/>
    <w:unhideWhenUsed/>
    <w:rsid w:val="0096075C"/>
  </w:style>
  <w:style w:type="character" w:customStyle="1" w:styleId="SalutationChar">
    <w:name w:val="Salutation Char"/>
    <w:basedOn w:val="DefaultParagraphFont"/>
    <w:link w:val="Salutation"/>
    <w:uiPriority w:val="99"/>
    <w:semiHidden/>
    <w:rsid w:val="0096075C"/>
  </w:style>
  <w:style w:type="paragraph" w:styleId="Signature">
    <w:name w:val="Signature"/>
    <w:basedOn w:val="Normal"/>
    <w:link w:val="SignatureChar"/>
    <w:uiPriority w:val="99"/>
    <w:semiHidden/>
    <w:unhideWhenUsed/>
    <w:rsid w:val="0096075C"/>
    <w:pPr>
      <w:spacing w:after="0" w:line="240" w:lineRule="auto"/>
      <w:ind w:left="4252"/>
    </w:pPr>
  </w:style>
  <w:style w:type="character" w:customStyle="1" w:styleId="SignatureChar">
    <w:name w:val="Signature Char"/>
    <w:basedOn w:val="DefaultParagraphFont"/>
    <w:link w:val="Signature"/>
    <w:uiPriority w:val="99"/>
    <w:semiHidden/>
    <w:rsid w:val="0096075C"/>
  </w:style>
  <w:style w:type="paragraph" w:styleId="TableofAuthorities">
    <w:name w:val="table of authorities"/>
    <w:basedOn w:val="Normal"/>
    <w:next w:val="Normal"/>
    <w:uiPriority w:val="99"/>
    <w:semiHidden/>
    <w:unhideWhenUsed/>
    <w:rsid w:val="0096075C"/>
    <w:pPr>
      <w:spacing w:after="0"/>
      <w:ind w:left="220" w:hanging="220"/>
    </w:pPr>
  </w:style>
  <w:style w:type="paragraph" w:styleId="TableofFigures">
    <w:name w:val="table of figures"/>
    <w:basedOn w:val="Normal"/>
    <w:next w:val="Normal"/>
    <w:uiPriority w:val="99"/>
    <w:semiHidden/>
    <w:unhideWhenUsed/>
    <w:rsid w:val="0096075C"/>
    <w:pPr>
      <w:spacing w:after="0"/>
    </w:pPr>
  </w:style>
  <w:style w:type="paragraph" w:styleId="TOAHeading">
    <w:name w:val="toa heading"/>
    <w:basedOn w:val="Normal"/>
    <w:next w:val="Normal"/>
    <w:uiPriority w:val="99"/>
    <w:semiHidden/>
    <w:unhideWhenUsed/>
    <w:rsid w:val="0096075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96075C"/>
    <w:pPr>
      <w:spacing w:after="100"/>
    </w:pPr>
  </w:style>
  <w:style w:type="paragraph" w:styleId="TOC2">
    <w:name w:val="toc 2"/>
    <w:basedOn w:val="Normal"/>
    <w:next w:val="Normal"/>
    <w:link w:val="TOC2Char"/>
    <w:autoRedefine/>
    <w:uiPriority w:val="39"/>
    <w:unhideWhenUsed/>
    <w:rsid w:val="0096075C"/>
    <w:pPr>
      <w:spacing w:after="100"/>
      <w:ind w:left="220"/>
    </w:pPr>
  </w:style>
  <w:style w:type="paragraph" w:styleId="TOC3">
    <w:name w:val="toc 3"/>
    <w:basedOn w:val="Normal"/>
    <w:next w:val="Normal"/>
    <w:autoRedefine/>
    <w:uiPriority w:val="39"/>
    <w:unhideWhenUsed/>
    <w:rsid w:val="0096075C"/>
    <w:pPr>
      <w:spacing w:after="100"/>
      <w:ind w:left="440"/>
    </w:pPr>
  </w:style>
  <w:style w:type="paragraph" w:styleId="TOC4">
    <w:name w:val="toc 4"/>
    <w:basedOn w:val="Normal"/>
    <w:next w:val="Normal"/>
    <w:autoRedefine/>
    <w:uiPriority w:val="39"/>
    <w:semiHidden/>
    <w:unhideWhenUsed/>
    <w:rsid w:val="0096075C"/>
    <w:pPr>
      <w:spacing w:after="100"/>
      <w:ind w:left="660"/>
    </w:pPr>
  </w:style>
  <w:style w:type="paragraph" w:styleId="TOC5">
    <w:name w:val="toc 5"/>
    <w:basedOn w:val="Normal"/>
    <w:next w:val="Normal"/>
    <w:autoRedefine/>
    <w:uiPriority w:val="39"/>
    <w:semiHidden/>
    <w:unhideWhenUsed/>
    <w:rsid w:val="0096075C"/>
    <w:pPr>
      <w:spacing w:after="100"/>
      <w:ind w:left="880"/>
    </w:pPr>
  </w:style>
  <w:style w:type="paragraph" w:styleId="TOC6">
    <w:name w:val="toc 6"/>
    <w:basedOn w:val="Normal"/>
    <w:next w:val="Normal"/>
    <w:autoRedefine/>
    <w:uiPriority w:val="39"/>
    <w:semiHidden/>
    <w:unhideWhenUsed/>
    <w:rsid w:val="0096075C"/>
    <w:pPr>
      <w:spacing w:after="100"/>
      <w:ind w:left="1100"/>
    </w:pPr>
  </w:style>
  <w:style w:type="paragraph" w:styleId="TOC7">
    <w:name w:val="toc 7"/>
    <w:basedOn w:val="Normal"/>
    <w:next w:val="Normal"/>
    <w:autoRedefine/>
    <w:uiPriority w:val="39"/>
    <w:semiHidden/>
    <w:unhideWhenUsed/>
    <w:rsid w:val="0096075C"/>
    <w:pPr>
      <w:spacing w:after="100"/>
      <w:ind w:left="1320"/>
    </w:pPr>
  </w:style>
  <w:style w:type="paragraph" w:styleId="TOC8">
    <w:name w:val="toc 8"/>
    <w:basedOn w:val="Normal"/>
    <w:next w:val="Normal"/>
    <w:autoRedefine/>
    <w:uiPriority w:val="39"/>
    <w:semiHidden/>
    <w:unhideWhenUsed/>
    <w:rsid w:val="0096075C"/>
    <w:pPr>
      <w:spacing w:after="100"/>
      <w:ind w:left="1540"/>
    </w:pPr>
  </w:style>
  <w:style w:type="paragraph" w:styleId="TOC9">
    <w:name w:val="toc 9"/>
    <w:basedOn w:val="Normal"/>
    <w:next w:val="Normal"/>
    <w:autoRedefine/>
    <w:uiPriority w:val="39"/>
    <w:semiHidden/>
    <w:unhideWhenUsed/>
    <w:rsid w:val="0096075C"/>
    <w:pPr>
      <w:spacing w:after="100"/>
      <w:ind w:left="1760"/>
    </w:pPr>
  </w:style>
  <w:style w:type="paragraph" w:styleId="TOCHeading">
    <w:name w:val="TOC Heading"/>
    <w:basedOn w:val="Heading1"/>
    <w:next w:val="Normal"/>
    <w:uiPriority w:val="39"/>
    <w:semiHidden/>
    <w:unhideWhenUsed/>
    <w:qFormat/>
    <w:rsid w:val="0096075C"/>
    <w:pPr>
      <w:spacing w:before="240" w:beforeAutospacing="0" w:after="0" w:line="259" w:lineRule="auto"/>
      <w:outlineLvl w:val="9"/>
    </w:pPr>
    <w:rPr>
      <w:spacing w:val="0"/>
      <w:sz w:val="32"/>
    </w:rPr>
  </w:style>
  <w:style w:type="character" w:customStyle="1" w:styleId="BulletsL2Char">
    <w:name w:val="Bullets L2 Char"/>
    <w:basedOn w:val="BulletsChar"/>
    <w:link w:val="BulletsL2"/>
    <w:rsid w:val="00AA07F9"/>
    <w:rPr>
      <w:color w:val="1C1C1C"/>
      <w:sz w:val="18"/>
      <w:szCs w:val="18"/>
    </w:rPr>
  </w:style>
  <w:style w:type="table" w:customStyle="1" w:styleId="Style1">
    <w:name w:val="Style1"/>
    <w:basedOn w:val="TableNormal"/>
    <w:uiPriority w:val="99"/>
    <w:rsid w:val="00683F14"/>
    <w:pPr>
      <w:spacing w:after="0" w:line="240" w:lineRule="auto"/>
    </w:pPr>
    <w:rPr>
      <w:sz w:val="15"/>
    </w:rPr>
    <w:tblPr/>
  </w:style>
  <w:style w:type="table" w:customStyle="1" w:styleId="IHPATable">
    <w:name w:val="IHPA Table"/>
    <w:basedOn w:val="TableNormal"/>
    <w:uiPriority w:val="99"/>
    <w:rsid w:val="00780AAF"/>
    <w:pPr>
      <w:spacing w:after="0" w:line="240" w:lineRule="auto"/>
    </w:pPr>
    <w:tblPr>
      <w:tblStyleRowBandSize w:val="1"/>
    </w:tblPr>
    <w:tblStylePr w:type="firstRow">
      <w:rPr>
        <w:rFonts w:asciiTheme="minorHAnsi" w:hAnsiTheme="minorHAnsi"/>
        <w:color w:val="FFFFFF" w:themeColor="background2"/>
        <w:sz w:val="18"/>
      </w:rPr>
      <w:tblPr/>
      <w:tcPr>
        <w:shd w:val="clear" w:color="auto" w:fill="F47920" w:themeFill="accent4"/>
      </w:tcPr>
    </w:tblStylePr>
    <w:tblStylePr w:type="lastRow">
      <w:rPr>
        <w:rFonts w:asciiTheme="minorHAnsi" w:hAnsiTheme="minorHAnsi"/>
        <w:sz w:val="15"/>
      </w:rPr>
      <w:tblPr/>
      <w:tcPr>
        <w:tcBorders>
          <w:top w:val="nil"/>
          <w:bottom w:val="single" w:sz="4" w:space="0" w:color="D9D9D9" w:themeColor="background2" w:themeShade="D9"/>
        </w:tcBorders>
      </w:tcPr>
    </w:tblStylePr>
    <w:tblStylePr w:type="firstCol">
      <w:rPr>
        <w:rFonts w:asciiTheme="minorHAnsi" w:hAnsiTheme="minorHAnsi"/>
        <w:sz w:val="15"/>
      </w:rPr>
      <w:tblPr/>
      <w:tcPr>
        <w:tcBorders>
          <w:top w:val="nil"/>
          <w:bottom w:val="nil"/>
        </w:tcBorders>
      </w:tcPr>
    </w:tblStylePr>
    <w:tblStylePr w:type="band1Horz">
      <w:tblPr/>
      <w:tcPr>
        <w:tcBorders>
          <w:top w:val="single" w:sz="4" w:space="0" w:color="D9D9D9" w:themeColor="background2" w:themeShade="D9"/>
          <w:left w:val="nil"/>
          <w:bottom w:val="single" w:sz="4" w:space="0" w:color="D9D9D9" w:themeColor="background2" w:themeShade="D9"/>
          <w:right w:val="nil"/>
          <w:insideH w:val="nil"/>
          <w:insideV w:val="nil"/>
          <w:tl2br w:val="nil"/>
          <w:tr2bl w:val="nil"/>
        </w:tcBorders>
      </w:tcPr>
    </w:tblStylePr>
    <w:tblStylePr w:type="band2Horz">
      <w:tblPr/>
      <w:tcPr>
        <w:tcBorders>
          <w:top w:val="single" w:sz="4" w:space="0" w:color="D9D9D9" w:themeColor="background2" w:themeShade="D9"/>
          <w:bottom w:val="nil"/>
        </w:tcBorders>
      </w:tcPr>
    </w:tblStylePr>
  </w:style>
  <w:style w:type="paragraph" w:customStyle="1" w:styleId="ListNumberedlvl1">
    <w:name w:val="List Numbered lvl 1"/>
    <w:basedOn w:val="Normal"/>
    <w:qFormat/>
    <w:rsid w:val="00640BC4"/>
    <w:pPr>
      <w:numPr>
        <w:numId w:val="13"/>
      </w:numPr>
      <w:spacing w:before="160" w:line="240" w:lineRule="auto"/>
    </w:pPr>
    <w:rPr>
      <w:sz w:val="18"/>
      <w:lang w:val="en-AU"/>
    </w:rPr>
  </w:style>
  <w:style w:type="paragraph" w:customStyle="1" w:styleId="AlphabetListL2">
    <w:name w:val="Alphabet List L2"/>
    <w:basedOn w:val="Normal"/>
    <w:link w:val="AlphabetListL2Char"/>
    <w:qFormat/>
    <w:rsid w:val="005E28D1"/>
    <w:pPr>
      <w:numPr>
        <w:numId w:val="14"/>
      </w:numPr>
    </w:pPr>
    <w:rPr>
      <w:color w:val="1C1C1C"/>
      <w:sz w:val="18"/>
      <w:szCs w:val="18"/>
    </w:rPr>
  </w:style>
  <w:style w:type="character" w:customStyle="1" w:styleId="AlphabetListL2Char">
    <w:name w:val="Alphabet List L2 Char"/>
    <w:basedOn w:val="DefaultParagraphFont"/>
    <w:link w:val="AlphabetListL2"/>
    <w:rsid w:val="005E28D1"/>
    <w:rPr>
      <w:color w:val="1C1C1C"/>
      <w:sz w:val="18"/>
      <w:szCs w:val="18"/>
    </w:rPr>
  </w:style>
  <w:style w:type="paragraph" w:customStyle="1" w:styleId="NumberListNoIndent">
    <w:name w:val="Number List No Indent"/>
    <w:basedOn w:val="Normal"/>
    <w:link w:val="NumberListNoIndentChar"/>
    <w:qFormat/>
    <w:rsid w:val="00A02341"/>
    <w:pPr>
      <w:numPr>
        <w:numId w:val="23"/>
      </w:numPr>
    </w:pPr>
    <w:rPr>
      <w:color w:val="1C1C1C"/>
      <w:sz w:val="18"/>
      <w:szCs w:val="18"/>
    </w:rPr>
  </w:style>
  <w:style w:type="character" w:customStyle="1" w:styleId="cf01">
    <w:name w:val="cf01"/>
    <w:basedOn w:val="DefaultParagraphFont"/>
    <w:rsid w:val="00290F4A"/>
    <w:rPr>
      <w:rFonts w:ascii="Segoe UI" w:hAnsi="Segoe UI" w:cs="Segoe UI" w:hint="default"/>
      <w:sz w:val="18"/>
      <w:szCs w:val="18"/>
    </w:rPr>
  </w:style>
  <w:style w:type="character" w:customStyle="1" w:styleId="NumberListNoIndentChar">
    <w:name w:val="Number List No Indent Char"/>
    <w:basedOn w:val="DefaultParagraphFont"/>
    <w:link w:val="NumberListNoIndent"/>
    <w:rsid w:val="00A02341"/>
    <w:rPr>
      <w:color w:val="1C1C1C"/>
      <w:sz w:val="18"/>
      <w:szCs w:val="18"/>
    </w:rPr>
  </w:style>
  <w:style w:type="table" w:customStyle="1" w:styleId="TableGrid1">
    <w:name w:val="Table Grid1"/>
    <w:basedOn w:val="TableNormal"/>
    <w:next w:val="TableGrid"/>
    <w:uiPriority w:val="39"/>
    <w:rsid w:val="00422E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3Financials">
    <w:name w:val="H3 Financials"/>
    <w:basedOn w:val="H3"/>
    <w:link w:val="H3FinancialsChar"/>
    <w:qFormat/>
    <w:rsid w:val="00153DC1"/>
    <w:rPr>
      <w:color w:val="1C1C1C"/>
    </w:rPr>
  </w:style>
  <w:style w:type="character" w:customStyle="1" w:styleId="H3FinancialsChar">
    <w:name w:val="H3 Financials Char"/>
    <w:basedOn w:val="H3Char"/>
    <w:link w:val="H3Financials"/>
    <w:rsid w:val="00153DC1"/>
    <w:rPr>
      <w:rFonts w:asciiTheme="majorHAnsi" w:hAnsiTheme="majorHAnsi"/>
      <w:bCs/>
      <w:color w:val="1C1C1C"/>
      <w:sz w:val="24"/>
      <w:szCs w:val="24"/>
    </w:rPr>
  </w:style>
  <w:style w:type="paragraph" w:customStyle="1" w:styleId="Body-Financial">
    <w:name w:val="Body - Financial"/>
    <w:basedOn w:val="Normal"/>
    <w:link w:val="Body-FinancialChar"/>
    <w:qFormat/>
    <w:rsid w:val="00957DFA"/>
    <w:pPr>
      <w:spacing w:after="80" w:line="247" w:lineRule="auto"/>
    </w:pPr>
    <w:rPr>
      <w:color w:val="1C1C1C"/>
      <w:sz w:val="14"/>
      <w:szCs w:val="14"/>
    </w:rPr>
  </w:style>
  <w:style w:type="paragraph" w:customStyle="1" w:styleId="H2Financials">
    <w:name w:val="H2 Financials"/>
    <w:basedOn w:val="Heading1"/>
    <w:link w:val="H2FinancialsChar"/>
    <w:qFormat/>
    <w:rsid w:val="00441466"/>
    <w:rPr>
      <w:color w:val="292929"/>
    </w:rPr>
  </w:style>
  <w:style w:type="character" w:customStyle="1" w:styleId="Body-FinancialChar">
    <w:name w:val="Body - Financial Char"/>
    <w:basedOn w:val="DefaultParagraphFont"/>
    <w:link w:val="Body-Financial"/>
    <w:rsid w:val="00957DFA"/>
    <w:rPr>
      <w:color w:val="1C1C1C"/>
      <w:sz w:val="14"/>
      <w:szCs w:val="14"/>
    </w:rPr>
  </w:style>
  <w:style w:type="character" w:customStyle="1" w:styleId="H2FinancialsChar">
    <w:name w:val="H2 Financials Char"/>
    <w:basedOn w:val="Heading1Char"/>
    <w:link w:val="H2Financials"/>
    <w:rsid w:val="00441466"/>
    <w:rPr>
      <w:rFonts w:asciiTheme="majorHAnsi" w:eastAsiaTheme="majorEastAsia" w:hAnsiTheme="majorHAnsi" w:cstheme="majorBidi"/>
      <w:color w:val="292929"/>
      <w:spacing w:val="-12"/>
      <w:sz w:val="60"/>
      <w:szCs w:val="32"/>
    </w:rPr>
  </w:style>
  <w:style w:type="paragraph" w:customStyle="1" w:styleId="H4Financials">
    <w:name w:val="H4 Financials"/>
    <w:basedOn w:val="H4"/>
    <w:link w:val="H4FinancialsChar"/>
    <w:qFormat/>
    <w:rsid w:val="00441466"/>
    <w:rPr>
      <w:sz w:val="18"/>
    </w:rPr>
  </w:style>
  <w:style w:type="character" w:customStyle="1" w:styleId="H4FinancialsChar">
    <w:name w:val="H4 Financials Char"/>
    <w:basedOn w:val="H4Char"/>
    <w:link w:val="H4Financials"/>
    <w:rsid w:val="00441466"/>
    <w:rPr>
      <w:rFonts w:ascii="Futura PT Demi" w:hAnsi="Futura PT Demi"/>
      <w:bCs/>
      <w:color w:val="1C1C1C"/>
      <w:sz w:val="18"/>
      <w:szCs w:val="18"/>
    </w:rPr>
  </w:style>
  <w:style w:type="table" w:customStyle="1" w:styleId="IHPA">
    <w:name w:val="IHPA"/>
    <w:basedOn w:val="TableNormal"/>
    <w:uiPriority w:val="99"/>
    <w:rsid w:val="00531AFF"/>
    <w:pPr>
      <w:spacing w:after="0" w:line="240" w:lineRule="auto"/>
    </w:pPr>
    <w:tblPr/>
  </w:style>
  <w:style w:type="character" w:customStyle="1" w:styleId="UnresolvedMention1">
    <w:name w:val="Unresolved Mention1"/>
    <w:basedOn w:val="DefaultParagraphFont"/>
    <w:uiPriority w:val="99"/>
    <w:semiHidden/>
    <w:unhideWhenUsed/>
    <w:rsid w:val="001D3C99"/>
    <w:rPr>
      <w:color w:val="605E5C"/>
      <w:shd w:val="clear" w:color="auto" w:fill="E1DFDD"/>
    </w:rPr>
  </w:style>
  <w:style w:type="paragraph" w:customStyle="1" w:styleId="TOCBody">
    <w:name w:val="TOC Body"/>
    <w:basedOn w:val="TOC2"/>
    <w:link w:val="TOCBodyChar"/>
    <w:qFormat/>
    <w:rsid w:val="005A3416"/>
    <w:pPr>
      <w:tabs>
        <w:tab w:val="right" w:leader="dot" w:pos="7797"/>
      </w:tabs>
      <w:spacing w:after="20"/>
      <w:ind w:left="284"/>
    </w:pPr>
    <w:rPr>
      <w:noProof/>
      <w:sz w:val="18"/>
      <w:szCs w:val="18"/>
    </w:rPr>
  </w:style>
  <w:style w:type="paragraph" w:customStyle="1" w:styleId="TOCHeader">
    <w:name w:val="TOC Header"/>
    <w:basedOn w:val="TOCBody"/>
    <w:link w:val="TOCHeaderChar"/>
    <w:qFormat/>
    <w:rsid w:val="005A3416"/>
    <w:pPr>
      <w:numPr>
        <w:numId w:val="19"/>
      </w:numPr>
      <w:spacing w:before="80"/>
      <w:ind w:left="284" w:hanging="284"/>
    </w:pPr>
    <w:rPr>
      <w:rFonts w:asciiTheme="majorHAnsi" w:hAnsiTheme="majorHAnsi"/>
      <w:color w:val="1C1C1C"/>
    </w:rPr>
  </w:style>
  <w:style w:type="character" w:customStyle="1" w:styleId="TOC2Char">
    <w:name w:val="TOC 2 Char"/>
    <w:basedOn w:val="DefaultParagraphFont"/>
    <w:link w:val="TOC2"/>
    <w:uiPriority w:val="39"/>
    <w:rsid w:val="009A2D17"/>
  </w:style>
  <w:style w:type="character" w:customStyle="1" w:styleId="TOCBodyChar">
    <w:name w:val="TOC Body Char"/>
    <w:basedOn w:val="TOC2Char"/>
    <w:link w:val="TOCBody"/>
    <w:rsid w:val="005A3416"/>
    <w:rPr>
      <w:noProof/>
      <w:sz w:val="18"/>
      <w:szCs w:val="18"/>
    </w:rPr>
  </w:style>
  <w:style w:type="character" w:customStyle="1" w:styleId="TOCHeaderChar">
    <w:name w:val="TOC Header Char"/>
    <w:basedOn w:val="TOCBodyChar"/>
    <w:link w:val="TOCHeader"/>
    <w:rsid w:val="005A3416"/>
    <w:rPr>
      <w:rFonts w:asciiTheme="majorHAnsi" w:hAnsiTheme="majorHAnsi"/>
      <w:noProof/>
      <w:color w:val="1C1C1C"/>
      <w:sz w:val="18"/>
      <w:szCs w:val="18"/>
    </w:rPr>
  </w:style>
  <w:style w:type="paragraph" w:customStyle="1" w:styleId="H1">
    <w:name w:val="H1"/>
    <w:basedOn w:val="Heading1"/>
    <w:link w:val="H1Char"/>
    <w:qFormat/>
    <w:rsid w:val="001A3BD5"/>
    <w:pPr>
      <w:spacing w:before="2640" w:beforeAutospacing="0" w:after="0"/>
      <w:jc w:val="center"/>
    </w:pPr>
    <w:rPr>
      <w:color w:val="FFFFFF" w:themeColor="background2"/>
      <w:sz w:val="72"/>
      <w:szCs w:val="72"/>
    </w:rPr>
  </w:style>
  <w:style w:type="paragraph" w:customStyle="1" w:styleId="H2Financial">
    <w:name w:val="H2 Financial"/>
    <w:basedOn w:val="Heading1"/>
    <w:link w:val="H2FinancialChar"/>
    <w:qFormat/>
    <w:rsid w:val="0015771D"/>
    <w:rPr>
      <w:color w:val="292929"/>
    </w:rPr>
  </w:style>
  <w:style w:type="character" w:customStyle="1" w:styleId="H1Char">
    <w:name w:val="H1 Char"/>
    <w:basedOn w:val="DefaultParagraphFont"/>
    <w:link w:val="H1"/>
    <w:rsid w:val="001A3BD5"/>
    <w:rPr>
      <w:rFonts w:asciiTheme="majorHAnsi" w:eastAsiaTheme="majorEastAsia" w:hAnsiTheme="majorHAnsi" w:cstheme="majorBidi"/>
      <w:color w:val="FFFFFF" w:themeColor="background2"/>
      <w:spacing w:val="-12"/>
      <w:sz w:val="72"/>
      <w:szCs w:val="72"/>
    </w:rPr>
  </w:style>
  <w:style w:type="character" w:customStyle="1" w:styleId="H2FinancialChar">
    <w:name w:val="H2 Financial Char"/>
    <w:basedOn w:val="Heading1Char"/>
    <w:link w:val="H2Financial"/>
    <w:rsid w:val="0015771D"/>
    <w:rPr>
      <w:rFonts w:asciiTheme="majorHAnsi" w:eastAsiaTheme="majorEastAsia" w:hAnsiTheme="majorHAnsi" w:cstheme="majorBidi"/>
      <w:color w:val="292929"/>
      <w:spacing w:val="-12"/>
      <w:sz w:val="60"/>
      <w:szCs w:val="32"/>
    </w:rPr>
  </w:style>
  <w:style w:type="paragraph" w:styleId="Revision">
    <w:name w:val="Revision"/>
    <w:hidden/>
    <w:uiPriority w:val="99"/>
    <w:semiHidden/>
    <w:rsid w:val="003C10EC"/>
    <w:pPr>
      <w:spacing w:after="0" w:line="240" w:lineRule="auto"/>
    </w:pPr>
  </w:style>
  <w:style w:type="character" w:styleId="FollowedHyperlink">
    <w:name w:val="FollowedHyperlink"/>
    <w:basedOn w:val="DefaultParagraphFont"/>
    <w:uiPriority w:val="99"/>
    <w:semiHidden/>
    <w:unhideWhenUsed/>
    <w:rsid w:val="00F60018"/>
    <w:rPr>
      <w:color w:val="7EC352" w:themeColor="followedHyperlink"/>
      <w:u w:val="single"/>
    </w:rPr>
  </w:style>
  <w:style w:type="paragraph" w:customStyle="1" w:styleId="TOC-subheading">
    <w:name w:val="TOC - subheading"/>
    <w:basedOn w:val="Normal"/>
    <w:uiPriority w:val="99"/>
    <w:rsid w:val="00521543"/>
    <w:pPr>
      <w:autoSpaceDE w:val="0"/>
      <w:autoSpaceDN w:val="0"/>
      <w:adjustRightInd w:val="0"/>
      <w:spacing w:after="0" w:line="280" w:lineRule="atLeast"/>
      <w:textAlignment w:val="center"/>
    </w:pPr>
    <w:rPr>
      <w:rFonts w:ascii="Futura PT Book" w:hAnsi="Futura PT Book" w:cs="Futura PT Book"/>
      <w:color w:val="FFFFFF"/>
      <w:lang w:val="en-US"/>
    </w:rPr>
  </w:style>
  <w:style w:type="paragraph" w:customStyle="1" w:styleId="indexcopy">
    <w:name w:val="index copy"/>
    <w:basedOn w:val="Body"/>
    <w:link w:val="indexcopyChar"/>
    <w:qFormat/>
    <w:rsid w:val="00420073"/>
    <w:pPr>
      <w:spacing w:after="60" w:line="250" w:lineRule="auto"/>
      <w:ind w:left="454" w:hanging="454"/>
    </w:pPr>
  </w:style>
  <w:style w:type="paragraph" w:customStyle="1" w:styleId="indentindexcopy">
    <w:name w:val="indent index copy"/>
    <w:basedOn w:val="indexcopy"/>
    <w:link w:val="indentindexcopyChar"/>
    <w:qFormat/>
    <w:rsid w:val="00420073"/>
    <w:pPr>
      <w:ind w:left="624" w:hanging="397"/>
    </w:pPr>
  </w:style>
  <w:style w:type="character" w:customStyle="1" w:styleId="indexcopyChar">
    <w:name w:val="index copy Char"/>
    <w:basedOn w:val="BodyChar"/>
    <w:link w:val="indexcopy"/>
    <w:rsid w:val="00420073"/>
    <w:rPr>
      <w:color w:val="1C1C1C"/>
      <w:sz w:val="18"/>
      <w:szCs w:val="18"/>
    </w:rPr>
  </w:style>
  <w:style w:type="character" w:customStyle="1" w:styleId="indentindexcopyChar">
    <w:name w:val="indent index copy Char"/>
    <w:basedOn w:val="indexcopyChar"/>
    <w:link w:val="indentindexcopy"/>
    <w:rsid w:val="00420073"/>
    <w:rPr>
      <w:color w:val="1C1C1C"/>
      <w:sz w:val="18"/>
      <w:szCs w:val="18"/>
    </w:rPr>
  </w:style>
  <w:style w:type="table" w:customStyle="1" w:styleId="1">
    <w:name w:val="1"/>
    <w:basedOn w:val="TableNormal"/>
    <w:uiPriority w:val="99"/>
    <w:rsid w:val="007757ED"/>
    <w:pPr>
      <w:spacing w:after="0" w:line="240" w:lineRule="auto"/>
    </w:pPr>
    <w:tblPr/>
  </w:style>
  <w:style w:type="table" w:customStyle="1" w:styleId="Table1">
    <w:name w:val="Table1"/>
    <w:basedOn w:val="TableNormal"/>
    <w:uiPriority w:val="99"/>
    <w:rsid w:val="007757ED"/>
    <w:pPr>
      <w:spacing w:after="0" w:line="240" w:lineRule="auto"/>
    </w:p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083249">
      <w:bodyDiv w:val="1"/>
      <w:marLeft w:val="0"/>
      <w:marRight w:val="0"/>
      <w:marTop w:val="0"/>
      <w:marBottom w:val="0"/>
      <w:divBdr>
        <w:top w:val="none" w:sz="0" w:space="0" w:color="auto"/>
        <w:left w:val="none" w:sz="0" w:space="0" w:color="auto"/>
        <w:bottom w:val="none" w:sz="0" w:space="0" w:color="auto"/>
        <w:right w:val="none" w:sz="0" w:space="0" w:color="auto"/>
      </w:divBdr>
    </w:div>
    <w:div w:id="240797480">
      <w:bodyDiv w:val="1"/>
      <w:marLeft w:val="0"/>
      <w:marRight w:val="0"/>
      <w:marTop w:val="0"/>
      <w:marBottom w:val="0"/>
      <w:divBdr>
        <w:top w:val="none" w:sz="0" w:space="0" w:color="auto"/>
        <w:left w:val="none" w:sz="0" w:space="0" w:color="auto"/>
        <w:bottom w:val="none" w:sz="0" w:space="0" w:color="auto"/>
        <w:right w:val="none" w:sz="0" w:space="0" w:color="auto"/>
      </w:divBdr>
    </w:div>
    <w:div w:id="358286176">
      <w:bodyDiv w:val="1"/>
      <w:marLeft w:val="0"/>
      <w:marRight w:val="0"/>
      <w:marTop w:val="0"/>
      <w:marBottom w:val="0"/>
      <w:divBdr>
        <w:top w:val="none" w:sz="0" w:space="0" w:color="auto"/>
        <w:left w:val="none" w:sz="0" w:space="0" w:color="auto"/>
        <w:bottom w:val="none" w:sz="0" w:space="0" w:color="auto"/>
        <w:right w:val="none" w:sz="0" w:space="0" w:color="auto"/>
      </w:divBdr>
    </w:div>
    <w:div w:id="569465155">
      <w:bodyDiv w:val="1"/>
      <w:marLeft w:val="0"/>
      <w:marRight w:val="0"/>
      <w:marTop w:val="0"/>
      <w:marBottom w:val="0"/>
      <w:divBdr>
        <w:top w:val="none" w:sz="0" w:space="0" w:color="auto"/>
        <w:left w:val="none" w:sz="0" w:space="0" w:color="auto"/>
        <w:bottom w:val="none" w:sz="0" w:space="0" w:color="auto"/>
        <w:right w:val="none" w:sz="0" w:space="0" w:color="auto"/>
      </w:divBdr>
    </w:div>
    <w:div w:id="628321413">
      <w:bodyDiv w:val="1"/>
      <w:marLeft w:val="0"/>
      <w:marRight w:val="0"/>
      <w:marTop w:val="0"/>
      <w:marBottom w:val="0"/>
      <w:divBdr>
        <w:top w:val="none" w:sz="0" w:space="0" w:color="auto"/>
        <w:left w:val="none" w:sz="0" w:space="0" w:color="auto"/>
        <w:bottom w:val="none" w:sz="0" w:space="0" w:color="auto"/>
        <w:right w:val="none" w:sz="0" w:space="0" w:color="auto"/>
      </w:divBdr>
    </w:div>
    <w:div w:id="647051958">
      <w:bodyDiv w:val="1"/>
      <w:marLeft w:val="0"/>
      <w:marRight w:val="0"/>
      <w:marTop w:val="0"/>
      <w:marBottom w:val="0"/>
      <w:divBdr>
        <w:top w:val="none" w:sz="0" w:space="0" w:color="auto"/>
        <w:left w:val="none" w:sz="0" w:space="0" w:color="auto"/>
        <w:bottom w:val="none" w:sz="0" w:space="0" w:color="auto"/>
        <w:right w:val="none" w:sz="0" w:space="0" w:color="auto"/>
      </w:divBdr>
    </w:div>
    <w:div w:id="804464480">
      <w:bodyDiv w:val="1"/>
      <w:marLeft w:val="0"/>
      <w:marRight w:val="0"/>
      <w:marTop w:val="0"/>
      <w:marBottom w:val="0"/>
      <w:divBdr>
        <w:top w:val="none" w:sz="0" w:space="0" w:color="auto"/>
        <w:left w:val="none" w:sz="0" w:space="0" w:color="auto"/>
        <w:bottom w:val="none" w:sz="0" w:space="0" w:color="auto"/>
        <w:right w:val="none" w:sz="0" w:space="0" w:color="auto"/>
      </w:divBdr>
    </w:div>
    <w:div w:id="855777207">
      <w:bodyDiv w:val="1"/>
      <w:marLeft w:val="0"/>
      <w:marRight w:val="0"/>
      <w:marTop w:val="0"/>
      <w:marBottom w:val="0"/>
      <w:divBdr>
        <w:top w:val="none" w:sz="0" w:space="0" w:color="auto"/>
        <w:left w:val="none" w:sz="0" w:space="0" w:color="auto"/>
        <w:bottom w:val="none" w:sz="0" w:space="0" w:color="auto"/>
        <w:right w:val="none" w:sz="0" w:space="0" w:color="auto"/>
      </w:divBdr>
    </w:div>
    <w:div w:id="888301380">
      <w:bodyDiv w:val="1"/>
      <w:marLeft w:val="0"/>
      <w:marRight w:val="0"/>
      <w:marTop w:val="0"/>
      <w:marBottom w:val="0"/>
      <w:divBdr>
        <w:top w:val="none" w:sz="0" w:space="0" w:color="auto"/>
        <w:left w:val="none" w:sz="0" w:space="0" w:color="auto"/>
        <w:bottom w:val="none" w:sz="0" w:space="0" w:color="auto"/>
        <w:right w:val="none" w:sz="0" w:space="0" w:color="auto"/>
      </w:divBdr>
    </w:div>
    <w:div w:id="1112477434">
      <w:bodyDiv w:val="1"/>
      <w:marLeft w:val="0"/>
      <w:marRight w:val="0"/>
      <w:marTop w:val="0"/>
      <w:marBottom w:val="0"/>
      <w:divBdr>
        <w:top w:val="none" w:sz="0" w:space="0" w:color="auto"/>
        <w:left w:val="none" w:sz="0" w:space="0" w:color="auto"/>
        <w:bottom w:val="none" w:sz="0" w:space="0" w:color="auto"/>
        <w:right w:val="none" w:sz="0" w:space="0" w:color="auto"/>
      </w:divBdr>
    </w:div>
    <w:div w:id="1181815748">
      <w:bodyDiv w:val="1"/>
      <w:marLeft w:val="0"/>
      <w:marRight w:val="0"/>
      <w:marTop w:val="0"/>
      <w:marBottom w:val="0"/>
      <w:divBdr>
        <w:top w:val="none" w:sz="0" w:space="0" w:color="auto"/>
        <w:left w:val="none" w:sz="0" w:space="0" w:color="auto"/>
        <w:bottom w:val="none" w:sz="0" w:space="0" w:color="auto"/>
        <w:right w:val="none" w:sz="0" w:space="0" w:color="auto"/>
      </w:divBdr>
    </w:div>
    <w:div w:id="1202743861">
      <w:bodyDiv w:val="1"/>
      <w:marLeft w:val="0"/>
      <w:marRight w:val="0"/>
      <w:marTop w:val="0"/>
      <w:marBottom w:val="0"/>
      <w:divBdr>
        <w:top w:val="none" w:sz="0" w:space="0" w:color="auto"/>
        <w:left w:val="none" w:sz="0" w:space="0" w:color="auto"/>
        <w:bottom w:val="none" w:sz="0" w:space="0" w:color="auto"/>
        <w:right w:val="none" w:sz="0" w:space="0" w:color="auto"/>
      </w:divBdr>
    </w:div>
    <w:div w:id="1257863776">
      <w:bodyDiv w:val="1"/>
      <w:marLeft w:val="0"/>
      <w:marRight w:val="0"/>
      <w:marTop w:val="0"/>
      <w:marBottom w:val="0"/>
      <w:divBdr>
        <w:top w:val="none" w:sz="0" w:space="0" w:color="auto"/>
        <w:left w:val="none" w:sz="0" w:space="0" w:color="auto"/>
        <w:bottom w:val="none" w:sz="0" w:space="0" w:color="auto"/>
        <w:right w:val="none" w:sz="0" w:space="0" w:color="auto"/>
      </w:divBdr>
    </w:div>
    <w:div w:id="1379627528">
      <w:bodyDiv w:val="1"/>
      <w:marLeft w:val="0"/>
      <w:marRight w:val="0"/>
      <w:marTop w:val="0"/>
      <w:marBottom w:val="0"/>
      <w:divBdr>
        <w:top w:val="none" w:sz="0" w:space="0" w:color="auto"/>
        <w:left w:val="none" w:sz="0" w:space="0" w:color="auto"/>
        <w:bottom w:val="none" w:sz="0" w:space="0" w:color="auto"/>
        <w:right w:val="none" w:sz="0" w:space="0" w:color="auto"/>
      </w:divBdr>
    </w:div>
    <w:div w:id="1391924615">
      <w:bodyDiv w:val="1"/>
      <w:marLeft w:val="0"/>
      <w:marRight w:val="0"/>
      <w:marTop w:val="0"/>
      <w:marBottom w:val="0"/>
      <w:divBdr>
        <w:top w:val="none" w:sz="0" w:space="0" w:color="auto"/>
        <w:left w:val="none" w:sz="0" w:space="0" w:color="auto"/>
        <w:bottom w:val="none" w:sz="0" w:space="0" w:color="auto"/>
        <w:right w:val="none" w:sz="0" w:space="0" w:color="auto"/>
      </w:divBdr>
    </w:div>
    <w:div w:id="1399286974">
      <w:bodyDiv w:val="1"/>
      <w:marLeft w:val="0"/>
      <w:marRight w:val="0"/>
      <w:marTop w:val="0"/>
      <w:marBottom w:val="0"/>
      <w:divBdr>
        <w:top w:val="none" w:sz="0" w:space="0" w:color="auto"/>
        <w:left w:val="none" w:sz="0" w:space="0" w:color="auto"/>
        <w:bottom w:val="none" w:sz="0" w:space="0" w:color="auto"/>
        <w:right w:val="none" w:sz="0" w:space="0" w:color="auto"/>
      </w:divBdr>
    </w:div>
    <w:div w:id="1684815025">
      <w:bodyDiv w:val="1"/>
      <w:marLeft w:val="0"/>
      <w:marRight w:val="0"/>
      <w:marTop w:val="0"/>
      <w:marBottom w:val="0"/>
      <w:divBdr>
        <w:top w:val="none" w:sz="0" w:space="0" w:color="auto"/>
        <w:left w:val="none" w:sz="0" w:space="0" w:color="auto"/>
        <w:bottom w:val="none" w:sz="0" w:space="0" w:color="auto"/>
        <w:right w:val="none" w:sz="0" w:space="0" w:color="auto"/>
      </w:divBdr>
    </w:div>
    <w:div w:id="1888641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1" Type="http://schemas.openxmlformats.org/officeDocument/2006/relationships/footer" Target="footer2.xml"/><Relationship Id="rId42" Type="http://schemas.openxmlformats.org/officeDocument/2006/relationships/footer" Target="footer11.xml"/><Relationship Id="rId63" Type="http://schemas.openxmlformats.org/officeDocument/2006/relationships/image" Target="media/image19.png"/><Relationship Id="rId84" Type="http://schemas.openxmlformats.org/officeDocument/2006/relationships/footer" Target="footer30.xml"/><Relationship Id="rId138" Type="http://schemas.openxmlformats.org/officeDocument/2006/relationships/footer" Target="footer49.xml"/><Relationship Id="rId159" Type="http://schemas.openxmlformats.org/officeDocument/2006/relationships/footer" Target="footer70.xml"/><Relationship Id="rId170" Type="http://schemas.openxmlformats.org/officeDocument/2006/relationships/footer" Target="footer76.xml"/><Relationship Id="rId191" Type="http://schemas.openxmlformats.org/officeDocument/2006/relationships/image" Target="media/image55.jpg"/><Relationship Id="rId205" Type="http://schemas.openxmlformats.org/officeDocument/2006/relationships/footer" Target="footer101.xml"/><Relationship Id="rId226" Type="http://schemas.openxmlformats.org/officeDocument/2006/relationships/footer" Target="footer117.xml"/><Relationship Id="rId107" Type="http://schemas.openxmlformats.org/officeDocument/2006/relationships/image" Target="media/image38.png"/><Relationship Id="rId11" Type="http://schemas.openxmlformats.org/officeDocument/2006/relationships/footer" Target="footer1.xml"/><Relationship Id="rId32" Type="http://schemas.openxmlformats.org/officeDocument/2006/relationships/footer" Target="footer6.xml"/><Relationship Id="rId53" Type="http://schemas.openxmlformats.org/officeDocument/2006/relationships/footer" Target="footer19.xml"/><Relationship Id="rId74" Type="http://schemas.openxmlformats.org/officeDocument/2006/relationships/footer" Target="footer25.xml"/><Relationship Id="rId128" Type="http://schemas.openxmlformats.org/officeDocument/2006/relationships/image" Target="media/image47.png"/><Relationship Id="rId149" Type="http://schemas.openxmlformats.org/officeDocument/2006/relationships/footer" Target="footer60.xml"/><Relationship Id="rId5" Type="http://schemas.openxmlformats.org/officeDocument/2006/relationships/webSettings" Target="webSettings.xml"/><Relationship Id="rId95" Type="http://schemas.openxmlformats.org/officeDocument/2006/relationships/header" Target="header11.xml"/><Relationship Id="rId160" Type="http://schemas.openxmlformats.org/officeDocument/2006/relationships/footer" Target="footer71.xml"/><Relationship Id="rId181" Type="http://schemas.openxmlformats.org/officeDocument/2006/relationships/header" Target="header24.xml"/><Relationship Id="rId216" Type="http://schemas.openxmlformats.org/officeDocument/2006/relationships/footer" Target="footer112.xml"/><Relationship Id="rId237" Type="http://schemas.openxmlformats.org/officeDocument/2006/relationships/footer" Target="footer127.xml"/><Relationship Id="rId22" Type="http://schemas.openxmlformats.org/officeDocument/2006/relationships/hyperlink" Target="http://www.creativecommons.org/licenses/by/3.0/au" TargetMode="External"/><Relationship Id="rId43" Type="http://schemas.openxmlformats.org/officeDocument/2006/relationships/header" Target="header6.xml"/><Relationship Id="rId64" Type="http://schemas.openxmlformats.org/officeDocument/2006/relationships/image" Target="media/image20.png"/><Relationship Id="rId118" Type="http://schemas.openxmlformats.org/officeDocument/2006/relationships/image" Target="media/image44.png"/><Relationship Id="rId139" Type="http://schemas.openxmlformats.org/officeDocument/2006/relationships/footer" Target="footer50.xml"/><Relationship Id="rId85" Type="http://schemas.openxmlformats.org/officeDocument/2006/relationships/image" Target="media/image27.png"/><Relationship Id="rId150" Type="http://schemas.openxmlformats.org/officeDocument/2006/relationships/footer" Target="footer61.xml"/><Relationship Id="rId171" Type="http://schemas.openxmlformats.org/officeDocument/2006/relationships/footer" Target="footer77.xml"/><Relationship Id="rId192" Type="http://schemas.openxmlformats.org/officeDocument/2006/relationships/footer" Target="footer90.xml"/><Relationship Id="rId206" Type="http://schemas.openxmlformats.org/officeDocument/2006/relationships/footer" Target="footer102.xml"/><Relationship Id="rId227" Type="http://schemas.openxmlformats.org/officeDocument/2006/relationships/footer" Target="footer118.xml"/><Relationship Id="rId12" Type="http://schemas.openxmlformats.org/officeDocument/2006/relationships/hyperlink" Target="mailto:communications.ihpa@ihpa.gov.au" TargetMode="External"/><Relationship Id="rId33" Type="http://schemas.openxmlformats.org/officeDocument/2006/relationships/footer" Target="footer7.xml"/><Relationship Id="rId108" Type="http://schemas.openxmlformats.org/officeDocument/2006/relationships/image" Target="media/image39.png"/><Relationship Id="rId129" Type="http://schemas.openxmlformats.org/officeDocument/2006/relationships/image" Target="media/image48.png"/><Relationship Id="rId54" Type="http://schemas.openxmlformats.org/officeDocument/2006/relationships/footer" Target="footer20.xml"/><Relationship Id="rId75" Type="http://schemas.openxmlformats.org/officeDocument/2006/relationships/image" Target="media/image24.png"/><Relationship Id="rId96" Type="http://schemas.openxmlformats.org/officeDocument/2006/relationships/footer" Target="footer36.xml"/><Relationship Id="rId140" Type="http://schemas.openxmlformats.org/officeDocument/2006/relationships/footer" Target="footer51.xml"/><Relationship Id="rId161" Type="http://schemas.openxmlformats.org/officeDocument/2006/relationships/image" Target="media/image51.jpeg"/><Relationship Id="rId182" Type="http://schemas.openxmlformats.org/officeDocument/2006/relationships/footer" Target="footer85.xml"/><Relationship Id="rId217" Type="http://schemas.openxmlformats.org/officeDocument/2006/relationships/footer" Target="footer113.xml"/><Relationship Id="rId6" Type="http://schemas.openxmlformats.org/officeDocument/2006/relationships/footnotes" Target="footnotes.xml"/><Relationship Id="rId238" Type="http://schemas.openxmlformats.org/officeDocument/2006/relationships/footer" Target="footer128.xml"/><Relationship Id="rId23" Type="http://schemas.openxmlformats.org/officeDocument/2006/relationships/header" Target="header3.xml"/><Relationship Id="rId119" Type="http://schemas.openxmlformats.org/officeDocument/2006/relationships/header" Target="header15.xml"/><Relationship Id="rId44" Type="http://schemas.openxmlformats.org/officeDocument/2006/relationships/footer" Target="footer12.xml"/><Relationship Id="rId65" Type="http://schemas.openxmlformats.org/officeDocument/2006/relationships/footer" Target="footer21.xml"/><Relationship Id="rId86" Type="http://schemas.openxmlformats.org/officeDocument/2006/relationships/header" Target="header9.xml"/><Relationship Id="rId130" Type="http://schemas.openxmlformats.org/officeDocument/2006/relationships/image" Target="media/image49.jpeg"/><Relationship Id="rId151" Type="http://schemas.openxmlformats.org/officeDocument/2006/relationships/footer" Target="footer62.xml"/><Relationship Id="rId172" Type="http://schemas.openxmlformats.org/officeDocument/2006/relationships/footer" Target="footer78.xml"/><Relationship Id="rId193" Type="http://schemas.openxmlformats.org/officeDocument/2006/relationships/image" Target="media/image56.jpg"/><Relationship Id="rId207" Type="http://schemas.openxmlformats.org/officeDocument/2006/relationships/footer" Target="footer103.xml"/><Relationship Id="rId228" Type="http://schemas.openxmlformats.org/officeDocument/2006/relationships/hyperlink" Target="https://www.ihpa.gov.au/publications" TargetMode="External"/><Relationship Id="rId13" Type="http://schemas.openxmlformats.org/officeDocument/2006/relationships/hyperlink" Target="http://www.ihpa.gov.au" TargetMode="External"/><Relationship Id="rId109" Type="http://schemas.openxmlformats.org/officeDocument/2006/relationships/image" Target="media/image40.png"/><Relationship Id="rId34" Type="http://schemas.openxmlformats.org/officeDocument/2006/relationships/image" Target="media/image8.png"/><Relationship Id="rId55" Type="http://schemas.openxmlformats.org/officeDocument/2006/relationships/hyperlink" Target="https://www.ihpa.gov.au/what-we-do/national-efficient-price-determination" TargetMode="External"/><Relationship Id="rId76" Type="http://schemas.openxmlformats.org/officeDocument/2006/relationships/footer" Target="footer26.xml"/><Relationship Id="rId97" Type="http://schemas.openxmlformats.org/officeDocument/2006/relationships/header" Target="header12.xml"/><Relationship Id="rId120" Type="http://schemas.openxmlformats.org/officeDocument/2006/relationships/header" Target="header16.xml"/><Relationship Id="rId141" Type="http://schemas.openxmlformats.org/officeDocument/2006/relationships/footer" Target="footer52.xml"/><Relationship Id="rId7" Type="http://schemas.openxmlformats.org/officeDocument/2006/relationships/endnotes" Target="endnotes.xml"/><Relationship Id="rId162" Type="http://schemas.openxmlformats.org/officeDocument/2006/relationships/image" Target="media/image52.png"/><Relationship Id="rId183" Type="http://schemas.openxmlformats.org/officeDocument/2006/relationships/footer" Target="footer86.xml"/><Relationship Id="rId218" Type="http://schemas.openxmlformats.org/officeDocument/2006/relationships/image" Target="media/image58.png"/><Relationship Id="rId239" Type="http://schemas.openxmlformats.org/officeDocument/2006/relationships/footer" Target="footer129.xml"/><Relationship Id="rId24" Type="http://schemas.openxmlformats.org/officeDocument/2006/relationships/footer" Target="footer3.xml"/><Relationship Id="rId45" Type="http://schemas.openxmlformats.org/officeDocument/2006/relationships/hyperlink" Target="https://www.ihpa.gov.au/what-we-do/how-to-classify-covid-19" TargetMode="External"/><Relationship Id="rId66" Type="http://schemas.openxmlformats.org/officeDocument/2006/relationships/image" Target="media/image21.png"/><Relationship Id="rId87" Type="http://schemas.openxmlformats.org/officeDocument/2006/relationships/header" Target="header10.xml"/><Relationship Id="rId110" Type="http://schemas.openxmlformats.org/officeDocument/2006/relationships/footer" Target="footer39.xml"/><Relationship Id="rId131" Type="http://schemas.openxmlformats.org/officeDocument/2006/relationships/image" Target="media/image50.png"/><Relationship Id="rId152" Type="http://schemas.openxmlformats.org/officeDocument/2006/relationships/footer" Target="footer63.xml"/><Relationship Id="rId173" Type="http://schemas.openxmlformats.org/officeDocument/2006/relationships/footer" Target="footer79.xml"/><Relationship Id="rId194" Type="http://schemas.openxmlformats.org/officeDocument/2006/relationships/footer" Target="footer91.xml"/><Relationship Id="rId208" Type="http://schemas.openxmlformats.org/officeDocument/2006/relationships/footer" Target="footer104.xml"/><Relationship Id="rId229" Type="http://schemas.openxmlformats.org/officeDocument/2006/relationships/footer" Target="footer119.xml"/><Relationship Id="rId240" Type="http://schemas.openxmlformats.org/officeDocument/2006/relationships/image" Target="media/image59.jpeg"/><Relationship Id="rId14" Type="http://schemas.openxmlformats.org/officeDocument/2006/relationships/hyperlink" Target="http://www.ihpa.gov.au/ihpa-annual-report-2020-21" TargetMode="External"/><Relationship Id="rId35" Type="http://schemas.openxmlformats.org/officeDocument/2006/relationships/footer" Target="footer8.xml"/><Relationship Id="rId56" Type="http://schemas.openxmlformats.org/officeDocument/2006/relationships/image" Target="media/image12.png"/><Relationship Id="rId77" Type="http://schemas.openxmlformats.org/officeDocument/2006/relationships/footer" Target="footer27.xml"/><Relationship Id="rId100" Type="http://schemas.openxmlformats.org/officeDocument/2006/relationships/image" Target="media/image32.png"/><Relationship Id="rId8" Type="http://schemas.openxmlformats.org/officeDocument/2006/relationships/image" Target="media/image1.jpg"/><Relationship Id="rId98" Type="http://schemas.openxmlformats.org/officeDocument/2006/relationships/footer" Target="footer37.xml"/><Relationship Id="rId121" Type="http://schemas.openxmlformats.org/officeDocument/2006/relationships/footer" Target="footer42.xml"/><Relationship Id="rId142" Type="http://schemas.openxmlformats.org/officeDocument/2006/relationships/footer" Target="footer53.xml"/><Relationship Id="rId163" Type="http://schemas.openxmlformats.org/officeDocument/2006/relationships/header" Target="header20.xml"/><Relationship Id="rId184" Type="http://schemas.openxmlformats.org/officeDocument/2006/relationships/footer" Target="footer87.xml"/><Relationship Id="rId219" Type="http://schemas.openxmlformats.org/officeDocument/2006/relationships/header" Target="header27.xml"/><Relationship Id="rId230" Type="http://schemas.openxmlformats.org/officeDocument/2006/relationships/footer" Target="footer120.xml"/><Relationship Id="rId25" Type="http://schemas.openxmlformats.org/officeDocument/2006/relationships/image" Target="media/image4.jpeg"/><Relationship Id="rId46" Type="http://schemas.openxmlformats.org/officeDocument/2006/relationships/hyperlink" Target="https://agedcare.royalcommission.gov.au/" TargetMode="External"/><Relationship Id="rId67" Type="http://schemas.openxmlformats.org/officeDocument/2006/relationships/footer" Target="footer22.xml"/><Relationship Id="rId88" Type="http://schemas.openxmlformats.org/officeDocument/2006/relationships/footer" Target="footer31.xml"/><Relationship Id="rId111" Type="http://schemas.openxmlformats.org/officeDocument/2006/relationships/image" Target="media/image41.jpeg"/><Relationship Id="rId132" Type="http://schemas.openxmlformats.org/officeDocument/2006/relationships/header" Target="header18.xml"/><Relationship Id="rId153" Type="http://schemas.openxmlformats.org/officeDocument/2006/relationships/footer" Target="footer64.xml"/><Relationship Id="rId174" Type="http://schemas.openxmlformats.org/officeDocument/2006/relationships/footer" Target="footer80.xml"/><Relationship Id="rId195" Type="http://schemas.openxmlformats.org/officeDocument/2006/relationships/image" Target="media/image57.png"/><Relationship Id="rId209" Type="http://schemas.openxmlformats.org/officeDocument/2006/relationships/footer" Target="footer105.xml"/><Relationship Id="rId220" Type="http://schemas.openxmlformats.org/officeDocument/2006/relationships/footer" Target="footer114.xml"/><Relationship Id="rId241" Type="http://schemas.openxmlformats.org/officeDocument/2006/relationships/hyperlink" Target="mailto:enquiries.ihpa@ihpa.gov.au" TargetMode="External"/><Relationship Id="rId15" Type="http://schemas.openxmlformats.org/officeDocument/2006/relationships/hyperlink" Target="http://www.linkedin.com/company/independent-hospital-pricing-authority" TargetMode="External"/><Relationship Id="rId36" Type="http://schemas.openxmlformats.org/officeDocument/2006/relationships/footer" Target="footer9.xml"/><Relationship Id="rId57" Type="http://schemas.openxmlformats.org/officeDocument/2006/relationships/image" Target="media/image13.png"/><Relationship Id="rId10" Type="http://schemas.openxmlformats.org/officeDocument/2006/relationships/header" Target="header1.xml"/><Relationship Id="rId31" Type="http://schemas.openxmlformats.org/officeDocument/2006/relationships/header" Target="header4.xml"/><Relationship Id="rId52" Type="http://schemas.openxmlformats.org/officeDocument/2006/relationships/footer" Target="footer18.xml"/><Relationship Id="rId73" Type="http://schemas.openxmlformats.org/officeDocument/2006/relationships/footer" Target="footer24.xml"/><Relationship Id="rId78" Type="http://schemas.openxmlformats.org/officeDocument/2006/relationships/footer" Target="footer28.xml"/><Relationship Id="rId94" Type="http://schemas.openxmlformats.org/officeDocument/2006/relationships/image" Target="media/image30.png"/><Relationship Id="rId99" Type="http://schemas.openxmlformats.org/officeDocument/2006/relationships/image" Target="media/image31.jpeg"/><Relationship Id="rId101" Type="http://schemas.openxmlformats.org/officeDocument/2006/relationships/footer" Target="footer38.xml"/><Relationship Id="rId122" Type="http://schemas.openxmlformats.org/officeDocument/2006/relationships/header" Target="header17.xml"/><Relationship Id="rId143" Type="http://schemas.openxmlformats.org/officeDocument/2006/relationships/footer" Target="footer54.xml"/><Relationship Id="rId148" Type="http://schemas.openxmlformats.org/officeDocument/2006/relationships/footer" Target="footer59.xml"/><Relationship Id="rId164" Type="http://schemas.openxmlformats.org/officeDocument/2006/relationships/footer" Target="footer72.xml"/><Relationship Id="rId169" Type="http://schemas.openxmlformats.org/officeDocument/2006/relationships/hyperlink" Target="http://www.ihpa.gov.au/audit-risk-and-compliance-committee" TargetMode="External"/><Relationship Id="rId18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84.xml"/><Relationship Id="rId210" Type="http://schemas.openxmlformats.org/officeDocument/2006/relationships/footer" Target="footer106.xml"/><Relationship Id="rId215" Type="http://schemas.openxmlformats.org/officeDocument/2006/relationships/footer" Target="footer111.xml"/><Relationship Id="rId236" Type="http://schemas.openxmlformats.org/officeDocument/2006/relationships/footer" Target="footer126.xml"/><Relationship Id="rId26" Type="http://schemas.openxmlformats.org/officeDocument/2006/relationships/image" Target="media/image5.png"/><Relationship Id="rId231" Type="http://schemas.openxmlformats.org/officeDocument/2006/relationships/footer" Target="footer121.xml"/><Relationship Id="rId47" Type="http://schemas.openxmlformats.org/officeDocument/2006/relationships/footer" Target="footer13.xml"/><Relationship Id="rId68" Type="http://schemas.openxmlformats.org/officeDocument/2006/relationships/hyperlink" Target="https://www.ihpa.gov.au/what-we-do" TargetMode="External"/><Relationship Id="rId89" Type="http://schemas.openxmlformats.org/officeDocument/2006/relationships/footer" Target="footer32.xml"/><Relationship Id="rId112" Type="http://schemas.openxmlformats.org/officeDocument/2006/relationships/image" Target="media/image42.png"/><Relationship Id="rId133" Type="http://schemas.openxmlformats.org/officeDocument/2006/relationships/footer" Target="footer46.xml"/><Relationship Id="rId154" Type="http://schemas.openxmlformats.org/officeDocument/2006/relationships/footer" Target="footer65.xml"/><Relationship Id="rId175" Type="http://schemas.openxmlformats.org/officeDocument/2006/relationships/footer" Target="footer81.xml"/><Relationship Id="rId196" Type="http://schemas.openxmlformats.org/officeDocument/2006/relationships/footer" Target="footer92.xml"/><Relationship Id="rId200" Type="http://schemas.openxmlformats.org/officeDocument/2006/relationships/footer" Target="footer96.xml"/><Relationship Id="rId16" Type="http://schemas.openxmlformats.org/officeDocument/2006/relationships/hyperlink" Target="http://www.twitter.com/IHPAnews" TargetMode="External"/><Relationship Id="rId221" Type="http://schemas.openxmlformats.org/officeDocument/2006/relationships/header" Target="header28.xml"/><Relationship Id="rId242" Type="http://schemas.openxmlformats.org/officeDocument/2006/relationships/image" Target="media/image60.png"/><Relationship Id="rId37" Type="http://schemas.openxmlformats.org/officeDocument/2006/relationships/image" Target="media/image9.png"/><Relationship Id="rId58" Type="http://schemas.openxmlformats.org/officeDocument/2006/relationships/image" Target="media/image14.png"/><Relationship Id="rId79" Type="http://schemas.openxmlformats.org/officeDocument/2006/relationships/image" Target="media/image25.jpeg"/><Relationship Id="rId102" Type="http://schemas.openxmlformats.org/officeDocument/2006/relationships/image" Target="media/image33.png"/><Relationship Id="rId123" Type="http://schemas.openxmlformats.org/officeDocument/2006/relationships/footer" Target="footer43.xml"/><Relationship Id="rId144" Type="http://schemas.openxmlformats.org/officeDocument/2006/relationships/footer" Target="footer55.xml"/><Relationship Id="rId90" Type="http://schemas.openxmlformats.org/officeDocument/2006/relationships/footer" Target="footer33.xml"/><Relationship Id="rId165" Type="http://schemas.openxmlformats.org/officeDocument/2006/relationships/header" Target="header21.xml"/><Relationship Id="rId186" Type="http://schemas.openxmlformats.org/officeDocument/2006/relationships/image" Target="media/image54.png"/><Relationship Id="rId211" Type="http://schemas.openxmlformats.org/officeDocument/2006/relationships/footer" Target="footer107.xml"/><Relationship Id="rId232" Type="http://schemas.openxmlformats.org/officeDocument/2006/relationships/footer" Target="footer122.xml"/><Relationship Id="rId27" Type="http://schemas.openxmlformats.org/officeDocument/2006/relationships/footer" Target="footer4.xml"/><Relationship Id="rId48" Type="http://schemas.openxmlformats.org/officeDocument/2006/relationships/footer" Target="footer14.xml"/><Relationship Id="rId69" Type="http://schemas.openxmlformats.org/officeDocument/2006/relationships/hyperlink" Target="https://www.ihpa.gov.au/what-we-do/national-efficient-cost-determination" TargetMode="External"/><Relationship Id="rId113" Type="http://schemas.openxmlformats.org/officeDocument/2006/relationships/header" Target="header13.xml"/><Relationship Id="rId134" Type="http://schemas.openxmlformats.org/officeDocument/2006/relationships/header" Target="header19.xml"/><Relationship Id="rId80" Type="http://schemas.openxmlformats.org/officeDocument/2006/relationships/image" Target="media/image26.png"/><Relationship Id="rId155" Type="http://schemas.openxmlformats.org/officeDocument/2006/relationships/footer" Target="footer66.xml"/><Relationship Id="rId176" Type="http://schemas.openxmlformats.org/officeDocument/2006/relationships/header" Target="header22.xml"/><Relationship Id="rId197" Type="http://schemas.openxmlformats.org/officeDocument/2006/relationships/footer" Target="footer93.xml"/><Relationship Id="rId201" Type="http://schemas.openxmlformats.org/officeDocument/2006/relationships/footer" Target="footer97.xml"/><Relationship Id="rId222" Type="http://schemas.openxmlformats.org/officeDocument/2006/relationships/header" Target="header29.xml"/><Relationship Id="rId243" Type="http://schemas.openxmlformats.org/officeDocument/2006/relationships/header" Target="header31.xml"/><Relationship Id="rId17" Type="http://schemas.openxmlformats.org/officeDocument/2006/relationships/hyperlink" Target="http://www.youtube.com/c/IhpaGovAu" TargetMode="External"/><Relationship Id="rId38" Type="http://schemas.openxmlformats.org/officeDocument/2006/relationships/footer" Target="footer10.xml"/><Relationship Id="rId59" Type="http://schemas.openxmlformats.org/officeDocument/2006/relationships/image" Target="media/image15.png"/><Relationship Id="rId103" Type="http://schemas.openxmlformats.org/officeDocument/2006/relationships/image" Target="media/image34.png"/><Relationship Id="rId124" Type="http://schemas.openxmlformats.org/officeDocument/2006/relationships/footer" Target="footer44.xml"/><Relationship Id="rId70" Type="http://schemas.openxmlformats.org/officeDocument/2006/relationships/image" Target="media/image22.png"/><Relationship Id="rId91" Type="http://schemas.openxmlformats.org/officeDocument/2006/relationships/footer" Target="footer34.xml"/><Relationship Id="rId145" Type="http://schemas.openxmlformats.org/officeDocument/2006/relationships/footer" Target="footer56.xml"/><Relationship Id="rId166" Type="http://schemas.openxmlformats.org/officeDocument/2006/relationships/footer" Target="footer73.xml"/><Relationship Id="rId187" Type="http://schemas.openxmlformats.org/officeDocument/2006/relationships/header" Target="header25.xml"/><Relationship Id="rId1" Type="http://schemas.openxmlformats.org/officeDocument/2006/relationships/customXml" Target="../customXml/item1.xml"/><Relationship Id="rId212" Type="http://schemas.openxmlformats.org/officeDocument/2006/relationships/footer" Target="footer108.xml"/><Relationship Id="rId233" Type="http://schemas.openxmlformats.org/officeDocument/2006/relationships/footer" Target="footer123.xml"/><Relationship Id="rId28" Type="http://schemas.openxmlformats.org/officeDocument/2006/relationships/image" Target="media/image6.jpeg"/><Relationship Id="rId49" Type="http://schemas.openxmlformats.org/officeDocument/2006/relationships/footer" Target="footer15.xml"/><Relationship Id="rId114" Type="http://schemas.openxmlformats.org/officeDocument/2006/relationships/footer" Target="footer40.xml"/><Relationship Id="rId60" Type="http://schemas.openxmlformats.org/officeDocument/2006/relationships/image" Target="media/image16.png"/><Relationship Id="rId81" Type="http://schemas.openxmlformats.org/officeDocument/2006/relationships/header" Target="header7.xml"/><Relationship Id="rId135" Type="http://schemas.openxmlformats.org/officeDocument/2006/relationships/footer" Target="footer47.xml"/><Relationship Id="rId156" Type="http://schemas.openxmlformats.org/officeDocument/2006/relationships/footer" Target="footer67.xml"/><Relationship Id="rId177" Type="http://schemas.openxmlformats.org/officeDocument/2006/relationships/footer" Target="footer82.xml"/><Relationship Id="rId198" Type="http://schemas.openxmlformats.org/officeDocument/2006/relationships/footer" Target="footer94.xml"/><Relationship Id="rId202" Type="http://schemas.openxmlformats.org/officeDocument/2006/relationships/footer" Target="footer98.xml"/><Relationship Id="rId223" Type="http://schemas.openxmlformats.org/officeDocument/2006/relationships/footer" Target="footer115.xml"/><Relationship Id="rId244" Type="http://schemas.openxmlformats.org/officeDocument/2006/relationships/footer" Target="footer130.xml"/><Relationship Id="rId18" Type="http://schemas.openxmlformats.org/officeDocument/2006/relationships/hyperlink" Target="https://www.soundcloud.com/IHPA" TargetMode="External"/><Relationship Id="rId39" Type="http://schemas.openxmlformats.org/officeDocument/2006/relationships/image" Target="media/image10.jpeg"/><Relationship Id="rId50" Type="http://schemas.openxmlformats.org/officeDocument/2006/relationships/footer" Target="footer16.xml"/><Relationship Id="rId104" Type="http://schemas.openxmlformats.org/officeDocument/2006/relationships/image" Target="media/image35.png"/><Relationship Id="rId125" Type="http://schemas.openxmlformats.org/officeDocument/2006/relationships/footer" Target="footer45.xml"/><Relationship Id="rId146" Type="http://schemas.openxmlformats.org/officeDocument/2006/relationships/footer" Target="footer57.xml"/><Relationship Id="rId167" Type="http://schemas.openxmlformats.org/officeDocument/2006/relationships/footer" Target="footer74.xml"/><Relationship Id="rId188" Type="http://schemas.openxmlformats.org/officeDocument/2006/relationships/footer" Target="footer88.xml"/><Relationship Id="rId71" Type="http://schemas.openxmlformats.org/officeDocument/2006/relationships/footer" Target="footer23.xml"/><Relationship Id="rId92" Type="http://schemas.openxmlformats.org/officeDocument/2006/relationships/footer" Target="footer35.xml"/><Relationship Id="rId213" Type="http://schemas.openxmlformats.org/officeDocument/2006/relationships/footer" Target="footer109.xml"/><Relationship Id="rId234" Type="http://schemas.openxmlformats.org/officeDocument/2006/relationships/footer" Target="footer124.xml"/><Relationship Id="rId2" Type="http://schemas.openxmlformats.org/officeDocument/2006/relationships/numbering" Target="numbering.xml"/><Relationship Id="rId29" Type="http://schemas.openxmlformats.org/officeDocument/2006/relationships/footer" Target="footer5.xml"/><Relationship Id="rId40" Type="http://schemas.openxmlformats.org/officeDocument/2006/relationships/image" Target="media/image11.png"/><Relationship Id="rId115" Type="http://schemas.openxmlformats.org/officeDocument/2006/relationships/header" Target="header14.xml"/><Relationship Id="rId136" Type="http://schemas.openxmlformats.org/officeDocument/2006/relationships/hyperlink" Target="https://www.ihpa.gov.au/publications" TargetMode="External"/><Relationship Id="rId157" Type="http://schemas.openxmlformats.org/officeDocument/2006/relationships/footer" Target="footer68.xml"/><Relationship Id="rId178" Type="http://schemas.openxmlformats.org/officeDocument/2006/relationships/header" Target="header23.xml"/><Relationship Id="rId61" Type="http://schemas.openxmlformats.org/officeDocument/2006/relationships/image" Target="media/image17.png"/><Relationship Id="rId82" Type="http://schemas.openxmlformats.org/officeDocument/2006/relationships/footer" Target="footer29.xml"/><Relationship Id="rId199" Type="http://schemas.openxmlformats.org/officeDocument/2006/relationships/footer" Target="footer95.xml"/><Relationship Id="rId203" Type="http://schemas.openxmlformats.org/officeDocument/2006/relationships/footer" Target="footer99.xml"/><Relationship Id="rId19" Type="http://schemas.openxmlformats.org/officeDocument/2006/relationships/image" Target="media/image3.png"/><Relationship Id="rId224" Type="http://schemas.openxmlformats.org/officeDocument/2006/relationships/footer" Target="footer116.xml"/><Relationship Id="rId245" Type="http://schemas.openxmlformats.org/officeDocument/2006/relationships/fontTable" Target="fontTable.xml"/><Relationship Id="rId30" Type="http://schemas.openxmlformats.org/officeDocument/2006/relationships/image" Target="media/image7.jpg"/><Relationship Id="rId105" Type="http://schemas.openxmlformats.org/officeDocument/2006/relationships/image" Target="media/image36.png"/><Relationship Id="rId126" Type="http://schemas.openxmlformats.org/officeDocument/2006/relationships/image" Target="media/image45.png"/><Relationship Id="rId147" Type="http://schemas.openxmlformats.org/officeDocument/2006/relationships/footer" Target="footer58.xml"/><Relationship Id="rId168" Type="http://schemas.openxmlformats.org/officeDocument/2006/relationships/footer" Target="footer75.xml"/><Relationship Id="rId51" Type="http://schemas.openxmlformats.org/officeDocument/2006/relationships/footer" Target="footer17.xml"/><Relationship Id="rId72" Type="http://schemas.openxmlformats.org/officeDocument/2006/relationships/image" Target="media/image23.png"/><Relationship Id="rId93" Type="http://schemas.openxmlformats.org/officeDocument/2006/relationships/image" Target="media/image29.jpeg"/><Relationship Id="rId189" Type="http://schemas.openxmlformats.org/officeDocument/2006/relationships/header" Target="header26.xml"/><Relationship Id="rId3" Type="http://schemas.openxmlformats.org/officeDocument/2006/relationships/styles" Target="styles.xml"/><Relationship Id="rId214" Type="http://schemas.openxmlformats.org/officeDocument/2006/relationships/footer" Target="footer110.xml"/><Relationship Id="rId235" Type="http://schemas.openxmlformats.org/officeDocument/2006/relationships/footer" Target="footer125.xml"/><Relationship Id="rId116" Type="http://schemas.openxmlformats.org/officeDocument/2006/relationships/footer" Target="footer41.xml"/><Relationship Id="rId137" Type="http://schemas.openxmlformats.org/officeDocument/2006/relationships/footer" Target="footer48.xml"/><Relationship Id="rId158" Type="http://schemas.openxmlformats.org/officeDocument/2006/relationships/footer" Target="footer69.xml"/><Relationship Id="rId20" Type="http://schemas.openxmlformats.org/officeDocument/2006/relationships/header" Target="header2.xml"/><Relationship Id="rId41" Type="http://schemas.openxmlformats.org/officeDocument/2006/relationships/header" Target="header5.xml"/><Relationship Id="rId62" Type="http://schemas.openxmlformats.org/officeDocument/2006/relationships/image" Target="media/image18.png"/><Relationship Id="rId83" Type="http://schemas.openxmlformats.org/officeDocument/2006/relationships/header" Target="header8.xml"/><Relationship Id="rId179" Type="http://schemas.openxmlformats.org/officeDocument/2006/relationships/footer" Target="footer83.xml"/><Relationship Id="rId190" Type="http://schemas.openxmlformats.org/officeDocument/2006/relationships/footer" Target="footer89.xml"/><Relationship Id="rId204" Type="http://schemas.openxmlformats.org/officeDocument/2006/relationships/footer" Target="footer100.xml"/><Relationship Id="rId225" Type="http://schemas.openxmlformats.org/officeDocument/2006/relationships/header" Target="header30.xml"/><Relationship Id="rId246" Type="http://schemas.openxmlformats.org/officeDocument/2006/relationships/theme" Target="theme/theme1.xml"/><Relationship Id="rId106" Type="http://schemas.openxmlformats.org/officeDocument/2006/relationships/image" Target="media/image37.png"/><Relationship Id="rId127" Type="http://schemas.openxmlformats.org/officeDocument/2006/relationships/image" Target="media/image46.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11.xml.rels><?xml version="1.0" encoding="UTF-8" standalone="yes"?>
<Relationships xmlns="http://schemas.openxmlformats.org/package/2006/relationships"><Relationship Id="rId1" Type="http://schemas.openxmlformats.org/officeDocument/2006/relationships/image" Target="media/image29.jpeg"/></Relationships>
</file>

<file path=word/_rels/header13.xml.rels><?xml version="1.0" encoding="UTF-8" standalone="yes"?>
<Relationships xmlns="http://schemas.openxmlformats.org/package/2006/relationships"><Relationship Id="rId1" Type="http://schemas.openxmlformats.org/officeDocument/2006/relationships/image" Target="media/image41.jpeg"/></Relationships>
</file>

<file path=word/_rels/header18.xml.rels><?xml version="1.0" encoding="UTF-8" standalone="yes"?>
<Relationships xmlns="http://schemas.openxmlformats.org/package/2006/relationships"><Relationship Id="rId1" Type="http://schemas.openxmlformats.org/officeDocument/2006/relationships/image" Target="media/image49.jpeg"/></Relationships>
</file>

<file path=word/_rels/header20.xml.rels><?xml version="1.0" encoding="UTF-8" standalone="yes"?>
<Relationships xmlns="http://schemas.openxmlformats.org/package/2006/relationships"><Relationship Id="rId1" Type="http://schemas.openxmlformats.org/officeDocument/2006/relationships/image" Target="media/image51.jpeg"/></Relationships>
</file>

<file path=word/_rels/header25.xml.rels><?xml version="1.0" encoding="UTF-8" standalone="yes"?>
<Relationships xmlns="http://schemas.openxmlformats.org/package/2006/relationships"><Relationship Id="rId1" Type="http://schemas.openxmlformats.org/officeDocument/2006/relationships/image" Target="media/image53.jpeg"/></Relationships>
</file>

<file path=word/_rels/header27.xml.rels><?xml version="1.0" encoding="UTF-8" standalone="yes"?>
<Relationships xmlns="http://schemas.openxmlformats.org/package/2006/relationships"><Relationship Id="rId1" Type="http://schemas.openxmlformats.org/officeDocument/2006/relationships/image" Target="media/image53.jpeg"/></Relationships>
</file>

<file path=word/_rels/header31.xml.rels><?xml version="1.0" encoding="UTF-8" standalone="yes"?>
<Relationships xmlns="http://schemas.openxmlformats.org/package/2006/relationships"><Relationship Id="rId1" Type="http://schemas.openxmlformats.org/officeDocument/2006/relationships/image" Target="media/image59.jpeg"/></Relationships>
</file>

<file path=word/_rels/header5.xml.rels><?xml version="1.0" encoding="UTF-8" standalone="yes"?>
<Relationships xmlns="http://schemas.openxmlformats.org/package/2006/relationships"><Relationship Id="rId1" Type="http://schemas.openxmlformats.org/officeDocument/2006/relationships/image" Target="media/image10.jpeg"/></Relationships>
</file>

<file path=word/_rels/header7.xml.rels><?xml version="1.0" encoding="UTF-8" standalone="yes"?>
<Relationships xmlns="http://schemas.openxmlformats.org/package/2006/relationships"><Relationship Id="rId1" Type="http://schemas.openxmlformats.org/officeDocument/2006/relationships/image" Target="media/image25.jpeg"/></Relationships>
</file>

<file path=word/_rels/header9.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Theme">
  <a:themeElements>
    <a:clrScheme name="IHPA">
      <a:dk1>
        <a:srgbClr val="003F2C"/>
      </a:dk1>
      <a:lt1>
        <a:srgbClr val="7EC352"/>
      </a:lt1>
      <a:dk2>
        <a:srgbClr val="003F2C"/>
      </a:dk2>
      <a:lt2>
        <a:srgbClr val="FFFFFF"/>
      </a:lt2>
      <a:accent1>
        <a:srgbClr val="008F54"/>
      </a:accent1>
      <a:accent2>
        <a:srgbClr val="7EC352"/>
      </a:accent2>
      <a:accent3>
        <a:srgbClr val="009AB8"/>
      </a:accent3>
      <a:accent4>
        <a:srgbClr val="F47920"/>
      </a:accent4>
      <a:accent5>
        <a:srgbClr val="5E2F7E"/>
      </a:accent5>
      <a:accent6>
        <a:srgbClr val="C40B46"/>
      </a:accent6>
      <a:hlink>
        <a:srgbClr val="008F54"/>
      </a:hlink>
      <a:folHlink>
        <a:srgbClr val="7EC352"/>
      </a:folHlink>
    </a:clrScheme>
    <a:fontScheme name="IHPA">
      <a:majorFont>
        <a:latin typeface="Futura PT Bold"/>
        <a:ea typeface=""/>
        <a:cs typeface=""/>
      </a:majorFont>
      <a:minorFont>
        <a:latin typeface="Futura PT Book"/>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055B4-4426-4F5E-815C-501098FD8A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1123</TotalTime>
  <Pages>128</Pages>
  <Words>28529</Words>
  <Characters>162618</Characters>
  <Application>Microsoft Office Word</Application>
  <DocSecurity>0</DocSecurity>
  <Lines>1355</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Lau</dc:creator>
  <cp:keywords/>
  <dc:description/>
  <cp:lastModifiedBy>Jonathan Lau</cp:lastModifiedBy>
  <cp:revision>311</cp:revision>
  <cp:lastPrinted>2021-10-15T00:57:00Z</cp:lastPrinted>
  <dcterms:created xsi:type="dcterms:W3CDTF">2021-09-22T07:11:00Z</dcterms:created>
  <dcterms:modified xsi:type="dcterms:W3CDTF">2021-10-28T02:20:00Z</dcterms:modified>
</cp:coreProperties>
</file>