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4.xml" ContentType="application/vnd.openxmlformats-officedocument.wordprocessingml.footer+xml"/>
  <Override PartName="/word/header37.xml" ContentType="application/vnd.openxmlformats-officedocument.wordprocessingml.header+xml"/>
  <Override PartName="/word/footer15.xml" ContentType="application/vnd.openxmlformats-officedocument.wordprocessingml.footer+xml"/>
  <Override PartName="/word/header38.xml" ContentType="application/vnd.openxmlformats-officedocument.wordprocessingml.header+xml"/>
  <Override PartName="/word/footer1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4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4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43.xml" ContentType="application/vnd.openxmlformats-officedocument.wordprocessingml.header+xml"/>
  <Override PartName="/word/footer2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2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738E8E" w14:textId="0ACBF3C9" w:rsidR="003C360C" w:rsidRPr="00CC1D36" w:rsidRDefault="00CC1D36" w:rsidP="003C6AC0">
      <w:pPr>
        <w:pStyle w:val="CoverTitle"/>
      </w:pPr>
      <w:r w:rsidRPr="00EC244D">
        <w:t>Annual</w:t>
      </w:r>
      <w:r w:rsidRPr="00CC1D36">
        <w:br/>
        <w:t>Report</w:t>
      </w:r>
    </w:p>
    <w:p w14:paraId="4D5410E1" w14:textId="0F8BA349" w:rsidR="00CC1D36" w:rsidRPr="00CC1D36" w:rsidRDefault="00CC1D36" w:rsidP="003C6AC0">
      <w:pPr>
        <w:pStyle w:val="Coveryear"/>
      </w:pPr>
      <w:r w:rsidRPr="00CC1D36">
        <w:t>2019</w:t>
      </w:r>
      <w:r w:rsidR="00A17CEA">
        <w:rPr>
          <w:rFonts w:cs="Futura Lt BT"/>
        </w:rPr>
        <w:t>–</w:t>
      </w:r>
      <w:r w:rsidRPr="00CC1D36">
        <w:t>20</w:t>
      </w:r>
    </w:p>
    <w:p w14:paraId="4596A538" w14:textId="00AFADB3" w:rsidR="00CC1D36" w:rsidRPr="00CC1D36" w:rsidRDefault="00CC1D36" w:rsidP="003C6AC0">
      <w:pPr>
        <w:pStyle w:val="CoverSecondaryTitle"/>
      </w:pPr>
      <w:r w:rsidRPr="00CC1D36">
        <w:t>Independent Hospital</w:t>
      </w:r>
      <w:r w:rsidR="00641A06">
        <w:t xml:space="preserve"> </w:t>
      </w:r>
      <w:r w:rsidRPr="00CC1D36">
        <w:t>Pricing Authority</w:t>
      </w:r>
    </w:p>
    <w:p w14:paraId="287BF9F1" w14:textId="77777777" w:rsidR="004F6A93" w:rsidRDefault="004F6A93">
      <w:pPr>
        <w:sectPr w:rsidR="004F6A93" w:rsidSect="002717EB">
          <w:headerReference w:type="default" r:id="rId8"/>
          <w:footerReference w:type="even" r:id="rId9"/>
          <w:footerReference w:type="default" r:id="rId10"/>
          <w:pgSz w:w="9979" w:h="14175" w:code="13"/>
          <w:pgMar w:top="1440" w:right="1440" w:bottom="1440" w:left="1440" w:header="709" w:footer="709" w:gutter="0"/>
          <w:cols w:space="708"/>
          <w:docGrid w:linePitch="360"/>
        </w:sectPr>
      </w:pPr>
    </w:p>
    <w:p w14:paraId="067F9DE2" w14:textId="77777777" w:rsidR="004F6A93" w:rsidRPr="00936074" w:rsidRDefault="004F6A93" w:rsidP="00562059">
      <w:pPr>
        <w:pStyle w:val="Heading1"/>
        <w:spacing w:before="0" w:beforeAutospacing="0"/>
        <w:rPr>
          <w:color w:val="003F2C" w:themeColor="text2"/>
        </w:rPr>
      </w:pPr>
      <w:bookmarkStart w:id="0" w:name="_Toc44349571"/>
      <w:bookmarkStart w:id="1" w:name="_Toc44350163"/>
      <w:bookmarkStart w:id="2" w:name="_Toc45192378"/>
      <w:bookmarkStart w:id="3" w:name="_Toc45636762"/>
      <w:bookmarkStart w:id="4" w:name="_Toc45705618"/>
      <w:bookmarkStart w:id="5" w:name="_Toc46151558"/>
      <w:bookmarkStart w:id="6" w:name="_Toc50378054"/>
      <w:r w:rsidRPr="00936074">
        <w:rPr>
          <w:color w:val="003F2C" w:themeColor="text2"/>
        </w:rPr>
        <w:lastRenderedPageBreak/>
        <w:t>About this report</w:t>
      </w:r>
      <w:bookmarkEnd w:id="0"/>
      <w:bookmarkEnd w:id="1"/>
      <w:bookmarkEnd w:id="2"/>
      <w:bookmarkEnd w:id="3"/>
      <w:bookmarkEnd w:id="4"/>
      <w:bookmarkEnd w:id="5"/>
      <w:bookmarkEnd w:id="6"/>
    </w:p>
    <w:p w14:paraId="68D896AE" w14:textId="77777777" w:rsidR="004F6A93" w:rsidRPr="00CE1E27" w:rsidRDefault="004F6A93" w:rsidP="004F6A93">
      <w:pPr>
        <w:pStyle w:val="H4"/>
        <w:rPr>
          <w:bCs w:val="0"/>
        </w:rPr>
      </w:pPr>
      <w:r w:rsidRPr="00CE1E27">
        <w:rPr>
          <w:bCs w:val="0"/>
        </w:rPr>
        <w:t>Contact</w:t>
      </w:r>
    </w:p>
    <w:p w14:paraId="58197829" w14:textId="77777777" w:rsidR="004F6A93" w:rsidRPr="00A64835" w:rsidRDefault="004F6A93" w:rsidP="004F6A93">
      <w:pPr>
        <w:pStyle w:val="Body"/>
      </w:pPr>
      <w:r w:rsidRPr="00A64835">
        <w:t>If you have any queries about this annual report please contact:</w:t>
      </w:r>
    </w:p>
    <w:p w14:paraId="6423ACC3" w14:textId="77777777" w:rsidR="004F6A93" w:rsidRPr="00CE1E27" w:rsidRDefault="004F6A93" w:rsidP="004F6A93">
      <w:pPr>
        <w:pStyle w:val="Body"/>
        <w:rPr>
          <w:b/>
          <w:bCs/>
        </w:rPr>
      </w:pPr>
      <w:r w:rsidRPr="00CE1E27">
        <w:rPr>
          <w:b/>
          <w:bCs/>
        </w:rPr>
        <w:t>Independent Hospital Pricing Authority</w:t>
      </w:r>
      <w:r>
        <w:rPr>
          <w:b/>
          <w:bCs/>
        </w:rPr>
        <w:br/>
      </w:r>
      <w:r w:rsidRPr="00A64835">
        <w:t>Communication and Media Section</w:t>
      </w:r>
      <w:r>
        <w:rPr>
          <w:b/>
          <w:bCs/>
        </w:rPr>
        <w:br/>
      </w:r>
      <w:r w:rsidRPr="00A64835">
        <w:t>PO Box 483</w:t>
      </w:r>
      <w:r>
        <w:rPr>
          <w:b/>
          <w:bCs/>
        </w:rPr>
        <w:br/>
      </w:r>
      <w:r w:rsidRPr="00A64835">
        <w:t>Darlinghurst NSW 1300</w:t>
      </w:r>
    </w:p>
    <w:p w14:paraId="47A795F2" w14:textId="77777777" w:rsidR="004F6A93" w:rsidRPr="00A64835" w:rsidRDefault="004F6A93" w:rsidP="004F6A93">
      <w:pPr>
        <w:pStyle w:val="Body"/>
      </w:pPr>
      <w:r w:rsidRPr="00CE1E27">
        <w:rPr>
          <w:b/>
          <w:bCs/>
        </w:rPr>
        <w:t>Email</w:t>
      </w:r>
      <w:r w:rsidRPr="00F55FE1">
        <w:rPr>
          <w:b/>
          <w:bCs/>
        </w:rPr>
        <w:t xml:space="preserve"> </w:t>
      </w:r>
      <w:hyperlink r:id="rId11" w:history="1">
        <w:r w:rsidRPr="00323E2D">
          <w:rPr>
            <w:rStyle w:val="Hyperlink"/>
          </w:rPr>
          <w:t>communications.ihpa@ihpa.gov.au</w:t>
        </w:r>
      </w:hyperlink>
      <w:r>
        <w:br/>
      </w:r>
      <w:r w:rsidRPr="008E51AC">
        <w:rPr>
          <w:b/>
          <w:bCs/>
        </w:rPr>
        <w:t>Telephone</w:t>
      </w:r>
      <w:r w:rsidRPr="00F55FE1">
        <w:rPr>
          <w:b/>
          <w:bCs/>
        </w:rPr>
        <w:t xml:space="preserve"> </w:t>
      </w:r>
      <w:r w:rsidRPr="00A64835">
        <w:t>02 8215 1100</w:t>
      </w:r>
      <w:r>
        <w:br/>
      </w:r>
      <w:r w:rsidRPr="00CE1E27">
        <w:rPr>
          <w:b/>
          <w:bCs/>
        </w:rPr>
        <w:t>ABN</w:t>
      </w:r>
      <w:r w:rsidRPr="00A64835">
        <w:t xml:space="preserve"> 27 598 959 960</w:t>
      </w:r>
    </w:p>
    <w:p w14:paraId="03304E58" w14:textId="0637318E" w:rsidR="004F6A93" w:rsidRPr="00A64835" w:rsidRDefault="004F6A93" w:rsidP="004F6A93">
      <w:pPr>
        <w:pStyle w:val="Body"/>
      </w:pPr>
      <w:r w:rsidRPr="00CE1E27">
        <w:rPr>
          <w:b/>
          <w:bCs/>
        </w:rPr>
        <w:t>Website</w:t>
      </w:r>
      <w:r w:rsidRPr="00A64835">
        <w:t xml:space="preserve"> </w:t>
      </w:r>
      <w:hyperlink r:id="rId12" w:history="1">
        <w:r w:rsidRPr="00CE1E27">
          <w:rPr>
            <w:rStyle w:val="Hyperlink"/>
          </w:rPr>
          <w:t>www.ihpa.gov.au</w:t>
        </w:r>
      </w:hyperlink>
    </w:p>
    <w:p w14:paraId="6F3A28E2" w14:textId="77777777" w:rsidR="004F6A93" w:rsidRPr="00CE1E27" w:rsidRDefault="004F6A93" w:rsidP="004F6A93">
      <w:pPr>
        <w:pStyle w:val="H4"/>
      </w:pPr>
      <w:r w:rsidRPr="00CE1E27">
        <w:t>Online version</w:t>
      </w:r>
    </w:p>
    <w:p w14:paraId="253F58AC" w14:textId="428B4E8C" w:rsidR="004F6A93" w:rsidRPr="00A64835" w:rsidRDefault="004F6A93" w:rsidP="004F6A93">
      <w:pPr>
        <w:pStyle w:val="Body"/>
      </w:pPr>
      <w:r w:rsidRPr="00A64835">
        <w:t>An online version of this annual report can be accessed at:</w:t>
      </w:r>
      <w:r>
        <w:br/>
      </w:r>
      <w:hyperlink r:id="rId13" w:history="1">
        <w:r w:rsidRPr="004F23AF">
          <w:rPr>
            <w:rStyle w:val="Hyperlink"/>
          </w:rPr>
          <w:t>www.ihpa.gov.au/annual-report-2019</w:t>
        </w:r>
        <w:r w:rsidR="001F0DF5" w:rsidRPr="004F23AF">
          <w:rPr>
            <w:rStyle w:val="Hyperlink"/>
            <w:rFonts w:ascii="Cambria Math" w:hAnsi="Cambria Math" w:cs="Cambria Math"/>
          </w:rPr>
          <w:t>–</w:t>
        </w:r>
        <w:r w:rsidRPr="004F23AF">
          <w:rPr>
            <w:rStyle w:val="Hyperlink"/>
          </w:rPr>
          <w:t>20</w:t>
        </w:r>
      </w:hyperlink>
    </w:p>
    <w:p w14:paraId="0A397E8D" w14:textId="77777777" w:rsidR="004F6A93" w:rsidRPr="00CE1E27" w:rsidRDefault="004F6A93" w:rsidP="004F6A93">
      <w:pPr>
        <w:pStyle w:val="H4"/>
      </w:pPr>
      <w:r w:rsidRPr="00CE1E27">
        <w:t>Follow us</w:t>
      </w:r>
    </w:p>
    <w:p w14:paraId="5AB8A650" w14:textId="77777777" w:rsidR="004F6A93" w:rsidRPr="00A64835" w:rsidRDefault="004F6A93" w:rsidP="004F6A93">
      <w:pPr>
        <w:pStyle w:val="Body"/>
      </w:pPr>
      <w:r w:rsidRPr="00CE1E27">
        <w:rPr>
          <w:b/>
          <w:bCs/>
        </w:rPr>
        <w:t>LinkedIn</w:t>
      </w:r>
      <w:r w:rsidRPr="00A64835">
        <w:t xml:space="preserve"> </w:t>
      </w:r>
      <w:hyperlink r:id="rId14" w:history="1">
        <w:r w:rsidRPr="00CE1E27">
          <w:rPr>
            <w:rStyle w:val="Hyperlink"/>
          </w:rPr>
          <w:t>linkedin.com/company/independent-hospital-pricing-authority</w:t>
        </w:r>
      </w:hyperlink>
    </w:p>
    <w:p w14:paraId="78D122A7" w14:textId="77777777" w:rsidR="004F6A93" w:rsidRPr="00A64835" w:rsidRDefault="004F6A93" w:rsidP="004F6A93">
      <w:pPr>
        <w:pStyle w:val="Body"/>
      </w:pPr>
      <w:r w:rsidRPr="008E51AC">
        <w:rPr>
          <w:b/>
          <w:bCs/>
        </w:rPr>
        <w:t>Twitter</w:t>
      </w:r>
      <w:r w:rsidRPr="00A64835">
        <w:t xml:space="preserve"> </w:t>
      </w:r>
      <w:hyperlink r:id="rId15" w:history="1">
        <w:r w:rsidRPr="00CE1E27">
          <w:rPr>
            <w:rStyle w:val="Hyperlink"/>
          </w:rPr>
          <w:t>@IHPAnews</w:t>
        </w:r>
      </w:hyperlink>
    </w:p>
    <w:p w14:paraId="0A2B4779" w14:textId="77777777" w:rsidR="004F6A93" w:rsidRPr="00A64835" w:rsidRDefault="004F6A93" w:rsidP="004F6A93">
      <w:pPr>
        <w:pStyle w:val="Body"/>
      </w:pPr>
      <w:r w:rsidRPr="00CE1E27">
        <w:rPr>
          <w:b/>
          <w:bCs/>
        </w:rPr>
        <w:t>YouTube</w:t>
      </w:r>
      <w:r w:rsidRPr="00A64835">
        <w:t xml:space="preserve"> </w:t>
      </w:r>
      <w:hyperlink r:id="rId16" w:history="1">
        <w:r w:rsidRPr="00CE1E27">
          <w:rPr>
            <w:rStyle w:val="Hyperlink"/>
          </w:rPr>
          <w:t>youtube.com/c/IhpaGovAu</w:t>
        </w:r>
      </w:hyperlink>
    </w:p>
    <w:p w14:paraId="3961A887" w14:textId="77777777" w:rsidR="004F6A93" w:rsidRDefault="004F6A93" w:rsidP="004F6A93">
      <w:pPr>
        <w:pStyle w:val="Body"/>
      </w:pPr>
      <w:r w:rsidRPr="00CE1E27">
        <w:rPr>
          <w:b/>
          <w:bCs/>
        </w:rPr>
        <w:t>SoundCloud</w:t>
      </w:r>
      <w:r w:rsidRPr="00A64835">
        <w:t xml:space="preserve"> </w:t>
      </w:r>
      <w:hyperlink r:id="rId17" w:history="1">
        <w:r w:rsidRPr="00CE1E27">
          <w:rPr>
            <w:rStyle w:val="Hyperlink"/>
          </w:rPr>
          <w:t>soundcloud.com/IHPA</w:t>
        </w:r>
      </w:hyperlink>
    </w:p>
    <w:p w14:paraId="728B0607" w14:textId="77777777" w:rsidR="004F6A93" w:rsidRPr="00A64835" w:rsidRDefault="004F6A93" w:rsidP="004F6A93">
      <w:pPr>
        <w:pStyle w:val="Body"/>
      </w:pPr>
    </w:p>
    <w:p w14:paraId="6AC99C00" w14:textId="77777777" w:rsidR="0015755F" w:rsidRDefault="004F6A93" w:rsidP="004F6A93">
      <w:pPr>
        <w:pStyle w:val="Body"/>
      </w:pPr>
      <w:r w:rsidRPr="00A64835">
        <w:t>Suggested citation: Independent Hospital Pricing Authority Annual Report 2019–20</w:t>
      </w:r>
    </w:p>
    <w:p w14:paraId="5A732337" w14:textId="764381A5" w:rsidR="004F6A93" w:rsidRPr="00A64835" w:rsidRDefault="004F6A93" w:rsidP="004F6A93">
      <w:pPr>
        <w:pStyle w:val="Body"/>
      </w:pPr>
      <w:r w:rsidRPr="00A64835">
        <w:t>Online ISSN: 2201</w:t>
      </w:r>
      <w:r w:rsidR="001F0DF5">
        <w:rPr>
          <w:rFonts w:ascii="Cambria Math" w:hAnsi="Cambria Math" w:cs="Cambria Math"/>
        </w:rPr>
        <w:t>–</w:t>
      </w:r>
      <w:r w:rsidRPr="00A64835">
        <w:t>1862</w:t>
      </w:r>
      <w:r>
        <w:br/>
      </w:r>
      <w:r w:rsidRPr="00A64835">
        <w:t>Print ISSN: 2201</w:t>
      </w:r>
      <w:r w:rsidR="001F0DF5">
        <w:rPr>
          <w:rFonts w:ascii="Cambria Math" w:hAnsi="Cambria Math" w:cs="Cambria Math"/>
        </w:rPr>
        <w:t>–</w:t>
      </w:r>
      <w:r w:rsidRPr="00A64835">
        <w:t>0718</w:t>
      </w:r>
    </w:p>
    <w:p w14:paraId="0E1AEBBF" w14:textId="77777777" w:rsidR="004F6A93" w:rsidRPr="0015755F" w:rsidRDefault="004F6A93" w:rsidP="004F6A93">
      <w:pPr>
        <w:pStyle w:val="Body"/>
        <w:rPr>
          <w:b/>
          <w:bCs/>
        </w:rPr>
      </w:pPr>
      <w:r w:rsidRPr="0015755F">
        <w:rPr>
          <w:b/>
          <w:bCs/>
        </w:rPr>
        <w:t>© Independent Hospital Pricing Authority 2020</w:t>
      </w:r>
    </w:p>
    <w:p w14:paraId="39D2AE0B" w14:textId="77777777" w:rsidR="004F6A93" w:rsidRPr="00A64835" w:rsidRDefault="004F6A93" w:rsidP="004F6A93">
      <w:pPr>
        <w:pStyle w:val="Body"/>
      </w:pPr>
      <w:r w:rsidRPr="00A64835">
        <w:t>With the exception of the IHPA logo, photos and signatures and where otherwise noted, all material presented in this document is provided under a Creative Commons Attribution 3.0 Australia licence.</w:t>
      </w:r>
    </w:p>
    <w:p w14:paraId="626BA38D" w14:textId="26935E4B" w:rsidR="004F6A93" w:rsidRPr="00A64835" w:rsidRDefault="004F6A93" w:rsidP="004F6A93">
      <w:pPr>
        <w:pStyle w:val="Body"/>
      </w:pPr>
      <w:r w:rsidRPr="00A64835">
        <w:t>The details of the relevant licence conditions are available on the Creative Commons website, (</w:t>
      </w:r>
      <w:hyperlink r:id="rId18" w:history="1">
        <w:r w:rsidRPr="00CE1E27">
          <w:rPr>
            <w:rStyle w:val="Hyperlink"/>
          </w:rPr>
          <w:t>www.creativecommons.org/licenses/by/3.0/au</w:t>
        </w:r>
      </w:hyperlink>
      <w:r w:rsidRPr="00A64835">
        <w:t>) as is the full legal code for the CC BY 3 AU</w:t>
      </w:r>
      <w:r w:rsidR="00D262C8">
        <w:t> </w:t>
      </w:r>
      <w:r w:rsidRPr="00A64835">
        <w:t>licence.</w:t>
      </w:r>
    </w:p>
    <w:p w14:paraId="321EEE6D" w14:textId="356CC2DA" w:rsidR="000D3395" w:rsidRDefault="000D3395">
      <w:pPr>
        <w:sectPr w:rsidR="000D3395" w:rsidSect="00194D49">
          <w:footerReference w:type="even" r:id="rId19"/>
          <w:pgSz w:w="9979" w:h="14175" w:code="13"/>
          <w:pgMar w:top="1134" w:right="1418" w:bottom="1418" w:left="1418" w:header="709" w:footer="709" w:gutter="0"/>
          <w:cols w:space="708"/>
          <w:docGrid w:linePitch="360"/>
        </w:sectPr>
      </w:pPr>
    </w:p>
    <w:p w14:paraId="238525FF" w14:textId="34787991" w:rsidR="00A64835" w:rsidRPr="00FA60F3" w:rsidRDefault="00194D49" w:rsidP="00562059">
      <w:pPr>
        <w:pStyle w:val="Heading1"/>
        <w:spacing w:before="0" w:beforeAutospacing="0"/>
      </w:pPr>
      <w:bookmarkStart w:id="7" w:name="_Toc44350164"/>
      <w:bookmarkStart w:id="8" w:name="_Toc50378055"/>
      <w:r>
        <w:lastRenderedPageBreak/>
        <w:t xml:space="preserve">Letter of </w:t>
      </w:r>
      <w:r w:rsidR="0028269C">
        <w:t>t</w:t>
      </w:r>
      <w:r>
        <w:t>ransmittal</w:t>
      </w:r>
      <w:bookmarkEnd w:id="7"/>
      <w:bookmarkEnd w:id="8"/>
    </w:p>
    <w:p w14:paraId="1B9709A4" w14:textId="1837F8F1" w:rsidR="000D3395" w:rsidRDefault="000D3395" w:rsidP="00542E97">
      <w:pPr>
        <w:pStyle w:val="Body"/>
      </w:pPr>
    </w:p>
    <w:p w14:paraId="67EDA1B7" w14:textId="2E2EEEFB" w:rsidR="006945DF" w:rsidRDefault="00B45271" w:rsidP="00542E97">
      <w:pPr>
        <w:pStyle w:val="Body"/>
        <w:sectPr w:rsidR="006945DF" w:rsidSect="00816A19">
          <w:headerReference w:type="default" r:id="rId20"/>
          <w:footerReference w:type="even" r:id="rId21"/>
          <w:footerReference w:type="default" r:id="rId22"/>
          <w:type w:val="oddPage"/>
          <w:pgSz w:w="9979" w:h="14175" w:code="13"/>
          <w:pgMar w:top="1134" w:right="1418" w:bottom="851" w:left="1418" w:header="709" w:footer="709" w:gutter="0"/>
          <w:pgNumType w:fmt="lowerRoman" w:start="1"/>
          <w:cols w:space="708"/>
          <w:docGrid w:linePitch="360"/>
        </w:sectPr>
      </w:pPr>
      <w:r>
        <w:rPr>
          <w:noProof/>
          <w:lang w:val="en-GB" w:eastAsia="en-GB"/>
        </w:rPr>
        <w:drawing>
          <wp:inline distT="0" distB="0" distL="0" distR="0" wp14:anchorId="5992D678" wp14:editId="5E50ACAD">
            <wp:extent cx="4355336" cy="6158209"/>
            <wp:effectExtent l="95250" t="76200" r="121920" b="128905"/>
            <wp:docPr id="12" name="Picture 12" descr="Letter of transmittal&#10;The Hon Greg Hunt&#10;Minister for Health&#10;Parliament House&#10;CANBERRA ACT 2600&#10;Dear Minister,&#10;On behalf of the Independent Hospital Pricing Authority (IHPA), I am pleased to submit to you, for presentation to Parliament, the annual report and financial statements of IHPA for the financial year ended 30 June 2020.&#10;The Annual Report 2019-20 has been prepared in accordance with the requirements of the National Health Reform Act 2011, the Public Governance, Performance and Accountability Act 2013 and the Public Governance, Performance and Accountability Rule 2014.&#10;The report’s annual performance statements were prepared in accordance with the requirements of section 39 of the Public Governance, Performance and Accountability Act.&#10;The report includes the agency’s audited financial statements, as required by section 42 of the Public Governance, Performance and Accountability Act 2013.&#10;As required by section 10 of the Public Governance, Performance and Accountability Rule 2014, I certify that IHPA has in place appropriate measures to prevent, detect and manage the risk and incidents of fraud.&#10;Yours sincerely,&#10;James Downie&#10;Chief Executive Officer&#10;Independent Hospital Pricing Authority&#10;6 Octo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etter of transmittal&#10;The Hon Greg Hunt&#10;Minister for Health&#10;Parliament House&#10;CANBERRA ACT 2600&#10;Dear Minister,&#10;On behalf of the Independent Hospital Pricing Authority (IHPA), I am pleased to submit to you, for presentation to Parliament, the annual report and financial statements of IHPA for the financial year ended 30 June 2020.&#10;The Annual Report 2019-20 has been prepared in accordance with the requirements of the National Health Reform Act 2011, the Public Governance, Performance and Accountability Act 2013 and the Public Governance, Performance and Accountability Rule 2014.&#10;The report’s annual performance statements were prepared in accordance with the requirements of section 39 of the Public Governance, Performance and Accountability Act.&#10;The report includes the agency’s audited financial statements, as required by section 42 of the Public Governance, Performance and Accountability Act 2013.&#10;As required by section 10 of the Public Governance, Performance and Accountability Rule 2014, I certify that IHPA has in place appropriate measures to prevent, detect and manage the risk and incidents of fraud.&#10;Yours sincerely,&#10;James Downie&#10;Chief Executive Officer&#10;Independent Hospital Pricing Authority&#10;6 October 20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5336" cy="6158209"/>
                    </a:xfrm>
                    <a:prstGeom prst="rect">
                      <a:avLst/>
                    </a:prstGeom>
                    <a:solidFill>
                      <a:schemeClr val="bg2"/>
                    </a:solidFill>
                    <a:effectLst>
                      <a:outerShdw blurRad="101600" dist="25400" dir="4560000" algn="ctr" rotWithShape="0">
                        <a:srgbClr val="000000">
                          <a:alpha val="25000"/>
                        </a:srgbClr>
                      </a:outerShdw>
                    </a:effectLst>
                  </pic:spPr>
                </pic:pic>
              </a:graphicData>
            </a:graphic>
          </wp:inline>
        </w:drawing>
      </w:r>
    </w:p>
    <w:p w14:paraId="217FE991" w14:textId="77777777" w:rsidR="00281A48" w:rsidRDefault="00542E97" w:rsidP="00562059">
      <w:pPr>
        <w:pStyle w:val="Heading1"/>
        <w:spacing w:before="0" w:beforeAutospacing="0" w:after="400"/>
        <w:rPr>
          <w:noProof/>
        </w:rPr>
      </w:pPr>
      <w:bookmarkStart w:id="9" w:name="_Toc44350165"/>
      <w:bookmarkStart w:id="10" w:name="_Toc44350629"/>
      <w:bookmarkStart w:id="11" w:name="_Toc45192380"/>
      <w:bookmarkStart w:id="12" w:name="_Toc45636764"/>
      <w:bookmarkStart w:id="13" w:name="_Toc45705620"/>
      <w:bookmarkStart w:id="14" w:name="_Toc46151560"/>
      <w:bookmarkStart w:id="15" w:name="_Toc50378056"/>
      <w:r w:rsidRPr="00A70D06">
        <w:rPr>
          <w:color w:val="003F2C" w:themeColor="text1"/>
        </w:rPr>
        <w:lastRenderedPageBreak/>
        <w:t>Contents</w:t>
      </w:r>
      <w:bookmarkEnd w:id="9"/>
      <w:bookmarkEnd w:id="10"/>
      <w:bookmarkEnd w:id="11"/>
      <w:bookmarkEnd w:id="12"/>
      <w:bookmarkEnd w:id="13"/>
      <w:bookmarkEnd w:id="14"/>
      <w:bookmarkEnd w:id="15"/>
      <w:r w:rsidR="00E65B7F">
        <w:rPr>
          <w:noProof/>
          <w:color w:val="003F2C" w:themeColor="text2"/>
        </w:rPr>
        <w:fldChar w:fldCharType="begin"/>
      </w:r>
      <w:r w:rsidR="00E65B7F">
        <w:instrText xml:space="preserve"> TOC \h \z \t "Heading 1,2,Heading1,1" </w:instrText>
      </w:r>
      <w:r w:rsidR="00E65B7F">
        <w:rPr>
          <w:noProof/>
          <w:color w:val="003F2C" w:themeColor="text2"/>
        </w:rPr>
        <w:fldChar w:fldCharType="separate"/>
      </w:r>
    </w:p>
    <w:p w14:paraId="263072C8" w14:textId="7FDFC94D" w:rsidR="00281A48" w:rsidRDefault="001E6FC6" w:rsidP="00281A48">
      <w:pPr>
        <w:pStyle w:val="TOCBody"/>
        <w:rPr>
          <w:rFonts w:eastAsiaTheme="minorEastAsia"/>
          <w:lang w:eastAsia="en-PH"/>
        </w:rPr>
      </w:pPr>
      <w:hyperlink w:anchor="_Toc50378055" w:history="1">
        <w:r w:rsidR="00281A48" w:rsidRPr="00144E81">
          <w:rPr>
            <w:rStyle w:val="Hyperlink"/>
          </w:rPr>
          <w:t xml:space="preserve">Letter of </w:t>
        </w:r>
        <w:r w:rsidR="0028269C">
          <w:rPr>
            <w:rStyle w:val="Hyperlink"/>
          </w:rPr>
          <w:t>t</w:t>
        </w:r>
        <w:r w:rsidR="00281A48" w:rsidRPr="00144E81">
          <w:rPr>
            <w:rStyle w:val="Hyperlink"/>
          </w:rPr>
          <w:t>ransmittal</w:t>
        </w:r>
        <w:r w:rsidR="00281A48">
          <w:rPr>
            <w:webHidden/>
          </w:rPr>
          <w:tab/>
        </w:r>
        <w:r w:rsidR="00281A48">
          <w:rPr>
            <w:webHidden/>
          </w:rPr>
          <w:fldChar w:fldCharType="begin"/>
        </w:r>
        <w:r w:rsidR="00281A48">
          <w:rPr>
            <w:webHidden/>
          </w:rPr>
          <w:instrText xml:space="preserve"> PAGEREF _Toc50378055 \h </w:instrText>
        </w:r>
        <w:r w:rsidR="00281A48">
          <w:rPr>
            <w:webHidden/>
          </w:rPr>
        </w:r>
        <w:r w:rsidR="00281A48">
          <w:rPr>
            <w:webHidden/>
          </w:rPr>
          <w:fldChar w:fldCharType="separate"/>
        </w:r>
        <w:r w:rsidR="00281A48">
          <w:rPr>
            <w:webHidden/>
          </w:rPr>
          <w:t>i</w:t>
        </w:r>
        <w:r w:rsidR="00281A48">
          <w:rPr>
            <w:webHidden/>
          </w:rPr>
          <w:fldChar w:fldCharType="end"/>
        </w:r>
      </w:hyperlink>
    </w:p>
    <w:p w14:paraId="20C06053" w14:textId="54C75FA4" w:rsidR="00281A48" w:rsidRDefault="001E6FC6" w:rsidP="00281A48">
      <w:pPr>
        <w:pStyle w:val="TOCBody"/>
        <w:rPr>
          <w:rFonts w:eastAsiaTheme="minorEastAsia"/>
          <w:lang w:eastAsia="en-PH"/>
        </w:rPr>
      </w:pPr>
      <w:hyperlink w:anchor="_Toc50378057" w:history="1">
        <w:r w:rsidR="00281A48" w:rsidRPr="00144E81">
          <w:rPr>
            <w:rStyle w:val="Hyperlink"/>
          </w:rPr>
          <w:t>Approval by the accountable authority</w:t>
        </w:r>
        <w:r w:rsidR="00281A48">
          <w:rPr>
            <w:webHidden/>
          </w:rPr>
          <w:tab/>
        </w:r>
        <w:r w:rsidR="00281A48">
          <w:rPr>
            <w:webHidden/>
          </w:rPr>
          <w:fldChar w:fldCharType="begin"/>
        </w:r>
        <w:r w:rsidR="00281A48">
          <w:rPr>
            <w:webHidden/>
          </w:rPr>
          <w:instrText xml:space="preserve"> PAGEREF _Toc50378057 \h </w:instrText>
        </w:r>
        <w:r w:rsidR="00281A48">
          <w:rPr>
            <w:webHidden/>
          </w:rPr>
        </w:r>
        <w:r w:rsidR="00281A48">
          <w:rPr>
            <w:webHidden/>
          </w:rPr>
          <w:fldChar w:fldCharType="separate"/>
        </w:r>
        <w:r w:rsidR="00281A48">
          <w:rPr>
            <w:webHidden/>
          </w:rPr>
          <w:t>1</w:t>
        </w:r>
        <w:r w:rsidR="00281A48">
          <w:rPr>
            <w:webHidden/>
          </w:rPr>
          <w:fldChar w:fldCharType="end"/>
        </w:r>
      </w:hyperlink>
    </w:p>
    <w:p w14:paraId="0F3C0402" w14:textId="23D03EBD" w:rsidR="00281A48" w:rsidRPr="00281A48" w:rsidRDefault="001E6FC6" w:rsidP="00281A48">
      <w:pPr>
        <w:pStyle w:val="TOCHeader"/>
        <w:rPr>
          <w:rFonts w:eastAsiaTheme="minorEastAsia"/>
          <w:color w:val="003F2C" w:themeColor="text1"/>
          <w:sz w:val="22"/>
          <w:szCs w:val="22"/>
          <w:lang w:eastAsia="en-PH"/>
        </w:rPr>
      </w:pPr>
      <w:hyperlink w:anchor="_Toc50378058" w:history="1">
        <w:r w:rsidR="00281A48" w:rsidRPr="00281A48">
          <w:rPr>
            <w:rStyle w:val="Hyperlink"/>
            <w:color w:val="003F2C" w:themeColor="text1"/>
          </w:rPr>
          <w:t>About IHPA</w:t>
        </w:r>
        <w:r w:rsidR="00281A48" w:rsidRPr="00281A48">
          <w:rPr>
            <w:webHidden/>
            <w:color w:val="003F2C" w:themeColor="text1"/>
          </w:rPr>
          <w:tab/>
        </w:r>
        <w:r w:rsidR="00281A48" w:rsidRPr="00281A48">
          <w:rPr>
            <w:webHidden/>
            <w:color w:val="003F2C" w:themeColor="text1"/>
          </w:rPr>
          <w:fldChar w:fldCharType="begin"/>
        </w:r>
        <w:r w:rsidR="00281A48" w:rsidRPr="00281A48">
          <w:rPr>
            <w:webHidden/>
            <w:color w:val="003F2C" w:themeColor="text1"/>
          </w:rPr>
          <w:instrText xml:space="preserve"> PAGEREF _Toc50378058 \h </w:instrText>
        </w:r>
        <w:r w:rsidR="00281A48" w:rsidRPr="00281A48">
          <w:rPr>
            <w:webHidden/>
            <w:color w:val="003F2C" w:themeColor="text1"/>
          </w:rPr>
        </w:r>
        <w:r w:rsidR="00281A48" w:rsidRPr="00281A48">
          <w:rPr>
            <w:webHidden/>
            <w:color w:val="003F2C" w:themeColor="text1"/>
          </w:rPr>
          <w:fldChar w:fldCharType="separate"/>
        </w:r>
        <w:r w:rsidR="00281A48" w:rsidRPr="00281A48">
          <w:rPr>
            <w:webHidden/>
            <w:color w:val="003F2C" w:themeColor="text1"/>
          </w:rPr>
          <w:t>2</w:t>
        </w:r>
        <w:r w:rsidR="00281A48" w:rsidRPr="00281A48">
          <w:rPr>
            <w:webHidden/>
            <w:color w:val="003F2C" w:themeColor="text1"/>
          </w:rPr>
          <w:fldChar w:fldCharType="end"/>
        </w:r>
      </w:hyperlink>
    </w:p>
    <w:p w14:paraId="0C726884" w14:textId="4C8336C7" w:rsidR="00281A48" w:rsidRDefault="001E6FC6" w:rsidP="00281A48">
      <w:pPr>
        <w:pStyle w:val="TOCBody"/>
        <w:rPr>
          <w:rFonts w:eastAsiaTheme="minorEastAsia"/>
          <w:lang w:eastAsia="en-PH"/>
        </w:rPr>
      </w:pPr>
      <w:hyperlink w:anchor="_Toc50378059" w:history="1">
        <w:r w:rsidR="00281A48" w:rsidRPr="00144E81">
          <w:rPr>
            <w:rStyle w:val="Hyperlink"/>
          </w:rPr>
          <w:t>Legislation</w:t>
        </w:r>
        <w:r w:rsidR="00281A48">
          <w:rPr>
            <w:webHidden/>
          </w:rPr>
          <w:tab/>
        </w:r>
        <w:r w:rsidR="00281A48">
          <w:rPr>
            <w:webHidden/>
          </w:rPr>
          <w:fldChar w:fldCharType="begin"/>
        </w:r>
        <w:r w:rsidR="00281A48">
          <w:rPr>
            <w:webHidden/>
          </w:rPr>
          <w:instrText xml:space="preserve"> PAGEREF _Toc50378059 \h </w:instrText>
        </w:r>
        <w:r w:rsidR="00281A48">
          <w:rPr>
            <w:webHidden/>
          </w:rPr>
        </w:r>
        <w:r w:rsidR="00281A48">
          <w:rPr>
            <w:webHidden/>
          </w:rPr>
          <w:fldChar w:fldCharType="separate"/>
        </w:r>
        <w:r w:rsidR="00281A48">
          <w:rPr>
            <w:webHidden/>
          </w:rPr>
          <w:t>3</w:t>
        </w:r>
        <w:r w:rsidR="00281A48">
          <w:rPr>
            <w:webHidden/>
          </w:rPr>
          <w:fldChar w:fldCharType="end"/>
        </w:r>
      </w:hyperlink>
    </w:p>
    <w:p w14:paraId="1C2054BD" w14:textId="4FB296A6" w:rsidR="00281A48" w:rsidRDefault="001E6FC6" w:rsidP="00281A48">
      <w:pPr>
        <w:pStyle w:val="TOCBody"/>
        <w:rPr>
          <w:rFonts w:eastAsiaTheme="minorEastAsia"/>
          <w:lang w:eastAsia="en-PH"/>
        </w:rPr>
      </w:pPr>
      <w:hyperlink w:anchor="_Toc50378060" w:history="1">
        <w:r w:rsidR="00281A48" w:rsidRPr="00144E81">
          <w:rPr>
            <w:rStyle w:val="Hyperlink"/>
          </w:rPr>
          <w:t>Who we are</w:t>
        </w:r>
        <w:r w:rsidR="00281A48">
          <w:rPr>
            <w:webHidden/>
          </w:rPr>
          <w:tab/>
        </w:r>
        <w:r w:rsidR="00281A48">
          <w:rPr>
            <w:webHidden/>
          </w:rPr>
          <w:fldChar w:fldCharType="begin"/>
        </w:r>
        <w:r w:rsidR="00281A48">
          <w:rPr>
            <w:webHidden/>
          </w:rPr>
          <w:instrText xml:space="preserve"> PAGEREF _Toc50378060 \h </w:instrText>
        </w:r>
        <w:r w:rsidR="00281A48">
          <w:rPr>
            <w:webHidden/>
          </w:rPr>
        </w:r>
        <w:r w:rsidR="00281A48">
          <w:rPr>
            <w:webHidden/>
          </w:rPr>
          <w:fldChar w:fldCharType="separate"/>
        </w:r>
        <w:r w:rsidR="00281A48">
          <w:rPr>
            <w:webHidden/>
          </w:rPr>
          <w:t>5</w:t>
        </w:r>
        <w:r w:rsidR="00281A48">
          <w:rPr>
            <w:webHidden/>
          </w:rPr>
          <w:fldChar w:fldCharType="end"/>
        </w:r>
      </w:hyperlink>
    </w:p>
    <w:p w14:paraId="1F5FA6C3" w14:textId="5BB82823" w:rsidR="00281A48" w:rsidRDefault="001E6FC6" w:rsidP="00281A48">
      <w:pPr>
        <w:pStyle w:val="TOCBody"/>
        <w:rPr>
          <w:rFonts w:eastAsiaTheme="minorEastAsia"/>
          <w:lang w:eastAsia="en-PH"/>
        </w:rPr>
      </w:pPr>
      <w:hyperlink w:anchor="_Toc50378061" w:history="1">
        <w:r w:rsidR="00281A48" w:rsidRPr="00144E81">
          <w:rPr>
            <w:rStyle w:val="Hyperlink"/>
          </w:rPr>
          <w:t>Pricing and funding for safety and quality</w:t>
        </w:r>
        <w:r w:rsidR="00281A48">
          <w:rPr>
            <w:webHidden/>
          </w:rPr>
          <w:tab/>
        </w:r>
        <w:r w:rsidR="00281A48">
          <w:rPr>
            <w:webHidden/>
          </w:rPr>
          <w:fldChar w:fldCharType="begin"/>
        </w:r>
        <w:r w:rsidR="00281A48">
          <w:rPr>
            <w:webHidden/>
          </w:rPr>
          <w:instrText xml:space="preserve"> PAGEREF _Toc50378061 \h </w:instrText>
        </w:r>
        <w:r w:rsidR="00281A48">
          <w:rPr>
            <w:webHidden/>
          </w:rPr>
        </w:r>
        <w:r w:rsidR="00281A48">
          <w:rPr>
            <w:webHidden/>
          </w:rPr>
          <w:fldChar w:fldCharType="separate"/>
        </w:r>
        <w:r w:rsidR="00281A48">
          <w:rPr>
            <w:webHidden/>
          </w:rPr>
          <w:t>7</w:t>
        </w:r>
        <w:r w:rsidR="00281A48">
          <w:rPr>
            <w:webHidden/>
          </w:rPr>
          <w:fldChar w:fldCharType="end"/>
        </w:r>
      </w:hyperlink>
    </w:p>
    <w:p w14:paraId="338D40FC" w14:textId="4404E356" w:rsidR="00281A48" w:rsidRDefault="001E6FC6" w:rsidP="00281A48">
      <w:pPr>
        <w:pStyle w:val="TOCBody"/>
        <w:rPr>
          <w:rFonts w:eastAsiaTheme="minorEastAsia"/>
          <w:lang w:eastAsia="en-PH"/>
        </w:rPr>
      </w:pPr>
      <w:hyperlink w:anchor="_Toc50378062" w:history="1">
        <w:r w:rsidR="00281A48" w:rsidRPr="00144E81">
          <w:rPr>
            <w:rStyle w:val="Hyperlink"/>
          </w:rPr>
          <w:t>Responsible Minister</w:t>
        </w:r>
        <w:r w:rsidR="00281A48">
          <w:rPr>
            <w:webHidden/>
          </w:rPr>
          <w:tab/>
        </w:r>
        <w:r w:rsidR="00281A48">
          <w:rPr>
            <w:webHidden/>
          </w:rPr>
          <w:fldChar w:fldCharType="begin"/>
        </w:r>
        <w:r w:rsidR="00281A48">
          <w:rPr>
            <w:webHidden/>
          </w:rPr>
          <w:instrText xml:space="preserve"> PAGEREF _Toc50378062 \h </w:instrText>
        </w:r>
        <w:r w:rsidR="00281A48">
          <w:rPr>
            <w:webHidden/>
          </w:rPr>
        </w:r>
        <w:r w:rsidR="00281A48">
          <w:rPr>
            <w:webHidden/>
          </w:rPr>
          <w:fldChar w:fldCharType="separate"/>
        </w:r>
        <w:r w:rsidR="00281A48">
          <w:rPr>
            <w:webHidden/>
          </w:rPr>
          <w:t>9</w:t>
        </w:r>
        <w:r w:rsidR="00281A48">
          <w:rPr>
            <w:webHidden/>
          </w:rPr>
          <w:fldChar w:fldCharType="end"/>
        </w:r>
      </w:hyperlink>
    </w:p>
    <w:p w14:paraId="4D02DB96" w14:textId="23C88468" w:rsidR="00281A48" w:rsidRDefault="001E6FC6" w:rsidP="00281A48">
      <w:pPr>
        <w:pStyle w:val="TOCBody"/>
        <w:rPr>
          <w:rFonts w:eastAsiaTheme="minorEastAsia"/>
          <w:lang w:eastAsia="en-PH"/>
        </w:rPr>
      </w:pPr>
      <w:hyperlink w:anchor="_Toc50378063" w:history="1">
        <w:r w:rsidR="00281A48" w:rsidRPr="00144E81">
          <w:rPr>
            <w:rStyle w:val="Hyperlink"/>
          </w:rPr>
          <w:t>Ministerial directions and government policy orders</w:t>
        </w:r>
        <w:r w:rsidR="00281A48">
          <w:rPr>
            <w:webHidden/>
          </w:rPr>
          <w:tab/>
        </w:r>
        <w:r w:rsidR="00281A48">
          <w:rPr>
            <w:webHidden/>
          </w:rPr>
          <w:fldChar w:fldCharType="begin"/>
        </w:r>
        <w:r w:rsidR="00281A48">
          <w:rPr>
            <w:webHidden/>
          </w:rPr>
          <w:instrText xml:space="preserve"> PAGEREF _Toc50378063 \h </w:instrText>
        </w:r>
        <w:r w:rsidR="00281A48">
          <w:rPr>
            <w:webHidden/>
          </w:rPr>
        </w:r>
        <w:r w:rsidR="00281A48">
          <w:rPr>
            <w:webHidden/>
          </w:rPr>
          <w:fldChar w:fldCharType="separate"/>
        </w:r>
        <w:r w:rsidR="00281A48">
          <w:rPr>
            <w:webHidden/>
          </w:rPr>
          <w:t>10</w:t>
        </w:r>
        <w:r w:rsidR="00281A48">
          <w:rPr>
            <w:webHidden/>
          </w:rPr>
          <w:fldChar w:fldCharType="end"/>
        </w:r>
      </w:hyperlink>
    </w:p>
    <w:p w14:paraId="01AEF3BF" w14:textId="7A05D52A" w:rsidR="00281A48" w:rsidRDefault="001E6FC6" w:rsidP="00281A48">
      <w:pPr>
        <w:pStyle w:val="TOCBody"/>
        <w:rPr>
          <w:rFonts w:eastAsiaTheme="minorEastAsia"/>
          <w:lang w:eastAsia="en-PH"/>
        </w:rPr>
      </w:pPr>
      <w:hyperlink w:anchor="_Toc50378064" w:history="1">
        <w:r w:rsidR="00281A48" w:rsidRPr="00144E81">
          <w:rPr>
            <w:rStyle w:val="Hyperlink"/>
          </w:rPr>
          <w:t>Pricing for public hospital services</w:t>
        </w:r>
        <w:r w:rsidR="00281A48">
          <w:rPr>
            <w:webHidden/>
          </w:rPr>
          <w:tab/>
        </w:r>
        <w:r w:rsidR="00281A48">
          <w:rPr>
            <w:webHidden/>
          </w:rPr>
          <w:fldChar w:fldCharType="begin"/>
        </w:r>
        <w:r w:rsidR="00281A48">
          <w:rPr>
            <w:webHidden/>
          </w:rPr>
          <w:instrText xml:space="preserve"> PAGEREF _Toc50378064 \h </w:instrText>
        </w:r>
        <w:r w:rsidR="00281A48">
          <w:rPr>
            <w:webHidden/>
          </w:rPr>
        </w:r>
        <w:r w:rsidR="00281A48">
          <w:rPr>
            <w:webHidden/>
          </w:rPr>
          <w:fldChar w:fldCharType="separate"/>
        </w:r>
        <w:r w:rsidR="00281A48">
          <w:rPr>
            <w:webHidden/>
          </w:rPr>
          <w:t>11</w:t>
        </w:r>
        <w:r w:rsidR="00281A48">
          <w:rPr>
            <w:webHidden/>
          </w:rPr>
          <w:fldChar w:fldCharType="end"/>
        </w:r>
      </w:hyperlink>
    </w:p>
    <w:p w14:paraId="2FC9893B" w14:textId="231D4B30" w:rsidR="00281A48" w:rsidRDefault="001E6FC6" w:rsidP="00281A48">
      <w:pPr>
        <w:pStyle w:val="TOCBody"/>
        <w:rPr>
          <w:rFonts w:eastAsiaTheme="minorEastAsia"/>
          <w:lang w:eastAsia="en-PH"/>
        </w:rPr>
      </w:pPr>
      <w:hyperlink w:anchor="_Toc50378065" w:history="1">
        <w:r w:rsidR="00281A48" w:rsidRPr="00144E81">
          <w:rPr>
            <w:rStyle w:val="Hyperlink"/>
          </w:rPr>
          <w:t>Organisational structure</w:t>
        </w:r>
        <w:r w:rsidR="00281A48">
          <w:rPr>
            <w:webHidden/>
          </w:rPr>
          <w:tab/>
        </w:r>
        <w:r w:rsidR="00281A48">
          <w:rPr>
            <w:webHidden/>
          </w:rPr>
          <w:fldChar w:fldCharType="begin"/>
        </w:r>
        <w:r w:rsidR="00281A48">
          <w:rPr>
            <w:webHidden/>
          </w:rPr>
          <w:instrText xml:space="preserve"> PAGEREF _Toc50378065 \h </w:instrText>
        </w:r>
        <w:r w:rsidR="00281A48">
          <w:rPr>
            <w:webHidden/>
          </w:rPr>
        </w:r>
        <w:r w:rsidR="00281A48">
          <w:rPr>
            <w:webHidden/>
          </w:rPr>
          <w:fldChar w:fldCharType="separate"/>
        </w:r>
        <w:r w:rsidR="00281A48">
          <w:rPr>
            <w:webHidden/>
          </w:rPr>
          <w:t>14</w:t>
        </w:r>
        <w:r w:rsidR="00281A48">
          <w:rPr>
            <w:webHidden/>
          </w:rPr>
          <w:fldChar w:fldCharType="end"/>
        </w:r>
      </w:hyperlink>
    </w:p>
    <w:p w14:paraId="61A261AB" w14:textId="00D7FBD5" w:rsidR="00281A48" w:rsidRDefault="001E6FC6" w:rsidP="00281A48">
      <w:pPr>
        <w:pStyle w:val="TOCBody"/>
        <w:rPr>
          <w:rFonts w:eastAsiaTheme="minorEastAsia"/>
          <w:lang w:eastAsia="en-PH"/>
        </w:rPr>
      </w:pPr>
      <w:hyperlink w:anchor="_Toc50378066" w:history="1">
        <w:r w:rsidR="00281A48" w:rsidRPr="00144E81">
          <w:rPr>
            <w:rStyle w:val="Hyperlink"/>
          </w:rPr>
          <w:t>Committees and working groups</w:t>
        </w:r>
        <w:r w:rsidR="00281A48">
          <w:rPr>
            <w:webHidden/>
          </w:rPr>
          <w:tab/>
        </w:r>
        <w:r w:rsidR="00281A48">
          <w:rPr>
            <w:webHidden/>
          </w:rPr>
          <w:fldChar w:fldCharType="begin"/>
        </w:r>
        <w:r w:rsidR="00281A48">
          <w:rPr>
            <w:webHidden/>
          </w:rPr>
          <w:instrText xml:space="preserve"> PAGEREF _Toc50378066 \h </w:instrText>
        </w:r>
        <w:r w:rsidR="00281A48">
          <w:rPr>
            <w:webHidden/>
          </w:rPr>
        </w:r>
        <w:r w:rsidR="00281A48">
          <w:rPr>
            <w:webHidden/>
          </w:rPr>
          <w:fldChar w:fldCharType="separate"/>
        </w:r>
        <w:r w:rsidR="00281A48">
          <w:rPr>
            <w:webHidden/>
          </w:rPr>
          <w:t>15</w:t>
        </w:r>
        <w:r w:rsidR="00281A48">
          <w:rPr>
            <w:webHidden/>
          </w:rPr>
          <w:fldChar w:fldCharType="end"/>
        </w:r>
      </w:hyperlink>
    </w:p>
    <w:p w14:paraId="2D89C7AC" w14:textId="5E8A1B42" w:rsidR="00281A48" w:rsidRPr="00281A48" w:rsidRDefault="001E6FC6" w:rsidP="00281A48">
      <w:pPr>
        <w:pStyle w:val="TOCHeader"/>
        <w:rPr>
          <w:rFonts w:eastAsiaTheme="minorEastAsia"/>
          <w:color w:val="008F54" w:themeColor="accent1"/>
          <w:sz w:val="22"/>
          <w:szCs w:val="22"/>
          <w:lang w:eastAsia="en-PH"/>
        </w:rPr>
      </w:pPr>
      <w:hyperlink w:anchor="_Toc50378067" w:history="1">
        <w:r w:rsidR="00281A48" w:rsidRPr="00281A48">
          <w:rPr>
            <w:rStyle w:val="Hyperlink"/>
            <w:color w:val="008F54" w:themeColor="accent1"/>
          </w:rPr>
          <w:t>Pricing Authority</w:t>
        </w:r>
        <w:r w:rsidR="00281A48" w:rsidRPr="00281A48">
          <w:rPr>
            <w:webHidden/>
            <w:color w:val="008F54" w:themeColor="accent1"/>
          </w:rPr>
          <w:tab/>
        </w:r>
        <w:r w:rsidR="00281A48" w:rsidRPr="00281A48">
          <w:rPr>
            <w:webHidden/>
            <w:color w:val="008F54" w:themeColor="accent1"/>
          </w:rPr>
          <w:fldChar w:fldCharType="begin"/>
        </w:r>
        <w:r w:rsidR="00281A48" w:rsidRPr="00281A48">
          <w:rPr>
            <w:webHidden/>
            <w:color w:val="008F54" w:themeColor="accent1"/>
          </w:rPr>
          <w:instrText xml:space="preserve"> PAGEREF _Toc50378067 \h </w:instrText>
        </w:r>
        <w:r w:rsidR="00281A48" w:rsidRPr="00281A48">
          <w:rPr>
            <w:webHidden/>
            <w:color w:val="008F54" w:themeColor="accent1"/>
          </w:rPr>
        </w:r>
        <w:r w:rsidR="00281A48" w:rsidRPr="00281A48">
          <w:rPr>
            <w:webHidden/>
            <w:color w:val="008F54" w:themeColor="accent1"/>
          </w:rPr>
          <w:fldChar w:fldCharType="separate"/>
        </w:r>
        <w:r w:rsidR="00281A48" w:rsidRPr="00281A48">
          <w:rPr>
            <w:webHidden/>
            <w:color w:val="008F54" w:themeColor="accent1"/>
          </w:rPr>
          <w:t>18</w:t>
        </w:r>
        <w:r w:rsidR="00281A48" w:rsidRPr="00281A48">
          <w:rPr>
            <w:webHidden/>
            <w:color w:val="008F54" w:themeColor="accent1"/>
          </w:rPr>
          <w:fldChar w:fldCharType="end"/>
        </w:r>
      </w:hyperlink>
    </w:p>
    <w:p w14:paraId="19BDD034" w14:textId="77A120B0" w:rsidR="00281A48" w:rsidRDefault="001E6FC6" w:rsidP="00281A48">
      <w:pPr>
        <w:pStyle w:val="TOCBody"/>
        <w:rPr>
          <w:rFonts w:eastAsiaTheme="minorEastAsia"/>
          <w:lang w:eastAsia="en-PH"/>
        </w:rPr>
      </w:pPr>
      <w:hyperlink w:anchor="_Toc50378068" w:history="1">
        <w:r w:rsidR="00281A48" w:rsidRPr="00144E81">
          <w:rPr>
            <w:rStyle w:val="Hyperlink"/>
          </w:rPr>
          <w:t>Chair</w:t>
        </w:r>
        <w:r w:rsidR="00281A48" w:rsidRPr="00BD50AB">
          <w:rPr>
            <w:rStyle w:val="Hyperlink"/>
            <w:spacing w:val="2"/>
          </w:rPr>
          <w:t>’s</w:t>
        </w:r>
        <w:r w:rsidR="00281A48" w:rsidRPr="00144E81">
          <w:rPr>
            <w:rStyle w:val="Hyperlink"/>
          </w:rPr>
          <w:t xml:space="preserve"> welcome</w:t>
        </w:r>
        <w:r w:rsidR="00281A48">
          <w:rPr>
            <w:webHidden/>
          </w:rPr>
          <w:tab/>
        </w:r>
        <w:r w:rsidR="00281A48">
          <w:rPr>
            <w:webHidden/>
          </w:rPr>
          <w:fldChar w:fldCharType="begin"/>
        </w:r>
        <w:r w:rsidR="00281A48">
          <w:rPr>
            <w:webHidden/>
          </w:rPr>
          <w:instrText xml:space="preserve"> PAGEREF _Toc50378068 \h </w:instrText>
        </w:r>
        <w:r w:rsidR="00281A48">
          <w:rPr>
            <w:webHidden/>
          </w:rPr>
        </w:r>
        <w:r w:rsidR="00281A48">
          <w:rPr>
            <w:webHidden/>
          </w:rPr>
          <w:fldChar w:fldCharType="separate"/>
        </w:r>
        <w:r w:rsidR="00281A48">
          <w:rPr>
            <w:webHidden/>
          </w:rPr>
          <w:t>19</w:t>
        </w:r>
        <w:r w:rsidR="00281A48">
          <w:rPr>
            <w:webHidden/>
          </w:rPr>
          <w:fldChar w:fldCharType="end"/>
        </w:r>
      </w:hyperlink>
    </w:p>
    <w:p w14:paraId="21E90FA4" w14:textId="21F98CB0" w:rsidR="00281A48" w:rsidRDefault="001E6FC6" w:rsidP="00281A48">
      <w:pPr>
        <w:pStyle w:val="TOCBody"/>
        <w:rPr>
          <w:rFonts w:eastAsiaTheme="minorEastAsia"/>
          <w:lang w:eastAsia="en-PH"/>
        </w:rPr>
      </w:pPr>
      <w:hyperlink w:anchor="_Toc50378069" w:history="1">
        <w:r w:rsidR="00281A48" w:rsidRPr="00144E81">
          <w:rPr>
            <w:rStyle w:val="Hyperlink"/>
          </w:rPr>
          <w:t>About the Pricing Authority</w:t>
        </w:r>
        <w:r w:rsidR="00281A48">
          <w:rPr>
            <w:webHidden/>
          </w:rPr>
          <w:tab/>
        </w:r>
        <w:r w:rsidR="00281A48">
          <w:rPr>
            <w:webHidden/>
          </w:rPr>
          <w:fldChar w:fldCharType="begin"/>
        </w:r>
        <w:r w:rsidR="00281A48">
          <w:rPr>
            <w:webHidden/>
          </w:rPr>
          <w:instrText xml:space="preserve"> PAGEREF _Toc50378069 \h </w:instrText>
        </w:r>
        <w:r w:rsidR="00281A48">
          <w:rPr>
            <w:webHidden/>
          </w:rPr>
        </w:r>
        <w:r w:rsidR="00281A48">
          <w:rPr>
            <w:webHidden/>
          </w:rPr>
          <w:fldChar w:fldCharType="separate"/>
        </w:r>
        <w:r w:rsidR="00281A48">
          <w:rPr>
            <w:webHidden/>
          </w:rPr>
          <w:t>22</w:t>
        </w:r>
        <w:r w:rsidR="00281A48">
          <w:rPr>
            <w:webHidden/>
          </w:rPr>
          <w:fldChar w:fldCharType="end"/>
        </w:r>
      </w:hyperlink>
    </w:p>
    <w:p w14:paraId="0509DBA0" w14:textId="6E997EE0" w:rsidR="00281A48" w:rsidRPr="00281A48" w:rsidRDefault="001E6FC6" w:rsidP="00281A48">
      <w:pPr>
        <w:pStyle w:val="TOCHeader"/>
        <w:rPr>
          <w:rFonts w:eastAsiaTheme="minorEastAsia"/>
          <w:color w:val="7EC352" w:themeColor="accent2"/>
          <w:sz w:val="22"/>
          <w:szCs w:val="22"/>
          <w:lang w:eastAsia="en-PH"/>
        </w:rPr>
      </w:pPr>
      <w:hyperlink w:anchor="_Toc50378070" w:history="1">
        <w:r w:rsidR="00281A48" w:rsidRPr="00281A48">
          <w:rPr>
            <w:rStyle w:val="Hyperlink"/>
            <w:color w:val="7EC352" w:themeColor="accent2"/>
          </w:rPr>
          <w:t>IHPA 2019–20 Overview</w:t>
        </w:r>
        <w:r w:rsidR="00281A48" w:rsidRPr="00281A48">
          <w:rPr>
            <w:webHidden/>
            <w:color w:val="7EC352" w:themeColor="accent2"/>
          </w:rPr>
          <w:tab/>
        </w:r>
        <w:r w:rsidR="00281A48" w:rsidRPr="00281A48">
          <w:rPr>
            <w:webHidden/>
            <w:color w:val="7EC352" w:themeColor="accent2"/>
          </w:rPr>
          <w:fldChar w:fldCharType="begin"/>
        </w:r>
        <w:r w:rsidR="00281A48" w:rsidRPr="00281A48">
          <w:rPr>
            <w:webHidden/>
            <w:color w:val="7EC352" w:themeColor="accent2"/>
          </w:rPr>
          <w:instrText xml:space="preserve"> PAGEREF _Toc50378070 \h </w:instrText>
        </w:r>
        <w:r w:rsidR="00281A48" w:rsidRPr="00281A48">
          <w:rPr>
            <w:webHidden/>
            <w:color w:val="7EC352" w:themeColor="accent2"/>
          </w:rPr>
        </w:r>
        <w:r w:rsidR="00281A48" w:rsidRPr="00281A48">
          <w:rPr>
            <w:webHidden/>
            <w:color w:val="7EC352" w:themeColor="accent2"/>
          </w:rPr>
          <w:fldChar w:fldCharType="separate"/>
        </w:r>
        <w:r w:rsidR="00281A48" w:rsidRPr="00281A48">
          <w:rPr>
            <w:webHidden/>
            <w:color w:val="7EC352" w:themeColor="accent2"/>
          </w:rPr>
          <w:t>28</w:t>
        </w:r>
        <w:r w:rsidR="00281A48" w:rsidRPr="00281A48">
          <w:rPr>
            <w:webHidden/>
            <w:color w:val="7EC352" w:themeColor="accent2"/>
          </w:rPr>
          <w:fldChar w:fldCharType="end"/>
        </w:r>
      </w:hyperlink>
    </w:p>
    <w:p w14:paraId="663B42D1" w14:textId="125F06E0" w:rsidR="00281A48" w:rsidRDefault="001E6FC6" w:rsidP="00281A48">
      <w:pPr>
        <w:pStyle w:val="TOCBody"/>
        <w:rPr>
          <w:rFonts w:eastAsiaTheme="minorEastAsia"/>
          <w:lang w:eastAsia="en-PH"/>
        </w:rPr>
      </w:pPr>
      <w:hyperlink w:anchor="_Toc50378071" w:history="1">
        <w:r w:rsidR="00281A48" w:rsidRPr="00144E81">
          <w:rPr>
            <w:rStyle w:val="Hyperlink"/>
          </w:rPr>
          <w:t>CEO</w:t>
        </w:r>
        <w:r w:rsidR="00281A48" w:rsidRPr="00144E81">
          <w:rPr>
            <w:rStyle w:val="Hyperlink"/>
            <w:spacing w:val="-40"/>
          </w:rPr>
          <w:t>’s</w:t>
        </w:r>
        <w:r w:rsidR="00281A48" w:rsidRPr="00144E81">
          <w:rPr>
            <w:rStyle w:val="Hyperlink"/>
          </w:rPr>
          <w:t xml:space="preserve"> </w:t>
        </w:r>
        <w:r w:rsidR="003E02A0">
          <w:rPr>
            <w:rStyle w:val="Hyperlink"/>
          </w:rPr>
          <w:t xml:space="preserve"> </w:t>
        </w:r>
        <w:r w:rsidR="00281A48" w:rsidRPr="00144E81">
          <w:rPr>
            <w:rStyle w:val="Hyperlink"/>
          </w:rPr>
          <w:t>year in review</w:t>
        </w:r>
        <w:r w:rsidR="00281A48">
          <w:rPr>
            <w:webHidden/>
          </w:rPr>
          <w:tab/>
        </w:r>
        <w:r w:rsidR="00281A48">
          <w:rPr>
            <w:webHidden/>
          </w:rPr>
          <w:fldChar w:fldCharType="begin"/>
        </w:r>
        <w:r w:rsidR="00281A48">
          <w:rPr>
            <w:webHidden/>
          </w:rPr>
          <w:instrText xml:space="preserve"> PAGEREF _Toc50378071 \h </w:instrText>
        </w:r>
        <w:r w:rsidR="00281A48">
          <w:rPr>
            <w:webHidden/>
          </w:rPr>
        </w:r>
        <w:r w:rsidR="00281A48">
          <w:rPr>
            <w:webHidden/>
          </w:rPr>
          <w:fldChar w:fldCharType="separate"/>
        </w:r>
        <w:r w:rsidR="00281A48">
          <w:rPr>
            <w:webHidden/>
          </w:rPr>
          <w:t>29</w:t>
        </w:r>
        <w:r w:rsidR="00281A48">
          <w:rPr>
            <w:webHidden/>
          </w:rPr>
          <w:fldChar w:fldCharType="end"/>
        </w:r>
      </w:hyperlink>
    </w:p>
    <w:p w14:paraId="0A7F46E3" w14:textId="1FE2FA63" w:rsidR="00281A48" w:rsidRDefault="001E6FC6" w:rsidP="00281A48">
      <w:pPr>
        <w:pStyle w:val="TOCBody"/>
        <w:rPr>
          <w:rFonts w:eastAsiaTheme="minorEastAsia"/>
          <w:lang w:eastAsia="en-PH"/>
        </w:rPr>
      </w:pPr>
      <w:hyperlink w:anchor="_Toc50378072" w:history="1">
        <w:r w:rsidR="00281A48" w:rsidRPr="00144E81">
          <w:rPr>
            <w:rStyle w:val="Hyperlink"/>
          </w:rPr>
          <w:t>2019–20 highlights</w:t>
        </w:r>
        <w:r w:rsidR="00281A48">
          <w:rPr>
            <w:webHidden/>
          </w:rPr>
          <w:tab/>
        </w:r>
        <w:r w:rsidR="00281A48">
          <w:rPr>
            <w:webHidden/>
          </w:rPr>
          <w:fldChar w:fldCharType="begin"/>
        </w:r>
        <w:r w:rsidR="00281A48">
          <w:rPr>
            <w:webHidden/>
          </w:rPr>
          <w:instrText xml:space="preserve"> PAGEREF _Toc50378072 \h </w:instrText>
        </w:r>
        <w:r w:rsidR="00281A48">
          <w:rPr>
            <w:webHidden/>
          </w:rPr>
        </w:r>
        <w:r w:rsidR="00281A48">
          <w:rPr>
            <w:webHidden/>
          </w:rPr>
          <w:fldChar w:fldCharType="separate"/>
        </w:r>
        <w:r w:rsidR="00281A48">
          <w:rPr>
            <w:webHidden/>
          </w:rPr>
          <w:t>31</w:t>
        </w:r>
        <w:r w:rsidR="00281A48">
          <w:rPr>
            <w:webHidden/>
          </w:rPr>
          <w:fldChar w:fldCharType="end"/>
        </w:r>
      </w:hyperlink>
    </w:p>
    <w:p w14:paraId="4FCF28B6" w14:textId="7446FFC3" w:rsidR="00281A48" w:rsidRDefault="001E6FC6" w:rsidP="00281A48">
      <w:pPr>
        <w:pStyle w:val="TOCHeader"/>
        <w:rPr>
          <w:rFonts w:eastAsiaTheme="minorEastAsia"/>
          <w:sz w:val="22"/>
          <w:szCs w:val="22"/>
          <w:lang w:eastAsia="en-PH"/>
        </w:rPr>
      </w:pPr>
      <w:hyperlink w:anchor="_Toc50378073" w:history="1">
        <w:r w:rsidR="00281A48" w:rsidRPr="00144E81">
          <w:rPr>
            <w:rStyle w:val="Hyperlink"/>
          </w:rPr>
          <w:t>Clinical Advisory Committee</w:t>
        </w:r>
        <w:r w:rsidR="00281A48">
          <w:rPr>
            <w:webHidden/>
          </w:rPr>
          <w:tab/>
        </w:r>
        <w:r w:rsidR="00281A48">
          <w:rPr>
            <w:webHidden/>
          </w:rPr>
          <w:fldChar w:fldCharType="begin"/>
        </w:r>
        <w:r w:rsidR="00281A48">
          <w:rPr>
            <w:webHidden/>
          </w:rPr>
          <w:instrText xml:space="preserve"> PAGEREF _Toc50378073 \h </w:instrText>
        </w:r>
        <w:r w:rsidR="00281A48">
          <w:rPr>
            <w:webHidden/>
          </w:rPr>
        </w:r>
        <w:r w:rsidR="00281A48">
          <w:rPr>
            <w:webHidden/>
          </w:rPr>
          <w:fldChar w:fldCharType="separate"/>
        </w:r>
        <w:r w:rsidR="00281A48">
          <w:rPr>
            <w:webHidden/>
          </w:rPr>
          <w:t>32</w:t>
        </w:r>
        <w:r w:rsidR="00281A48">
          <w:rPr>
            <w:webHidden/>
          </w:rPr>
          <w:fldChar w:fldCharType="end"/>
        </w:r>
      </w:hyperlink>
    </w:p>
    <w:p w14:paraId="5959BB70" w14:textId="4D62374F" w:rsidR="00281A48" w:rsidRDefault="001E6FC6" w:rsidP="00281A48">
      <w:pPr>
        <w:pStyle w:val="TOCBody"/>
        <w:rPr>
          <w:rFonts w:eastAsiaTheme="minorEastAsia"/>
          <w:lang w:eastAsia="en-PH"/>
        </w:rPr>
      </w:pPr>
      <w:hyperlink w:anchor="_Toc50378074" w:history="1">
        <w:r w:rsidR="00281A48" w:rsidRPr="00144E81">
          <w:rPr>
            <w:rStyle w:val="Hyperlink"/>
          </w:rPr>
          <w:t>Letter from the Chair</w:t>
        </w:r>
        <w:r w:rsidR="00281A48">
          <w:rPr>
            <w:webHidden/>
          </w:rPr>
          <w:tab/>
        </w:r>
        <w:r w:rsidR="00281A48">
          <w:rPr>
            <w:webHidden/>
          </w:rPr>
          <w:fldChar w:fldCharType="begin"/>
        </w:r>
        <w:r w:rsidR="00281A48">
          <w:rPr>
            <w:webHidden/>
          </w:rPr>
          <w:instrText xml:space="preserve"> PAGEREF _Toc50378074 \h </w:instrText>
        </w:r>
        <w:r w:rsidR="00281A48">
          <w:rPr>
            <w:webHidden/>
          </w:rPr>
        </w:r>
        <w:r w:rsidR="00281A48">
          <w:rPr>
            <w:webHidden/>
          </w:rPr>
          <w:fldChar w:fldCharType="separate"/>
        </w:r>
        <w:r w:rsidR="00281A48">
          <w:rPr>
            <w:webHidden/>
          </w:rPr>
          <w:t>33</w:t>
        </w:r>
        <w:r w:rsidR="00281A48">
          <w:rPr>
            <w:webHidden/>
          </w:rPr>
          <w:fldChar w:fldCharType="end"/>
        </w:r>
      </w:hyperlink>
    </w:p>
    <w:p w14:paraId="6278920D" w14:textId="4EED2E34" w:rsidR="00281A48" w:rsidRDefault="001E6FC6" w:rsidP="00281A48">
      <w:pPr>
        <w:pStyle w:val="TOCBody"/>
        <w:rPr>
          <w:rFonts w:eastAsiaTheme="minorEastAsia"/>
          <w:lang w:eastAsia="en-PH"/>
        </w:rPr>
      </w:pPr>
      <w:hyperlink w:anchor="_Toc50378075" w:history="1">
        <w:r w:rsidR="00281A48" w:rsidRPr="00144E81">
          <w:rPr>
            <w:rStyle w:val="Hyperlink"/>
          </w:rPr>
          <w:t>About the Clinical Advisory Committee</w:t>
        </w:r>
        <w:r w:rsidR="00281A48">
          <w:rPr>
            <w:webHidden/>
          </w:rPr>
          <w:tab/>
        </w:r>
        <w:r w:rsidR="00281A48">
          <w:rPr>
            <w:webHidden/>
          </w:rPr>
          <w:fldChar w:fldCharType="begin"/>
        </w:r>
        <w:r w:rsidR="00281A48">
          <w:rPr>
            <w:webHidden/>
          </w:rPr>
          <w:instrText xml:space="preserve"> PAGEREF _Toc50378075 \h </w:instrText>
        </w:r>
        <w:r w:rsidR="00281A48">
          <w:rPr>
            <w:webHidden/>
          </w:rPr>
        </w:r>
        <w:r w:rsidR="00281A48">
          <w:rPr>
            <w:webHidden/>
          </w:rPr>
          <w:fldChar w:fldCharType="separate"/>
        </w:r>
        <w:r w:rsidR="00281A48">
          <w:rPr>
            <w:webHidden/>
          </w:rPr>
          <w:t>35</w:t>
        </w:r>
        <w:r w:rsidR="00281A48">
          <w:rPr>
            <w:webHidden/>
          </w:rPr>
          <w:fldChar w:fldCharType="end"/>
        </w:r>
      </w:hyperlink>
    </w:p>
    <w:p w14:paraId="4687D8CF" w14:textId="275DEBD7" w:rsidR="00281A48" w:rsidRDefault="001E6FC6" w:rsidP="00281A48">
      <w:pPr>
        <w:pStyle w:val="TOCBody"/>
        <w:rPr>
          <w:rFonts w:eastAsiaTheme="minorEastAsia"/>
          <w:lang w:eastAsia="en-PH"/>
        </w:rPr>
      </w:pPr>
      <w:hyperlink w:anchor="_Toc50378076" w:history="1">
        <w:r w:rsidR="00281A48" w:rsidRPr="00144E81">
          <w:rPr>
            <w:rStyle w:val="Hyperlink"/>
          </w:rPr>
          <w:t>2019–20 highlights</w:t>
        </w:r>
        <w:r w:rsidR="00281A48">
          <w:rPr>
            <w:webHidden/>
          </w:rPr>
          <w:tab/>
        </w:r>
        <w:r w:rsidR="00281A48">
          <w:rPr>
            <w:webHidden/>
          </w:rPr>
          <w:fldChar w:fldCharType="begin"/>
        </w:r>
        <w:r w:rsidR="00281A48">
          <w:rPr>
            <w:webHidden/>
          </w:rPr>
          <w:instrText xml:space="preserve"> PAGEREF _Toc50378076 \h </w:instrText>
        </w:r>
        <w:r w:rsidR="00281A48">
          <w:rPr>
            <w:webHidden/>
          </w:rPr>
        </w:r>
        <w:r w:rsidR="00281A48">
          <w:rPr>
            <w:webHidden/>
          </w:rPr>
          <w:fldChar w:fldCharType="separate"/>
        </w:r>
        <w:r w:rsidR="00281A48">
          <w:rPr>
            <w:webHidden/>
          </w:rPr>
          <w:t>37</w:t>
        </w:r>
        <w:r w:rsidR="00281A48">
          <w:rPr>
            <w:webHidden/>
          </w:rPr>
          <w:fldChar w:fldCharType="end"/>
        </w:r>
      </w:hyperlink>
    </w:p>
    <w:p w14:paraId="6495601A" w14:textId="044EEE3D" w:rsidR="00281A48" w:rsidRPr="00281A48" w:rsidRDefault="001E6FC6" w:rsidP="00281A48">
      <w:pPr>
        <w:pStyle w:val="TOCHeader"/>
        <w:rPr>
          <w:rFonts w:eastAsiaTheme="minorEastAsia"/>
          <w:color w:val="F47920" w:themeColor="accent4"/>
          <w:sz w:val="22"/>
          <w:szCs w:val="22"/>
          <w:lang w:eastAsia="en-PH"/>
        </w:rPr>
      </w:pPr>
      <w:hyperlink w:anchor="_Toc50378077" w:history="1">
        <w:r w:rsidR="00281A48" w:rsidRPr="00281A48">
          <w:rPr>
            <w:rStyle w:val="Hyperlink"/>
            <w:color w:val="F47920" w:themeColor="accent4"/>
          </w:rPr>
          <w:t>Annual Performance Statements</w:t>
        </w:r>
        <w:r w:rsidR="00281A48" w:rsidRPr="00281A48">
          <w:rPr>
            <w:webHidden/>
            <w:color w:val="F47920" w:themeColor="accent4"/>
          </w:rPr>
          <w:tab/>
        </w:r>
        <w:r w:rsidR="00281A48" w:rsidRPr="00281A48">
          <w:rPr>
            <w:webHidden/>
            <w:color w:val="F47920" w:themeColor="accent4"/>
          </w:rPr>
          <w:fldChar w:fldCharType="begin"/>
        </w:r>
        <w:r w:rsidR="00281A48" w:rsidRPr="00281A48">
          <w:rPr>
            <w:webHidden/>
            <w:color w:val="F47920" w:themeColor="accent4"/>
          </w:rPr>
          <w:instrText xml:space="preserve"> PAGEREF _Toc50378077 \h </w:instrText>
        </w:r>
        <w:r w:rsidR="00281A48" w:rsidRPr="00281A48">
          <w:rPr>
            <w:webHidden/>
            <w:color w:val="F47920" w:themeColor="accent4"/>
          </w:rPr>
        </w:r>
        <w:r w:rsidR="00281A48" w:rsidRPr="00281A48">
          <w:rPr>
            <w:webHidden/>
            <w:color w:val="F47920" w:themeColor="accent4"/>
          </w:rPr>
          <w:fldChar w:fldCharType="separate"/>
        </w:r>
        <w:r w:rsidR="00281A48" w:rsidRPr="00281A48">
          <w:rPr>
            <w:webHidden/>
            <w:color w:val="F47920" w:themeColor="accent4"/>
          </w:rPr>
          <w:t>38</w:t>
        </w:r>
        <w:r w:rsidR="00281A48" w:rsidRPr="00281A48">
          <w:rPr>
            <w:webHidden/>
            <w:color w:val="F47920" w:themeColor="accent4"/>
          </w:rPr>
          <w:fldChar w:fldCharType="end"/>
        </w:r>
      </w:hyperlink>
    </w:p>
    <w:p w14:paraId="5194BCA8" w14:textId="2A56839D" w:rsidR="00281A48" w:rsidRDefault="001E6FC6" w:rsidP="00281A48">
      <w:pPr>
        <w:pStyle w:val="TOCBody"/>
        <w:rPr>
          <w:rFonts w:eastAsiaTheme="minorEastAsia"/>
          <w:lang w:eastAsia="en-PH"/>
        </w:rPr>
      </w:pPr>
      <w:hyperlink w:anchor="_Toc50378078" w:history="1">
        <w:r w:rsidR="00281A48" w:rsidRPr="00144E81">
          <w:rPr>
            <w:rStyle w:val="Hyperlink"/>
          </w:rPr>
          <w:t>Introductory Statement</w:t>
        </w:r>
        <w:r w:rsidR="00281A48">
          <w:rPr>
            <w:webHidden/>
          </w:rPr>
          <w:tab/>
        </w:r>
        <w:r w:rsidR="00281A48">
          <w:rPr>
            <w:webHidden/>
          </w:rPr>
          <w:fldChar w:fldCharType="begin"/>
        </w:r>
        <w:r w:rsidR="00281A48">
          <w:rPr>
            <w:webHidden/>
          </w:rPr>
          <w:instrText xml:space="preserve"> PAGEREF _Toc50378078 \h </w:instrText>
        </w:r>
        <w:r w:rsidR="00281A48">
          <w:rPr>
            <w:webHidden/>
          </w:rPr>
        </w:r>
        <w:r w:rsidR="00281A48">
          <w:rPr>
            <w:webHidden/>
          </w:rPr>
          <w:fldChar w:fldCharType="separate"/>
        </w:r>
        <w:r w:rsidR="00281A48">
          <w:rPr>
            <w:webHidden/>
          </w:rPr>
          <w:t>39</w:t>
        </w:r>
        <w:r w:rsidR="00281A48">
          <w:rPr>
            <w:webHidden/>
          </w:rPr>
          <w:fldChar w:fldCharType="end"/>
        </w:r>
      </w:hyperlink>
    </w:p>
    <w:p w14:paraId="5216527F" w14:textId="534AC24E" w:rsidR="00281A48" w:rsidRDefault="001E6FC6" w:rsidP="00281A48">
      <w:pPr>
        <w:pStyle w:val="TOCBody"/>
        <w:rPr>
          <w:rFonts w:eastAsiaTheme="minorEastAsia"/>
          <w:lang w:eastAsia="en-PH"/>
        </w:rPr>
      </w:pPr>
      <w:hyperlink w:anchor="_Toc50378079" w:history="1">
        <w:r w:rsidR="00281A48" w:rsidRPr="00144E81">
          <w:rPr>
            <w:rStyle w:val="Hyperlink"/>
          </w:rPr>
          <w:t>Pe</w:t>
        </w:r>
        <w:r w:rsidR="00281A48" w:rsidRPr="00144E81">
          <w:rPr>
            <w:rStyle w:val="Hyperlink"/>
            <w:spacing w:val="20"/>
          </w:rPr>
          <w:t>rf</w:t>
        </w:r>
        <w:r w:rsidR="00281A48" w:rsidRPr="00144E81">
          <w:rPr>
            <w:rStyle w:val="Hyperlink"/>
          </w:rPr>
          <w:t>ormance in 2019–20</w:t>
        </w:r>
        <w:r w:rsidR="00281A48">
          <w:rPr>
            <w:webHidden/>
          </w:rPr>
          <w:tab/>
        </w:r>
        <w:r w:rsidR="00281A48">
          <w:rPr>
            <w:webHidden/>
          </w:rPr>
          <w:fldChar w:fldCharType="begin"/>
        </w:r>
        <w:r w:rsidR="00281A48">
          <w:rPr>
            <w:webHidden/>
          </w:rPr>
          <w:instrText xml:space="preserve"> PAGEREF _Toc50378079 \h </w:instrText>
        </w:r>
        <w:r w:rsidR="00281A48">
          <w:rPr>
            <w:webHidden/>
          </w:rPr>
        </w:r>
        <w:r w:rsidR="00281A48">
          <w:rPr>
            <w:webHidden/>
          </w:rPr>
          <w:fldChar w:fldCharType="separate"/>
        </w:r>
        <w:r w:rsidR="00281A48">
          <w:rPr>
            <w:webHidden/>
          </w:rPr>
          <w:t>40</w:t>
        </w:r>
        <w:r w:rsidR="00281A48">
          <w:rPr>
            <w:webHidden/>
          </w:rPr>
          <w:fldChar w:fldCharType="end"/>
        </w:r>
      </w:hyperlink>
    </w:p>
    <w:p w14:paraId="3D67A755" w14:textId="3FD3B67F" w:rsidR="00281A48" w:rsidRDefault="001E6FC6" w:rsidP="00281A48">
      <w:pPr>
        <w:pStyle w:val="TOCBody"/>
        <w:rPr>
          <w:rFonts w:eastAsiaTheme="minorEastAsia"/>
          <w:lang w:eastAsia="en-PH"/>
        </w:rPr>
      </w:pPr>
      <w:hyperlink w:anchor="_Toc50378080" w:history="1">
        <w:r w:rsidR="00281A48" w:rsidRPr="00144E81">
          <w:rPr>
            <w:rStyle w:val="Hyperlink"/>
          </w:rPr>
          <w:t>Results</w:t>
        </w:r>
        <w:r w:rsidR="00281A48">
          <w:rPr>
            <w:webHidden/>
          </w:rPr>
          <w:tab/>
        </w:r>
        <w:r w:rsidR="00281A48">
          <w:rPr>
            <w:webHidden/>
          </w:rPr>
          <w:fldChar w:fldCharType="begin"/>
        </w:r>
        <w:r w:rsidR="00281A48">
          <w:rPr>
            <w:webHidden/>
          </w:rPr>
          <w:instrText xml:space="preserve"> PAGEREF _Toc50378080 \h </w:instrText>
        </w:r>
        <w:r w:rsidR="00281A48">
          <w:rPr>
            <w:webHidden/>
          </w:rPr>
        </w:r>
        <w:r w:rsidR="00281A48">
          <w:rPr>
            <w:webHidden/>
          </w:rPr>
          <w:fldChar w:fldCharType="separate"/>
        </w:r>
        <w:r w:rsidR="00281A48">
          <w:rPr>
            <w:webHidden/>
          </w:rPr>
          <w:t>43</w:t>
        </w:r>
        <w:r w:rsidR="00281A48">
          <w:rPr>
            <w:webHidden/>
          </w:rPr>
          <w:fldChar w:fldCharType="end"/>
        </w:r>
      </w:hyperlink>
    </w:p>
    <w:p w14:paraId="4C8B2F83" w14:textId="17E159F1" w:rsidR="00281A48" w:rsidRDefault="001E6FC6" w:rsidP="00281A48">
      <w:pPr>
        <w:pStyle w:val="TOCBody"/>
        <w:rPr>
          <w:rFonts w:eastAsiaTheme="minorEastAsia"/>
          <w:lang w:eastAsia="en-PH"/>
        </w:rPr>
      </w:pPr>
      <w:hyperlink w:anchor="_Toc50378081" w:history="1">
        <w:r w:rsidR="00281A48" w:rsidRPr="00144E81">
          <w:rPr>
            <w:rStyle w:val="Hyperlink"/>
          </w:rPr>
          <w:t>Analysis</w:t>
        </w:r>
        <w:r w:rsidR="00281A48">
          <w:rPr>
            <w:webHidden/>
          </w:rPr>
          <w:tab/>
        </w:r>
        <w:r w:rsidR="00281A48">
          <w:rPr>
            <w:webHidden/>
          </w:rPr>
          <w:fldChar w:fldCharType="begin"/>
        </w:r>
        <w:r w:rsidR="00281A48">
          <w:rPr>
            <w:webHidden/>
          </w:rPr>
          <w:instrText xml:space="preserve"> PAGEREF _Toc50378081 \h </w:instrText>
        </w:r>
        <w:r w:rsidR="00281A48">
          <w:rPr>
            <w:webHidden/>
          </w:rPr>
        </w:r>
        <w:r w:rsidR="00281A48">
          <w:rPr>
            <w:webHidden/>
          </w:rPr>
          <w:fldChar w:fldCharType="separate"/>
        </w:r>
        <w:r w:rsidR="00281A48">
          <w:rPr>
            <w:webHidden/>
          </w:rPr>
          <w:t>51</w:t>
        </w:r>
        <w:r w:rsidR="00281A48">
          <w:rPr>
            <w:webHidden/>
          </w:rPr>
          <w:fldChar w:fldCharType="end"/>
        </w:r>
      </w:hyperlink>
    </w:p>
    <w:p w14:paraId="12AA80F2" w14:textId="5135AE45" w:rsidR="00281A48" w:rsidRPr="00281A48" w:rsidRDefault="001E6FC6" w:rsidP="00281A48">
      <w:pPr>
        <w:pStyle w:val="TOCHeader"/>
        <w:rPr>
          <w:rFonts w:eastAsiaTheme="minorEastAsia"/>
          <w:color w:val="5E2F7E" w:themeColor="accent5"/>
          <w:sz w:val="22"/>
          <w:szCs w:val="22"/>
          <w:lang w:eastAsia="en-PH"/>
        </w:rPr>
      </w:pPr>
      <w:hyperlink w:anchor="_Toc50378082" w:history="1">
        <w:r w:rsidR="00281A48" w:rsidRPr="00281A48">
          <w:rPr>
            <w:rStyle w:val="Hyperlink"/>
            <w:color w:val="5E2F7E" w:themeColor="accent5"/>
          </w:rPr>
          <w:t>Management and Accountability</w:t>
        </w:r>
        <w:r w:rsidR="00281A48" w:rsidRPr="00281A48">
          <w:rPr>
            <w:webHidden/>
            <w:color w:val="5E2F7E" w:themeColor="accent5"/>
          </w:rPr>
          <w:tab/>
        </w:r>
        <w:r w:rsidR="00281A48" w:rsidRPr="00281A48">
          <w:rPr>
            <w:webHidden/>
            <w:color w:val="5E2F7E" w:themeColor="accent5"/>
          </w:rPr>
          <w:fldChar w:fldCharType="begin"/>
        </w:r>
        <w:r w:rsidR="00281A48" w:rsidRPr="00281A48">
          <w:rPr>
            <w:webHidden/>
            <w:color w:val="5E2F7E" w:themeColor="accent5"/>
          </w:rPr>
          <w:instrText xml:space="preserve"> PAGEREF _Toc50378082 \h </w:instrText>
        </w:r>
        <w:r w:rsidR="00281A48" w:rsidRPr="00281A48">
          <w:rPr>
            <w:webHidden/>
            <w:color w:val="5E2F7E" w:themeColor="accent5"/>
          </w:rPr>
        </w:r>
        <w:r w:rsidR="00281A48" w:rsidRPr="00281A48">
          <w:rPr>
            <w:webHidden/>
            <w:color w:val="5E2F7E" w:themeColor="accent5"/>
          </w:rPr>
          <w:fldChar w:fldCharType="separate"/>
        </w:r>
        <w:r w:rsidR="00281A48" w:rsidRPr="00281A48">
          <w:rPr>
            <w:webHidden/>
            <w:color w:val="5E2F7E" w:themeColor="accent5"/>
          </w:rPr>
          <w:t>52</w:t>
        </w:r>
        <w:r w:rsidR="00281A48" w:rsidRPr="00281A48">
          <w:rPr>
            <w:webHidden/>
            <w:color w:val="5E2F7E" w:themeColor="accent5"/>
          </w:rPr>
          <w:fldChar w:fldCharType="end"/>
        </w:r>
      </w:hyperlink>
    </w:p>
    <w:p w14:paraId="32217AEA" w14:textId="59AF9667" w:rsidR="00281A48" w:rsidRDefault="001E6FC6" w:rsidP="00281A48">
      <w:pPr>
        <w:pStyle w:val="TOCBody"/>
        <w:rPr>
          <w:rFonts w:eastAsiaTheme="minorEastAsia"/>
          <w:lang w:eastAsia="en-PH"/>
        </w:rPr>
      </w:pPr>
      <w:hyperlink w:anchor="_Toc50378083" w:history="1">
        <w:r w:rsidR="00281A48" w:rsidRPr="00144E81">
          <w:rPr>
            <w:rStyle w:val="Hyperlink"/>
          </w:rPr>
          <w:t>Key corporate governance practices</w:t>
        </w:r>
        <w:r w:rsidR="00281A48">
          <w:rPr>
            <w:webHidden/>
          </w:rPr>
          <w:tab/>
        </w:r>
        <w:r w:rsidR="00281A48">
          <w:rPr>
            <w:webHidden/>
          </w:rPr>
          <w:fldChar w:fldCharType="begin"/>
        </w:r>
        <w:r w:rsidR="00281A48">
          <w:rPr>
            <w:webHidden/>
          </w:rPr>
          <w:instrText xml:space="preserve"> PAGEREF _Toc50378083 \h </w:instrText>
        </w:r>
        <w:r w:rsidR="00281A48">
          <w:rPr>
            <w:webHidden/>
          </w:rPr>
        </w:r>
        <w:r w:rsidR="00281A48">
          <w:rPr>
            <w:webHidden/>
          </w:rPr>
          <w:fldChar w:fldCharType="separate"/>
        </w:r>
        <w:r w:rsidR="00281A48">
          <w:rPr>
            <w:webHidden/>
          </w:rPr>
          <w:t>53</w:t>
        </w:r>
        <w:r w:rsidR="00281A48">
          <w:rPr>
            <w:webHidden/>
          </w:rPr>
          <w:fldChar w:fldCharType="end"/>
        </w:r>
      </w:hyperlink>
    </w:p>
    <w:p w14:paraId="497522EC" w14:textId="52498712" w:rsidR="00281A48" w:rsidRDefault="001E6FC6" w:rsidP="00281A48">
      <w:pPr>
        <w:pStyle w:val="TOCBody"/>
        <w:rPr>
          <w:rFonts w:eastAsiaTheme="minorEastAsia"/>
          <w:lang w:eastAsia="en-PH"/>
        </w:rPr>
      </w:pPr>
      <w:hyperlink w:anchor="_Toc50378084" w:history="1">
        <w:r w:rsidR="00281A48" w:rsidRPr="00144E81">
          <w:rPr>
            <w:rStyle w:val="Hyperlink"/>
          </w:rPr>
          <w:t>Management of human resources</w:t>
        </w:r>
        <w:r w:rsidR="00281A48">
          <w:rPr>
            <w:webHidden/>
          </w:rPr>
          <w:tab/>
        </w:r>
        <w:r w:rsidR="00281A48">
          <w:rPr>
            <w:webHidden/>
          </w:rPr>
          <w:fldChar w:fldCharType="begin"/>
        </w:r>
        <w:r w:rsidR="00281A48">
          <w:rPr>
            <w:webHidden/>
          </w:rPr>
          <w:instrText xml:space="preserve"> PAGEREF _Toc50378084 \h </w:instrText>
        </w:r>
        <w:r w:rsidR="00281A48">
          <w:rPr>
            <w:webHidden/>
          </w:rPr>
        </w:r>
        <w:r w:rsidR="00281A48">
          <w:rPr>
            <w:webHidden/>
          </w:rPr>
          <w:fldChar w:fldCharType="separate"/>
        </w:r>
        <w:r w:rsidR="00281A48">
          <w:rPr>
            <w:webHidden/>
          </w:rPr>
          <w:t>57</w:t>
        </w:r>
        <w:r w:rsidR="00281A48">
          <w:rPr>
            <w:webHidden/>
          </w:rPr>
          <w:fldChar w:fldCharType="end"/>
        </w:r>
      </w:hyperlink>
    </w:p>
    <w:p w14:paraId="2DC98F41" w14:textId="2005E8A5" w:rsidR="00281A48" w:rsidRPr="00281A48" w:rsidRDefault="001E6FC6" w:rsidP="00281A48">
      <w:pPr>
        <w:pStyle w:val="TOCHeader"/>
        <w:rPr>
          <w:rFonts w:eastAsiaTheme="minorEastAsia"/>
          <w:color w:val="C40B46" w:themeColor="accent6"/>
          <w:sz w:val="22"/>
          <w:szCs w:val="22"/>
          <w:lang w:eastAsia="en-PH"/>
        </w:rPr>
      </w:pPr>
      <w:hyperlink w:anchor="_Toc50378085" w:history="1">
        <w:r w:rsidR="00281A48" w:rsidRPr="00281A48">
          <w:rPr>
            <w:rStyle w:val="Hyperlink"/>
            <w:color w:val="C40B46" w:themeColor="accent6"/>
          </w:rPr>
          <w:t>Financial Management</w:t>
        </w:r>
        <w:r w:rsidR="00281A48" w:rsidRPr="00281A48">
          <w:rPr>
            <w:webHidden/>
            <w:color w:val="C40B46" w:themeColor="accent6"/>
          </w:rPr>
          <w:tab/>
        </w:r>
        <w:r w:rsidR="00281A48" w:rsidRPr="00281A48">
          <w:rPr>
            <w:webHidden/>
            <w:color w:val="C40B46" w:themeColor="accent6"/>
          </w:rPr>
          <w:fldChar w:fldCharType="begin"/>
        </w:r>
        <w:r w:rsidR="00281A48" w:rsidRPr="00281A48">
          <w:rPr>
            <w:webHidden/>
            <w:color w:val="C40B46" w:themeColor="accent6"/>
          </w:rPr>
          <w:instrText xml:space="preserve"> PAGEREF _Toc50378085 \h </w:instrText>
        </w:r>
        <w:r w:rsidR="00281A48" w:rsidRPr="00281A48">
          <w:rPr>
            <w:webHidden/>
            <w:color w:val="C40B46" w:themeColor="accent6"/>
          </w:rPr>
        </w:r>
        <w:r w:rsidR="00281A48" w:rsidRPr="00281A48">
          <w:rPr>
            <w:webHidden/>
            <w:color w:val="C40B46" w:themeColor="accent6"/>
          </w:rPr>
          <w:fldChar w:fldCharType="separate"/>
        </w:r>
        <w:r w:rsidR="00281A48" w:rsidRPr="00281A48">
          <w:rPr>
            <w:webHidden/>
            <w:color w:val="C40B46" w:themeColor="accent6"/>
          </w:rPr>
          <w:t>64</w:t>
        </w:r>
        <w:r w:rsidR="00281A48" w:rsidRPr="00281A48">
          <w:rPr>
            <w:webHidden/>
            <w:color w:val="C40B46" w:themeColor="accent6"/>
          </w:rPr>
          <w:fldChar w:fldCharType="end"/>
        </w:r>
      </w:hyperlink>
    </w:p>
    <w:p w14:paraId="28896A16" w14:textId="5FDDF9EC" w:rsidR="00281A48" w:rsidRDefault="001E6FC6" w:rsidP="00281A48">
      <w:pPr>
        <w:pStyle w:val="TOCBody"/>
        <w:rPr>
          <w:rFonts w:eastAsiaTheme="minorEastAsia"/>
          <w:lang w:eastAsia="en-PH"/>
        </w:rPr>
      </w:pPr>
      <w:hyperlink w:anchor="_Toc50378086" w:history="1">
        <w:r w:rsidR="00281A48" w:rsidRPr="00144E81">
          <w:rPr>
            <w:rStyle w:val="Hyperlink"/>
          </w:rPr>
          <w:t>Financial statements</w:t>
        </w:r>
        <w:r w:rsidR="00281A48">
          <w:rPr>
            <w:webHidden/>
          </w:rPr>
          <w:tab/>
        </w:r>
        <w:r w:rsidR="00281A48">
          <w:rPr>
            <w:webHidden/>
          </w:rPr>
          <w:fldChar w:fldCharType="begin"/>
        </w:r>
        <w:r w:rsidR="00281A48">
          <w:rPr>
            <w:webHidden/>
          </w:rPr>
          <w:instrText xml:space="preserve"> PAGEREF _Toc50378086 \h </w:instrText>
        </w:r>
        <w:r w:rsidR="00281A48">
          <w:rPr>
            <w:webHidden/>
          </w:rPr>
        </w:r>
        <w:r w:rsidR="00281A48">
          <w:rPr>
            <w:webHidden/>
          </w:rPr>
          <w:fldChar w:fldCharType="separate"/>
        </w:r>
        <w:r w:rsidR="00281A48">
          <w:rPr>
            <w:webHidden/>
          </w:rPr>
          <w:t>65</w:t>
        </w:r>
        <w:r w:rsidR="00281A48">
          <w:rPr>
            <w:webHidden/>
          </w:rPr>
          <w:fldChar w:fldCharType="end"/>
        </w:r>
      </w:hyperlink>
    </w:p>
    <w:p w14:paraId="3AB78DAF" w14:textId="7EA5B26D" w:rsidR="00281A48" w:rsidRDefault="001E6FC6" w:rsidP="00281A48">
      <w:pPr>
        <w:pStyle w:val="TOCHeader"/>
        <w:rPr>
          <w:rFonts w:eastAsiaTheme="minorEastAsia"/>
          <w:sz w:val="22"/>
          <w:szCs w:val="22"/>
          <w:lang w:eastAsia="en-PH"/>
        </w:rPr>
      </w:pPr>
      <w:hyperlink w:anchor="_Toc50378087" w:history="1">
        <w:r w:rsidR="00281A48" w:rsidRPr="00144E81">
          <w:rPr>
            <w:rStyle w:val="Hyperlink"/>
          </w:rPr>
          <w:t>Appendices</w:t>
        </w:r>
        <w:r w:rsidR="00281A48">
          <w:rPr>
            <w:webHidden/>
          </w:rPr>
          <w:tab/>
        </w:r>
        <w:r w:rsidR="00281A48">
          <w:rPr>
            <w:webHidden/>
          </w:rPr>
          <w:fldChar w:fldCharType="begin"/>
        </w:r>
        <w:r w:rsidR="00281A48">
          <w:rPr>
            <w:webHidden/>
          </w:rPr>
          <w:instrText xml:space="preserve"> PAGEREF _Toc50378087 \h </w:instrText>
        </w:r>
        <w:r w:rsidR="00281A48">
          <w:rPr>
            <w:webHidden/>
          </w:rPr>
        </w:r>
        <w:r w:rsidR="00281A48">
          <w:rPr>
            <w:webHidden/>
          </w:rPr>
          <w:fldChar w:fldCharType="separate"/>
        </w:r>
        <w:r w:rsidR="00281A48">
          <w:rPr>
            <w:webHidden/>
          </w:rPr>
          <w:t>90</w:t>
        </w:r>
        <w:r w:rsidR="00281A48">
          <w:rPr>
            <w:webHidden/>
          </w:rPr>
          <w:fldChar w:fldCharType="end"/>
        </w:r>
      </w:hyperlink>
    </w:p>
    <w:p w14:paraId="2EC33530" w14:textId="17D3D925" w:rsidR="00281A48" w:rsidRDefault="001E6FC6" w:rsidP="00281A48">
      <w:pPr>
        <w:pStyle w:val="TOCBody"/>
        <w:rPr>
          <w:rFonts w:eastAsiaTheme="minorEastAsia"/>
          <w:lang w:eastAsia="en-PH"/>
        </w:rPr>
      </w:pPr>
      <w:hyperlink w:anchor="_Toc50378088" w:history="1">
        <w:r w:rsidR="00281A48" w:rsidRPr="00144E81">
          <w:rPr>
            <w:rStyle w:val="Hyperlink"/>
          </w:rPr>
          <w:t>Appendix A: Figures and Tables</w:t>
        </w:r>
        <w:r w:rsidR="00281A48">
          <w:rPr>
            <w:webHidden/>
          </w:rPr>
          <w:tab/>
        </w:r>
        <w:r w:rsidR="00281A48">
          <w:rPr>
            <w:webHidden/>
          </w:rPr>
          <w:fldChar w:fldCharType="begin"/>
        </w:r>
        <w:r w:rsidR="00281A48">
          <w:rPr>
            <w:webHidden/>
          </w:rPr>
          <w:instrText xml:space="preserve"> PAGEREF _Toc50378088 \h </w:instrText>
        </w:r>
        <w:r w:rsidR="00281A48">
          <w:rPr>
            <w:webHidden/>
          </w:rPr>
        </w:r>
        <w:r w:rsidR="00281A48">
          <w:rPr>
            <w:webHidden/>
          </w:rPr>
          <w:fldChar w:fldCharType="separate"/>
        </w:r>
        <w:r w:rsidR="00281A48">
          <w:rPr>
            <w:webHidden/>
          </w:rPr>
          <w:t>91</w:t>
        </w:r>
        <w:r w:rsidR="00281A48">
          <w:rPr>
            <w:webHidden/>
          </w:rPr>
          <w:fldChar w:fldCharType="end"/>
        </w:r>
      </w:hyperlink>
    </w:p>
    <w:p w14:paraId="11DC3846" w14:textId="4BF01711" w:rsidR="00281A48" w:rsidRDefault="001E6FC6" w:rsidP="00281A48">
      <w:pPr>
        <w:pStyle w:val="TOCBody"/>
        <w:rPr>
          <w:rFonts w:eastAsiaTheme="minorEastAsia"/>
          <w:lang w:eastAsia="en-PH"/>
        </w:rPr>
      </w:pPr>
      <w:hyperlink w:anchor="_Toc50378089" w:history="1">
        <w:r w:rsidR="00281A48" w:rsidRPr="00144E81">
          <w:rPr>
            <w:rStyle w:val="Hyperlink"/>
          </w:rPr>
          <w:t>Appendix B: Acronyms and abbreviations</w:t>
        </w:r>
        <w:r w:rsidR="00281A48">
          <w:rPr>
            <w:webHidden/>
          </w:rPr>
          <w:tab/>
        </w:r>
        <w:r w:rsidR="00281A48">
          <w:rPr>
            <w:webHidden/>
          </w:rPr>
          <w:fldChar w:fldCharType="begin"/>
        </w:r>
        <w:r w:rsidR="00281A48">
          <w:rPr>
            <w:webHidden/>
          </w:rPr>
          <w:instrText xml:space="preserve"> PAGEREF _Toc50378089 \h </w:instrText>
        </w:r>
        <w:r w:rsidR="00281A48">
          <w:rPr>
            <w:webHidden/>
          </w:rPr>
        </w:r>
        <w:r w:rsidR="00281A48">
          <w:rPr>
            <w:webHidden/>
          </w:rPr>
          <w:fldChar w:fldCharType="separate"/>
        </w:r>
        <w:r w:rsidR="00281A48">
          <w:rPr>
            <w:webHidden/>
          </w:rPr>
          <w:t>92</w:t>
        </w:r>
        <w:r w:rsidR="00281A48">
          <w:rPr>
            <w:webHidden/>
          </w:rPr>
          <w:fldChar w:fldCharType="end"/>
        </w:r>
      </w:hyperlink>
    </w:p>
    <w:p w14:paraId="486793FF" w14:textId="270A6BC3" w:rsidR="00281A48" w:rsidRDefault="001E6FC6" w:rsidP="00281A48">
      <w:pPr>
        <w:pStyle w:val="TOCBody"/>
        <w:rPr>
          <w:rFonts w:eastAsiaTheme="minorEastAsia"/>
          <w:lang w:eastAsia="en-PH"/>
        </w:rPr>
      </w:pPr>
      <w:hyperlink w:anchor="_Toc50378090" w:history="1">
        <w:r w:rsidR="00281A48" w:rsidRPr="00144E81">
          <w:rPr>
            <w:rStyle w:val="Hyperlink"/>
          </w:rPr>
          <w:t>Appendix C: Glossary</w:t>
        </w:r>
        <w:r w:rsidR="00281A48">
          <w:rPr>
            <w:webHidden/>
          </w:rPr>
          <w:tab/>
        </w:r>
        <w:r w:rsidR="00281A48">
          <w:rPr>
            <w:webHidden/>
          </w:rPr>
          <w:fldChar w:fldCharType="begin"/>
        </w:r>
        <w:r w:rsidR="00281A48">
          <w:rPr>
            <w:webHidden/>
          </w:rPr>
          <w:instrText xml:space="preserve"> PAGEREF _Toc50378090 \h </w:instrText>
        </w:r>
        <w:r w:rsidR="00281A48">
          <w:rPr>
            <w:webHidden/>
          </w:rPr>
        </w:r>
        <w:r w:rsidR="00281A48">
          <w:rPr>
            <w:webHidden/>
          </w:rPr>
          <w:fldChar w:fldCharType="separate"/>
        </w:r>
        <w:r w:rsidR="00281A48">
          <w:rPr>
            <w:webHidden/>
          </w:rPr>
          <w:t>93</w:t>
        </w:r>
        <w:r w:rsidR="00281A48">
          <w:rPr>
            <w:webHidden/>
          </w:rPr>
          <w:fldChar w:fldCharType="end"/>
        </w:r>
      </w:hyperlink>
    </w:p>
    <w:p w14:paraId="48A56AD0" w14:textId="4D86CAA5" w:rsidR="00281A48" w:rsidRDefault="001E6FC6" w:rsidP="00281A48">
      <w:pPr>
        <w:pStyle w:val="TOCBody"/>
        <w:rPr>
          <w:rFonts w:eastAsiaTheme="minorEastAsia"/>
          <w:lang w:eastAsia="en-PH"/>
        </w:rPr>
      </w:pPr>
      <w:hyperlink w:anchor="_Toc50378091" w:history="1">
        <w:r w:rsidR="00281A48" w:rsidRPr="00144E81">
          <w:rPr>
            <w:rStyle w:val="Hyperlink"/>
          </w:rPr>
          <w:t>Appendix D: Compliance index</w:t>
        </w:r>
        <w:r w:rsidR="00281A48">
          <w:rPr>
            <w:webHidden/>
          </w:rPr>
          <w:tab/>
        </w:r>
        <w:r w:rsidR="00281A48">
          <w:rPr>
            <w:webHidden/>
          </w:rPr>
          <w:fldChar w:fldCharType="begin"/>
        </w:r>
        <w:r w:rsidR="00281A48">
          <w:rPr>
            <w:webHidden/>
          </w:rPr>
          <w:instrText xml:space="preserve"> PAGEREF _Toc50378091 \h </w:instrText>
        </w:r>
        <w:r w:rsidR="00281A48">
          <w:rPr>
            <w:webHidden/>
          </w:rPr>
        </w:r>
        <w:r w:rsidR="00281A48">
          <w:rPr>
            <w:webHidden/>
          </w:rPr>
          <w:fldChar w:fldCharType="separate"/>
        </w:r>
        <w:r w:rsidR="00281A48">
          <w:rPr>
            <w:webHidden/>
          </w:rPr>
          <w:t>96</w:t>
        </w:r>
        <w:r w:rsidR="00281A48">
          <w:rPr>
            <w:webHidden/>
          </w:rPr>
          <w:fldChar w:fldCharType="end"/>
        </w:r>
      </w:hyperlink>
    </w:p>
    <w:p w14:paraId="0CFF8ADA" w14:textId="56C26F79" w:rsidR="00281A48" w:rsidRDefault="001E6FC6" w:rsidP="00281A48">
      <w:pPr>
        <w:pStyle w:val="TOCHeader"/>
        <w:rPr>
          <w:rFonts w:eastAsiaTheme="minorEastAsia"/>
          <w:lang w:eastAsia="en-PH"/>
        </w:rPr>
      </w:pPr>
      <w:hyperlink w:anchor="_Toc50378092" w:history="1">
        <w:r w:rsidR="00281A48" w:rsidRPr="00144E81">
          <w:rPr>
            <w:rStyle w:val="Hyperlink"/>
          </w:rPr>
          <w:t>Index</w:t>
        </w:r>
        <w:r w:rsidR="00281A48">
          <w:rPr>
            <w:webHidden/>
          </w:rPr>
          <w:tab/>
        </w:r>
        <w:r w:rsidR="00281A48">
          <w:rPr>
            <w:webHidden/>
          </w:rPr>
          <w:fldChar w:fldCharType="begin"/>
        </w:r>
        <w:r w:rsidR="00281A48">
          <w:rPr>
            <w:webHidden/>
          </w:rPr>
          <w:instrText xml:space="preserve"> PAGEREF _Toc50378092 \h </w:instrText>
        </w:r>
        <w:r w:rsidR="00281A48">
          <w:rPr>
            <w:webHidden/>
          </w:rPr>
        </w:r>
        <w:r w:rsidR="00281A48">
          <w:rPr>
            <w:webHidden/>
          </w:rPr>
          <w:fldChar w:fldCharType="separate"/>
        </w:r>
        <w:r w:rsidR="00281A48">
          <w:rPr>
            <w:webHidden/>
          </w:rPr>
          <w:t>100</w:t>
        </w:r>
        <w:r w:rsidR="00281A48">
          <w:rPr>
            <w:webHidden/>
          </w:rPr>
          <w:fldChar w:fldCharType="end"/>
        </w:r>
      </w:hyperlink>
    </w:p>
    <w:p w14:paraId="6B899EE6" w14:textId="1592B2F5" w:rsidR="00184F20" w:rsidRDefault="00E65B7F" w:rsidP="00816A19">
      <w:pPr>
        <w:pStyle w:val="Body"/>
        <w:outlineLvl w:val="0"/>
        <w:sectPr w:rsidR="00184F20" w:rsidSect="00417DF9">
          <w:pgSz w:w="9979" w:h="14175" w:code="13"/>
          <w:pgMar w:top="1134" w:right="1418" w:bottom="567" w:left="1418" w:header="709" w:footer="709" w:gutter="0"/>
          <w:pgNumType w:fmt="lowerRoman" w:start="2"/>
          <w:cols w:space="708"/>
          <w:docGrid w:linePitch="360"/>
        </w:sectPr>
      </w:pPr>
      <w:r>
        <w:fldChar w:fldCharType="end"/>
      </w:r>
    </w:p>
    <w:p w14:paraId="1B251E4D" w14:textId="7AEDCB3E" w:rsidR="008C7D85" w:rsidRPr="00936074" w:rsidRDefault="008C7D85" w:rsidP="008C7D85">
      <w:pPr>
        <w:pStyle w:val="Heading1"/>
        <w:rPr>
          <w:color w:val="003F2C" w:themeColor="text1"/>
        </w:rPr>
      </w:pPr>
      <w:bookmarkStart w:id="16" w:name="_Toc44350166"/>
      <w:bookmarkStart w:id="17" w:name="_Toc50378057"/>
      <w:r w:rsidRPr="00936074">
        <w:rPr>
          <w:color w:val="003F2C" w:themeColor="text1"/>
        </w:rPr>
        <w:lastRenderedPageBreak/>
        <w:t>Approval by the accountable authority</w:t>
      </w:r>
      <w:bookmarkEnd w:id="16"/>
      <w:bookmarkEnd w:id="17"/>
    </w:p>
    <w:p w14:paraId="06D9C638" w14:textId="77777777" w:rsidR="00D62D79" w:rsidRDefault="00D62D79" w:rsidP="00D52F34">
      <w:pPr>
        <w:pStyle w:val="Body"/>
        <w:rPr>
          <w:b/>
          <w:bCs/>
        </w:rPr>
        <w:sectPr w:rsidR="00D62D79" w:rsidSect="00184F20">
          <w:pgSz w:w="9979" w:h="14175" w:code="13"/>
          <w:pgMar w:top="1134" w:right="1418" w:bottom="851" w:left="1418" w:header="709" w:footer="709" w:gutter="0"/>
          <w:pgNumType w:start="1"/>
          <w:cols w:space="708"/>
          <w:docGrid w:linePitch="360"/>
        </w:sectPr>
      </w:pPr>
    </w:p>
    <w:p w14:paraId="586257D1" w14:textId="65E0C97B" w:rsidR="00D52F34" w:rsidRPr="00D52F34" w:rsidRDefault="00D52F34" w:rsidP="00D52F34">
      <w:pPr>
        <w:pStyle w:val="Body"/>
        <w:rPr>
          <w:b/>
          <w:bCs/>
        </w:rPr>
      </w:pPr>
      <w:r w:rsidRPr="00D52F34">
        <w:rPr>
          <w:b/>
          <w:bCs/>
        </w:rPr>
        <w:t>I present the annual report of the Independent Hospital Pricing Authority for the financial year ended 30 June 2020, in</w:t>
      </w:r>
      <w:r w:rsidR="00D262C8">
        <w:rPr>
          <w:b/>
          <w:bCs/>
        </w:rPr>
        <w:t> </w:t>
      </w:r>
      <w:r w:rsidRPr="00D52F34">
        <w:rPr>
          <w:b/>
          <w:bCs/>
        </w:rPr>
        <w:t xml:space="preserve">accordance with the </w:t>
      </w:r>
      <w:r w:rsidRPr="00641A06">
        <w:rPr>
          <w:b/>
          <w:bCs/>
          <w:i/>
        </w:rPr>
        <w:t>National Health Reform Act 2011</w:t>
      </w:r>
      <w:r w:rsidRPr="00D52F34">
        <w:rPr>
          <w:b/>
          <w:bCs/>
        </w:rPr>
        <w:t xml:space="preserve"> and pursuant to section</w:t>
      </w:r>
      <w:r w:rsidR="00D262C8">
        <w:rPr>
          <w:b/>
          <w:bCs/>
        </w:rPr>
        <w:t> </w:t>
      </w:r>
      <w:r w:rsidRPr="00D52F34">
        <w:rPr>
          <w:b/>
          <w:bCs/>
        </w:rPr>
        <w:t xml:space="preserve">46 of the </w:t>
      </w:r>
      <w:r w:rsidRPr="00D52F34">
        <w:rPr>
          <w:b/>
          <w:bCs/>
          <w:i/>
          <w:iCs/>
        </w:rPr>
        <w:t>Public Governance, Performance</w:t>
      </w:r>
      <w:r w:rsidR="00D262C8">
        <w:rPr>
          <w:b/>
          <w:bCs/>
          <w:i/>
          <w:iCs/>
        </w:rPr>
        <w:t> </w:t>
      </w:r>
      <w:r w:rsidRPr="00D52F34">
        <w:rPr>
          <w:b/>
          <w:bCs/>
          <w:i/>
          <w:iCs/>
        </w:rPr>
        <w:t>and Accountability Act 2013</w:t>
      </w:r>
      <w:r w:rsidRPr="00D52F34">
        <w:rPr>
          <w:b/>
          <w:bCs/>
        </w:rPr>
        <w:t>.</w:t>
      </w:r>
    </w:p>
    <w:p w14:paraId="4FCFE08A" w14:textId="7363A208" w:rsidR="00D52F34" w:rsidRDefault="00D62D79" w:rsidP="00D52F34">
      <w:pPr>
        <w:pStyle w:val="Body"/>
      </w:pPr>
      <w:r>
        <w:br w:type="column"/>
      </w:r>
      <w:r w:rsidR="00D52F34">
        <w:t xml:space="preserve">The Independent Hospital Pricing Authority is a corporate Commonwealth entity. This report has been prepared in accordance with the requirements of sections 17BA to 17BF of the Public Governance, Performance and Accountability Rule 2014. This report also contains information required under other applicable legislation, including the </w:t>
      </w:r>
      <w:r w:rsidR="00D52F34" w:rsidRPr="00641A06">
        <w:rPr>
          <w:i/>
        </w:rPr>
        <w:t>Work</w:t>
      </w:r>
      <w:r w:rsidR="00A0232F">
        <w:rPr>
          <w:i/>
        </w:rPr>
        <w:t> </w:t>
      </w:r>
      <w:r w:rsidR="00D52F34" w:rsidRPr="00641A06">
        <w:rPr>
          <w:i/>
        </w:rPr>
        <w:t>Health and Safety Act 2011</w:t>
      </w:r>
      <w:r w:rsidR="00D52F34">
        <w:t>.</w:t>
      </w:r>
    </w:p>
    <w:p w14:paraId="77E0C5BB" w14:textId="46DFEFCF" w:rsidR="008C7D85" w:rsidRDefault="00D52F34" w:rsidP="00D52F34">
      <w:pPr>
        <w:pStyle w:val="Body"/>
      </w:pPr>
      <w:r>
        <w:t xml:space="preserve">As the accountable authority for the purposes of the </w:t>
      </w:r>
      <w:r w:rsidRPr="00641A06">
        <w:rPr>
          <w:i/>
        </w:rPr>
        <w:t>Public Governance, Performance and Accountability Act 2013</w:t>
      </w:r>
      <w:r>
        <w:t>, I am responsible for preparing this annual report and providing a copy to the responsible Minister.</w:t>
      </w:r>
    </w:p>
    <w:p w14:paraId="52843B07" w14:textId="77777777" w:rsidR="00D62D79" w:rsidRDefault="00D62D79" w:rsidP="00D52F34">
      <w:pPr>
        <w:pStyle w:val="Body"/>
      </w:pPr>
    </w:p>
    <w:p w14:paraId="17FFC4A0" w14:textId="3A7BC84D" w:rsidR="00D62D79" w:rsidRDefault="00D62D79" w:rsidP="00D52F34">
      <w:pPr>
        <w:pStyle w:val="Body"/>
      </w:pPr>
      <w:r>
        <w:rPr>
          <w:noProof/>
          <w:lang w:val="en-GB" w:eastAsia="en-GB"/>
        </w:rPr>
        <w:drawing>
          <wp:inline distT="0" distB="0" distL="0" distR="0" wp14:anchorId="4FB54D9C" wp14:editId="651EDD4B">
            <wp:extent cx="1422400" cy="545661"/>
            <wp:effectExtent l="0" t="0" r="6350" b="6985"/>
            <wp:docPr id="2" name="Picture" descr="James Downie signature"/>
            <wp:cNvGraphicFramePr/>
            <a:graphic xmlns:a="http://schemas.openxmlformats.org/drawingml/2006/main">
              <a:graphicData uri="http://schemas.openxmlformats.org/drawingml/2006/picture">
                <pic:pic xmlns:pic="http://schemas.openxmlformats.org/drawingml/2006/picture">
                  <pic:nvPicPr>
                    <pic:cNvPr id="2" name="Picture" descr="James Downie signatur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2400" cy="545661"/>
                    </a:xfrm>
                    <a:prstGeom prst="rect">
                      <a:avLst/>
                    </a:prstGeom>
                    <a:noFill/>
                  </pic:spPr>
                </pic:pic>
              </a:graphicData>
            </a:graphic>
          </wp:inline>
        </w:drawing>
      </w:r>
    </w:p>
    <w:p w14:paraId="20BECF02" w14:textId="77777777" w:rsidR="00D62D79" w:rsidRPr="00D62D79" w:rsidRDefault="00D62D79" w:rsidP="00D62D79">
      <w:pPr>
        <w:pStyle w:val="Body"/>
        <w:rPr>
          <w:b/>
          <w:bCs/>
        </w:rPr>
      </w:pPr>
      <w:r w:rsidRPr="00D62D79">
        <w:rPr>
          <w:b/>
          <w:bCs/>
        </w:rPr>
        <w:t>James Downie</w:t>
      </w:r>
    </w:p>
    <w:p w14:paraId="621D2ADD" w14:textId="615F6600" w:rsidR="00AB3E14" w:rsidRDefault="00D62D79" w:rsidP="00D62D79">
      <w:pPr>
        <w:pStyle w:val="Body"/>
        <w:sectPr w:rsidR="00AB3E14" w:rsidSect="00D62D79">
          <w:type w:val="continuous"/>
          <w:pgSz w:w="9979" w:h="14175" w:code="13"/>
          <w:pgMar w:top="1134" w:right="1418" w:bottom="1418" w:left="1418" w:header="709" w:footer="709" w:gutter="0"/>
          <w:pgNumType w:fmt="lowerRoman" w:start="1"/>
          <w:cols w:num="2" w:space="708"/>
          <w:docGrid w:linePitch="360"/>
        </w:sectPr>
      </w:pPr>
      <w:r>
        <w:t>Chief Executive Officer</w:t>
      </w:r>
      <w:r>
        <w:br/>
        <w:t>Independent Hospital Pricing Authority</w:t>
      </w:r>
      <w:r>
        <w:br/>
      </w:r>
      <w:r w:rsidR="0028269C">
        <w:t>2 O</w:t>
      </w:r>
      <w:r w:rsidR="00307B40">
        <w:t>ctober</w:t>
      </w:r>
      <w:r>
        <w:t xml:space="preserve"> 2020</w:t>
      </w:r>
    </w:p>
    <w:tbl>
      <w:tblPr>
        <w:tblStyle w:val="TableGrid"/>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33"/>
      </w:tblGrid>
      <w:tr w:rsidR="003C6AC0" w14:paraId="5622CEAA" w14:textId="77777777" w:rsidTr="00FA60F3">
        <w:trPr>
          <w:trHeight w:val="9490"/>
        </w:trPr>
        <w:tc>
          <w:tcPr>
            <w:tcW w:w="5000" w:type="pct"/>
          </w:tcPr>
          <w:p w14:paraId="658C659B" w14:textId="30B833A4" w:rsidR="003C6AC0" w:rsidRPr="00321177" w:rsidRDefault="003C6AC0" w:rsidP="003C6AC0">
            <w:pPr>
              <w:pStyle w:val="Heading10"/>
              <w:rPr>
                <w:b w:val="0"/>
                <w:bCs w:val="0"/>
              </w:rPr>
            </w:pPr>
            <w:bookmarkStart w:id="18" w:name="_Toc50378058"/>
            <w:r w:rsidRPr="00321177">
              <w:rPr>
                <w:b w:val="0"/>
                <w:bCs w:val="0"/>
              </w:rPr>
              <w:lastRenderedPageBreak/>
              <w:t>About</w:t>
            </w:r>
            <w:r w:rsidRPr="00321177">
              <w:rPr>
                <w:b w:val="0"/>
                <w:bCs w:val="0"/>
              </w:rPr>
              <w:br/>
              <w:t>IHPA</w:t>
            </w:r>
            <w:bookmarkEnd w:id="18"/>
          </w:p>
        </w:tc>
      </w:tr>
      <w:tr w:rsidR="003C6AC0" w14:paraId="2CF6EDD3" w14:textId="77777777" w:rsidTr="00E16859">
        <w:trPr>
          <w:trHeight w:val="1569"/>
        </w:trPr>
        <w:tc>
          <w:tcPr>
            <w:tcW w:w="5000" w:type="pct"/>
            <w:vAlign w:val="bottom"/>
          </w:tcPr>
          <w:p w14:paraId="105F240E" w14:textId="647DACED" w:rsidR="003C6AC0" w:rsidRDefault="003C6AC0" w:rsidP="00E16859">
            <w:pPr>
              <w:pStyle w:val="SectionBreakNumber"/>
            </w:pPr>
            <w:r w:rsidRPr="003C6AC0">
              <w:t>01</w:t>
            </w:r>
          </w:p>
        </w:tc>
      </w:tr>
    </w:tbl>
    <w:p w14:paraId="39C017BA" w14:textId="6884A453" w:rsidR="00BD07DE" w:rsidRDefault="00BD07DE" w:rsidP="00D62D79">
      <w:pPr>
        <w:pStyle w:val="Body"/>
      </w:pPr>
      <w:r>
        <w:br w:type="page"/>
      </w:r>
    </w:p>
    <w:p w14:paraId="7C6631C8" w14:textId="77777777" w:rsidR="001D0410" w:rsidRPr="00936074" w:rsidRDefault="00D4180F" w:rsidP="00D4180F">
      <w:pPr>
        <w:pStyle w:val="Heading1"/>
        <w:rPr>
          <w:color w:val="003F2C" w:themeColor="text1"/>
        </w:rPr>
        <w:sectPr w:rsidR="001D0410" w:rsidRPr="00936074" w:rsidSect="00184F20">
          <w:headerReference w:type="even" r:id="rId25"/>
          <w:headerReference w:type="default" r:id="rId26"/>
          <w:footerReference w:type="even" r:id="rId27"/>
          <w:footerReference w:type="default" r:id="rId28"/>
          <w:pgSz w:w="9979" w:h="14175" w:code="13"/>
          <w:pgMar w:top="1134" w:right="1418" w:bottom="1418" w:left="1418" w:header="709" w:footer="709" w:gutter="0"/>
          <w:cols w:space="708"/>
          <w:docGrid w:linePitch="360"/>
        </w:sectPr>
      </w:pPr>
      <w:bookmarkStart w:id="19" w:name="_Legislation"/>
      <w:bookmarkStart w:id="20" w:name="_Toc44350167"/>
      <w:bookmarkStart w:id="21" w:name="_Toc50378059"/>
      <w:bookmarkEnd w:id="19"/>
      <w:r w:rsidRPr="00936074">
        <w:rPr>
          <w:color w:val="003F2C" w:themeColor="text1"/>
        </w:rPr>
        <w:lastRenderedPageBreak/>
        <w:t>Legislation</w:t>
      </w:r>
      <w:bookmarkEnd w:id="20"/>
      <w:bookmarkEnd w:id="21"/>
    </w:p>
    <w:p w14:paraId="6C486781" w14:textId="504CE247" w:rsidR="00D4180F" w:rsidRDefault="00D4180F" w:rsidP="00D4180F">
      <w:pPr>
        <w:pStyle w:val="Body"/>
      </w:pPr>
      <w:r>
        <w:t>The Independent Hospital Pricing Authority (IHPA) is a corporate Commonwealth entity</w:t>
      </w:r>
      <w:r w:rsidR="00D262C8">
        <w:t> </w:t>
      </w:r>
      <w:r>
        <w:t xml:space="preserve">under the </w:t>
      </w:r>
      <w:r w:rsidRPr="001D0410">
        <w:rPr>
          <w:i/>
          <w:iCs/>
        </w:rPr>
        <w:t>Public Governance, Performance</w:t>
      </w:r>
      <w:r w:rsidR="00D262C8">
        <w:rPr>
          <w:i/>
          <w:iCs/>
        </w:rPr>
        <w:t> </w:t>
      </w:r>
      <w:r w:rsidRPr="001D0410">
        <w:rPr>
          <w:i/>
          <w:iCs/>
        </w:rPr>
        <w:t>and Accountability Act 2013.</w:t>
      </w:r>
    </w:p>
    <w:p w14:paraId="30B7C383" w14:textId="5AB50800" w:rsidR="00D4180F" w:rsidRPr="00A70D06" w:rsidRDefault="00D4180F" w:rsidP="001D0410">
      <w:pPr>
        <w:pStyle w:val="H3"/>
        <w:rPr>
          <w:color w:val="003F2C" w:themeColor="text1"/>
        </w:rPr>
      </w:pPr>
      <w:r w:rsidRPr="00A70D06">
        <w:rPr>
          <w:color w:val="003F2C" w:themeColor="text1"/>
        </w:rPr>
        <w:t>National Health Reform</w:t>
      </w:r>
      <w:r w:rsidR="007747DA">
        <w:rPr>
          <w:color w:val="003F2C" w:themeColor="text1"/>
        </w:rPr>
        <w:t> </w:t>
      </w:r>
      <w:r w:rsidRPr="00A70D06">
        <w:rPr>
          <w:color w:val="003F2C" w:themeColor="text1"/>
        </w:rPr>
        <w:t>Agreement</w:t>
      </w:r>
    </w:p>
    <w:p w14:paraId="14D457FA" w14:textId="77777777" w:rsidR="00D4180F" w:rsidRDefault="00D4180F" w:rsidP="00D4180F">
      <w:pPr>
        <w:pStyle w:val="Body"/>
      </w:pPr>
      <w:r>
        <w:t xml:space="preserve">IHPA was established under the </w:t>
      </w:r>
      <w:r w:rsidRPr="001D0410">
        <w:rPr>
          <w:i/>
          <w:iCs/>
        </w:rPr>
        <w:t>National Health Reform Act 2011</w:t>
      </w:r>
      <w:r>
        <w:t>, giving effect to the National Health Reform Agreement signed by the Australian Government and all states and territories in August 2011.</w:t>
      </w:r>
    </w:p>
    <w:p w14:paraId="6C653C69" w14:textId="09FC4D16" w:rsidR="00D62D79" w:rsidRDefault="00D4180F" w:rsidP="00D4180F">
      <w:pPr>
        <w:pStyle w:val="Body"/>
      </w:pPr>
      <w:r>
        <w:t>The National Health Reform Agreement sets out the intention of all Australian governments to work together to improve health outcomes for</w:t>
      </w:r>
      <w:r w:rsidR="007747FE">
        <w:t xml:space="preserve"> every </w:t>
      </w:r>
      <w:r>
        <w:t>Australian.</w:t>
      </w:r>
    </w:p>
    <w:p w14:paraId="20AEE30C" w14:textId="72F16E2B" w:rsidR="001D0410" w:rsidRPr="00A70D06" w:rsidRDefault="001D0410" w:rsidP="001D0410">
      <w:pPr>
        <w:pStyle w:val="H3"/>
        <w:rPr>
          <w:color w:val="003F2C" w:themeColor="text1"/>
        </w:rPr>
      </w:pPr>
      <w:r w:rsidRPr="00A70D06">
        <w:rPr>
          <w:color w:val="003F2C" w:themeColor="text1"/>
        </w:rPr>
        <w:t>Addendum to the National Health Reform Agreement</w:t>
      </w:r>
      <w:r w:rsidR="007747FE">
        <w:rPr>
          <w:color w:val="003F2C" w:themeColor="text1"/>
        </w:rPr>
        <w:t xml:space="preserve"> 2017</w:t>
      </w:r>
      <w:r w:rsidR="001F27AD">
        <w:rPr>
          <w:color w:val="003F2C" w:themeColor="text1"/>
        </w:rPr>
        <w:softHyphen/>
      </w:r>
      <w:r w:rsidR="00D21323">
        <w:rPr>
          <w:color w:val="003F2C" w:themeColor="text1"/>
        </w:rPr>
        <w:softHyphen/>
        <w:t>–</w:t>
      </w:r>
      <w:r w:rsidR="007747FE">
        <w:rPr>
          <w:color w:val="003F2C" w:themeColor="text1"/>
        </w:rPr>
        <w:t>20</w:t>
      </w:r>
    </w:p>
    <w:p w14:paraId="7048FA5B" w14:textId="5797B3E5" w:rsidR="001D0410" w:rsidRDefault="001D0410" w:rsidP="001D0410">
      <w:pPr>
        <w:pStyle w:val="Body"/>
      </w:pPr>
      <w:r>
        <w:t>In 2017, all Australian governments signed the Addendum to the National Health Reform</w:t>
      </w:r>
      <w:r w:rsidR="00D262C8">
        <w:t> </w:t>
      </w:r>
      <w:r>
        <w:t>Agreement.</w:t>
      </w:r>
    </w:p>
    <w:p w14:paraId="3AB95B56" w14:textId="5D32F6DA" w:rsidR="001D0410" w:rsidRDefault="001D0410" w:rsidP="001D0410">
      <w:pPr>
        <w:pStyle w:val="Body"/>
      </w:pPr>
      <w:r>
        <w:t xml:space="preserve">The Addendum </w:t>
      </w:r>
      <w:r w:rsidR="007747FE">
        <w:t xml:space="preserve">preserved </w:t>
      </w:r>
      <w:r>
        <w:t xml:space="preserve">important parts of the existing hospital funding system, including activity based funding. It also </w:t>
      </w:r>
      <w:r w:rsidR="007747FE">
        <w:t xml:space="preserve">focused </w:t>
      </w:r>
      <w:r>
        <w:t>on reducing unnecessary hospitalisations and improving patient safety and service quality.</w:t>
      </w:r>
    </w:p>
    <w:p w14:paraId="73F1C9D5" w14:textId="0734F9F7" w:rsidR="001D0410" w:rsidRDefault="001D0410" w:rsidP="001D0410">
      <w:pPr>
        <w:pStyle w:val="Body"/>
      </w:pPr>
      <w:r>
        <w:t xml:space="preserve">Under the </w:t>
      </w:r>
      <w:r w:rsidR="001F27AD">
        <w:t xml:space="preserve">2017 </w:t>
      </w:r>
      <w:r>
        <w:t xml:space="preserve">Addendum, IHPA </w:t>
      </w:r>
      <w:r w:rsidR="001F27AD">
        <w:t xml:space="preserve">was </w:t>
      </w:r>
      <w:r>
        <w:t>required to advise on options for a comprehensive and risk</w:t>
      </w:r>
      <w:r>
        <w:rPr>
          <w:rFonts w:ascii="Cambria Math" w:hAnsi="Cambria Math" w:cs="Cambria Math"/>
        </w:rPr>
        <w:t>‑</w:t>
      </w:r>
      <w:r>
        <w:t xml:space="preserve">adjusted </w:t>
      </w:r>
      <w:r>
        <w:t>model to determine how funding and pricing could be used to improve health outcomes for patients and decrease avoidable demand for public hospital services.</w:t>
      </w:r>
    </w:p>
    <w:p w14:paraId="1DD8D72F" w14:textId="29A81928" w:rsidR="001D0410" w:rsidRDefault="00565AA6" w:rsidP="009F0B05">
      <w:pPr>
        <w:pStyle w:val="H3"/>
        <w:spacing w:before="0"/>
      </w:pPr>
      <w:r>
        <w:br w:type="column"/>
      </w:r>
      <w:r w:rsidR="001D0410" w:rsidRPr="00A70D06">
        <w:rPr>
          <w:color w:val="003F2C" w:themeColor="text1"/>
        </w:rPr>
        <w:lastRenderedPageBreak/>
        <w:t xml:space="preserve">National Partnership on </w:t>
      </w:r>
      <w:r w:rsidR="00E747BF">
        <w:rPr>
          <w:color w:val="003F2C" w:themeColor="text1"/>
        </w:rPr>
        <w:t>COVID-19</w:t>
      </w:r>
      <w:r w:rsidR="001D0410" w:rsidRPr="00A70D06">
        <w:rPr>
          <w:color w:val="003F2C" w:themeColor="text1"/>
        </w:rPr>
        <w:t xml:space="preserve"> Response</w:t>
      </w:r>
    </w:p>
    <w:p w14:paraId="22C3E1A5" w14:textId="38DEE3E3" w:rsidR="001D0410" w:rsidRDefault="001D0410" w:rsidP="001D0410">
      <w:pPr>
        <w:pStyle w:val="Body"/>
      </w:pPr>
      <w:r>
        <w:t>On 13 March 2020, the Commonwealth and</w:t>
      </w:r>
      <w:r w:rsidR="00067AF8">
        <w:t> </w:t>
      </w:r>
      <w:r>
        <w:t xml:space="preserve">all state and territory governments signed the National Partnership on </w:t>
      </w:r>
      <w:r w:rsidR="00E747BF">
        <w:t>COVID-19</w:t>
      </w:r>
      <w:r>
        <w:t xml:space="preserve"> Response, to provide financial assistance for</w:t>
      </w:r>
      <w:r w:rsidR="00600622">
        <w:t> </w:t>
      </w:r>
      <w:r>
        <w:t xml:space="preserve">the additional costs incurred by health services in responding to the </w:t>
      </w:r>
      <w:r w:rsidR="00E747BF">
        <w:t>COVID-</w:t>
      </w:r>
      <w:r w:rsidR="00E747BF">
        <w:rPr>
          <w:rFonts w:ascii="Arial" w:hAnsi="Arial" w:cs="Arial" w:hint="cs"/>
          <w:rtl/>
        </w:rPr>
        <w:t>‍</w:t>
      </w:r>
      <w:r w:rsidR="00E747BF">
        <w:t>19</w:t>
      </w:r>
      <w:r w:rsidR="00067AF8">
        <w:t> </w:t>
      </w:r>
      <w:r w:rsidR="00D21323">
        <w:t>pandemic</w:t>
      </w:r>
      <w:r>
        <w:t xml:space="preserve">. </w:t>
      </w:r>
    </w:p>
    <w:p w14:paraId="12B6AE87" w14:textId="24B1177D" w:rsidR="004B096A" w:rsidRDefault="004B096A" w:rsidP="004B096A">
      <w:pPr>
        <w:pStyle w:val="Body"/>
      </w:pPr>
      <w:r>
        <w:t xml:space="preserve">IHPA has worked closely with the Administrator of the National Health Funding Pool to provide assistance in implementation of the National Partnership Agreement for </w:t>
      </w:r>
      <w:r w:rsidR="00E747BF">
        <w:t>COVID-19</w:t>
      </w:r>
      <w:r>
        <w:t xml:space="preserve"> response.</w:t>
      </w:r>
    </w:p>
    <w:p w14:paraId="23CF0556" w14:textId="1DBEBD53" w:rsidR="006C5017" w:rsidRDefault="006C5017" w:rsidP="006C5017">
      <w:pPr>
        <w:pStyle w:val="Body"/>
      </w:pPr>
      <w:r>
        <w:t>In order to implement the measures under this</w:t>
      </w:r>
      <w:r w:rsidR="001628C5">
        <w:t> </w:t>
      </w:r>
      <w:r>
        <w:t xml:space="preserve">Agreement, IHPA developed the national activity based funding classifications and updated the new coding and classification systems for reporting </w:t>
      </w:r>
      <w:r w:rsidR="00E747BF">
        <w:t>COVID-19</w:t>
      </w:r>
      <w:r>
        <w:t xml:space="preserve"> in Australian</w:t>
      </w:r>
      <w:r w:rsidR="001628C5">
        <w:t> </w:t>
      </w:r>
      <w:r>
        <w:t>hospitals, including emergency and</w:t>
      </w:r>
      <w:r w:rsidR="001628C5">
        <w:t> </w:t>
      </w:r>
      <w:r>
        <w:t>non</w:t>
      </w:r>
      <w:r w:rsidR="001628C5">
        <w:noBreakHyphen/>
      </w:r>
      <w:r>
        <w:t>admitted care.</w:t>
      </w:r>
    </w:p>
    <w:p w14:paraId="45EA7F70" w14:textId="68D4EC6E" w:rsidR="006C5017" w:rsidRDefault="006C5017" w:rsidP="006C5017">
      <w:pPr>
        <w:pStyle w:val="Body"/>
      </w:pPr>
      <w:r>
        <w:t>Comprehensive guidelines were published on</w:t>
      </w:r>
      <w:r w:rsidR="001628C5">
        <w:t> </w:t>
      </w:r>
      <w:r>
        <w:t xml:space="preserve">the </w:t>
      </w:r>
      <w:hyperlink r:id="rId29" w:history="1">
        <w:r w:rsidRPr="001628C5">
          <w:rPr>
            <w:rStyle w:val="Hyperlink"/>
          </w:rPr>
          <w:t>IHPA website</w:t>
        </w:r>
      </w:hyperlink>
      <w:r w:rsidRPr="006C5017">
        <w:t xml:space="preserve"> for hospitals to classify or</w:t>
      </w:r>
      <w:r w:rsidR="001628C5">
        <w:t> </w:t>
      </w:r>
      <w:r w:rsidRPr="006C5017">
        <w:t xml:space="preserve">report </w:t>
      </w:r>
      <w:r w:rsidR="00E747BF">
        <w:t>COVID-19</w:t>
      </w:r>
      <w:r w:rsidRPr="006C5017">
        <w:t xml:space="preserve"> related episodes of</w:t>
      </w:r>
      <w:r w:rsidR="001628C5">
        <w:t> </w:t>
      </w:r>
      <w:r w:rsidRPr="006C5017">
        <w:t xml:space="preserve">care, so that testing for and treatment of </w:t>
      </w:r>
      <w:r w:rsidR="00E747BF">
        <w:t>COVID-19</w:t>
      </w:r>
      <w:r w:rsidRPr="006C5017">
        <w:t xml:space="preserve"> could be accurately reported and</w:t>
      </w:r>
      <w:r w:rsidR="001628C5">
        <w:t> </w:t>
      </w:r>
      <w:r w:rsidRPr="006C5017">
        <w:t xml:space="preserve">tracked. Accurately capturing hospital activity associated with the </w:t>
      </w:r>
      <w:r w:rsidR="00E747BF">
        <w:t>COVID-19</w:t>
      </w:r>
      <w:r w:rsidRPr="006C5017">
        <w:t xml:space="preserve"> outbreak is</w:t>
      </w:r>
      <w:r w:rsidR="00187482">
        <w:t> </w:t>
      </w:r>
      <w:r w:rsidRPr="006C5017">
        <w:t>critical for other purposes, such</w:t>
      </w:r>
      <w:r w:rsidR="00187482">
        <w:t xml:space="preserve"> </w:t>
      </w:r>
      <w:r w:rsidRPr="006C5017">
        <w:t>as</w:t>
      </w:r>
      <w:r w:rsidR="00187482">
        <w:t xml:space="preserve"> </w:t>
      </w:r>
      <w:r w:rsidRPr="006C5017">
        <w:t>epidemiological studies.</w:t>
      </w:r>
    </w:p>
    <w:p w14:paraId="61A7E625" w14:textId="58CF6820" w:rsidR="004B096A" w:rsidRDefault="006C5017" w:rsidP="004B096A">
      <w:pPr>
        <w:pStyle w:val="Body"/>
      </w:pPr>
      <w:r>
        <w:t>IHPA also drafted</w:t>
      </w:r>
      <w:r w:rsidR="004B096A">
        <w:t xml:space="preserve"> the national costing and pricing guidelines for</w:t>
      </w:r>
      <w:r w:rsidR="00067AF8">
        <w:t> </w:t>
      </w:r>
      <w:r w:rsidR="00E747BF">
        <w:t>COVID-19</w:t>
      </w:r>
      <w:r w:rsidR="004B096A">
        <w:t>, to ensure that the costs of responding to the pandemic are consistently captured across the country.</w:t>
      </w:r>
    </w:p>
    <w:p w14:paraId="3740964B" w14:textId="77777777" w:rsidR="00BA3A56" w:rsidRDefault="00BA3A56" w:rsidP="00076995">
      <w:pPr>
        <w:pStyle w:val="H3"/>
      </w:pPr>
      <w:r>
        <w:br w:type="page"/>
      </w:r>
    </w:p>
    <w:p w14:paraId="5DD8076E" w14:textId="6E497B6D" w:rsidR="00076995" w:rsidRPr="00A70D06" w:rsidRDefault="00076995" w:rsidP="00076995">
      <w:pPr>
        <w:pStyle w:val="H3"/>
        <w:rPr>
          <w:color w:val="003F2C" w:themeColor="text1"/>
        </w:rPr>
      </w:pPr>
      <w:r w:rsidRPr="00A70D06">
        <w:rPr>
          <w:color w:val="003F2C" w:themeColor="text1"/>
        </w:rPr>
        <w:lastRenderedPageBreak/>
        <w:t>Addendum to the National Health Reform Agreement 2020</w:t>
      </w:r>
      <w:r w:rsidR="001F0DF5" w:rsidRPr="00A70D06">
        <w:rPr>
          <w:color w:val="003F2C" w:themeColor="text1"/>
        </w:rPr>
        <w:t>–</w:t>
      </w:r>
      <w:r w:rsidRPr="00A70D06">
        <w:rPr>
          <w:color w:val="003F2C" w:themeColor="text1"/>
        </w:rPr>
        <w:t>25</w:t>
      </w:r>
    </w:p>
    <w:p w14:paraId="43A1FDB9" w14:textId="07CF6FCC" w:rsidR="00076995" w:rsidRDefault="00076995" w:rsidP="00076995">
      <w:pPr>
        <w:pStyle w:val="Body"/>
      </w:pPr>
      <w:r>
        <w:t xml:space="preserve">On 29 May 2020, the Commonwealth and all state and territory governments signed </w:t>
      </w:r>
      <w:r w:rsidR="003C5BDB">
        <w:t>a new</w:t>
      </w:r>
      <w:r>
        <w:t xml:space="preserve"> Addendum, which amends the </w:t>
      </w:r>
      <w:r w:rsidR="00363A19">
        <w:t xml:space="preserve">National Health Reform Agreement </w:t>
      </w:r>
      <w:r>
        <w:t>for the period from 1 July 2020 to 30 June 2025.</w:t>
      </w:r>
    </w:p>
    <w:p w14:paraId="032F45F6" w14:textId="39CFEB5B" w:rsidR="00076995" w:rsidRDefault="00076995" w:rsidP="00076995">
      <w:pPr>
        <w:pStyle w:val="Body"/>
      </w:pPr>
      <w:r>
        <w:t>The Addendum to the National Health Reform</w:t>
      </w:r>
      <w:r w:rsidR="00067AF8">
        <w:t> </w:t>
      </w:r>
      <w:r>
        <w:t>Agreement:</w:t>
      </w:r>
    </w:p>
    <w:p w14:paraId="0B32481E" w14:textId="31F04082" w:rsidR="00BA3A56" w:rsidRDefault="00BA3A56" w:rsidP="00BA3A56">
      <w:pPr>
        <w:pStyle w:val="Bullets"/>
      </w:pPr>
      <w:r>
        <w:t xml:space="preserve">maintains a commitment to activity based funding </w:t>
      </w:r>
    </w:p>
    <w:p w14:paraId="23054C84" w14:textId="60611AE6" w:rsidR="00BA3A56" w:rsidRDefault="00BA3A56" w:rsidP="001E7B38">
      <w:pPr>
        <w:pStyle w:val="Bullets"/>
      </w:pPr>
      <w:r>
        <w:t>reaffirms the independence and functions of the national agencies</w:t>
      </w:r>
      <w:r w:rsidR="00363A19">
        <w:t xml:space="preserve"> such as IHPA, </w:t>
      </w:r>
      <w:r w:rsidR="000969EB">
        <w:t xml:space="preserve">the </w:t>
      </w:r>
      <w:r w:rsidR="001E7B38">
        <w:t xml:space="preserve">National Health Funding Body and </w:t>
      </w:r>
      <w:r w:rsidR="000969EB">
        <w:t xml:space="preserve">the </w:t>
      </w:r>
      <w:r w:rsidR="001E7B38" w:rsidRPr="001E7B38">
        <w:t>Australian Commission on Safety and Quality in Health Care</w:t>
      </w:r>
    </w:p>
    <w:p w14:paraId="1D551E79" w14:textId="7CBB8F17" w:rsidR="00BA3A56" w:rsidRDefault="00BA3A56" w:rsidP="00BA3A56">
      <w:pPr>
        <w:pStyle w:val="Bullets"/>
      </w:pPr>
      <w:r>
        <w:t>retains the 45 per cent Commonwealth funding contribution and the 6.5</w:t>
      </w:r>
      <w:r w:rsidR="00067AF8">
        <w:t> </w:t>
      </w:r>
      <w:r>
        <w:t>per</w:t>
      </w:r>
      <w:r w:rsidR="00067AF8">
        <w:t> </w:t>
      </w:r>
      <w:r>
        <w:t xml:space="preserve">cent national growth cap </w:t>
      </w:r>
    </w:p>
    <w:p w14:paraId="6D004262" w14:textId="13090AD9" w:rsidR="00390E6A" w:rsidRDefault="00BA3A56" w:rsidP="00390E6A">
      <w:pPr>
        <w:pStyle w:val="Bullets"/>
      </w:pPr>
      <w:r>
        <w:t>continues to integrate safety and quality reforms into the pricing and funding of public hospital services, including the current arrangements for</w:t>
      </w:r>
      <w:r w:rsidR="00365922">
        <w:t> </w:t>
      </w:r>
      <w:r>
        <w:t>sentinel events and hospital acquired</w:t>
      </w:r>
      <w:r w:rsidR="00067AF8">
        <w:t> </w:t>
      </w:r>
      <w:r>
        <w:t>complications.</w:t>
      </w:r>
    </w:p>
    <w:p w14:paraId="19570765" w14:textId="3C00991C" w:rsidR="00390E6A" w:rsidRDefault="00390E6A" w:rsidP="00390E6A">
      <w:pPr>
        <w:pStyle w:val="Body"/>
      </w:pPr>
      <w:r>
        <w:br w:type="column"/>
      </w:r>
      <w:r w:rsidRPr="00390E6A">
        <w:rPr>
          <w:rStyle w:val="BodyChar"/>
        </w:rPr>
        <w:t xml:space="preserve">Key changes to current arrangements </w:t>
      </w:r>
      <w:r w:rsidR="001E7B38" w:rsidRPr="00390E6A">
        <w:rPr>
          <w:rStyle w:val="BodyChar"/>
        </w:rPr>
        <w:t>in</w:t>
      </w:r>
      <w:r w:rsidR="001E7B38">
        <w:rPr>
          <w:rStyle w:val="BodyChar"/>
        </w:rPr>
        <w:t>troduced</w:t>
      </w:r>
      <w:r w:rsidR="001E7B38" w:rsidRPr="00390E6A">
        <w:rPr>
          <w:rStyle w:val="BodyChar"/>
        </w:rPr>
        <w:t xml:space="preserve"> </w:t>
      </w:r>
      <w:r w:rsidRPr="00390E6A">
        <w:rPr>
          <w:rStyle w:val="BodyChar"/>
        </w:rPr>
        <w:t>in the Addendum</w:t>
      </w:r>
      <w:r w:rsidR="001E7B38">
        <w:rPr>
          <w:rStyle w:val="BodyChar"/>
        </w:rPr>
        <w:t xml:space="preserve"> include</w:t>
      </w:r>
      <w:r w:rsidRPr="00390E6A">
        <w:rPr>
          <w:rStyle w:val="BodyChar"/>
        </w:rPr>
        <w:t>:</w:t>
      </w:r>
    </w:p>
    <w:p w14:paraId="3AC37300" w14:textId="0CC4BC0D" w:rsidR="00390E6A" w:rsidRDefault="003C5BDB" w:rsidP="003C5BDB">
      <w:pPr>
        <w:pStyle w:val="Bullets"/>
      </w:pPr>
      <w:r>
        <w:t xml:space="preserve">IHPA </w:t>
      </w:r>
      <w:r w:rsidR="00151FF6">
        <w:t>is required to</w:t>
      </w:r>
      <w:r>
        <w:t xml:space="preserve"> develop an updated methodology for p</w:t>
      </w:r>
      <w:r w:rsidR="00390E6A">
        <w:t xml:space="preserve">ricing private patients in public hospitals </w:t>
      </w:r>
      <w:r>
        <w:t xml:space="preserve">that </w:t>
      </w:r>
      <w:r w:rsidR="00390E6A">
        <w:t>account</w:t>
      </w:r>
      <w:r>
        <w:t>s</w:t>
      </w:r>
      <w:r w:rsidR="00390E6A">
        <w:t xml:space="preserve"> for all hospital revenues, to</w:t>
      </w:r>
      <w:r w:rsidR="00067AF8">
        <w:t> </w:t>
      </w:r>
      <w:r w:rsidR="00390E6A">
        <w:t xml:space="preserve">ensure </w:t>
      </w:r>
      <w:r w:rsidRPr="003C5BDB">
        <w:t>funding models are financially neutral with respect to all patients, regardless of whether patients elect to be private or public</w:t>
      </w:r>
      <w:r w:rsidR="00390E6A">
        <w:t>.</w:t>
      </w:r>
    </w:p>
    <w:p w14:paraId="4EBD8341" w14:textId="24F52189" w:rsidR="003C5BDB" w:rsidRDefault="003C5BDB" w:rsidP="003C5BDB">
      <w:pPr>
        <w:pStyle w:val="Bullets"/>
      </w:pPr>
      <w:r>
        <w:t xml:space="preserve">IHPA </w:t>
      </w:r>
      <w:r w:rsidR="00151FF6">
        <w:t>is required to</w:t>
      </w:r>
      <w:r>
        <w:t xml:space="preserve"> develop a pricing model for avoidable hospital readmissions for implementation from 1</w:t>
      </w:r>
      <w:r w:rsidR="00067AF8">
        <w:t> </w:t>
      </w:r>
      <w:r>
        <w:t xml:space="preserve">July 2021, following approval from </w:t>
      </w:r>
      <w:r w:rsidR="00307B40">
        <w:t xml:space="preserve">the </w:t>
      </w:r>
      <w:r w:rsidRPr="00187A69">
        <w:t xml:space="preserve">Council of Australian Governments </w:t>
      </w:r>
      <w:r w:rsidR="00307B40">
        <w:t xml:space="preserve"> (COAG) </w:t>
      </w:r>
      <w:r w:rsidRPr="00187A69">
        <w:t>Health Council.</w:t>
      </w:r>
    </w:p>
    <w:p w14:paraId="771FA183" w14:textId="3F98D1ED" w:rsidR="00390E6A" w:rsidRDefault="00151FF6" w:rsidP="009976B2">
      <w:pPr>
        <w:pStyle w:val="Bullets"/>
        <w:ind w:right="-185"/>
      </w:pPr>
      <w:r>
        <w:t>IHPA is required to s</w:t>
      </w:r>
      <w:r w:rsidR="00390E6A">
        <w:t>hadow pric</w:t>
      </w:r>
      <w:r>
        <w:t>e</w:t>
      </w:r>
      <w:r w:rsidR="00390E6A">
        <w:t xml:space="preserve"> for a</w:t>
      </w:r>
      <w:r w:rsidR="00067AF8">
        <w:t> </w:t>
      </w:r>
      <w:r w:rsidR="00390E6A">
        <w:t>period of two years</w:t>
      </w:r>
      <w:r>
        <w:t>, or a shorter period if agreed by the Commonwealth</w:t>
      </w:r>
      <w:r w:rsidR="00390E6A">
        <w:t xml:space="preserve"> </w:t>
      </w:r>
      <w:r>
        <w:t xml:space="preserve">and majority of states, </w:t>
      </w:r>
      <w:r w:rsidR="00390E6A">
        <w:t xml:space="preserve">prior to implementation </w:t>
      </w:r>
      <w:r>
        <w:t>of</w:t>
      </w:r>
      <w:r w:rsidR="00390E6A">
        <w:t xml:space="preserve"> new classifications or costing rules to </w:t>
      </w:r>
      <w:r w:rsidR="003C5BDB">
        <w:t>mitigate the need for</w:t>
      </w:r>
      <w:r w:rsidR="00390E6A">
        <w:t xml:space="preserve"> retrospective adjustments to the national funding</w:t>
      </w:r>
      <w:r w:rsidR="00067AF8">
        <w:t> </w:t>
      </w:r>
      <w:r w:rsidR="00390E6A">
        <w:t>model.</w:t>
      </w:r>
    </w:p>
    <w:p w14:paraId="4B4B49C6" w14:textId="5427E967" w:rsidR="00390E6A" w:rsidRDefault="00390E6A" w:rsidP="00390E6A">
      <w:pPr>
        <w:pStyle w:val="Bullets"/>
      </w:pPr>
      <w:r>
        <w:t xml:space="preserve">High cost, highly specialised </w:t>
      </w:r>
      <w:r w:rsidR="003C5BDB">
        <w:t>therapies</w:t>
      </w:r>
      <w:r>
        <w:t xml:space="preserve"> will attract 50 per cent Commonwealth funding under the new nationally cohesive health technology assessment</w:t>
      </w:r>
      <w:r w:rsidR="00067AF8">
        <w:t> </w:t>
      </w:r>
      <w:r>
        <w:t>process</w:t>
      </w:r>
      <w:r w:rsidR="001E7B38">
        <w:t>, and these will</w:t>
      </w:r>
      <w:r w:rsidR="003C5BDB">
        <w:t xml:space="preserve"> be considered outside the 6.5 per cent national growth cap for a period of</w:t>
      </w:r>
      <w:r w:rsidR="00067AF8">
        <w:t> </w:t>
      </w:r>
      <w:r w:rsidR="003C5BDB">
        <w:t>two years</w:t>
      </w:r>
      <w:r>
        <w:t xml:space="preserve">. </w:t>
      </w:r>
    </w:p>
    <w:p w14:paraId="225A097F" w14:textId="156DD125" w:rsidR="00390E6A" w:rsidRDefault="00390E6A" w:rsidP="00390E6A">
      <w:pPr>
        <w:pStyle w:val="Bullets"/>
      </w:pPr>
      <w:r>
        <w:t xml:space="preserve">IHPA is required </w:t>
      </w:r>
      <w:r w:rsidR="006053DB">
        <w:t xml:space="preserve">to </w:t>
      </w:r>
      <w:r>
        <w:t xml:space="preserve">develop a funding methodology that does not penalise states undertaking trials of innovative models of care, for the </w:t>
      </w:r>
      <w:r w:rsidR="00307B40">
        <w:t>COAG</w:t>
      </w:r>
      <w:r>
        <w:t xml:space="preserve"> </w:t>
      </w:r>
      <w:r>
        <w:lastRenderedPageBreak/>
        <w:t>Health Council to approve by April 2021.</w:t>
      </w:r>
    </w:p>
    <w:p w14:paraId="4C79E496" w14:textId="77777777" w:rsidR="001A108B" w:rsidRDefault="001A108B" w:rsidP="00390E6A">
      <w:pPr>
        <w:pStyle w:val="Bullets"/>
        <w:numPr>
          <w:ilvl w:val="0"/>
          <w:numId w:val="0"/>
        </w:numPr>
        <w:ind w:left="340"/>
        <w:sectPr w:rsidR="001A108B" w:rsidSect="00BA3A56">
          <w:headerReference w:type="even" r:id="rId30"/>
          <w:headerReference w:type="default" r:id="rId31"/>
          <w:type w:val="continuous"/>
          <w:pgSz w:w="9979" w:h="14175" w:code="13"/>
          <w:pgMar w:top="1134" w:right="1418" w:bottom="1418" w:left="1418" w:header="709" w:footer="709" w:gutter="0"/>
          <w:cols w:num="2" w:space="708"/>
          <w:docGrid w:linePitch="360"/>
        </w:sectPr>
      </w:pPr>
    </w:p>
    <w:p w14:paraId="3D404CE0" w14:textId="77777777" w:rsidR="0016266C" w:rsidRPr="00936074" w:rsidRDefault="001A108B" w:rsidP="006113A5">
      <w:pPr>
        <w:pStyle w:val="Heading1"/>
        <w:rPr>
          <w:color w:val="003F2C" w:themeColor="text1"/>
        </w:rPr>
        <w:sectPr w:rsidR="0016266C" w:rsidRPr="00936074" w:rsidSect="001A108B">
          <w:pgSz w:w="9979" w:h="14175" w:code="13"/>
          <w:pgMar w:top="1134" w:right="1418" w:bottom="1418" w:left="1418" w:header="709" w:footer="709" w:gutter="0"/>
          <w:cols w:space="708"/>
          <w:docGrid w:linePitch="360"/>
        </w:sectPr>
      </w:pPr>
      <w:bookmarkStart w:id="22" w:name="_Who_we_are"/>
      <w:bookmarkStart w:id="23" w:name="_Toc44350168"/>
      <w:bookmarkStart w:id="24" w:name="_Toc50378060"/>
      <w:bookmarkEnd w:id="22"/>
      <w:r w:rsidRPr="00936074">
        <w:rPr>
          <w:color w:val="003F2C" w:themeColor="text1"/>
        </w:rPr>
        <w:lastRenderedPageBreak/>
        <w:t>Who we are</w:t>
      </w:r>
      <w:bookmarkEnd w:id="23"/>
      <w:bookmarkEnd w:id="24"/>
    </w:p>
    <w:p w14:paraId="112259F1" w14:textId="6F536453" w:rsidR="00BA3A56" w:rsidRPr="0016266C" w:rsidRDefault="001A108B" w:rsidP="001A108B">
      <w:pPr>
        <w:pStyle w:val="Body"/>
        <w:rPr>
          <w:b/>
          <w:bCs/>
        </w:rPr>
      </w:pPr>
      <w:r w:rsidRPr="0016266C">
        <w:rPr>
          <w:b/>
          <w:bCs/>
        </w:rPr>
        <w:t xml:space="preserve">The Independent Hospital Pricing Authority (IHPA) is an independent government agency established by the Commonwealth as part of the </w:t>
      </w:r>
      <w:r w:rsidRPr="0016266C">
        <w:rPr>
          <w:b/>
          <w:bCs/>
          <w:i/>
          <w:iCs/>
        </w:rPr>
        <w:t>National Health Reform Act</w:t>
      </w:r>
      <w:r w:rsidR="00067AF8">
        <w:rPr>
          <w:b/>
          <w:bCs/>
          <w:i/>
          <w:iCs/>
        </w:rPr>
        <w:t> </w:t>
      </w:r>
      <w:r w:rsidRPr="0016266C">
        <w:rPr>
          <w:b/>
          <w:bCs/>
          <w:i/>
          <w:iCs/>
        </w:rPr>
        <w:t>2011</w:t>
      </w:r>
      <w:r w:rsidRPr="0016266C">
        <w:rPr>
          <w:b/>
          <w:bCs/>
        </w:rPr>
        <w:t xml:space="preserve"> to contribute to significant reforms to improve Australian public</w:t>
      </w:r>
      <w:r w:rsidR="00067AF8">
        <w:rPr>
          <w:b/>
          <w:bCs/>
        </w:rPr>
        <w:t> </w:t>
      </w:r>
      <w:r w:rsidRPr="0016266C">
        <w:rPr>
          <w:b/>
          <w:bCs/>
        </w:rPr>
        <w:t>hospitals.</w:t>
      </w:r>
    </w:p>
    <w:p w14:paraId="6B38702C" w14:textId="77777777" w:rsidR="0016266C" w:rsidRPr="0016266C" w:rsidRDefault="0016266C" w:rsidP="0016266C">
      <w:pPr>
        <w:pStyle w:val="H4"/>
      </w:pPr>
      <w:r w:rsidRPr="0016266C">
        <w:t>Vision</w:t>
      </w:r>
    </w:p>
    <w:p w14:paraId="6F344747" w14:textId="4DC47A22" w:rsidR="0016266C" w:rsidRDefault="0016266C" w:rsidP="0016266C">
      <w:pPr>
        <w:pStyle w:val="Body"/>
      </w:pPr>
      <w:r>
        <w:t>To design pricing systems that promote safe, efficient public hospital care for all</w:t>
      </w:r>
      <w:r w:rsidR="00067AF8">
        <w:t> </w:t>
      </w:r>
      <w:r>
        <w:t>Australians.</w:t>
      </w:r>
    </w:p>
    <w:p w14:paraId="439F50B9" w14:textId="77777777" w:rsidR="0016266C" w:rsidRDefault="0016266C" w:rsidP="0016266C">
      <w:pPr>
        <w:pStyle w:val="H4"/>
      </w:pPr>
      <w:r>
        <w:t>Purpose</w:t>
      </w:r>
    </w:p>
    <w:p w14:paraId="51E8B2A1" w14:textId="4BA51CC7" w:rsidR="0016266C" w:rsidRDefault="0016266C" w:rsidP="0016266C">
      <w:pPr>
        <w:pStyle w:val="Body"/>
      </w:pPr>
      <w:r>
        <w:t>To promote improved efficiency in, and</w:t>
      </w:r>
      <w:r w:rsidR="0088424E">
        <w:t> </w:t>
      </w:r>
      <w:r>
        <w:t xml:space="preserve">access to, safe and high-quality public hospital services, primarily through setting </w:t>
      </w:r>
      <w:r w:rsidR="001E7B38">
        <w:t xml:space="preserve">national efficient price </w:t>
      </w:r>
      <w:r>
        <w:t>and levels of block funding for public hospital activities.</w:t>
      </w:r>
    </w:p>
    <w:p w14:paraId="6719BA21" w14:textId="650D9E3A" w:rsidR="0016266C" w:rsidRDefault="007F7920" w:rsidP="009F0B05">
      <w:pPr>
        <w:pStyle w:val="H4"/>
        <w:spacing w:before="0"/>
      </w:pPr>
      <w:r>
        <w:br w:type="column"/>
      </w:r>
      <w:r w:rsidR="0016266C">
        <w:t>Organisational values</w:t>
      </w:r>
    </w:p>
    <w:p w14:paraId="6106768D" w14:textId="0345ECC3" w:rsidR="0016266C" w:rsidRDefault="0016266C" w:rsidP="0016266C">
      <w:pPr>
        <w:pStyle w:val="Body"/>
      </w:pPr>
      <w:r>
        <w:t xml:space="preserve">IHPA’s organisational values shape the culture of the </w:t>
      </w:r>
      <w:r w:rsidR="00155B35">
        <w:t>agency</w:t>
      </w:r>
      <w:r>
        <w:t xml:space="preserve"> and form the basis for stakeholder engagement to achieve its</w:t>
      </w:r>
      <w:r w:rsidR="00067AF8">
        <w:t> </w:t>
      </w:r>
      <w:r>
        <w:t>vision. Our core values are as follows:</w:t>
      </w:r>
    </w:p>
    <w:p w14:paraId="4FFEF502" w14:textId="48F5E581" w:rsidR="0016266C" w:rsidRDefault="0016266C" w:rsidP="0016266C">
      <w:pPr>
        <w:pStyle w:val="Bullets"/>
      </w:pPr>
      <w:r>
        <w:t>We act with independence, transparency, fairness, respect, accuracy, and accountability.</w:t>
      </w:r>
    </w:p>
    <w:p w14:paraId="030A3C40" w14:textId="5129141F" w:rsidR="0016266C" w:rsidRDefault="0016266C" w:rsidP="0016266C">
      <w:pPr>
        <w:pStyle w:val="Bullets"/>
      </w:pPr>
      <w:r>
        <w:t>We value collaboration, and</w:t>
      </w:r>
      <w:r w:rsidR="007747DA">
        <w:t> </w:t>
      </w:r>
      <w:r>
        <w:t>demonstrate our values in the way</w:t>
      </w:r>
      <w:r w:rsidR="007747DA">
        <w:t> </w:t>
      </w:r>
      <w:r>
        <w:t>we</w:t>
      </w:r>
      <w:r w:rsidR="00067AF8">
        <w:t> </w:t>
      </w:r>
      <w:r>
        <w:t>interact internally, and with our</w:t>
      </w:r>
      <w:r w:rsidR="007747DA">
        <w:t> </w:t>
      </w:r>
      <w:r>
        <w:t>stakeholders and the broader</w:t>
      </w:r>
      <w:r w:rsidR="00067AF8">
        <w:t> </w:t>
      </w:r>
      <w:r>
        <w:t>community.</w:t>
      </w:r>
    </w:p>
    <w:p w14:paraId="3AB613A8" w14:textId="3184DC38" w:rsidR="0016266C" w:rsidRDefault="0016266C" w:rsidP="0016266C">
      <w:pPr>
        <w:pStyle w:val="Bullets"/>
      </w:pPr>
      <w:r>
        <w:t>We value the work, talent and contribution of our staff and create organisation</w:t>
      </w:r>
      <w:r>
        <w:rPr>
          <w:rFonts w:ascii="Cambria Math" w:hAnsi="Cambria Math" w:cs="Cambria Math"/>
        </w:rPr>
        <w:t>‑</w:t>
      </w:r>
      <w:r>
        <w:t>wide development strategies to maintain and grow expertise and intellectual capital.</w:t>
      </w:r>
    </w:p>
    <w:p w14:paraId="22C06BBC" w14:textId="7C13376E" w:rsidR="0016266C" w:rsidRDefault="0016266C" w:rsidP="007F7920">
      <w:pPr>
        <w:pStyle w:val="Bulletslast"/>
      </w:pPr>
      <w:r>
        <w:t>Our staff act ethically, support a collaborative culture and take pride in</w:t>
      </w:r>
      <w:r w:rsidR="00EC6E19">
        <w:t> </w:t>
      </w:r>
      <w:r>
        <w:t>their work.</w:t>
      </w:r>
    </w:p>
    <w:p w14:paraId="7E5D2E00" w14:textId="567BFA46" w:rsidR="0016266C" w:rsidRDefault="007F7920" w:rsidP="0016266C">
      <w:pPr>
        <w:pStyle w:val="H4"/>
      </w:pPr>
      <w:r>
        <w:br w:type="column"/>
      </w:r>
      <w:r w:rsidR="0016266C">
        <w:lastRenderedPageBreak/>
        <w:t>Functions</w:t>
      </w:r>
    </w:p>
    <w:p w14:paraId="57BAC064" w14:textId="7AA03696" w:rsidR="0016266C" w:rsidRDefault="0016266C" w:rsidP="0016266C">
      <w:pPr>
        <w:pStyle w:val="Body"/>
      </w:pPr>
      <w:r>
        <w:t xml:space="preserve">Pursuant to the </w:t>
      </w:r>
      <w:r w:rsidRPr="00641A06">
        <w:rPr>
          <w:i/>
        </w:rPr>
        <w:t>National Health Reform Act</w:t>
      </w:r>
      <w:r w:rsidR="00067AF8">
        <w:rPr>
          <w:i/>
        </w:rPr>
        <w:t> </w:t>
      </w:r>
      <w:r w:rsidRPr="00641A06">
        <w:rPr>
          <w:i/>
        </w:rPr>
        <w:t>2011</w:t>
      </w:r>
      <w:r>
        <w:t>, the primary functions of IHPA are</w:t>
      </w:r>
      <w:r w:rsidR="00365922">
        <w:t> </w:t>
      </w:r>
      <w:r>
        <w:t>as follows:</w:t>
      </w:r>
    </w:p>
    <w:p w14:paraId="3273A90D" w14:textId="3B5135CA" w:rsidR="0016266C" w:rsidRDefault="0016266C" w:rsidP="0016266C">
      <w:pPr>
        <w:pStyle w:val="Bullets"/>
      </w:pPr>
      <w:r>
        <w:t>to determine the National Efficient Price for health care services provided by public hospitals where the services are funded on an activity basis</w:t>
      </w:r>
    </w:p>
    <w:p w14:paraId="1A2920B5" w14:textId="73E3C95D" w:rsidR="0016266C" w:rsidRDefault="0016266C" w:rsidP="0016266C">
      <w:pPr>
        <w:pStyle w:val="Bullets"/>
      </w:pPr>
      <w:r>
        <w:t>to determine the National Efficient Cost for health care services provided by public hospitals where the services are block funded</w:t>
      </w:r>
    </w:p>
    <w:p w14:paraId="1E182BC6" w14:textId="70DAF158" w:rsidR="0016266C" w:rsidRDefault="0016266C" w:rsidP="007F7920">
      <w:pPr>
        <w:pStyle w:val="Bulletslast"/>
      </w:pPr>
      <w:r>
        <w:t>to publish the National Efficient Price, National Efficient Cost and other information each year for the purpose of informing decision</w:t>
      </w:r>
      <w:r>
        <w:rPr>
          <w:rFonts w:ascii="Cambria Math" w:hAnsi="Cambria Math" w:cs="Cambria Math"/>
        </w:rPr>
        <w:t>‑</w:t>
      </w:r>
      <w:r>
        <w:t>makers in relation to the funding of public hospitals.</w:t>
      </w:r>
    </w:p>
    <w:p w14:paraId="55A429FD" w14:textId="77777777" w:rsidR="0043513D" w:rsidRDefault="007F7920" w:rsidP="007F7920">
      <w:pPr>
        <w:pStyle w:val="Body"/>
      </w:pPr>
      <w:r>
        <w:br w:type="column"/>
      </w:r>
      <w:r>
        <w:t xml:space="preserve">IHPA was established to promote improved efficiency in, and access to, public hospital services through the provision of independent advice to Australian governments. </w:t>
      </w:r>
    </w:p>
    <w:p w14:paraId="56A4012E" w14:textId="064FECBD" w:rsidR="007F7920" w:rsidRDefault="007F7920" w:rsidP="007F7920">
      <w:pPr>
        <w:pStyle w:val="Body"/>
      </w:pPr>
      <w:r>
        <w:t>IHPA</w:t>
      </w:r>
      <w:r w:rsidR="00067AF8">
        <w:t> </w:t>
      </w:r>
      <w:r>
        <w:t xml:space="preserve">achieves this by developing and implementing robust systems to support activity based funding for those services </w:t>
      </w:r>
      <w:r w:rsidR="003E6AB0">
        <w:rPr>
          <w:color w:val="272728"/>
        </w:rPr>
        <w:t>(see</w:t>
      </w:r>
      <w:r w:rsidR="00067AF8">
        <w:rPr>
          <w:color w:val="272728"/>
        </w:rPr>
        <w:t> </w:t>
      </w:r>
      <w:hyperlink w:anchor="_Pricing_for_public" w:history="1">
        <w:r w:rsidR="003E6AB0" w:rsidRPr="004F2B7B">
          <w:rPr>
            <w:rStyle w:val="Hyperlink"/>
            <w:rFonts w:ascii="Futura PT Demi" w:hAnsi="Futura PT Demi" w:cs="Futura PT Demi"/>
            <w:u w:val="none"/>
          </w:rPr>
          <w:t>‘Pricing for public hospital funding’, p11</w:t>
        </w:r>
      </w:hyperlink>
      <w:r w:rsidR="003E6AB0">
        <w:rPr>
          <w:color w:val="272728"/>
        </w:rPr>
        <w:t>)</w:t>
      </w:r>
      <w:r>
        <w:t>.</w:t>
      </w:r>
    </w:p>
    <w:p w14:paraId="1A69B5FB" w14:textId="4CC4BB0B" w:rsidR="007F7920" w:rsidRDefault="007F7920" w:rsidP="007F7920">
      <w:pPr>
        <w:pStyle w:val="Body"/>
      </w:pPr>
      <w:r>
        <w:t>In undertaking its work, IHPA is required to consider the actual cost of delivering public hospital services in as wide a range of hospitals as practicable. It is also required to</w:t>
      </w:r>
      <w:r w:rsidR="00983A39">
        <w:t> </w:t>
      </w:r>
      <w:r>
        <w:t>take into account any legitimate and unavoidable variations in costs due to hospital characteristics and patient complexity. IHPA</w:t>
      </w:r>
      <w:r w:rsidR="00067AF8">
        <w:t> </w:t>
      </w:r>
      <w:r>
        <w:t>balances a range of national policy objectives, guided by principles contained in the National Health Reform Agreement and its</w:t>
      </w:r>
      <w:r w:rsidR="00067AF8">
        <w:t> </w:t>
      </w:r>
      <w:r>
        <w:t>amendments.</w:t>
      </w:r>
    </w:p>
    <w:p w14:paraId="7A7C626F" w14:textId="77777777" w:rsidR="0033536E" w:rsidRDefault="0033536E" w:rsidP="007F7920">
      <w:pPr>
        <w:pStyle w:val="Body"/>
        <w:sectPr w:rsidR="0033536E" w:rsidSect="0016266C">
          <w:type w:val="continuous"/>
          <w:pgSz w:w="9979" w:h="14175" w:code="13"/>
          <w:pgMar w:top="1134" w:right="1418" w:bottom="1418" w:left="1418" w:header="709" w:footer="709" w:gutter="0"/>
          <w:cols w:num="2" w:space="708"/>
          <w:docGrid w:linePitch="360"/>
        </w:sectPr>
      </w:pPr>
    </w:p>
    <w:p w14:paraId="654A38DB" w14:textId="7710ACF4" w:rsidR="00246888" w:rsidRPr="00936074" w:rsidRDefault="00F52502" w:rsidP="00F52502">
      <w:pPr>
        <w:pStyle w:val="Heading1"/>
        <w:rPr>
          <w:color w:val="003F2C" w:themeColor="text2"/>
        </w:rPr>
        <w:sectPr w:rsidR="00246888" w:rsidRPr="00936074" w:rsidSect="0033536E">
          <w:pgSz w:w="9979" w:h="14175" w:code="13"/>
          <w:pgMar w:top="1134" w:right="1418" w:bottom="1418" w:left="1418" w:header="709" w:footer="709" w:gutter="0"/>
          <w:cols w:space="708"/>
          <w:docGrid w:linePitch="360"/>
        </w:sectPr>
      </w:pPr>
      <w:bookmarkStart w:id="25" w:name="_Toc44350169"/>
      <w:bookmarkStart w:id="26" w:name="_Toc50378061"/>
      <w:r w:rsidRPr="00936074">
        <w:rPr>
          <w:color w:val="003F2C" w:themeColor="text2"/>
        </w:rPr>
        <w:lastRenderedPageBreak/>
        <w:t>Pricing and funding for</w:t>
      </w:r>
      <w:r w:rsidR="00EC6E19">
        <w:rPr>
          <w:color w:val="003F2C" w:themeColor="text2"/>
        </w:rPr>
        <w:t> </w:t>
      </w:r>
      <w:r w:rsidRPr="00936074">
        <w:rPr>
          <w:color w:val="003F2C" w:themeColor="text2"/>
        </w:rPr>
        <w:t>safety and quality</w:t>
      </w:r>
      <w:bookmarkEnd w:id="25"/>
      <w:bookmarkEnd w:id="26"/>
    </w:p>
    <w:p w14:paraId="68D756B4" w14:textId="151BDFEE" w:rsidR="00F52502" w:rsidRDefault="00F52502" w:rsidP="00F52502">
      <w:pPr>
        <w:pStyle w:val="Body"/>
      </w:pPr>
      <w:r>
        <w:t xml:space="preserve">Pricing and funding for safety and quality work originated from the April 2016 </w:t>
      </w:r>
      <w:r w:rsidR="002119C8">
        <w:t>COAG</w:t>
      </w:r>
      <w:r>
        <w:t xml:space="preserve"> Heads of Agreement on Public Hospital Funding.</w:t>
      </w:r>
    </w:p>
    <w:p w14:paraId="0FAF5D27" w14:textId="3A04D8AE" w:rsidR="0043513D" w:rsidRDefault="00F52502" w:rsidP="00F52502">
      <w:pPr>
        <w:pStyle w:val="Body"/>
      </w:pPr>
      <w:r>
        <w:t>In 2017, all Australian governments signed an</w:t>
      </w:r>
      <w:r w:rsidR="00851529">
        <w:t> </w:t>
      </w:r>
      <w:r w:rsidR="002119C8">
        <w:t>A</w:t>
      </w:r>
      <w:r>
        <w:t>ddendum to the National Health Reform</w:t>
      </w:r>
      <w:r w:rsidR="00067AF8">
        <w:t> </w:t>
      </w:r>
      <w:r>
        <w:t>Agreement. Through this, parties committed to develop and implement reforms to improve health outcomes of Australians through funding and pricing approaches to safety and</w:t>
      </w:r>
      <w:r w:rsidR="00067AF8">
        <w:t> </w:t>
      </w:r>
      <w:r>
        <w:t xml:space="preserve">quality. These reforms are designed to improve patient outcomes in the public health system and decrease avoidable demand for public hospital services. </w:t>
      </w:r>
    </w:p>
    <w:p w14:paraId="28261713" w14:textId="15EBBC9C" w:rsidR="00F52502" w:rsidRDefault="00F52502" w:rsidP="00F52502">
      <w:pPr>
        <w:pStyle w:val="Body"/>
      </w:pPr>
      <w:r>
        <w:t>These</w:t>
      </w:r>
      <w:r w:rsidR="00067AF8">
        <w:t> </w:t>
      </w:r>
      <w:r>
        <w:t>pricing and funding approaches intend to complement existing strategies to improve safety and quality in public health care.</w:t>
      </w:r>
    </w:p>
    <w:p w14:paraId="58500C04" w14:textId="19BF01B5" w:rsidR="00F52502" w:rsidRDefault="00246888" w:rsidP="00F52502">
      <w:pPr>
        <w:pStyle w:val="Body"/>
      </w:pPr>
      <w:r>
        <w:br w:type="column"/>
      </w:r>
      <w:r w:rsidR="00F52502">
        <w:t xml:space="preserve">IHPA works together with the Australian Commission on Safety and Quality in Health Care to incorporate safety and quality measures into the determination of the </w:t>
      </w:r>
      <w:r w:rsidR="003E6AB0">
        <w:t>national</w:t>
      </w:r>
      <w:r w:rsidR="00537C36">
        <w:t> </w:t>
      </w:r>
      <w:r w:rsidR="003E6AB0">
        <w:t>efficient price</w:t>
      </w:r>
      <w:r w:rsidR="00F52502">
        <w:t xml:space="preserve">. </w:t>
      </w:r>
    </w:p>
    <w:p w14:paraId="4307AF70" w14:textId="739D930B" w:rsidR="0033536E" w:rsidRDefault="00F52502" w:rsidP="00F52502">
      <w:pPr>
        <w:pStyle w:val="Body"/>
      </w:pPr>
      <w:r>
        <w:t>Under the Addendum</w:t>
      </w:r>
      <w:r w:rsidR="003E6AB0">
        <w:t xml:space="preserve"> 2017</w:t>
      </w:r>
      <w:r w:rsidR="00067AF8">
        <w:t>–</w:t>
      </w:r>
      <w:r w:rsidR="003E6AB0">
        <w:t>20</w:t>
      </w:r>
      <w:r>
        <w:t>, IHPA is required to advise on options for a comprehensive and risk</w:t>
      </w:r>
      <w:r>
        <w:rPr>
          <w:rFonts w:ascii="Cambria Math" w:hAnsi="Cambria Math" w:cs="Cambria Math"/>
        </w:rPr>
        <w:t>‑</w:t>
      </w:r>
      <w:r>
        <w:t>adjusted model to determine how funding and pricing could be used to improve patient outcomes across three key areas: sentinel events, hospital acquired complications and avoidable hospital</w:t>
      </w:r>
      <w:r w:rsidR="00067AF8">
        <w:t> </w:t>
      </w:r>
      <w:r>
        <w:t>readmissions.</w:t>
      </w:r>
    </w:p>
    <w:p w14:paraId="02E2D100" w14:textId="5CE71ED3" w:rsidR="00246888" w:rsidRDefault="00246888" w:rsidP="00246888">
      <w:pPr>
        <w:pStyle w:val="Body"/>
      </w:pPr>
      <w:r>
        <w:br w:type="column"/>
      </w:r>
      <w:r>
        <w:lastRenderedPageBreak/>
        <w:t>The implementation of pricing and funding for safety and quality has been rolled out in stages as follows:</w:t>
      </w:r>
    </w:p>
    <w:p w14:paraId="7B141F9C" w14:textId="360E17F3" w:rsidR="00246888" w:rsidRDefault="00246888" w:rsidP="00246888">
      <w:pPr>
        <w:pStyle w:val="Bullets"/>
      </w:pPr>
      <w:r w:rsidRPr="00246888">
        <w:rPr>
          <w:b/>
          <w:bCs/>
        </w:rPr>
        <w:t>Sentinel events:</w:t>
      </w:r>
      <w:r>
        <w:t xml:space="preserve"> Sentinel events are a subset of adverse patient safety events that are wholly preventable and result in serious harm to, or</w:t>
      </w:r>
      <w:r w:rsidR="00BE3AD8">
        <w:t xml:space="preserve"> the</w:t>
      </w:r>
      <w:r>
        <w:t xml:space="preserve"> death of, a</w:t>
      </w:r>
      <w:r w:rsidR="00067AF8">
        <w:t> </w:t>
      </w:r>
      <w:r>
        <w:t>patient.</w:t>
      </w:r>
    </w:p>
    <w:p w14:paraId="53C44BC6" w14:textId="201FE7E4" w:rsidR="00246888" w:rsidRPr="00C561B6" w:rsidRDefault="00246888" w:rsidP="00C561B6">
      <w:pPr>
        <w:pStyle w:val="Bullets"/>
        <w:numPr>
          <w:ilvl w:val="0"/>
          <w:numId w:val="0"/>
        </w:numPr>
        <w:ind w:left="473"/>
      </w:pPr>
      <w:r w:rsidRPr="00C561B6">
        <w:t>Since 1 July 2017, no Commonwealth funding has been provided for any public hospital episode that includes a sentinel event. This policy applies to both</w:t>
      </w:r>
      <w:r w:rsidR="00067AF8" w:rsidRPr="00C561B6">
        <w:t> </w:t>
      </w:r>
      <w:r w:rsidRPr="00C561B6">
        <w:t>activity based and block funded</w:t>
      </w:r>
      <w:r w:rsidR="00067AF8" w:rsidRPr="00C561B6">
        <w:t> </w:t>
      </w:r>
      <w:r w:rsidRPr="00C561B6">
        <w:t xml:space="preserve">hospitals. </w:t>
      </w:r>
    </w:p>
    <w:p w14:paraId="2C9BD627" w14:textId="6A00C317" w:rsidR="00246888" w:rsidRDefault="00246888" w:rsidP="00246888">
      <w:pPr>
        <w:pStyle w:val="Bullets"/>
      </w:pPr>
      <w:r w:rsidRPr="00246888">
        <w:rPr>
          <w:b/>
          <w:bCs/>
        </w:rPr>
        <w:t>Hospital acquired complications:</w:t>
      </w:r>
      <w:r>
        <w:t xml:space="preserve"> A</w:t>
      </w:r>
      <w:r w:rsidR="00067AF8">
        <w:t> </w:t>
      </w:r>
      <w:r>
        <w:t>hospital acquired complication refers to a complication for which clinical risk</w:t>
      </w:r>
      <w:r w:rsidR="007F2D10">
        <w:t> </w:t>
      </w:r>
      <w:r>
        <w:t>mitigation strategies may reduce (but</w:t>
      </w:r>
      <w:r w:rsidR="00067AF8">
        <w:t> </w:t>
      </w:r>
      <w:r>
        <w:t>not necessarily eliminate) the risk of</w:t>
      </w:r>
      <w:r w:rsidR="007F2D10">
        <w:t> </w:t>
      </w:r>
      <w:r>
        <w:t>that complication occurring. IHPA</w:t>
      </w:r>
      <w:r w:rsidR="00067AF8">
        <w:t> </w:t>
      </w:r>
      <w:r>
        <w:t>has worked with</w:t>
      </w:r>
      <w:r w:rsidR="007F2D10">
        <w:t xml:space="preserve"> the</w:t>
      </w:r>
      <w:r>
        <w:t xml:space="preserve"> Australian Commission on Safety and Quality in Health Care and other stakeholders to develop an</w:t>
      </w:r>
      <w:r w:rsidR="007F2D10">
        <w:t> </w:t>
      </w:r>
      <w:r>
        <w:t>agreed list of hospital acquired</w:t>
      </w:r>
      <w:r w:rsidR="007F2D10">
        <w:t> </w:t>
      </w:r>
      <w:r>
        <w:t>complications.</w:t>
      </w:r>
    </w:p>
    <w:p w14:paraId="47F95EEE" w14:textId="77777777" w:rsidR="00565AA6" w:rsidRPr="00C561B6" w:rsidRDefault="00246888" w:rsidP="00C561B6">
      <w:pPr>
        <w:pStyle w:val="Bullets"/>
        <w:numPr>
          <w:ilvl w:val="0"/>
          <w:numId w:val="0"/>
        </w:numPr>
        <w:ind w:left="473"/>
      </w:pPr>
      <w:r w:rsidRPr="00C561B6">
        <w:t>From 1 July 2018, funding is reduced for any episode of admitted acute care where hospital acquired complications such as falls, infections or pressure injuries occur during a hospital stay.</w:t>
      </w:r>
    </w:p>
    <w:p w14:paraId="2C914415" w14:textId="777AF4AE" w:rsidR="00246888" w:rsidRDefault="00246888" w:rsidP="00565AA6">
      <w:pPr>
        <w:pStyle w:val="Bullets"/>
      </w:pPr>
      <w:r>
        <w:br w:type="column"/>
      </w:r>
      <w:r w:rsidRPr="00246888">
        <w:rPr>
          <w:b/>
          <w:bCs/>
        </w:rPr>
        <w:t>Avoidable readmissions:</w:t>
      </w:r>
      <w:r>
        <w:t xml:space="preserve"> Unplanned</w:t>
      </w:r>
      <w:r w:rsidR="006A66E9">
        <w:t> </w:t>
      </w:r>
      <w:r>
        <w:t>hospital readmissions are a</w:t>
      </w:r>
      <w:r w:rsidR="006A66E9">
        <w:t> </w:t>
      </w:r>
      <w:r>
        <w:t>measure of</w:t>
      </w:r>
      <w:r w:rsidR="00067AF8">
        <w:t> </w:t>
      </w:r>
      <w:r>
        <w:t>potential issues with the</w:t>
      </w:r>
      <w:r w:rsidR="006A66E9">
        <w:t> </w:t>
      </w:r>
      <w:r>
        <w:t>quality, continuity and integration of</w:t>
      </w:r>
      <w:r w:rsidR="00BE3AD8">
        <w:t> </w:t>
      </w:r>
      <w:r>
        <w:t>care provided to patients during or</w:t>
      </w:r>
      <w:r w:rsidR="006A66E9">
        <w:t> </w:t>
      </w:r>
      <w:r>
        <w:t>subsequent to their original hospital</w:t>
      </w:r>
      <w:r w:rsidR="00067AF8">
        <w:t> </w:t>
      </w:r>
      <w:r>
        <w:t>stay.</w:t>
      </w:r>
    </w:p>
    <w:p w14:paraId="49A32D69" w14:textId="3D756556" w:rsidR="00246888" w:rsidRPr="006A66E9" w:rsidRDefault="00246888" w:rsidP="006A66E9">
      <w:pPr>
        <w:pStyle w:val="Bullets"/>
        <w:numPr>
          <w:ilvl w:val="0"/>
          <w:numId w:val="0"/>
        </w:numPr>
        <w:ind w:left="473"/>
      </w:pPr>
      <w:r w:rsidRPr="006A66E9">
        <w:t xml:space="preserve">The </w:t>
      </w:r>
      <w:r w:rsidR="009B655A" w:rsidRPr="006A66E9">
        <w:t>2017</w:t>
      </w:r>
      <w:r w:rsidR="009B655A">
        <w:t>–</w:t>
      </w:r>
      <w:r w:rsidR="009B655A" w:rsidRPr="006A66E9">
        <w:t>20</w:t>
      </w:r>
      <w:r w:rsidR="009B655A">
        <w:t xml:space="preserve"> </w:t>
      </w:r>
      <w:r w:rsidRPr="006A66E9">
        <w:t xml:space="preserve">Addendum </w:t>
      </w:r>
      <w:r w:rsidR="003E6AB0" w:rsidRPr="006A66E9">
        <w:t xml:space="preserve">required </w:t>
      </w:r>
      <w:r w:rsidRPr="006A66E9">
        <w:t>that IHPA develop pricing and funding adjustments to target avoidable hospital</w:t>
      </w:r>
      <w:r w:rsidR="00067AF8" w:rsidRPr="006A66E9">
        <w:t> </w:t>
      </w:r>
      <w:r w:rsidRPr="006A66E9">
        <w:t>readmissions, which arise from complications of the management of the patient’s original</w:t>
      </w:r>
      <w:r w:rsidR="00BE3AD8">
        <w:t xml:space="preserve"> </w:t>
      </w:r>
      <w:r w:rsidRPr="006A66E9">
        <w:t>hospital</w:t>
      </w:r>
      <w:r w:rsidR="00BE3AD8">
        <w:t xml:space="preserve"> </w:t>
      </w:r>
      <w:r w:rsidRPr="006A66E9">
        <w:t>admission.</w:t>
      </w:r>
    </w:p>
    <w:p w14:paraId="67C531B5" w14:textId="6ADBED47" w:rsidR="003E6AB0" w:rsidRPr="006A66E9" w:rsidRDefault="00246888" w:rsidP="006A66E9">
      <w:pPr>
        <w:pStyle w:val="Bullets"/>
        <w:numPr>
          <w:ilvl w:val="0"/>
          <w:numId w:val="0"/>
        </w:numPr>
        <w:ind w:left="473"/>
      </w:pPr>
      <w:r w:rsidRPr="006A66E9">
        <w:t>From 1 July 2019, IHPA has commenced analysing three options of</w:t>
      </w:r>
      <w:r w:rsidR="006A66E9">
        <w:t> </w:t>
      </w:r>
      <w:r w:rsidRPr="006A66E9">
        <w:t>funding adjustments to reduce avoidable hospital readmissions. These</w:t>
      </w:r>
      <w:r w:rsidR="006A66E9">
        <w:t> </w:t>
      </w:r>
      <w:r w:rsidRPr="006A66E9">
        <w:t>are being shadowed over a</w:t>
      </w:r>
      <w:r w:rsidR="006A66E9">
        <w:t> </w:t>
      </w:r>
      <w:r w:rsidRPr="006A66E9">
        <w:t>24</w:t>
      </w:r>
      <w:r w:rsidR="006A66E9">
        <w:noBreakHyphen/>
      </w:r>
      <w:r w:rsidRPr="006A66E9">
        <w:t xml:space="preserve">month period. </w:t>
      </w:r>
    </w:p>
    <w:p w14:paraId="5364E295" w14:textId="07793B84" w:rsidR="00246888" w:rsidRPr="006A66E9" w:rsidRDefault="00246888" w:rsidP="006A66E9">
      <w:pPr>
        <w:pStyle w:val="Bullets"/>
        <w:numPr>
          <w:ilvl w:val="0"/>
          <w:numId w:val="0"/>
        </w:numPr>
        <w:ind w:left="473"/>
      </w:pPr>
      <w:r w:rsidRPr="006A66E9">
        <w:t xml:space="preserve">Under the </w:t>
      </w:r>
      <w:r w:rsidR="003E6AB0" w:rsidRPr="006A66E9">
        <w:t xml:space="preserve">new </w:t>
      </w:r>
      <w:r w:rsidR="00BE3AD8" w:rsidRPr="006A66E9">
        <w:t>2020–25</w:t>
      </w:r>
      <w:r w:rsidR="00BE3AD8">
        <w:t xml:space="preserve"> </w:t>
      </w:r>
      <w:r w:rsidRPr="006A66E9">
        <w:t xml:space="preserve">Addendum, IHPA </w:t>
      </w:r>
      <w:r w:rsidR="003E6AB0" w:rsidRPr="006A66E9">
        <w:t>is required to</w:t>
      </w:r>
      <w:r w:rsidRPr="006A66E9">
        <w:t xml:space="preserve"> develop a pricing model for avoidable hospital readmissions for the </w:t>
      </w:r>
      <w:r w:rsidR="002119C8">
        <w:t>COAG</w:t>
      </w:r>
      <w:r w:rsidRPr="006A66E9">
        <w:t xml:space="preserve"> Health Council’s approval</w:t>
      </w:r>
      <w:r w:rsidR="00151FF6" w:rsidRPr="006A66E9">
        <w:t xml:space="preserve"> for implementation from 1 July 2021</w:t>
      </w:r>
      <w:r w:rsidRPr="006A66E9">
        <w:t>.</w:t>
      </w:r>
    </w:p>
    <w:p w14:paraId="41B7C571" w14:textId="77777777" w:rsidR="0021083A" w:rsidRDefault="0021083A" w:rsidP="0021083A">
      <w:pPr>
        <w:pStyle w:val="Body"/>
        <w:sectPr w:rsidR="0021083A" w:rsidSect="00BE3AD8">
          <w:type w:val="continuous"/>
          <w:pgSz w:w="9979" w:h="14175" w:code="13"/>
          <w:pgMar w:top="1134" w:right="1332" w:bottom="1418" w:left="1418" w:header="709" w:footer="709" w:gutter="0"/>
          <w:cols w:num="2" w:space="708"/>
          <w:docGrid w:linePitch="360"/>
        </w:sectPr>
      </w:pPr>
    </w:p>
    <w:p w14:paraId="1D2DC244" w14:textId="77777777" w:rsidR="00274818" w:rsidRPr="00936074" w:rsidRDefault="0021083A" w:rsidP="0021083A">
      <w:pPr>
        <w:pStyle w:val="Heading1"/>
        <w:rPr>
          <w:color w:val="003F2C" w:themeColor="text2"/>
        </w:rPr>
        <w:sectPr w:rsidR="00274818" w:rsidRPr="00936074" w:rsidSect="0021083A">
          <w:pgSz w:w="9979" w:h="14175" w:code="13"/>
          <w:pgMar w:top="1134" w:right="1418" w:bottom="1418" w:left="1418" w:header="709" w:footer="709" w:gutter="0"/>
          <w:cols w:space="708"/>
          <w:docGrid w:linePitch="360"/>
        </w:sectPr>
      </w:pPr>
      <w:bookmarkStart w:id="27" w:name="_Responsible_Minister"/>
      <w:bookmarkStart w:id="28" w:name="_Toc44350170"/>
      <w:bookmarkStart w:id="29" w:name="_Toc50378062"/>
      <w:bookmarkEnd w:id="27"/>
      <w:r w:rsidRPr="00936074">
        <w:rPr>
          <w:color w:val="003F2C" w:themeColor="text2"/>
        </w:rPr>
        <w:lastRenderedPageBreak/>
        <w:t>Responsible Minister</w:t>
      </w:r>
      <w:bookmarkEnd w:id="28"/>
      <w:bookmarkEnd w:id="29"/>
    </w:p>
    <w:p w14:paraId="6C6ADABD" w14:textId="304725D8" w:rsidR="0021083A" w:rsidRPr="00274818" w:rsidRDefault="0021083A" w:rsidP="0021083A">
      <w:pPr>
        <w:pStyle w:val="Body"/>
        <w:rPr>
          <w:b/>
          <w:bCs/>
        </w:rPr>
      </w:pPr>
      <w:r w:rsidRPr="00274818">
        <w:rPr>
          <w:b/>
          <w:bCs/>
        </w:rPr>
        <w:t>The Independent Hospital Pricing Authority sits within the Department of Health</w:t>
      </w:r>
      <w:r w:rsidR="00067AF8">
        <w:rPr>
          <w:b/>
          <w:bCs/>
        </w:rPr>
        <w:t> </w:t>
      </w:r>
      <w:r w:rsidRPr="00274818">
        <w:rPr>
          <w:b/>
          <w:bCs/>
        </w:rPr>
        <w:t>portfolio.</w:t>
      </w:r>
    </w:p>
    <w:p w14:paraId="03FE8B34" w14:textId="6EEF8752" w:rsidR="0021083A" w:rsidRDefault="00274818" w:rsidP="0021083A">
      <w:pPr>
        <w:pStyle w:val="Body"/>
      </w:pPr>
      <w:r>
        <w:br w:type="column"/>
      </w:r>
      <w:r w:rsidR="0021083A">
        <w:t>The Minister responsible for this reporting period is the Hon. Greg Hunt MP, Minister</w:t>
      </w:r>
      <w:r w:rsidR="00067AF8">
        <w:t> </w:t>
      </w:r>
      <w:r w:rsidR="0021083A">
        <w:t>for</w:t>
      </w:r>
      <w:r w:rsidR="00067AF8">
        <w:t> </w:t>
      </w:r>
      <w:r w:rsidR="0021083A">
        <w:t>Health</w:t>
      </w:r>
      <w:r w:rsidR="00A870BF">
        <w:t xml:space="preserve"> </w:t>
      </w:r>
      <w:r w:rsidR="000969EB" w:rsidRPr="000969EB">
        <w:t>and Minister Assisting the</w:t>
      </w:r>
      <w:r w:rsidR="000969EB">
        <w:t> </w:t>
      </w:r>
      <w:r w:rsidR="000969EB" w:rsidRPr="000969EB">
        <w:t>Prime Minister for the Public Service and</w:t>
      </w:r>
      <w:r w:rsidR="000969EB">
        <w:t> </w:t>
      </w:r>
      <w:r w:rsidR="000969EB" w:rsidRPr="000969EB">
        <w:t>Cabinet.</w:t>
      </w:r>
    </w:p>
    <w:p w14:paraId="09264222" w14:textId="77777777" w:rsidR="00274818" w:rsidRDefault="00274818" w:rsidP="0021083A">
      <w:pPr>
        <w:pStyle w:val="Body"/>
      </w:pPr>
    </w:p>
    <w:p w14:paraId="6704AD37" w14:textId="4E255477" w:rsidR="00F343B2" w:rsidRDefault="00F343B2" w:rsidP="0021083A">
      <w:pPr>
        <w:pStyle w:val="Body"/>
        <w:sectPr w:rsidR="00F343B2" w:rsidSect="00274818">
          <w:type w:val="continuous"/>
          <w:pgSz w:w="9979" w:h="14175" w:code="13"/>
          <w:pgMar w:top="1134" w:right="1418" w:bottom="1418" w:left="1418" w:header="709" w:footer="709" w:gutter="0"/>
          <w:cols w:num="2" w:space="708"/>
          <w:docGrid w:linePitch="360"/>
        </w:sectPr>
      </w:pPr>
    </w:p>
    <w:p w14:paraId="163040E5" w14:textId="04A812B8" w:rsidR="003A2996" w:rsidRDefault="003A2996" w:rsidP="00A70764">
      <w:pPr>
        <w:pStyle w:val="Body"/>
      </w:pPr>
    </w:p>
    <w:p w14:paraId="21A39984" w14:textId="77777777" w:rsidR="008E51AC" w:rsidRDefault="008E51AC">
      <w:pPr>
        <w:rPr>
          <w:color w:val="003F2C" w:themeColor="text2"/>
        </w:rPr>
        <w:sectPr w:rsidR="008E51AC" w:rsidSect="00274818">
          <w:type w:val="continuous"/>
          <w:pgSz w:w="9979" w:h="14175" w:code="13"/>
          <w:pgMar w:top="1134" w:right="1418" w:bottom="1418" w:left="1418" w:header="709" w:footer="709" w:gutter="0"/>
          <w:cols w:space="708"/>
          <w:docGrid w:linePitch="360"/>
        </w:sectPr>
      </w:pPr>
      <w:bookmarkStart w:id="30" w:name="_Toc44350172"/>
    </w:p>
    <w:p w14:paraId="6058974B" w14:textId="0C39F65A" w:rsidR="00274818" w:rsidRPr="00936074" w:rsidRDefault="00274818" w:rsidP="00274818">
      <w:pPr>
        <w:pStyle w:val="Heading1"/>
        <w:rPr>
          <w:color w:val="003F2C" w:themeColor="text2"/>
        </w:rPr>
        <w:sectPr w:rsidR="00274818" w:rsidRPr="00936074" w:rsidSect="008E51AC">
          <w:pgSz w:w="9979" w:h="14175" w:code="13"/>
          <w:pgMar w:top="1134" w:right="1418" w:bottom="1418" w:left="1418" w:header="709" w:footer="709" w:gutter="0"/>
          <w:cols w:space="708"/>
          <w:docGrid w:linePitch="360"/>
        </w:sectPr>
      </w:pPr>
      <w:bookmarkStart w:id="31" w:name="_Ministerial_directions_and"/>
      <w:bookmarkStart w:id="32" w:name="_Toc50378063"/>
      <w:bookmarkEnd w:id="31"/>
      <w:r w:rsidRPr="00936074">
        <w:rPr>
          <w:color w:val="003F2C" w:themeColor="text2"/>
        </w:rPr>
        <w:lastRenderedPageBreak/>
        <w:t>Ministerial directions and government policy orders</w:t>
      </w:r>
      <w:bookmarkEnd w:id="30"/>
      <w:bookmarkEnd w:id="32"/>
    </w:p>
    <w:p w14:paraId="6567B233" w14:textId="3ED75D5F" w:rsidR="002A6D64" w:rsidRDefault="00274818" w:rsidP="002A6D64">
      <w:pPr>
        <w:pStyle w:val="Body"/>
      </w:pPr>
      <w:r>
        <w:t>On 29 January 2020, IHPA received a</w:t>
      </w:r>
      <w:r w:rsidR="00067AF8">
        <w:t> </w:t>
      </w:r>
      <w:r>
        <w:t>Ministerial direction from the Hon.</w:t>
      </w:r>
      <w:r w:rsidR="00067AF8">
        <w:t> </w:t>
      </w:r>
      <w:r>
        <w:t>Greg</w:t>
      </w:r>
      <w:r w:rsidR="00067AF8">
        <w:t> </w:t>
      </w:r>
      <w:r>
        <w:t>Hunt</w:t>
      </w:r>
      <w:r w:rsidR="00067AF8">
        <w:t> </w:t>
      </w:r>
      <w:r>
        <w:t>MP, under section 226(1) of</w:t>
      </w:r>
      <w:r w:rsidR="00067AF8">
        <w:t> </w:t>
      </w:r>
      <w:r>
        <w:t xml:space="preserve">the </w:t>
      </w:r>
      <w:r w:rsidRPr="00641A06">
        <w:rPr>
          <w:i/>
        </w:rPr>
        <w:t>National Health Reform Act 2011</w:t>
      </w:r>
      <w:r>
        <w:t>.</w:t>
      </w:r>
      <w:r w:rsidR="002A6D64" w:rsidRPr="002A6D64">
        <w:t xml:space="preserve"> </w:t>
      </w:r>
    </w:p>
    <w:p w14:paraId="58EDFABC" w14:textId="5C1A83E1" w:rsidR="002A6D64" w:rsidRDefault="002A6D64" w:rsidP="002A6D64">
      <w:pPr>
        <w:pStyle w:val="Body"/>
      </w:pPr>
      <w:r>
        <w:t>The direction requires that IHPA study existing and projected costs for Nationally Funded Centres and recommend options regarding:</w:t>
      </w:r>
    </w:p>
    <w:p w14:paraId="3CB8F37C" w14:textId="153F81E3" w:rsidR="002A6D64" w:rsidRDefault="00BE3AD8" w:rsidP="002A6D64">
      <w:pPr>
        <w:pStyle w:val="Bullets"/>
      </w:pPr>
      <w:r>
        <w:t>w</w:t>
      </w:r>
      <w:r w:rsidR="002A6D64">
        <w:t>hether Nationally Funded Centres, individually and collectively, are more appropriately funded via activity based funding or block funding arrangements under the National Health Reform</w:t>
      </w:r>
      <w:r w:rsidR="00067AF8">
        <w:t> </w:t>
      </w:r>
      <w:r w:rsidR="002A6D64">
        <w:t>Agreement</w:t>
      </w:r>
      <w:r w:rsidR="00677EA6">
        <w:t>.</w:t>
      </w:r>
    </w:p>
    <w:p w14:paraId="1E61B92F" w14:textId="3947806A" w:rsidR="002A6D64" w:rsidRDefault="00BE3AD8" w:rsidP="002A6D64">
      <w:pPr>
        <w:pStyle w:val="Bulletslast"/>
      </w:pPr>
      <w:r>
        <w:t>t</w:t>
      </w:r>
      <w:r w:rsidR="002A6D64">
        <w:t>he development and operation of cost</w:t>
      </w:r>
      <w:r w:rsidR="007E5912">
        <w:t> </w:t>
      </w:r>
      <w:r w:rsidR="002A6D64">
        <w:t>models and pricing models for the</w:t>
      </w:r>
      <w:r w:rsidR="007E5912">
        <w:t> </w:t>
      </w:r>
      <w:r w:rsidR="002A6D64">
        <w:t>Nationally Funded Centres, covering</w:t>
      </w:r>
      <w:r w:rsidR="00067AF8">
        <w:t> </w:t>
      </w:r>
      <w:r w:rsidR="002A6D64">
        <w:t>both existing and potential future services delivered under the</w:t>
      </w:r>
      <w:r w:rsidR="00067AF8">
        <w:t> </w:t>
      </w:r>
      <w:r w:rsidR="002A6D64">
        <w:t>program.</w:t>
      </w:r>
    </w:p>
    <w:p w14:paraId="6B142DFE" w14:textId="367F5279" w:rsidR="002A6D64" w:rsidRDefault="008F3B16" w:rsidP="002A6D64">
      <w:pPr>
        <w:pStyle w:val="Body"/>
      </w:pPr>
      <w:r>
        <w:br w:type="column"/>
      </w:r>
      <w:r w:rsidR="002A6D64">
        <w:t xml:space="preserve">In issuing this </w:t>
      </w:r>
      <w:r w:rsidR="00677EA6">
        <w:t>d</w:t>
      </w:r>
      <w:r w:rsidR="002A6D64">
        <w:t xml:space="preserve">irection, the Minister consulted with the </w:t>
      </w:r>
      <w:r w:rsidR="002119C8">
        <w:t>COAG</w:t>
      </w:r>
      <w:r w:rsidR="002A6D64">
        <w:t xml:space="preserve"> Health Council. </w:t>
      </w:r>
    </w:p>
    <w:p w14:paraId="5BFD7F3E" w14:textId="39B32547" w:rsidR="008F3B16" w:rsidRDefault="008F3B16" w:rsidP="002A6D64">
      <w:pPr>
        <w:pStyle w:val="Body"/>
      </w:pPr>
      <w:r w:rsidRPr="008F3B16">
        <w:t>In compliance with the direction, IHPA has undertaken the requested study with states and territories and prepared an interim report for consideration of the Australian Health Ministers Advisory Council</w:t>
      </w:r>
      <w:r>
        <w:t>.</w:t>
      </w:r>
    </w:p>
    <w:p w14:paraId="1EE160C9" w14:textId="75D5F230" w:rsidR="00274818" w:rsidRDefault="002A6D64" w:rsidP="00C914AD">
      <w:pPr>
        <w:pStyle w:val="Body"/>
      </w:pPr>
      <w:r>
        <w:t xml:space="preserve">IHPA will prepare a </w:t>
      </w:r>
      <w:r w:rsidR="00BE3AD8">
        <w:t>f</w:t>
      </w:r>
      <w:r>
        <w:t xml:space="preserve">inal </w:t>
      </w:r>
      <w:r w:rsidR="00BE3AD8">
        <w:t>r</w:t>
      </w:r>
      <w:r>
        <w:t xml:space="preserve">eport for consideration of the </w:t>
      </w:r>
      <w:r w:rsidR="002119C8">
        <w:t>COAG</w:t>
      </w:r>
      <w:r w:rsidR="00C914AD">
        <w:t xml:space="preserve"> Health Council</w:t>
      </w:r>
      <w:r w:rsidR="00F24C6C">
        <w:t xml:space="preserve"> </w:t>
      </w:r>
      <w:r>
        <w:t>by</w:t>
      </w:r>
      <w:r w:rsidR="00F24C6C">
        <w:t> </w:t>
      </w:r>
      <w:r>
        <w:t xml:space="preserve">no later than </w:t>
      </w:r>
      <w:r w:rsidRPr="003F581D">
        <w:rPr>
          <w:spacing w:val="-20"/>
        </w:rPr>
        <w:t>31</w:t>
      </w:r>
      <w:r>
        <w:t xml:space="preserve"> January 2021</w:t>
      </w:r>
      <w:r w:rsidR="00C914AD">
        <w:t>.</w:t>
      </w:r>
    </w:p>
    <w:p w14:paraId="17FFF84F" w14:textId="77777777" w:rsidR="008F3B16" w:rsidRDefault="008F3B16" w:rsidP="00C914AD">
      <w:pPr>
        <w:pStyle w:val="Body"/>
      </w:pPr>
    </w:p>
    <w:p w14:paraId="6092CDF9" w14:textId="77777777" w:rsidR="001F0DF5" w:rsidRDefault="001F0DF5" w:rsidP="00274818">
      <w:pPr>
        <w:pStyle w:val="Body"/>
        <w:sectPr w:rsidR="001F0DF5" w:rsidSect="00274818">
          <w:type w:val="continuous"/>
          <w:pgSz w:w="9979" w:h="14175" w:code="13"/>
          <w:pgMar w:top="1134" w:right="1418" w:bottom="1418" w:left="1418" w:header="709" w:footer="709" w:gutter="0"/>
          <w:cols w:num="2" w:space="708"/>
          <w:docGrid w:linePitch="360"/>
        </w:sectPr>
      </w:pPr>
    </w:p>
    <w:p w14:paraId="15F5AE9D" w14:textId="77777777" w:rsidR="00521E4F" w:rsidRDefault="00521E4F" w:rsidP="00274818">
      <w:pPr>
        <w:pStyle w:val="Body"/>
      </w:pPr>
    </w:p>
    <w:p w14:paraId="415DA352" w14:textId="77777777" w:rsidR="008F3B16" w:rsidRDefault="008F3B16" w:rsidP="001F0DF5">
      <w:pPr>
        <w:pStyle w:val="Heading1"/>
        <w:rPr>
          <w:color w:val="003F2C" w:themeColor="text2"/>
        </w:rPr>
        <w:sectPr w:rsidR="008F3B16" w:rsidSect="001F0DF5">
          <w:type w:val="continuous"/>
          <w:pgSz w:w="9979" w:h="14175" w:code="13"/>
          <w:pgMar w:top="1134" w:right="1418" w:bottom="1418" w:left="1418" w:header="709" w:footer="709" w:gutter="0"/>
          <w:cols w:space="708"/>
          <w:docGrid w:linePitch="360"/>
        </w:sectPr>
      </w:pPr>
      <w:bookmarkStart w:id="33" w:name="_Toc44350173"/>
    </w:p>
    <w:p w14:paraId="23A12C09" w14:textId="77AD8DCF" w:rsidR="001F0DF5" w:rsidRPr="00936074" w:rsidRDefault="001F0DF5" w:rsidP="001F0DF5">
      <w:pPr>
        <w:pStyle w:val="Heading1"/>
        <w:rPr>
          <w:color w:val="003F2C" w:themeColor="text2"/>
        </w:rPr>
        <w:sectPr w:rsidR="001F0DF5" w:rsidRPr="00936074" w:rsidSect="008F3B16">
          <w:pgSz w:w="9979" w:h="14175" w:code="13"/>
          <w:pgMar w:top="1134" w:right="1418" w:bottom="1418" w:left="1418" w:header="709" w:footer="709" w:gutter="0"/>
          <w:cols w:space="708"/>
          <w:docGrid w:linePitch="360"/>
        </w:sectPr>
      </w:pPr>
      <w:bookmarkStart w:id="34" w:name="_Pricing_for_public"/>
      <w:bookmarkStart w:id="35" w:name="_Toc50378064"/>
      <w:bookmarkEnd w:id="34"/>
      <w:r w:rsidRPr="00936074">
        <w:rPr>
          <w:color w:val="003F2C" w:themeColor="text2"/>
        </w:rPr>
        <w:lastRenderedPageBreak/>
        <w:t>Pricing for public hospital</w:t>
      </w:r>
      <w:r w:rsidR="00187A69">
        <w:rPr>
          <w:color w:val="003F2C" w:themeColor="text2"/>
        </w:rPr>
        <w:t> </w:t>
      </w:r>
      <w:bookmarkEnd w:id="33"/>
      <w:r w:rsidR="00F56F4C">
        <w:rPr>
          <w:color w:val="003F2C" w:themeColor="text2"/>
        </w:rPr>
        <w:t>services</w:t>
      </w:r>
      <w:bookmarkEnd w:id="35"/>
    </w:p>
    <w:p w14:paraId="48CE18AC" w14:textId="05FB9A18" w:rsidR="001F0DF5" w:rsidRDefault="001F0DF5" w:rsidP="001F0DF5">
      <w:pPr>
        <w:pStyle w:val="Body"/>
        <w:rPr>
          <w:b/>
          <w:bCs/>
        </w:rPr>
      </w:pPr>
      <w:r w:rsidRPr="009D2639">
        <w:rPr>
          <w:b/>
          <w:bCs/>
        </w:rPr>
        <w:t>Under the National Health Reform Agreement, IHPA was established to contribute to significant reforms to improve the transparency of public hospital funding.</w:t>
      </w:r>
    </w:p>
    <w:p w14:paraId="2D17573F" w14:textId="6689F5BD" w:rsidR="00EC20C9" w:rsidRDefault="006711DA" w:rsidP="00EC20C9">
      <w:pPr>
        <w:pStyle w:val="Body"/>
      </w:pPr>
      <w:r>
        <w:t>A vital component of these reforms is the implementation of activity based funding for</w:t>
      </w:r>
      <w:r w:rsidR="00C54631">
        <w:t> </w:t>
      </w:r>
      <w:r>
        <w:t>Australian public hospital</w:t>
      </w:r>
      <w:r w:rsidR="003F02DE">
        <w:t xml:space="preserve"> service</w:t>
      </w:r>
      <w:r>
        <w:t>s.</w:t>
      </w:r>
      <w:r w:rsidR="00EC20C9" w:rsidRPr="00EC20C9">
        <w:t xml:space="preserve"> </w:t>
      </w:r>
    </w:p>
    <w:p w14:paraId="67C30BFE" w14:textId="45A7BEEE" w:rsidR="00EC20C9" w:rsidRDefault="00EC20C9" w:rsidP="00EC20C9">
      <w:pPr>
        <w:pStyle w:val="Body"/>
      </w:pPr>
      <w:r>
        <w:t>IHPA designs the pricing systems that underpin the activity based funding</w:t>
      </w:r>
      <w:r w:rsidR="00C54631">
        <w:t> </w:t>
      </w:r>
      <w:r>
        <w:t>approaches.</w:t>
      </w:r>
    </w:p>
    <w:p w14:paraId="4F548CEC" w14:textId="1BED87F9" w:rsidR="006A15CF" w:rsidRDefault="006A15CF" w:rsidP="006A15CF">
      <w:pPr>
        <w:pStyle w:val="H4"/>
      </w:pPr>
      <w:r>
        <w:t>Activity based funding</w:t>
      </w:r>
    </w:p>
    <w:p w14:paraId="17B8D147" w14:textId="77777777" w:rsidR="009D2639" w:rsidRDefault="009D2639" w:rsidP="009D2639">
      <w:pPr>
        <w:pStyle w:val="Body"/>
      </w:pPr>
      <w:r>
        <w:t>Activity based funding describes the system by which hospitals are paid based on the number and complexity of patients they treat.</w:t>
      </w:r>
    </w:p>
    <w:p w14:paraId="28414851" w14:textId="77777777" w:rsidR="009D2639" w:rsidRDefault="009D2639" w:rsidP="009D2639">
      <w:pPr>
        <w:pStyle w:val="Body"/>
      </w:pPr>
      <w:r>
        <w:t>If a hospital treats more patients, it receives more funding. This method takes into account the fact that some patients are more complicated to treat than others.</w:t>
      </w:r>
    </w:p>
    <w:p w14:paraId="6B8015C1" w14:textId="77777777" w:rsidR="009D2639" w:rsidRDefault="009D2639" w:rsidP="009D2639">
      <w:pPr>
        <w:pStyle w:val="Body"/>
      </w:pPr>
      <w:r>
        <w:t>Funding for public hospital services is based on the number of weighted services provided to patients, and the price to be paid for delivering those services.</w:t>
      </w:r>
    </w:p>
    <w:p w14:paraId="3387628B" w14:textId="54233D3B" w:rsidR="00521E4F" w:rsidRDefault="009D2639" w:rsidP="009D2639">
      <w:pPr>
        <w:pStyle w:val="Body"/>
      </w:pPr>
      <w:r>
        <w:t xml:space="preserve">Activity based funding enables efficiency comparisons to be made between hospitals, and allows system and hospital managers to identify inefficient practices, manage costs and optimise resource allocation. It is a useful tool to measure hospital performance </w:t>
      </w:r>
      <w:r>
        <w:t>and to establish appropriate benchmarks.</w:t>
      </w:r>
    </w:p>
    <w:p w14:paraId="483CF927" w14:textId="559B932E" w:rsidR="00181B5D" w:rsidRDefault="00181B5D" w:rsidP="00181B5D">
      <w:pPr>
        <w:pStyle w:val="Body"/>
      </w:pPr>
      <w:r>
        <w:t xml:space="preserve">The </w:t>
      </w:r>
      <w:hyperlink r:id="rId32" w:history="1">
        <w:r w:rsidR="001A6073" w:rsidRPr="00181B5D">
          <w:rPr>
            <w:rStyle w:val="Hyperlink"/>
          </w:rPr>
          <w:t>national efficient price</w:t>
        </w:r>
      </w:hyperlink>
      <w:r>
        <w:t xml:space="preserve"> underpins the implementation of activity based funding.</w:t>
      </w:r>
    </w:p>
    <w:p w14:paraId="1E468E5F" w14:textId="77777777" w:rsidR="006A15CF" w:rsidRDefault="006A15CF" w:rsidP="006A15CF">
      <w:pPr>
        <w:pStyle w:val="Body"/>
      </w:pPr>
      <w:r>
        <w:t>Each financial year, IHPA releases the annual National Efficient Price and National Efficient Cost Determinations.</w:t>
      </w:r>
    </w:p>
    <w:p w14:paraId="13D0A071" w14:textId="34B03AE6" w:rsidR="006A15CF" w:rsidRDefault="006A15CF" w:rsidP="006A15CF">
      <w:pPr>
        <w:pStyle w:val="Body"/>
      </w:pPr>
      <w:r w:rsidRPr="005D7BC3">
        <w:t>These Determinations, in conjunction with data regarding the actual value and type of hospital services provided by states and territories, are used by the Administrator of the National Health Funding Pool to calculate the Commonwealth funding contribution to public hospitals.</w:t>
      </w:r>
    </w:p>
    <w:p w14:paraId="662F39BD" w14:textId="364EA13C" w:rsidR="00181B5D" w:rsidRDefault="00181B5D" w:rsidP="00181B5D">
      <w:pPr>
        <w:pStyle w:val="Body"/>
      </w:pPr>
      <w:r>
        <w:t>In 2019–20, national classifications were used to fund the following service categories on an activity basis:</w:t>
      </w:r>
    </w:p>
    <w:p w14:paraId="3CC6E911" w14:textId="265F2D4D" w:rsidR="00181B5D" w:rsidRDefault="00181B5D" w:rsidP="00181B5D">
      <w:pPr>
        <w:pStyle w:val="Bullets"/>
      </w:pPr>
      <w:r>
        <w:t>admitted acute services</w:t>
      </w:r>
    </w:p>
    <w:p w14:paraId="35E8101C" w14:textId="0620F21B" w:rsidR="00181B5D" w:rsidRDefault="00181B5D" w:rsidP="00181B5D">
      <w:pPr>
        <w:pStyle w:val="Bullets"/>
      </w:pPr>
      <w:r>
        <w:t>admitted mental health services</w:t>
      </w:r>
    </w:p>
    <w:p w14:paraId="22BEE155" w14:textId="126C06FB" w:rsidR="00181B5D" w:rsidRDefault="00181B5D" w:rsidP="00181B5D">
      <w:pPr>
        <w:pStyle w:val="Bullets"/>
      </w:pPr>
      <w:r>
        <w:t>subacute and non</w:t>
      </w:r>
      <w:r w:rsidR="00BE3AD8">
        <w:t>-</w:t>
      </w:r>
      <w:r>
        <w:t>acute services</w:t>
      </w:r>
    </w:p>
    <w:p w14:paraId="0FD74795" w14:textId="1A3DEB22" w:rsidR="00181B5D" w:rsidRDefault="00181B5D" w:rsidP="00181B5D">
      <w:pPr>
        <w:pStyle w:val="Bullets"/>
      </w:pPr>
      <w:r>
        <w:t>emergency department services</w:t>
      </w:r>
    </w:p>
    <w:p w14:paraId="7A8B2CB5" w14:textId="2BB90EC1" w:rsidR="009D5797" w:rsidRDefault="00181B5D" w:rsidP="00181B5D">
      <w:pPr>
        <w:pStyle w:val="Bulletslast"/>
      </w:pPr>
      <w:r>
        <w:t>non</w:t>
      </w:r>
      <w:r w:rsidR="00BE3AD8">
        <w:t>-</w:t>
      </w:r>
      <w:r>
        <w:t>admitted services</w:t>
      </w:r>
      <w:r w:rsidR="002119C8">
        <w:t>.</w:t>
      </w:r>
    </w:p>
    <w:p w14:paraId="5B95A255" w14:textId="006D1AA2" w:rsidR="00BC7350" w:rsidRDefault="00BC7350" w:rsidP="00BC7350">
      <w:pPr>
        <w:pStyle w:val="FigureHeading"/>
      </w:pPr>
      <w:bookmarkStart w:id="36" w:name="_Toc48830263"/>
      <w:r>
        <w:t>Figure 1: National Efficient Price 2020–21</w:t>
      </w:r>
      <w:bookmarkEnd w:id="36"/>
    </w:p>
    <w:p w14:paraId="74A35EFD" w14:textId="761AA8A6" w:rsidR="00BC7350" w:rsidRDefault="00BC7350" w:rsidP="00BC7350">
      <w:pPr>
        <w:pStyle w:val="Body"/>
      </w:pPr>
      <w:r>
        <w:rPr>
          <w:noProof/>
          <w:lang w:val="en-GB" w:eastAsia="en-GB"/>
        </w:rPr>
        <w:lastRenderedPageBreak/>
        <w:drawing>
          <wp:inline distT="0" distB="0" distL="0" distR="0" wp14:anchorId="77C4CFC7" wp14:editId="0451E34E">
            <wp:extent cx="1911350" cy="1716906"/>
            <wp:effectExtent l="0" t="0" r="0" b="0"/>
            <wp:docPr id="9" name="Picture 9" descr="National Efficient Price 2020-21&#10;$5,320 Average cost of an episode of care in a public hospital&#10;480 Australian public hospitals receive funding based on their activity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ational Efficient Price 2020-21&#10;$5,320 Average cost of an episode of care in a public hospital&#10;480 Australian public hospitals receive funding based on their activity levels"/>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919780" cy="1724478"/>
                    </a:xfrm>
                    <a:prstGeom prst="rect">
                      <a:avLst/>
                    </a:prstGeom>
                    <a:noFill/>
                    <a:ln>
                      <a:noFill/>
                    </a:ln>
                  </pic:spPr>
                </pic:pic>
              </a:graphicData>
            </a:graphic>
          </wp:inline>
        </w:drawing>
      </w:r>
    </w:p>
    <w:p w14:paraId="60DAA695" w14:textId="688F38E8" w:rsidR="00EB1D58" w:rsidRDefault="00EB1D58" w:rsidP="009D5797">
      <w:pPr>
        <w:pStyle w:val="Body"/>
        <w:sectPr w:rsidR="00EB1D58" w:rsidSect="009D2639">
          <w:type w:val="continuous"/>
          <w:pgSz w:w="9979" w:h="14175" w:code="13"/>
          <w:pgMar w:top="1134" w:right="1418" w:bottom="1418" w:left="1418" w:header="709" w:footer="709" w:gutter="0"/>
          <w:cols w:num="2" w:space="708"/>
          <w:docGrid w:linePitch="360"/>
        </w:sectPr>
      </w:pPr>
    </w:p>
    <w:p w14:paraId="41A61FD9" w14:textId="7A1C1DDF" w:rsidR="00785DFA" w:rsidRDefault="00785DFA" w:rsidP="00A0150A">
      <w:pPr>
        <w:pStyle w:val="Body"/>
      </w:pPr>
      <w:r w:rsidRPr="00785DFA">
        <w:lastRenderedPageBreak/>
        <w:t>The building blocks required for an activity based funding system are discussed below.</w:t>
      </w:r>
    </w:p>
    <w:p w14:paraId="23B2FC9C" w14:textId="77777777" w:rsidR="00B14BE5" w:rsidRDefault="00B14BE5" w:rsidP="00A0150A">
      <w:pPr>
        <w:pStyle w:val="Body"/>
      </w:pPr>
    </w:p>
    <w:p w14:paraId="3FE27188" w14:textId="77777777" w:rsidR="00580891" w:rsidRDefault="00580891" w:rsidP="00A0150A">
      <w:pPr>
        <w:pStyle w:val="Body"/>
        <w:sectPr w:rsidR="00580891" w:rsidSect="00EB1D58">
          <w:pgSz w:w="9979" w:h="14175" w:code="13"/>
          <w:pgMar w:top="1134" w:right="1418" w:bottom="1418" w:left="1418" w:header="709" w:footer="709" w:gutter="0"/>
          <w:cols w:space="708"/>
          <w:docGrid w:linePitch="360"/>
        </w:sectPr>
      </w:pPr>
    </w:p>
    <w:tbl>
      <w:tblPr>
        <w:tblStyle w:val="TableGrid"/>
        <w:tblW w:w="516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142" w:type="dxa"/>
        </w:tblCellMar>
        <w:tblLook w:val="04A0" w:firstRow="1" w:lastRow="0" w:firstColumn="1" w:lastColumn="0" w:noHBand="0" w:noVBand="1"/>
      </w:tblPr>
      <w:tblGrid>
        <w:gridCol w:w="1517"/>
        <w:gridCol w:w="2172"/>
        <w:gridCol w:w="1517"/>
        <w:gridCol w:w="2173"/>
      </w:tblGrid>
      <w:tr w:rsidR="00580891" w14:paraId="6850669B" w14:textId="77777777" w:rsidTr="00F24CDA">
        <w:trPr>
          <w:trHeight w:val="1134"/>
        </w:trPr>
        <w:tc>
          <w:tcPr>
            <w:tcW w:w="1011" w:type="pct"/>
            <w:vAlign w:val="center"/>
          </w:tcPr>
          <w:p w14:paraId="47696DC5" w14:textId="2B594A79" w:rsidR="00580891" w:rsidRPr="00580891" w:rsidRDefault="00580891" w:rsidP="00580891">
            <w:pPr>
              <w:pStyle w:val="H3"/>
              <w:spacing w:before="0"/>
              <w:rPr>
                <w:color w:val="003F2C" w:themeColor="text1"/>
              </w:rPr>
            </w:pPr>
            <w:r>
              <w:rPr>
                <w:noProof/>
                <w:lang w:val="en-GB" w:eastAsia="en-GB"/>
              </w:rPr>
              <w:drawing>
                <wp:inline distT="0" distB="0" distL="0" distR="0" wp14:anchorId="1B8ADF86" wp14:editId="7451C633">
                  <wp:extent cx="805135" cy="720000"/>
                  <wp:effectExtent l="0" t="0" r="0" b="4445"/>
                  <wp:docPr id="7" name="Picture 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805135" cy="720000"/>
                          </a:xfrm>
                          <a:prstGeom prst="rect">
                            <a:avLst/>
                          </a:prstGeom>
                          <a:noFill/>
                          <a:ln>
                            <a:noFill/>
                          </a:ln>
                        </pic:spPr>
                      </pic:pic>
                    </a:graphicData>
                  </a:graphic>
                </wp:inline>
              </w:drawing>
            </w:r>
          </w:p>
        </w:tc>
        <w:tc>
          <w:tcPr>
            <w:tcW w:w="1489" w:type="pct"/>
            <w:vAlign w:val="center"/>
          </w:tcPr>
          <w:p w14:paraId="282D8848" w14:textId="00265CC1" w:rsidR="00580891" w:rsidRPr="00580891" w:rsidRDefault="00580891" w:rsidP="00B14BE5">
            <w:pPr>
              <w:pStyle w:val="H3"/>
              <w:spacing w:before="0"/>
              <w:rPr>
                <w:color w:val="003F2C" w:themeColor="text1"/>
              </w:rPr>
            </w:pPr>
            <w:r w:rsidRPr="00A70D06">
              <w:rPr>
                <w:color w:val="003F2C" w:themeColor="text1"/>
              </w:rPr>
              <w:t>Data collection</w:t>
            </w:r>
          </w:p>
        </w:tc>
        <w:tc>
          <w:tcPr>
            <w:tcW w:w="1011" w:type="pct"/>
            <w:vAlign w:val="center"/>
          </w:tcPr>
          <w:p w14:paraId="3BB0EA70" w14:textId="64143A1D" w:rsidR="00580891" w:rsidRPr="00580891" w:rsidRDefault="00580891" w:rsidP="00580891">
            <w:pPr>
              <w:pStyle w:val="H3"/>
              <w:spacing w:before="0"/>
              <w:rPr>
                <w:color w:val="003F2C" w:themeColor="text1"/>
              </w:rPr>
            </w:pPr>
            <w:r>
              <w:rPr>
                <w:noProof/>
                <w:lang w:val="en-GB" w:eastAsia="en-GB"/>
              </w:rPr>
              <w:drawing>
                <wp:inline distT="0" distB="0" distL="0" distR="0" wp14:anchorId="770657A1" wp14:editId="6F4EC282">
                  <wp:extent cx="805135" cy="720000"/>
                  <wp:effectExtent l="0" t="0" r="0" b="4445"/>
                  <wp:docPr id="10" name="Picture 1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805135" cy="720000"/>
                          </a:xfrm>
                          <a:prstGeom prst="rect">
                            <a:avLst/>
                          </a:prstGeom>
                          <a:noFill/>
                          <a:ln>
                            <a:noFill/>
                          </a:ln>
                        </pic:spPr>
                      </pic:pic>
                    </a:graphicData>
                  </a:graphic>
                </wp:inline>
              </w:drawing>
            </w:r>
          </w:p>
        </w:tc>
        <w:tc>
          <w:tcPr>
            <w:tcW w:w="1489" w:type="pct"/>
            <w:vAlign w:val="center"/>
          </w:tcPr>
          <w:p w14:paraId="0D1E8E93" w14:textId="01ED697F" w:rsidR="00580891" w:rsidRPr="00B14BE5" w:rsidRDefault="00B14BE5" w:rsidP="00B14BE5">
            <w:pPr>
              <w:pStyle w:val="H3"/>
              <w:spacing w:before="0"/>
              <w:rPr>
                <w:color w:val="003F2C" w:themeColor="text1"/>
              </w:rPr>
            </w:pPr>
            <w:r w:rsidRPr="00A70D06">
              <w:rPr>
                <w:color w:val="003F2C" w:themeColor="text1"/>
              </w:rPr>
              <w:t>C</w:t>
            </w:r>
            <w:r>
              <w:rPr>
                <w:color w:val="003F2C" w:themeColor="text1"/>
              </w:rPr>
              <w:t>lassification</w:t>
            </w:r>
          </w:p>
        </w:tc>
      </w:tr>
      <w:tr w:rsidR="00580891" w14:paraId="10D472E0" w14:textId="77777777" w:rsidTr="00F24CDA">
        <w:trPr>
          <w:trHeight w:val="2152"/>
        </w:trPr>
        <w:tc>
          <w:tcPr>
            <w:tcW w:w="2500" w:type="pct"/>
            <w:gridSpan w:val="2"/>
          </w:tcPr>
          <w:p w14:paraId="11B67A44" w14:textId="7486367A" w:rsidR="00580891" w:rsidRPr="00B14BE5" w:rsidRDefault="00580891" w:rsidP="00B14BE5">
            <w:pPr>
              <w:pStyle w:val="Body"/>
              <w:spacing w:before="240"/>
            </w:pPr>
            <w:r w:rsidRPr="00B14BE5">
              <w:t>For activity based funding to be effective, each</w:t>
            </w:r>
            <w:r w:rsidR="00C54631">
              <w:t> </w:t>
            </w:r>
            <w:r w:rsidRPr="00B14BE5">
              <w:t>patient episode needs to be counted. This</w:t>
            </w:r>
            <w:r w:rsidR="00C54631">
              <w:t> </w:t>
            </w:r>
            <w:r w:rsidRPr="00B14BE5">
              <w:t xml:space="preserve">includes inpatient admissions, </w:t>
            </w:r>
            <w:r w:rsidR="00D4060F">
              <w:t xml:space="preserve">including mental health and subacute services, </w:t>
            </w:r>
            <w:r w:rsidRPr="00B14BE5">
              <w:t>emergency</w:t>
            </w:r>
            <w:r w:rsidR="00C54631">
              <w:t> </w:t>
            </w:r>
            <w:r w:rsidRPr="00B14BE5">
              <w:t>department presentations and</w:t>
            </w:r>
            <w:r w:rsidR="00D4060F">
              <w:t> outpatient service events.</w:t>
            </w:r>
          </w:p>
        </w:tc>
        <w:tc>
          <w:tcPr>
            <w:tcW w:w="2500" w:type="pct"/>
            <w:gridSpan w:val="2"/>
          </w:tcPr>
          <w:p w14:paraId="313D1ED4" w14:textId="35008BF8" w:rsidR="00580891" w:rsidRPr="00B14BE5" w:rsidRDefault="00B14BE5" w:rsidP="00B14BE5">
            <w:pPr>
              <w:pStyle w:val="Body"/>
              <w:spacing w:before="240"/>
            </w:pPr>
            <w:r w:rsidRPr="00785DFA">
              <w:t>Classifications provide the healthcare sector with a nationally consistent method of classifying all types of patients, their treatment and associated costs to provide better management, measurement and funding of high</w:t>
            </w:r>
            <w:r w:rsidRPr="00785DFA">
              <w:rPr>
                <w:rFonts w:ascii="Cambria Math" w:hAnsi="Cambria Math" w:cs="Cambria Math"/>
              </w:rPr>
              <w:t>‑</w:t>
            </w:r>
            <w:r w:rsidRPr="00785DFA">
              <w:t>quality and</w:t>
            </w:r>
            <w:r w:rsidR="00C54631">
              <w:t> </w:t>
            </w:r>
            <w:r w:rsidRPr="00785DFA">
              <w:t>efficient health care.</w:t>
            </w:r>
          </w:p>
        </w:tc>
      </w:tr>
      <w:tr w:rsidR="00580891" w14:paraId="5F14BB36" w14:textId="77777777" w:rsidTr="00F24CDA">
        <w:trPr>
          <w:trHeight w:val="1134"/>
        </w:trPr>
        <w:tc>
          <w:tcPr>
            <w:tcW w:w="1011" w:type="pct"/>
            <w:vAlign w:val="center"/>
          </w:tcPr>
          <w:p w14:paraId="44BDA514" w14:textId="35311D7A" w:rsidR="00580891" w:rsidRDefault="00580891" w:rsidP="00580891">
            <w:pPr>
              <w:pStyle w:val="Body"/>
            </w:pPr>
            <w:r>
              <w:rPr>
                <w:noProof/>
                <w:lang w:val="en-GB" w:eastAsia="en-GB"/>
              </w:rPr>
              <w:drawing>
                <wp:inline distT="0" distB="0" distL="0" distR="0" wp14:anchorId="38449A14" wp14:editId="0EBE0E39">
                  <wp:extent cx="805135" cy="720000"/>
                  <wp:effectExtent l="0" t="0" r="0" b="4445"/>
                  <wp:docPr id="8" name="Picture 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805135" cy="720000"/>
                          </a:xfrm>
                          <a:prstGeom prst="rect">
                            <a:avLst/>
                          </a:prstGeom>
                          <a:noFill/>
                          <a:ln>
                            <a:noFill/>
                          </a:ln>
                        </pic:spPr>
                      </pic:pic>
                    </a:graphicData>
                  </a:graphic>
                </wp:inline>
              </w:drawing>
            </w:r>
          </w:p>
        </w:tc>
        <w:tc>
          <w:tcPr>
            <w:tcW w:w="1489" w:type="pct"/>
            <w:vAlign w:val="center"/>
          </w:tcPr>
          <w:p w14:paraId="00603FB2" w14:textId="385C493E" w:rsidR="00580891" w:rsidRPr="00B14BE5" w:rsidRDefault="00B14BE5" w:rsidP="00B14BE5">
            <w:pPr>
              <w:pStyle w:val="H3"/>
              <w:spacing w:before="0"/>
              <w:rPr>
                <w:color w:val="003F2C" w:themeColor="text1"/>
              </w:rPr>
            </w:pPr>
            <w:r w:rsidRPr="00A70D06">
              <w:rPr>
                <w:color w:val="003F2C" w:themeColor="text1"/>
              </w:rPr>
              <w:t>Costing</w:t>
            </w:r>
          </w:p>
        </w:tc>
        <w:tc>
          <w:tcPr>
            <w:tcW w:w="1011" w:type="pct"/>
            <w:vAlign w:val="center"/>
          </w:tcPr>
          <w:p w14:paraId="4147B645" w14:textId="084ABFF3" w:rsidR="00580891" w:rsidRDefault="00580891" w:rsidP="00580891">
            <w:pPr>
              <w:pStyle w:val="Body"/>
            </w:pPr>
            <w:r>
              <w:rPr>
                <w:noProof/>
                <w:lang w:val="en-GB" w:eastAsia="en-GB"/>
              </w:rPr>
              <w:drawing>
                <wp:inline distT="0" distB="0" distL="0" distR="0" wp14:anchorId="36B27ECE" wp14:editId="6F6BB6C9">
                  <wp:extent cx="805135" cy="720000"/>
                  <wp:effectExtent l="0" t="0" r="0" b="4445"/>
                  <wp:docPr id="11" name="Picture 1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805135" cy="720000"/>
                          </a:xfrm>
                          <a:prstGeom prst="rect">
                            <a:avLst/>
                          </a:prstGeom>
                          <a:noFill/>
                          <a:ln>
                            <a:noFill/>
                          </a:ln>
                        </pic:spPr>
                      </pic:pic>
                    </a:graphicData>
                  </a:graphic>
                </wp:inline>
              </w:drawing>
            </w:r>
          </w:p>
        </w:tc>
        <w:tc>
          <w:tcPr>
            <w:tcW w:w="1489" w:type="pct"/>
            <w:vAlign w:val="center"/>
          </w:tcPr>
          <w:p w14:paraId="77284610" w14:textId="002233D6" w:rsidR="00580891" w:rsidRPr="00B14BE5" w:rsidRDefault="00B14BE5" w:rsidP="00B14BE5">
            <w:pPr>
              <w:pStyle w:val="H3"/>
              <w:spacing w:before="0"/>
              <w:rPr>
                <w:color w:val="003F2C" w:themeColor="text1"/>
              </w:rPr>
            </w:pPr>
            <w:r>
              <w:rPr>
                <w:color w:val="003F2C" w:themeColor="text1"/>
              </w:rPr>
              <w:t>Pricing</w:t>
            </w:r>
          </w:p>
        </w:tc>
      </w:tr>
      <w:tr w:rsidR="00580891" w14:paraId="22D8CC91" w14:textId="77777777" w:rsidTr="00F24CDA">
        <w:trPr>
          <w:trHeight w:val="2551"/>
        </w:trPr>
        <w:tc>
          <w:tcPr>
            <w:tcW w:w="2500" w:type="pct"/>
            <w:gridSpan w:val="2"/>
          </w:tcPr>
          <w:p w14:paraId="2A8F5AF2" w14:textId="48F7AA29" w:rsidR="00580891" w:rsidRPr="00B14BE5" w:rsidRDefault="00B14BE5" w:rsidP="00B14BE5">
            <w:pPr>
              <w:pStyle w:val="Body"/>
              <w:spacing w:before="240"/>
            </w:pPr>
            <w:r w:rsidRPr="00B14BE5">
              <w:t>In activity based funding it is essential to</w:t>
            </w:r>
            <w:r w:rsidR="009F5394">
              <w:t> </w:t>
            </w:r>
            <w:r w:rsidRPr="00B14BE5">
              <w:t>understand the total costs involved in providing</w:t>
            </w:r>
            <w:r w:rsidR="009F5394">
              <w:t> </w:t>
            </w:r>
            <w:r w:rsidRPr="00B14BE5">
              <w:t>hospital services</w:t>
            </w:r>
            <w:r w:rsidR="00C54631">
              <w:t> </w:t>
            </w:r>
            <w:r w:rsidRPr="00B14BE5">
              <w:t>to a patient, and</w:t>
            </w:r>
            <w:r w:rsidR="009F5394">
              <w:t> </w:t>
            </w:r>
            <w:r w:rsidRPr="00B14BE5">
              <w:t>assign costs</w:t>
            </w:r>
            <w:r w:rsidR="009F5394">
              <w:t> </w:t>
            </w:r>
            <w:r w:rsidRPr="00B14BE5">
              <w:t>based on</w:t>
            </w:r>
            <w:r w:rsidR="00C54631">
              <w:t> </w:t>
            </w:r>
            <w:r w:rsidRPr="00B14BE5">
              <w:t>resource</w:t>
            </w:r>
            <w:r w:rsidR="00C54631">
              <w:t> </w:t>
            </w:r>
            <w:r w:rsidRPr="00B14BE5">
              <w:t>consumption. IHPA</w:t>
            </w:r>
            <w:r w:rsidR="009F5394">
              <w:t> </w:t>
            </w:r>
            <w:r w:rsidR="0045013C">
              <w:t>compiles</w:t>
            </w:r>
            <w:r w:rsidR="009F5394">
              <w:t> </w:t>
            </w:r>
            <w:r w:rsidRPr="00B14BE5">
              <w:t>the National Hospital Cost Data Collection</w:t>
            </w:r>
            <w:r w:rsidR="009F5394">
              <w:t> </w:t>
            </w:r>
            <w:r w:rsidRPr="00B14BE5">
              <w:t>annually. This information is used for developing the classification systems and for the</w:t>
            </w:r>
            <w:r w:rsidR="009F5394">
              <w:t> </w:t>
            </w:r>
            <w:r w:rsidR="00D4060F">
              <w:t xml:space="preserve">national </w:t>
            </w:r>
            <w:r w:rsidRPr="00B14BE5">
              <w:t>pricing model.</w:t>
            </w:r>
          </w:p>
        </w:tc>
        <w:tc>
          <w:tcPr>
            <w:tcW w:w="2500" w:type="pct"/>
            <w:gridSpan w:val="2"/>
          </w:tcPr>
          <w:p w14:paraId="0BA70E35" w14:textId="0550B53B" w:rsidR="00580891" w:rsidRPr="00B14BE5" w:rsidRDefault="00B14BE5" w:rsidP="00B14BE5">
            <w:pPr>
              <w:pStyle w:val="Body"/>
              <w:spacing w:before="240"/>
            </w:pPr>
            <w:r w:rsidRPr="00B14BE5">
              <w:t>The pricing model determines how much is paid</w:t>
            </w:r>
            <w:r w:rsidR="00A00D78">
              <w:t> </w:t>
            </w:r>
            <w:r w:rsidRPr="00B14BE5">
              <w:t xml:space="preserve">for an average patient. The pricing model adequately recognises factors that increase the cost of care that may not be </w:t>
            </w:r>
            <w:r w:rsidR="00D4060F">
              <w:t>accounted for</w:t>
            </w:r>
            <w:r w:rsidRPr="00B14BE5">
              <w:t xml:space="preserve"> in the classification system. For example, the additional cost of providing health services in remote areas, or to children.</w:t>
            </w:r>
          </w:p>
        </w:tc>
      </w:tr>
    </w:tbl>
    <w:p w14:paraId="4ED1EF1B" w14:textId="5B20B996" w:rsidR="00F1130F" w:rsidRDefault="00785DFA" w:rsidP="00A0150A">
      <w:pPr>
        <w:pStyle w:val="Body"/>
        <w:sectPr w:rsidR="00F1130F" w:rsidSect="00580891">
          <w:type w:val="continuous"/>
          <w:pgSz w:w="9979" w:h="14175" w:code="13"/>
          <w:pgMar w:top="1134" w:right="1418" w:bottom="1418" w:left="1418" w:header="709" w:footer="709" w:gutter="0"/>
          <w:cols w:space="708"/>
          <w:docGrid w:linePitch="360"/>
        </w:sectPr>
      </w:pPr>
      <w:r w:rsidRPr="00785DFA">
        <w:t xml:space="preserve">Further details of the activity based funding, including its requirements, are available at </w:t>
      </w:r>
      <w:hyperlink r:id="rId38" w:history="1">
        <w:r w:rsidR="008A38F8">
          <w:rPr>
            <w:rStyle w:val="Hyperlink"/>
          </w:rPr>
          <w:t>www.ihpa.gov.au/what‑we‑do</w:t>
        </w:r>
      </w:hyperlink>
      <w:r w:rsidR="00F1130F">
        <w:br w:type="page"/>
      </w:r>
    </w:p>
    <w:p w14:paraId="72DD9D12" w14:textId="77777777" w:rsidR="003F25AC" w:rsidRDefault="003F25AC" w:rsidP="003F25AC">
      <w:pPr>
        <w:pStyle w:val="Body"/>
      </w:pPr>
      <w:r w:rsidRPr="00A70D06">
        <w:rPr>
          <w:rStyle w:val="H3Char"/>
          <w:color w:val="003F2C" w:themeColor="text1"/>
        </w:rPr>
        <w:lastRenderedPageBreak/>
        <w:t>Block funding</w:t>
      </w:r>
    </w:p>
    <w:p w14:paraId="3ADFBDD7" w14:textId="77777777" w:rsidR="003F25AC" w:rsidRDefault="003F25AC" w:rsidP="003F25AC">
      <w:pPr>
        <w:pStyle w:val="Body"/>
      </w:pPr>
      <w:r>
        <w:t xml:space="preserve">The </w:t>
      </w:r>
      <w:hyperlink r:id="rId39" w:history="1">
        <w:r w:rsidRPr="00F1130F">
          <w:rPr>
            <w:rStyle w:val="Hyperlink"/>
          </w:rPr>
          <w:t>national efficient cost</w:t>
        </w:r>
      </w:hyperlink>
      <w:r>
        <w:t xml:space="preserve"> underpins funding for services that are not suitable for activity based funding, such as:</w:t>
      </w:r>
    </w:p>
    <w:p w14:paraId="3482B626" w14:textId="77777777" w:rsidR="003F25AC" w:rsidRDefault="003F25AC" w:rsidP="003F25AC">
      <w:pPr>
        <w:pStyle w:val="Bullets"/>
      </w:pPr>
      <w:r>
        <w:t>small rural and regional hospitals</w:t>
      </w:r>
    </w:p>
    <w:p w14:paraId="1592AFDE" w14:textId="77777777" w:rsidR="003F25AC" w:rsidRDefault="003F25AC" w:rsidP="003F25AC">
      <w:pPr>
        <w:pStyle w:val="Bullets"/>
      </w:pPr>
      <w:r>
        <w:t>teaching, training and research in public hospitals</w:t>
      </w:r>
    </w:p>
    <w:p w14:paraId="377185E1" w14:textId="77777777" w:rsidR="003F25AC" w:rsidRDefault="003F25AC" w:rsidP="003F25AC">
      <w:pPr>
        <w:pStyle w:val="Bulletslast"/>
      </w:pPr>
      <w:r>
        <w:t>non-admitted mental health.</w:t>
      </w:r>
    </w:p>
    <w:p w14:paraId="1929E55A" w14:textId="77777777" w:rsidR="003F25AC" w:rsidRDefault="003F25AC" w:rsidP="003F25AC">
      <w:pPr>
        <w:pStyle w:val="Body"/>
      </w:pPr>
      <w:r>
        <w:t>The national efficient cost represents the average cost of Commonwealth funding contribution on a block grant basis for small rural hospitals.</w:t>
      </w:r>
    </w:p>
    <w:p w14:paraId="775074A6" w14:textId="6558ECF1" w:rsidR="003F25AC" w:rsidRDefault="003F25AC" w:rsidP="003F25AC">
      <w:pPr>
        <w:pStyle w:val="Body"/>
      </w:pPr>
      <w:r>
        <w:t>The national efficient cost is determined using the in</w:t>
      </w:r>
      <w:r>
        <w:rPr>
          <w:rFonts w:ascii="Cambria Math" w:hAnsi="Cambria Math" w:cs="Cambria Math"/>
        </w:rPr>
        <w:t>‑</w:t>
      </w:r>
      <w:r>
        <w:t>scope activity and expenditure data for</w:t>
      </w:r>
      <w:r w:rsidR="00E34501">
        <w:t> </w:t>
      </w:r>
      <w:r>
        <w:t>hospitals to be block funded. For the 2020–‍21 national efficient cost, a new cost model based on a fixed-plus-variable structure has been introduced in consultation with states and territories. This new model has a more sophisticated approach in calculating block funding to better reflect the changes in activity delivered in small rural hospitals, and</w:t>
      </w:r>
      <w:r w:rsidR="007C0A76">
        <w:t> </w:t>
      </w:r>
      <w:r>
        <w:t>it ensures there is no disincentive for states to provide services in rural areas.</w:t>
      </w:r>
    </w:p>
    <w:p w14:paraId="1DB0350C" w14:textId="636A584B" w:rsidR="003F25AC" w:rsidRDefault="00F1130F" w:rsidP="003F25AC">
      <w:pPr>
        <w:pStyle w:val="FigureHeading"/>
        <w:spacing w:before="0"/>
      </w:pPr>
      <w:r>
        <w:br w:type="column"/>
      </w:r>
      <w:bookmarkStart w:id="37" w:name="_Toc48830264"/>
      <w:r w:rsidR="003F25AC" w:rsidRPr="00BC7350">
        <w:t xml:space="preserve">Figure 2: National Efficient Cost </w:t>
      </w:r>
      <w:bookmarkStart w:id="38" w:name="_GoBack"/>
      <w:bookmarkEnd w:id="38"/>
      <w:r w:rsidR="003F25AC" w:rsidRPr="00BC7350">
        <w:t>2020</w:t>
      </w:r>
      <w:r w:rsidR="003F25AC">
        <w:t>–</w:t>
      </w:r>
      <w:r w:rsidR="003F25AC" w:rsidRPr="00BC7350">
        <w:t>21</w:t>
      </w:r>
      <w:bookmarkEnd w:id="37"/>
    </w:p>
    <w:p w14:paraId="5E461F0E" w14:textId="0BEFC3FC" w:rsidR="00BC7350" w:rsidRDefault="003F25AC" w:rsidP="003F25AC">
      <w:pPr>
        <w:pStyle w:val="Body"/>
      </w:pPr>
      <w:r>
        <w:rPr>
          <w:noProof/>
          <w:lang w:val="en-GB" w:eastAsia="en-GB"/>
        </w:rPr>
        <w:drawing>
          <wp:inline distT="0" distB="0" distL="0" distR="0" wp14:anchorId="083E5DFC" wp14:editId="3D96DD22">
            <wp:extent cx="2119896" cy="1904235"/>
            <wp:effectExtent l="0" t="0" r="0" b="1270"/>
            <wp:docPr id="1" name="Picture 1" descr="National Efficient Cost 2020-21&#10;$2.040 million NEC fixed cost and the variable cost is $5,687 per NWAU.&#10;373 small rural hospitals receive a fixed amount of funding based on location, size and type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tional Efficient Cost 2020-21&#10;$2.040 million NEC fixed cost and the variable cost is $5,687 per NWAU.&#10;373 small rural hospitals receive a fixed amount of funding based on location, size and type of services"/>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119896" cy="1904235"/>
                    </a:xfrm>
                    <a:prstGeom prst="rect">
                      <a:avLst/>
                    </a:prstGeom>
                    <a:noFill/>
                    <a:ln>
                      <a:noFill/>
                    </a:ln>
                  </pic:spPr>
                </pic:pic>
              </a:graphicData>
            </a:graphic>
          </wp:inline>
        </w:drawing>
      </w:r>
    </w:p>
    <w:p w14:paraId="20CAC879" w14:textId="543DB498" w:rsidR="00BC7350" w:rsidRDefault="00BC7350" w:rsidP="00F1130F">
      <w:pPr>
        <w:pStyle w:val="Body"/>
        <w:sectPr w:rsidR="00BC7350" w:rsidSect="00F1130F">
          <w:pgSz w:w="9979" w:h="14175" w:code="13"/>
          <w:pgMar w:top="1134" w:right="1418" w:bottom="1418" w:left="1418" w:header="709" w:footer="709" w:gutter="0"/>
          <w:cols w:num="2" w:space="708"/>
          <w:docGrid w:linePitch="360"/>
        </w:sectPr>
      </w:pPr>
    </w:p>
    <w:p w14:paraId="7F6B783D" w14:textId="67AEEEB2" w:rsidR="00785DFA" w:rsidRPr="00936074" w:rsidRDefault="004F57E6" w:rsidP="004F57E6">
      <w:pPr>
        <w:pStyle w:val="Heading1"/>
        <w:rPr>
          <w:color w:val="003F2C" w:themeColor="text2"/>
        </w:rPr>
      </w:pPr>
      <w:bookmarkStart w:id="39" w:name="_Organisational_structure"/>
      <w:bookmarkStart w:id="40" w:name="_Toc44350174"/>
      <w:bookmarkStart w:id="41" w:name="_Toc50378065"/>
      <w:bookmarkEnd w:id="39"/>
      <w:r w:rsidRPr="00936074">
        <w:rPr>
          <w:color w:val="003F2C" w:themeColor="text2"/>
        </w:rPr>
        <w:lastRenderedPageBreak/>
        <w:t>Organisational structure</w:t>
      </w:r>
      <w:bookmarkEnd w:id="40"/>
      <w:bookmarkEnd w:id="41"/>
    </w:p>
    <w:p w14:paraId="3D0807D1" w14:textId="3F57E3BD" w:rsidR="004F57E6" w:rsidRDefault="004F57E6" w:rsidP="008D59C0">
      <w:pPr>
        <w:pStyle w:val="FigureHeading"/>
      </w:pPr>
      <w:bookmarkStart w:id="42" w:name="_Toc48830265"/>
      <w:r>
        <w:t xml:space="preserve">Figure 3: IHPA’s organisational structure as at </w:t>
      </w:r>
      <w:r w:rsidR="00BF69CB">
        <w:t xml:space="preserve">30 June </w:t>
      </w:r>
      <w:r w:rsidRPr="004F57E6">
        <w:t>2020</w:t>
      </w:r>
      <w:bookmarkEnd w:id="42"/>
    </w:p>
    <w:p w14:paraId="6E0BCB10" w14:textId="422C03D4" w:rsidR="008D59C0" w:rsidRDefault="008D59C0" w:rsidP="000E3F4A">
      <w:pPr>
        <w:pStyle w:val="Body"/>
        <w:spacing w:after="480"/>
      </w:pPr>
      <w:r>
        <w:rPr>
          <w:noProof/>
          <w:lang w:val="en-GB" w:eastAsia="en-GB"/>
        </w:rPr>
        <w:drawing>
          <wp:inline distT="0" distB="0" distL="0" distR="0" wp14:anchorId="11E93A40" wp14:editId="11B97473">
            <wp:extent cx="4528539" cy="2889248"/>
            <wp:effectExtent l="0" t="0" r="5715" b="6985"/>
            <wp:docPr id="13" name="Picture 13" descr="The Minister for Health is reported to by the Pricing Authority (Chair: Shane Solomon). The Chief Executive Officer (James Downie) reports to the Pricing Authority. Policy and Classification, Data Analytics and the Office of the CEO report to the CEO. Reporting to the policy and Classifications: Acute Care Classifications, Classifications, Non-admitted Care Classifications and Policy Development. Reporting to Data Analytics are Analytics, Data Acquisition, Hospital Costing and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Minister for Health is reported to by the Pricing Authority (Chair: Shane Solomon). The Chief Executive Officer (James Downie) reports to the Pricing Authority. Policy and Classification, Data Analytics and the Office of the CEO report to the CEO. Reporting to the policy and Classifications: Acute Care Classifications, Classifications, Non-admitted Care Classifications and Policy Development. Reporting to Data Analytics are Analytics, Data Acquisition, Hospital Costing and Prici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528539" cy="2889248"/>
                    </a:xfrm>
                    <a:prstGeom prst="rect">
                      <a:avLst/>
                    </a:prstGeom>
                    <a:noFill/>
                    <a:ln>
                      <a:noFill/>
                    </a:ln>
                  </pic:spPr>
                </pic:pic>
              </a:graphicData>
            </a:graphic>
          </wp:inline>
        </w:drawing>
      </w:r>
    </w:p>
    <w:p w14:paraId="59774925" w14:textId="0834C7DC" w:rsidR="000E3F4A" w:rsidRDefault="000E3F4A" w:rsidP="000E3F4A">
      <w:pPr>
        <w:pStyle w:val="Body"/>
      </w:pPr>
      <w:r>
        <w:t xml:space="preserve">The Pricing Authority is a corporate Commonwealth entity consisting of a Chair, Deputy Chair, and up to seven other members. See </w:t>
      </w:r>
      <w:hyperlink w:anchor="_About_the_Pricing" w:history="1">
        <w:r w:rsidR="000A4D61" w:rsidRPr="00AE1921">
          <w:rPr>
            <w:rStyle w:val="Hyperlink"/>
            <w:rFonts w:ascii="Futura PT Demi" w:hAnsi="Futura PT Demi"/>
            <w:u w:val="none"/>
          </w:rPr>
          <w:t>p</w:t>
        </w:r>
        <w:r w:rsidR="00F55FE1" w:rsidRPr="00AE1921">
          <w:rPr>
            <w:rStyle w:val="Hyperlink"/>
            <w:rFonts w:ascii="Futura PT Demi" w:hAnsi="Futura PT Demi"/>
            <w:u w:val="none"/>
          </w:rPr>
          <w:t>22</w:t>
        </w:r>
      </w:hyperlink>
      <w:r w:rsidR="00F55FE1" w:rsidRPr="00F55FE1">
        <w:t xml:space="preserve"> </w:t>
      </w:r>
      <w:r>
        <w:t>for more information.</w:t>
      </w:r>
    </w:p>
    <w:p w14:paraId="503DEEED" w14:textId="0975A30B" w:rsidR="000E3F4A" w:rsidRDefault="000E3F4A" w:rsidP="000E3F4A">
      <w:pPr>
        <w:pStyle w:val="Body"/>
      </w:pPr>
      <w:r>
        <w:t>The Chief Executive Officer is responsible for the day</w:t>
      </w:r>
      <w:r>
        <w:rPr>
          <w:rFonts w:ascii="Cambria Math" w:hAnsi="Cambria Math" w:cs="Cambria Math"/>
        </w:rPr>
        <w:t>‑</w:t>
      </w:r>
      <w:r>
        <w:t>to</w:t>
      </w:r>
      <w:r>
        <w:rPr>
          <w:rFonts w:ascii="Cambria Math" w:hAnsi="Cambria Math" w:cs="Cambria Math"/>
        </w:rPr>
        <w:t>‑</w:t>
      </w:r>
      <w:r>
        <w:t>day management of IHPA and its staff. Under</w:t>
      </w:r>
      <w:r w:rsidR="00A21A60">
        <w:t> </w:t>
      </w:r>
      <w:r>
        <w:t xml:space="preserve">s. 163(4) of the </w:t>
      </w:r>
      <w:r w:rsidRPr="000A4D61">
        <w:rPr>
          <w:i/>
          <w:iCs/>
        </w:rPr>
        <w:t>National Health Reform Act 2011</w:t>
      </w:r>
      <w:r>
        <w:t xml:space="preserve">, the Chief Executive Officer is the accountable authority of IHPA for the purposes of the </w:t>
      </w:r>
      <w:r w:rsidRPr="005C288A">
        <w:rPr>
          <w:i/>
          <w:iCs/>
        </w:rPr>
        <w:t>P</w:t>
      </w:r>
      <w:r w:rsidRPr="00641A06">
        <w:rPr>
          <w:i/>
        </w:rPr>
        <w:t>ublic Governance, Performance and Accountability Act 2013</w:t>
      </w:r>
      <w:r>
        <w:t>, and therefore for this annual report.</w:t>
      </w:r>
    </w:p>
    <w:p w14:paraId="7303D5CF" w14:textId="77777777" w:rsidR="000E3F4A" w:rsidRDefault="000E3F4A" w:rsidP="000E3F4A">
      <w:pPr>
        <w:pStyle w:val="Body"/>
      </w:pPr>
      <w:r>
        <w:t>To achieve its annual program of work, IHPA consults and collaborates with the Commonwealth and state and territory governments, advisory committees, key stakeholders and the public.</w:t>
      </w:r>
    </w:p>
    <w:p w14:paraId="2D9BB5DB" w14:textId="769248DB" w:rsidR="00291312" w:rsidRDefault="000E3F4A" w:rsidP="000E3F4A">
      <w:pPr>
        <w:pStyle w:val="Body"/>
      </w:pPr>
      <w:r>
        <w:t>IHPA’s office in Sydney is the only facility of the entity and the agency’s major activities are located</w:t>
      </w:r>
      <w:r w:rsidR="00A21A60">
        <w:t> </w:t>
      </w:r>
      <w:r>
        <w:t>there.</w:t>
      </w:r>
      <w:r w:rsidR="00291312">
        <w:br w:type="page"/>
      </w:r>
    </w:p>
    <w:p w14:paraId="6C8EEEF6" w14:textId="166A7B7A" w:rsidR="004B72A2" w:rsidRPr="00936074" w:rsidRDefault="00291312" w:rsidP="00291312">
      <w:pPr>
        <w:pStyle w:val="Heading1"/>
        <w:rPr>
          <w:color w:val="003F2C" w:themeColor="text2"/>
        </w:rPr>
        <w:sectPr w:rsidR="004B72A2" w:rsidRPr="00936074" w:rsidSect="008F4233">
          <w:pgSz w:w="9979" w:h="14175" w:code="13"/>
          <w:pgMar w:top="1134" w:right="1418" w:bottom="1418" w:left="1418" w:header="709" w:footer="709" w:gutter="0"/>
          <w:cols w:space="708"/>
          <w:docGrid w:linePitch="360"/>
        </w:sectPr>
      </w:pPr>
      <w:bookmarkStart w:id="43" w:name="_Toc44350175"/>
      <w:bookmarkStart w:id="44" w:name="_Toc50378066"/>
      <w:r w:rsidRPr="00936074">
        <w:rPr>
          <w:color w:val="003F2C" w:themeColor="text2"/>
        </w:rPr>
        <w:lastRenderedPageBreak/>
        <w:t>Committees and working</w:t>
      </w:r>
      <w:r w:rsidR="00A21A60">
        <w:rPr>
          <w:color w:val="003F2C" w:themeColor="text2"/>
        </w:rPr>
        <w:t> </w:t>
      </w:r>
      <w:r w:rsidRPr="00936074">
        <w:rPr>
          <w:color w:val="003F2C" w:themeColor="text2"/>
        </w:rPr>
        <w:t>groups</w:t>
      </w:r>
      <w:bookmarkEnd w:id="43"/>
      <w:bookmarkEnd w:id="44"/>
    </w:p>
    <w:p w14:paraId="2E58206C" w14:textId="5B65CA27" w:rsidR="004B72A2" w:rsidRPr="004B72A2" w:rsidRDefault="004B72A2" w:rsidP="004B72A2">
      <w:pPr>
        <w:pStyle w:val="Body"/>
        <w:rPr>
          <w:b/>
          <w:bCs/>
        </w:rPr>
      </w:pPr>
      <w:r w:rsidRPr="004B72A2">
        <w:rPr>
          <w:b/>
          <w:bCs/>
        </w:rPr>
        <w:t>IHPA has developed a committee framework to assist in providing expert advice and to ensure the transparency and</w:t>
      </w:r>
      <w:r w:rsidR="00E747BF">
        <w:rPr>
          <w:b/>
          <w:bCs/>
        </w:rPr>
        <w:t> </w:t>
      </w:r>
      <w:r w:rsidRPr="004B72A2">
        <w:rPr>
          <w:b/>
          <w:bCs/>
        </w:rPr>
        <w:t>integrity of the organisation.</w:t>
      </w:r>
    </w:p>
    <w:p w14:paraId="05E0A734" w14:textId="3EC9DF06" w:rsidR="004B72A2" w:rsidRDefault="004B72A2" w:rsidP="004B72A2">
      <w:pPr>
        <w:pStyle w:val="Body"/>
      </w:pPr>
      <w:r>
        <w:t>IHPA’s statutory committees comprise the Clinical Advisory Committee and the Jurisdictional Advisory Committee, established</w:t>
      </w:r>
      <w:r w:rsidR="00A21A60">
        <w:t> </w:t>
      </w:r>
      <w:r>
        <w:t>under Parts 4.10 and 4.11 of</w:t>
      </w:r>
      <w:r w:rsidR="002E1ED1">
        <w:t> </w:t>
      </w:r>
      <w:r>
        <w:t>the</w:t>
      </w:r>
      <w:r w:rsidR="00A21A60">
        <w:t> </w:t>
      </w:r>
      <w:r w:rsidRPr="004B72A2">
        <w:rPr>
          <w:i/>
          <w:iCs/>
        </w:rPr>
        <w:t>National Health Reform Act 2011</w:t>
      </w:r>
      <w:r>
        <w:t>.</w:t>
      </w:r>
    </w:p>
    <w:p w14:paraId="167B32CF" w14:textId="23556311" w:rsidR="004B72A2" w:rsidRDefault="004B72A2" w:rsidP="004B72A2">
      <w:pPr>
        <w:pStyle w:val="Body"/>
      </w:pPr>
      <w:r>
        <w:t>Other advisory committees and working groups have been established to assist IHPA</w:t>
      </w:r>
      <w:r w:rsidR="00E747BF">
        <w:t> </w:t>
      </w:r>
      <w:r>
        <w:t>in the delivery of its work program, pursuant</w:t>
      </w:r>
      <w:r w:rsidR="00E747BF">
        <w:t> </w:t>
      </w:r>
      <w:r>
        <w:t xml:space="preserve">to Part 4.12 of the </w:t>
      </w:r>
      <w:r w:rsidRPr="004B72A2">
        <w:rPr>
          <w:i/>
          <w:iCs/>
        </w:rPr>
        <w:t>National Health Reform Act 2011</w:t>
      </w:r>
      <w:r>
        <w:t>. These include:</w:t>
      </w:r>
    </w:p>
    <w:p w14:paraId="0F58FC87" w14:textId="237B7CA5" w:rsidR="004B72A2" w:rsidRDefault="004B72A2" w:rsidP="004B72A2">
      <w:pPr>
        <w:pStyle w:val="Bullets"/>
      </w:pPr>
      <w:r>
        <w:t>Activity Based Funding Technical Advisory Committee</w:t>
      </w:r>
    </w:p>
    <w:p w14:paraId="63DC8BE6" w14:textId="296485D4" w:rsidR="004B72A2" w:rsidRDefault="004B72A2" w:rsidP="004B72A2">
      <w:pPr>
        <w:pStyle w:val="Bullets"/>
      </w:pPr>
      <w:r>
        <w:t>Audit, Risk and Compliance Committee</w:t>
      </w:r>
      <w:r w:rsidR="00A21A60">
        <w:t> </w:t>
      </w:r>
      <w:r>
        <w:t>(internal)</w:t>
      </w:r>
    </w:p>
    <w:p w14:paraId="1EEFF3FD" w14:textId="3C6C6EAC" w:rsidR="004B72A2" w:rsidRDefault="004B72A2" w:rsidP="004B72A2">
      <w:pPr>
        <w:pStyle w:val="Bullets"/>
      </w:pPr>
      <w:r>
        <w:t>Classifications Clinical Advisory Group</w:t>
      </w:r>
    </w:p>
    <w:p w14:paraId="766FE6EE" w14:textId="06262D96" w:rsidR="004B72A2" w:rsidRDefault="004B72A2" w:rsidP="004B72A2">
      <w:pPr>
        <w:pStyle w:val="Bullets"/>
      </w:pPr>
      <w:r>
        <w:t>Data Governance Steering Committee</w:t>
      </w:r>
      <w:r w:rsidR="00A21A60">
        <w:t> </w:t>
      </w:r>
      <w:r>
        <w:t>(internal)</w:t>
      </w:r>
    </w:p>
    <w:p w14:paraId="3DFB373D" w14:textId="45A5EC18" w:rsidR="004B72A2" w:rsidRDefault="004B72A2" w:rsidP="004B72A2">
      <w:pPr>
        <w:pStyle w:val="Bullets"/>
      </w:pPr>
      <w:r>
        <w:t>Diagnosis Related Groups Technical</w:t>
      </w:r>
      <w:r w:rsidR="00A21A60">
        <w:t> </w:t>
      </w:r>
      <w:r>
        <w:t>Group</w:t>
      </w:r>
    </w:p>
    <w:p w14:paraId="698305E2" w14:textId="231711CD" w:rsidR="004B72A2" w:rsidRDefault="004B72A2" w:rsidP="004B72A2">
      <w:pPr>
        <w:pStyle w:val="Bullets"/>
      </w:pPr>
      <w:r>
        <w:t>Emergency Care Advisory Working</w:t>
      </w:r>
      <w:r w:rsidR="00A21A60">
        <w:t> </w:t>
      </w:r>
      <w:r>
        <w:t>Group</w:t>
      </w:r>
    </w:p>
    <w:p w14:paraId="6285B06D" w14:textId="67FBF6AC" w:rsidR="004B72A2" w:rsidRDefault="004B72A2" w:rsidP="004B72A2">
      <w:pPr>
        <w:pStyle w:val="Bullets"/>
      </w:pPr>
      <w:r>
        <w:t>International Classification of Diseases Technical Group</w:t>
      </w:r>
    </w:p>
    <w:p w14:paraId="3DCE3311" w14:textId="69B20C89" w:rsidR="004B72A2" w:rsidRDefault="004B72A2" w:rsidP="004B72A2">
      <w:pPr>
        <w:pStyle w:val="Bullets"/>
      </w:pPr>
      <w:r>
        <w:t>Mental Health Working Group</w:t>
      </w:r>
    </w:p>
    <w:p w14:paraId="2A89FB7A" w14:textId="502C2601" w:rsidR="004B72A2" w:rsidRDefault="004B72A2" w:rsidP="004B72A2">
      <w:pPr>
        <w:pStyle w:val="Bullets"/>
      </w:pPr>
      <w:r>
        <w:t>National Hospital Cost Data Collection Advisory Committee</w:t>
      </w:r>
    </w:p>
    <w:p w14:paraId="0A814B2B" w14:textId="2FCA50B8" w:rsidR="004B72A2" w:rsidRDefault="004B72A2" w:rsidP="004B72A2">
      <w:pPr>
        <w:pStyle w:val="Bullets"/>
      </w:pPr>
      <w:r>
        <w:t>Non-admitted Care Advisory Working</w:t>
      </w:r>
      <w:r w:rsidR="00A21A60">
        <w:t> </w:t>
      </w:r>
      <w:r>
        <w:t>Group</w:t>
      </w:r>
    </w:p>
    <w:p w14:paraId="1D2D6DEA" w14:textId="58527E31" w:rsidR="004B72A2" w:rsidRDefault="004B72A2" w:rsidP="004B72A2">
      <w:pPr>
        <w:pStyle w:val="Bullets"/>
      </w:pPr>
      <w:r>
        <w:t>Small Rural Hospitals Working Group</w:t>
      </w:r>
    </w:p>
    <w:p w14:paraId="72DE73CF" w14:textId="3366966C" w:rsidR="004B72A2" w:rsidRDefault="004B72A2" w:rsidP="004B72A2">
      <w:pPr>
        <w:pStyle w:val="Bullets"/>
      </w:pPr>
      <w:r>
        <w:t>Stakeholder Advisory Committee</w:t>
      </w:r>
    </w:p>
    <w:p w14:paraId="5B0DC92E" w14:textId="453EC0F4" w:rsidR="004B72A2" w:rsidRDefault="004B72A2" w:rsidP="004B72A2">
      <w:pPr>
        <w:pStyle w:val="Bullets"/>
      </w:pPr>
      <w:r>
        <w:t>Subacute Care Working Group</w:t>
      </w:r>
    </w:p>
    <w:p w14:paraId="3AEBC2A7" w14:textId="465D3097" w:rsidR="004B72A2" w:rsidRDefault="004B72A2" w:rsidP="004B72A2">
      <w:pPr>
        <w:pStyle w:val="Bullets"/>
      </w:pPr>
      <w:r>
        <w:t>Teaching, Training and Research Working Group</w:t>
      </w:r>
    </w:p>
    <w:p w14:paraId="01974B73" w14:textId="07C4E56B" w:rsidR="004B72A2" w:rsidRDefault="004B72A2" w:rsidP="004B72A2">
      <w:pPr>
        <w:pStyle w:val="Bulletslast"/>
      </w:pPr>
      <w:r>
        <w:t>Work Health and Safety Committee</w:t>
      </w:r>
      <w:r w:rsidR="00A21A60">
        <w:t> </w:t>
      </w:r>
      <w:r>
        <w:t>(internal)</w:t>
      </w:r>
    </w:p>
    <w:p w14:paraId="314A2539" w14:textId="2C3B993F" w:rsidR="00341366" w:rsidRDefault="004B72A2" w:rsidP="004B72A2">
      <w:pPr>
        <w:pStyle w:val="Body"/>
        <w:sectPr w:rsidR="00341366" w:rsidSect="004B72A2">
          <w:type w:val="continuous"/>
          <w:pgSz w:w="9979" w:h="14175" w:code="13"/>
          <w:pgMar w:top="1134" w:right="1418" w:bottom="1418" w:left="1418" w:header="709" w:footer="709" w:gutter="0"/>
          <w:cols w:num="2" w:space="708"/>
          <w:docGrid w:linePitch="360"/>
        </w:sectPr>
      </w:pPr>
      <w:r>
        <w:t>Committees and working groups are structured to enhance IHPA’s statutory functions. Some committees and working groups may also have sub-committees to assist in the delivery of IHPA’s work program. All committees and working groups have</w:t>
      </w:r>
      <w:r w:rsidR="0057193D">
        <w:t> </w:t>
      </w:r>
      <w:r>
        <w:t>Terms of Reference setting out their</w:t>
      </w:r>
      <w:r w:rsidR="0057193D">
        <w:t> </w:t>
      </w:r>
      <w:r>
        <w:t>role,</w:t>
      </w:r>
      <w:r w:rsidR="0057193D">
        <w:t> </w:t>
      </w:r>
      <w:r>
        <w:t>function, membership, and</w:t>
      </w:r>
      <w:r w:rsidR="0057193D">
        <w:t> </w:t>
      </w:r>
      <w:r>
        <w:t>reporting</w:t>
      </w:r>
      <w:r w:rsidR="0057193D">
        <w:t> </w:t>
      </w:r>
      <w:r>
        <w:t>relationship, which are regularly</w:t>
      </w:r>
      <w:r w:rsidR="0057193D">
        <w:t> </w:t>
      </w:r>
      <w:r>
        <w:t>updated.</w:t>
      </w:r>
    </w:p>
    <w:p w14:paraId="6BD18A5F" w14:textId="05509F75" w:rsidR="007018A9" w:rsidRDefault="007018A9" w:rsidP="007018A9">
      <w:pPr>
        <w:pStyle w:val="FigureHeading"/>
      </w:pPr>
      <w:bookmarkStart w:id="45" w:name="_Toc48830266"/>
      <w:r>
        <w:lastRenderedPageBreak/>
        <w:t xml:space="preserve">Figure 4: </w:t>
      </w:r>
      <w:r w:rsidRPr="007018A9">
        <w:t>IHPA’s management, committees and working groups</w:t>
      </w:r>
      <w:bookmarkEnd w:id="45"/>
    </w:p>
    <w:p w14:paraId="0101F146" w14:textId="77777777" w:rsidR="00552172" w:rsidRDefault="00552172" w:rsidP="00552172">
      <w:pPr>
        <w:pStyle w:val="Body"/>
      </w:pPr>
    </w:p>
    <w:p w14:paraId="7BC47F11" w14:textId="4E1A0A53" w:rsidR="000E3F4A" w:rsidRDefault="00C550B3" w:rsidP="004B72A2">
      <w:pPr>
        <w:pStyle w:val="Body"/>
      </w:pPr>
      <w:r>
        <w:rPr>
          <w:noProof/>
          <w:lang w:val="en-GB" w:eastAsia="en-GB"/>
        </w:rPr>
        <w:drawing>
          <wp:inline distT="0" distB="0" distL="0" distR="0" wp14:anchorId="33342048" wp14:editId="39004693">
            <wp:extent cx="4532629" cy="5469706"/>
            <wp:effectExtent l="0" t="0" r="1905" b="0"/>
            <wp:docPr id="14" name="Picture 14" descr="The Minister for Health is reported to by the Pricing Authority (Chair: Shane Solomon). The Chief Executive Officer (James Downie) reports to the Pricing Authority. Policy and Classification, Data Analytics and the Office of the CEO report to the CEO. Reporting to the policy and Classifications: Acute Care Classifications, Classifications, Non-admitted Care Classifications and Policy Development. Reporting to Data Analytics are Analytics, Data Acquisition, Hospital Costing and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Minister for Health is reported to by the Pricing Authority (Chair: Shane Solomon). The Chief Executive Officer (James Downie) reports to the Pricing Authority. Policy and Classification, Data Analytics and the Office of the CEO report to the CEO. Reporting to the policy and Classifications: Acute Care Classifications, Classifications, Non-admitted Care Classifications and Policy Development. Reporting to Data Analytics are Analytics, Data Acquisition, Hospital Costing and Prici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532629" cy="5469706"/>
                    </a:xfrm>
                    <a:prstGeom prst="rect">
                      <a:avLst/>
                    </a:prstGeom>
                    <a:noFill/>
                    <a:ln>
                      <a:noFill/>
                    </a:ln>
                  </pic:spPr>
                </pic:pic>
              </a:graphicData>
            </a:graphic>
          </wp:inline>
        </w:drawing>
      </w:r>
    </w:p>
    <w:p w14:paraId="580AFA3A" w14:textId="77777777" w:rsidR="00552172" w:rsidRDefault="00552172" w:rsidP="004B72A2">
      <w:pPr>
        <w:pStyle w:val="Body"/>
      </w:pPr>
    </w:p>
    <w:p w14:paraId="05A466CF" w14:textId="77777777" w:rsidR="007724D0" w:rsidRDefault="007724D0" w:rsidP="004B72A2">
      <w:pPr>
        <w:pStyle w:val="Body"/>
        <w:sectPr w:rsidR="007724D0" w:rsidSect="00341366">
          <w:pgSz w:w="9979" w:h="14175" w:code="13"/>
          <w:pgMar w:top="1134" w:right="1418" w:bottom="1418" w:left="1418" w:header="709" w:footer="709" w:gutter="0"/>
          <w:cols w:space="708"/>
          <w:docGrid w:linePitch="360"/>
        </w:sectPr>
      </w:pPr>
    </w:p>
    <w:p w14:paraId="373637A3" w14:textId="77777777" w:rsidR="007724D0" w:rsidRPr="00BE66AF" w:rsidRDefault="007724D0" w:rsidP="00321177">
      <w:pPr>
        <w:pStyle w:val="H3"/>
        <w:spacing w:before="0"/>
        <w:rPr>
          <w:color w:val="003F2C" w:themeColor="text1"/>
        </w:rPr>
      </w:pPr>
      <w:r w:rsidRPr="00BE66AF">
        <w:rPr>
          <w:color w:val="003F2C" w:themeColor="text1"/>
        </w:rPr>
        <w:lastRenderedPageBreak/>
        <w:t>Clinical Advisory Committee</w:t>
      </w:r>
    </w:p>
    <w:p w14:paraId="36012B80" w14:textId="77777777" w:rsidR="007724D0" w:rsidRDefault="007724D0" w:rsidP="007724D0">
      <w:pPr>
        <w:pStyle w:val="Body"/>
      </w:pPr>
      <w:r>
        <w:t xml:space="preserve">The Clinical Advisory Committee was established under section 176 of the </w:t>
      </w:r>
      <w:r w:rsidRPr="007724D0">
        <w:rPr>
          <w:i/>
          <w:iCs/>
        </w:rPr>
        <w:t>National Health Reform Act 2011</w:t>
      </w:r>
      <w:r>
        <w:t>. Its functions include:</w:t>
      </w:r>
    </w:p>
    <w:p w14:paraId="65EEABAF" w14:textId="2094DC1B" w:rsidR="007724D0" w:rsidRDefault="007724D0" w:rsidP="007724D0">
      <w:pPr>
        <w:pStyle w:val="Bullets"/>
      </w:pPr>
      <w:r>
        <w:t>advising the Pricing Authority on developing and specifying classification systems for health care and other services provided by public</w:t>
      </w:r>
      <w:r w:rsidR="00A21A60">
        <w:t> </w:t>
      </w:r>
      <w:r>
        <w:t>hospitals</w:t>
      </w:r>
    </w:p>
    <w:p w14:paraId="103D3EC8" w14:textId="5BE0EC4B" w:rsidR="007724D0" w:rsidRDefault="007724D0" w:rsidP="007724D0">
      <w:pPr>
        <w:pStyle w:val="Bullets"/>
      </w:pPr>
      <w:r>
        <w:t>advising the Pricing Authority in relation to:</w:t>
      </w:r>
    </w:p>
    <w:p w14:paraId="6EE5CF27" w14:textId="4892E9F2" w:rsidR="00BF69CB" w:rsidRDefault="007724D0" w:rsidP="00641A06">
      <w:pPr>
        <w:pStyle w:val="BulletsL2"/>
        <w:ind w:left="737" w:hanging="227"/>
      </w:pPr>
      <w:r>
        <w:t>matters related to the functions of</w:t>
      </w:r>
      <w:r w:rsidR="00210CFE">
        <w:t> </w:t>
      </w:r>
      <w:r>
        <w:t>the Pricing Authority</w:t>
      </w:r>
      <w:r w:rsidR="00BF69CB" w:rsidRPr="00BF69CB">
        <w:t xml:space="preserve"> </w:t>
      </w:r>
    </w:p>
    <w:p w14:paraId="189E28D8" w14:textId="0FAAF4F7" w:rsidR="007724D0" w:rsidRDefault="00BF69CB" w:rsidP="00641A06">
      <w:pPr>
        <w:pStyle w:val="BulletsL2"/>
        <w:ind w:left="737" w:hanging="227"/>
      </w:pPr>
      <w:r>
        <w:t>matters referred to it by the</w:t>
      </w:r>
      <w:r w:rsidRPr="00BF69CB">
        <w:t xml:space="preserve"> </w:t>
      </w:r>
      <w:r w:rsidRPr="007724D0">
        <w:t>Pricing</w:t>
      </w:r>
      <w:r w:rsidR="00A21A60">
        <w:t> </w:t>
      </w:r>
      <w:r w:rsidRPr="007724D0">
        <w:t>Authority.</w:t>
      </w:r>
    </w:p>
    <w:p w14:paraId="397DED1F" w14:textId="6E1BC15F" w:rsidR="007724D0" w:rsidRDefault="007724D0" w:rsidP="007724D0">
      <w:pPr>
        <w:pStyle w:val="Body"/>
      </w:pPr>
      <w:r>
        <w:t>Committee members are appointed by the Australian Government Minister for Health. At</w:t>
      </w:r>
      <w:r w:rsidR="00A21A60">
        <w:t> </w:t>
      </w:r>
      <w:r>
        <w:t>30 June 2020, the Clinical Advisory Committee consists of 23 members.</w:t>
      </w:r>
    </w:p>
    <w:p w14:paraId="2EFE98B4" w14:textId="0CBECE08" w:rsidR="007724D0" w:rsidRDefault="007724D0" w:rsidP="007724D0">
      <w:pPr>
        <w:pStyle w:val="Body"/>
      </w:pPr>
      <w:r>
        <w:t>The Clinical Advisory Committee is required to</w:t>
      </w:r>
      <w:r w:rsidR="00210CFE">
        <w:t> </w:t>
      </w:r>
      <w:r>
        <w:t xml:space="preserve">report annually. The Clinical Advisory Committee Annual Report, including details of its members and meetings, sits within the IHPA Annual Report, </w:t>
      </w:r>
      <w:r w:rsidR="00BF69CB">
        <w:t xml:space="preserve">at </w:t>
      </w:r>
      <w:hyperlink w:anchor="ClinicalAdvisoryCommittee" w:history="1">
        <w:r w:rsidR="00BF69CB" w:rsidRPr="00AE1921">
          <w:rPr>
            <w:rStyle w:val="Hyperlink"/>
            <w:rFonts w:ascii="Futura PT Demi" w:hAnsi="Futura PT Demi"/>
            <w:u w:val="none"/>
          </w:rPr>
          <w:t>p</w:t>
        </w:r>
        <w:r w:rsidR="00EF2E81" w:rsidRPr="00AE1921">
          <w:rPr>
            <w:rStyle w:val="Hyperlink"/>
            <w:rFonts w:ascii="Futura PT Demi" w:hAnsi="Futura PT Demi"/>
            <w:u w:val="none"/>
          </w:rPr>
          <w:t>30</w:t>
        </w:r>
      </w:hyperlink>
      <w:r>
        <w:t>.</w:t>
      </w:r>
    </w:p>
    <w:p w14:paraId="7834EE14" w14:textId="3642FB0D" w:rsidR="007724D0" w:rsidRDefault="007724D0" w:rsidP="007724D0">
      <w:pPr>
        <w:pStyle w:val="H3"/>
      </w:pPr>
      <w:r>
        <w:br w:type="column"/>
      </w:r>
      <w:r w:rsidRPr="00BE66AF">
        <w:rPr>
          <w:color w:val="003F2C" w:themeColor="text1"/>
        </w:rPr>
        <w:t>Jurisdictional Advisory Committee</w:t>
      </w:r>
    </w:p>
    <w:p w14:paraId="219E7A6A" w14:textId="1C0238D7" w:rsidR="007724D0" w:rsidRDefault="007724D0" w:rsidP="007724D0">
      <w:pPr>
        <w:pStyle w:val="Body"/>
      </w:pPr>
      <w:r>
        <w:t xml:space="preserve">The Jurisdictional Advisory Committee was established under section 195 of the </w:t>
      </w:r>
      <w:r w:rsidRPr="00641A06">
        <w:rPr>
          <w:i/>
        </w:rPr>
        <w:t>National Health Reform Act 2011</w:t>
      </w:r>
      <w:r>
        <w:t>. It consists of a Chair appointed by the Pricing Authority and nine other members (one to represent each state</w:t>
      </w:r>
      <w:r w:rsidR="002119C8">
        <w:t xml:space="preserve"> and</w:t>
      </w:r>
      <w:r>
        <w:t xml:space="preserve"> territory</w:t>
      </w:r>
      <w:r w:rsidR="002119C8">
        <w:t>,</w:t>
      </w:r>
      <w:r>
        <w:t xml:space="preserve"> and the Australian Government). Committee members are appointed by written instrument by the head of the health department of each jurisdiction.</w:t>
      </w:r>
    </w:p>
    <w:p w14:paraId="0CF25673" w14:textId="5B4D2EFC" w:rsidR="00C550B3" w:rsidRDefault="007724D0" w:rsidP="007724D0">
      <w:pPr>
        <w:pStyle w:val="Body"/>
      </w:pPr>
      <w:r>
        <w:t>The Jurisdictional Advisory Committee met on</w:t>
      </w:r>
      <w:r w:rsidR="00A21A60">
        <w:t> </w:t>
      </w:r>
      <w:r>
        <w:t>12 occasions between 1 July 2019 and 30</w:t>
      </w:r>
      <w:r w:rsidR="00A21A60">
        <w:t> </w:t>
      </w:r>
      <w:r>
        <w:t>June 2020.</w:t>
      </w:r>
    </w:p>
    <w:p w14:paraId="6820BBA5" w14:textId="110B9F9C" w:rsidR="007724D0" w:rsidRPr="007724D0" w:rsidRDefault="007724D0" w:rsidP="007724D0">
      <w:pPr>
        <w:pStyle w:val="Body"/>
        <w:rPr>
          <w:b/>
          <w:bCs/>
        </w:rPr>
      </w:pPr>
      <w:r w:rsidRPr="007724D0">
        <w:rPr>
          <w:b/>
          <w:bCs/>
        </w:rPr>
        <w:t>Jurisdictional Advisory Committee members as of 30 June 20</w:t>
      </w:r>
      <w:r w:rsidR="00886DA2">
        <w:rPr>
          <w:b/>
          <w:bCs/>
        </w:rPr>
        <w:t>20</w:t>
      </w:r>
      <w:r w:rsidRPr="007724D0">
        <w:rPr>
          <w:b/>
          <w:bCs/>
        </w:rPr>
        <w:t>:</w:t>
      </w:r>
    </w:p>
    <w:p w14:paraId="7CEEFE1E" w14:textId="35DA88FB" w:rsidR="007724D0" w:rsidRDefault="007724D0" w:rsidP="007724D0">
      <w:pPr>
        <w:pStyle w:val="Bullets"/>
      </w:pPr>
      <w:r>
        <w:t>James Downie, Chair</w:t>
      </w:r>
    </w:p>
    <w:p w14:paraId="7797BEA7" w14:textId="0D6384E3" w:rsidR="007724D0" w:rsidRDefault="007724D0" w:rsidP="007724D0">
      <w:pPr>
        <w:pStyle w:val="Bullets"/>
      </w:pPr>
      <w:r>
        <w:t>Rob Anderson (Western Australia)</w:t>
      </w:r>
    </w:p>
    <w:p w14:paraId="137A1351" w14:textId="615774D1" w:rsidR="007724D0" w:rsidRDefault="007724D0" w:rsidP="007724D0">
      <w:pPr>
        <w:pStyle w:val="Bullets"/>
      </w:pPr>
      <w:r>
        <w:t>Lynne Cowan (South Australia)</w:t>
      </w:r>
    </w:p>
    <w:p w14:paraId="4D43CDA3" w14:textId="1594E4F8" w:rsidR="007724D0" w:rsidRDefault="007724D0" w:rsidP="007724D0">
      <w:pPr>
        <w:pStyle w:val="Bullets"/>
      </w:pPr>
      <w:r>
        <w:t>Toni Cunningham (Queensland)</w:t>
      </w:r>
    </w:p>
    <w:p w14:paraId="3D34BD6F" w14:textId="48594F12" w:rsidR="007724D0" w:rsidRDefault="007724D0" w:rsidP="007724D0">
      <w:pPr>
        <w:pStyle w:val="Bullets"/>
      </w:pPr>
      <w:r>
        <w:t>Peter O’Halloran (Australian</w:t>
      </w:r>
      <w:r w:rsidR="00A21A60">
        <w:t> </w:t>
      </w:r>
      <w:r>
        <w:t>Capital</w:t>
      </w:r>
      <w:r w:rsidR="00A21A60">
        <w:t> </w:t>
      </w:r>
      <w:r>
        <w:t>Territory)</w:t>
      </w:r>
    </w:p>
    <w:p w14:paraId="2B540F49" w14:textId="672B844C" w:rsidR="007724D0" w:rsidRDefault="007724D0" w:rsidP="007724D0">
      <w:pPr>
        <w:pStyle w:val="Bullets"/>
      </w:pPr>
      <w:r>
        <w:t>Denise Ferrier (Victoria)</w:t>
      </w:r>
    </w:p>
    <w:p w14:paraId="52DB33B1" w14:textId="2DF9E803" w:rsidR="007724D0" w:rsidRDefault="007724D0" w:rsidP="007724D0">
      <w:pPr>
        <w:pStyle w:val="Bullets"/>
      </w:pPr>
      <w:r>
        <w:t>Nigel Lyons (New South Wales)</w:t>
      </w:r>
    </w:p>
    <w:p w14:paraId="3E5AF4C7" w14:textId="6CD5DF97" w:rsidR="007724D0" w:rsidRDefault="007724D0" w:rsidP="007724D0">
      <w:pPr>
        <w:pStyle w:val="Bullets"/>
      </w:pPr>
      <w:r>
        <w:t>Tania Rishniw (Commonwealth</w:t>
      </w:r>
      <w:r w:rsidR="00A21A60">
        <w:t> </w:t>
      </w:r>
      <w:r>
        <w:t>Government)</w:t>
      </w:r>
    </w:p>
    <w:p w14:paraId="426D4A36" w14:textId="05611DFC" w:rsidR="007724D0" w:rsidRDefault="007724D0" w:rsidP="007724D0">
      <w:pPr>
        <w:pStyle w:val="Bullets"/>
      </w:pPr>
      <w:r>
        <w:t>Ross Smith (Tasmania)</w:t>
      </w:r>
    </w:p>
    <w:p w14:paraId="75C4E43D" w14:textId="63EF8C74" w:rsidR="007724D0" w:rsidRDefault="007724D0" w:rsidP="007724D0">
      <w:pPr>
        <w:pStyle w:val="Bulletslast"/>
      </w:pPr>
      <w:r>
        <w:t>Stathi Tsangaris (Northern Territory</w:t>
      </w:r>
      <w:r w:rsidR="00A21A60">
        <w:t>)</w:t>
      </w:r>
      <w:r>
        <w:t xml:space="preserve"> </w:t>
      </w:r>
    </w:p>
    <w:p w14:paraId="3F3A16C8" w14:textId="515264D9" w:rsidR="006A6091" w:rsidRDefault="007724D0" w:rsidP="007724D0">
      <w:pPr>
        <w:pStyle w:val="Body"/>
        <w:sectPr w:rsidR="006A6091" w:rsidSect="007724D0">
          <w:pgSz w:w="9979" w:h="14175" w:code="13"/>
          <w:pgMar w:top="1134" w:right="1418" w:bottom="1418" w:left="1418" w:header="709" w:footer="709" w:gutter="0"/>
          <w:cols w:num="2" w:space="708"/>
          <w:docGrid w:linePitch="360"/>
        </w:sectPr>
      </w:pPr>
      <w:r>
        <w:t xml:space="preserve">During the reporting period, there were changes to the Australian </w:t>
      </w:r>
      <w:r>
        <w:lastRenderedPageBreak/>
        <w:t>Capital Territory</w:t>
      </w:r>
      <w:r w:rsidR="005C10F5">
        <w:t xml:space="preserve"> and</w:t>
      </w:r>
      <w:r>
        <w:t xml:space="preserve"> Commonwealth membership.</w:t>
      </w:r>
    </w:p>
    <w:tbl>
      <w:tblPr>
        <w:tblStyle w:val="TableGrid"/>
        <w:tblW w:w="499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133"/>
      </w:tblGrid>
      <w:tr w:rsidR="00E16859" w14:paraId="77267CCF" w14:textId="77777777" w:rsidTr="00380ECA">
        <w:trPr>
          <w:trHeight w:val="9490"/>
        </w:trPr>
        <w:tc>
          <w:tcPr>
            <w:tcW w:w="5000" w:type="pct"/>
          </w:tcPr>
          <w:p w14:paraId="50556592" w14:textId="65021111" w:rsidR="00E16859" w:rsidRPr="00321177" w:rsidRDefault="00E16859" w:rsidP="00B77F07">
            <w:pPr>
              <w:pStyle w:val="Heading10"/>
              <w:rPr>
                <w:b w:val="0"/>
                <w:bCs w:val="0"/>
              </w:rPr>
            </w:pPr>
            <w:bookmarkStart w:id="46" w:name="_Toc50378067"/>
            <w:r w:rsidRPr="00321177">
              <w:rPr>
                <w:b w:val="0"/>
                <w:bCs w:val="0"/>
              </w:rPr>
              <w:lastRenderedPageBreak/>
              <w:t>Pricing</w:t>
            </w:r>
            <w:r w:rsidRPr="00321177">
              <w:rPr>
                <w:b w:val="0"/>
                <w:bCs w:val="0"/>
              </w:rPr>
              <w:br/>
              <w:t>Authority</w:t>
            </w:r>
            <w:bookmarkEnd w:id="46"/>
          </w:p>
        </w:tc>
      </w:tr>
      <w:tr w:rsidR="00E16859" w14:paraId="7CACD8D2" w14:textId="77777777" w:rsidTr="00380ECA">
        <w:trPr>
          <w:trHeight w:val="1569"/>
        </w:trPr>
        <w:tc>
          <w:tcPr>
            <w:tcW w:w="5000" w:type="pct"/>
            <w:vAlign w:val="bottom"/>
          </w:tcPr>
          <w:p w14:paraId="1A8F0B2F" w14:textId="4184DD9E" w:rsidR="00E16859" w:rsidRDefault="00E16859" w:rsidP="00380ECA">
            <w:pPr>
              <w:pStyle w:val="SectionBreakNumber"/>
            </w:pPr>
            <w:r w:rsidRPr="003C6AC0">
              <w:t>0</w:t>
            </w:r>
            <w:r>
              <w:t>2</w:t>
            </w:r>
          </w:p>
        </w:tc>
      </w:tr>
    </w:tbl>
    <w:p w14:paraId="659CBC68" w14:textId="709F6053" w:rsidR="007724D0" w:rsidRDefault="007724D0" w:rsidP="007724D0">
      <w:pPr>
        <w:pStyle w:val="Body"/>
      </w:pPr>
    </w:p>
    <w:p w14:paraId="44A7AE9E" w14:textId="77777777" w:rsidR="00DC15F8" w:rsidRDefault="00DC15F8" w:rsidP="007724D0">
      <w:pPr>
        <w:pStyle w:val="Body"/>
        <w:sectPr w:rsidR="00DC15F8" w:rsidSect="006A6091">
          <w:headerReference w:type="even" r:id="rId43"/>
          <w:headerReference w:type="default" r:id="rId44"/>
          <w:footerReference w:type="default" r:id="rId45"/>
          <w:pgSz w:w="9979" w:h="14175" w:code="13"/>
          <w:pgMar w:top="1134" w:right="1418" w:bottom="1418" w:left="1418" w:header="709" w:footer="709" w:gutter="0"/>
          <w:cols w:space="708"/>
          <w:docGrid w:linePitch="360"/>
        </w:sectPr>
      </w:pPr>
    </w:p>
    <w:p w14:paraId="3BD6C1AE" w14:textId="77777777" w:rsidR="00FA071D" w:rsidRPr="00936074" w:rsidRDefault="00FC5A80" w:rsidP="00936074">
      <w:pPr>
        <w:pStyle w:val="Heading1"/>
        <w:rPr>
          <w:color w:val="008F54" w:themeColor="accent1"/>
        </w:rPr>
        <w:sectPr w:rsidR="00FA071D" w:rsidRPr="00936074" w:rsidSect="00FA071D">
          <w:headerReference w:type="default" r:id="rId46"/>
          <w:footerReference w:type="even" r:id="rId47"/>
          <w:pgSz w:w="9979" w:h="14175" w:code="13"/>
          <w:pgMar w:top="1134" w:right="1418" w:bottom="1418" w:left="1418" w:header="709" w:footer="709" w:gutter="0"/>
          <w:cols w:space="708"/>
          <w:docGrid w:linePitch="360"/>
        </w:sectPr>
      </w:pPr>
      <w:bookmarkStart w:id="47" w:name="_Toc44350176"/>
      <w:bookmarkStart w:id="48" w:name="_Toc50378068"/>
      <w:r w:rsidRPr="00936074">
        <w:rPr>
          <w:color w:val="008F54" w:themeColor="accent1"/>
        </w:rPr>
        <w:lastRenderedPageBreak/>
        <w:t>Chair</w:t>
      </w:r>
      <w:r w:rsidRPr="00F04E9E">
        <w:rPr>
          <w:color w:val="008F54" w:themeColor="accent1"/>
          <w:spacing w:val="-100"/>
        </w:rPr>
        <w:t>’</w:t>
      </w:r>
      <w:r w:rsidRPr="00936074">
        <w:rPr>
          <w:color w:val="008F54" w:themeColor="accent1"/>
        </w:rPr>
        <w:t>s welcome</w:t>
      </w:r>
      <w:bookmarkEnd w:id="47"/>
      <w:bookmarkEnd w:id="48"/>
    </w:p>
    <w:p w14:paraId="709B4F8F" w14:textId="114815C4" w:rsidR="00FA071D" w:rsidRDefault="00FA071D" w:rsidP="00FA071D">
      <w:pPr>
        <w:pStyle w:val="Body"/>
      </w:pPr>
      <w:r>
        <w:rPr>
          <w:noProof/>
          <w:lang w:val="en-GB" w:eastAsia="en-GB"/>
        </w:rPr>
        <w:drawing>
          <wp:inline distT="0" distB="0" distL="0" distR="0" wp14:anchorId="1577BA93" wp14:editId="06B89883">
            <wp:extent cx="1772211" cy="1591334"/>
            <wp:effectExtent l="0" t="0" r="0" b="8890"/>
            <wp:docPr id="17" name="Picture 17" descr="Photo of Shane Solomon, Chai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 of Shane Solomon, Chair Pricing Authority"/>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772211" cy="1591334"/>
                    </a:xfrm>
                    <a:prstGeom prst="rect">
                      <a:avLst/>
                    </a:prstGeom>
                    <a:noFill/>
                    <a:ln>
                      <a:noFill/>
                    </a:ln>
                  </pic:spPr>
                </pic:pic>
              </a:graphicData>
            </a:graphic>
          </wp:inline>
        </w:drawing>
      </w:r>
    </w:p>
    <w:p w14:paraId="3CB27A68" w14:textId="35F6DFE7" w:rsidR="00FC5A80" w:rsidRPr="00FC5A80" w:rsidRDefault="00FC5A80" w:rsidP="00FC5A80">
      <w:pPr>
        <w:pStyle w:val="Body"/>
        <w:rPr>
          <w:b/>
          <w:bCs/>
        </w:rPr>
      </w:pPr>
      <w:r w:rsidRPr="00FC5A80">
        <w:rPr>
          <w:b/>
          <w:bCs/>
        </w:rPr>
        <w:t>I am pleased to present the Independent Hospital Pricing Authority’s Annual Report for 2019–20.</w:t>
      </w:r>
    </w:p>
    <w:p w14:paraId="260EC080" w14:textId="60F778F1" w:rsidR="00FC5A80" w:rsidRDefault="00FC5A80" w:rsidP="00FC5A80">
      <w:pPr>
        <w:pStyle w:val="Body"/>
      </w:pPr>
      <w:r>
        <w:t xml:space="preserve">As Chair of the Pricing Authority, it was a pleasure to lead IHPA to deliver another full work program last year. The </w:t>
      </w:r>
      <w:r w:rsidR="00E747BF">
        <w:t>COVID-19</w:t>
      </w:r>
      <w:r w:rsidR="00F4613B">
        <w:t xml:space="preserve"> </w:t>
      </w:r>
      <w:r>
        <w:t>pandemic also presented us with unique</w:t>
      </w:r>
      <w:r w:rsidR="00752A9F">
        <w:t> </w:t>
      </w:r>
      <w:r w:rsidR="00F4613B">
        <w:t>challenges</w:t>
      </w:r>
      <w:r>
        <w:t>.</w:t>
      </w:r>
    </w:p>
    <w:p w14:paraId="36DDC15B" w14:textId="0E97CAC4" w:rsidR="00FC5A80" w:rsidRPr="00A3040F" w:rsidRDefault="00FC5A80" w:rsidP="00C01136">
      <w:pPr>
        <w:pStyle w:val="H4"/>
        <w:spacing w:before="0"/>
      </w:pPr>
      <w:r w:rsidRPr="00A3040F">
        <w:t xml:space="preserve">New </w:t>
      </w:r>
      <w:r w:rsidR="00F4613B">
        <w:t>Addendum to the H</w:t>
      </w:r>
      <w:r w:rsidR="00F4613B" w:rsidRPr="00A3040F">
        <w:t xml:space="preserve">ealth </w:t>
      </w:r>
      <w:r w:rsidR="00F4613B">
        <w:t>R</w:t>
      </w:r>
      <w:r w:rsidR="00F4613B" w:rsidRPr="00A3040F">
        <w:t xml:space="preserve">eform </w:t>
      </w:r>
      <w:r w:rsidR="00F4613B">
        <w:t>A</w:t>
      </w:r>
      <w:r w:rsidR="00F4613B" w:rsidRPr="00A3040F">
        <w:t xml:space="preserve">greement </w:t>
      </w:r>
      <w:r w:rsidRPr="00A3040F">
        <w:t>2020–25</w:t>
      </w:r>
    </w:p>
    <w:p w14:paraId="744F88A9" w14:textId="3BBE7EE0" w:rsidR="00FC5A80" w:rsidRDefault="00FC5A80" w:rsidP="00FC5A80">
      <w:pPr>
        <w:pStyle w:val="Body"/>
      </w:pPr>
      <w:r>
        <w:t>In May 2020, all Australian governments signed an Addendum to the National Health Reform Agreement. This Addendum reaffirms all parties’ commitment to improving health outcomes for Australians and reducing the</w:t>
      </w:r>
      <w:r w:rsidR="00752A9F">
        <w:t> </w:t>
      </w:r>
      <w:r>
        <w:t>demand for avoidable public hospital</w:t>
      </w:r>
      <w:r w:rsidR="00752A9F">
        <w:t> </w:t>
      </w:r>
      <w:r>
        <w:t>services. To these ends, it maintains the commitment to activity based funding, and</w:t>
      </w:r>
      <w:r w:rsidR="00752A9F">
        <w:t> </w:t>
      </w:r>
      <w:r>
        <w:t>focuses further on reforms for improved safety and quality, health innovation and coordinated care.</w:t>
      </w:r>
    </w:p>
    <w:p w14:paraId="2A3ABBF9" w14:textId="1110A4E7" w:rsidR="00FC5A80" w:rsidRDefault="00FC5A80" w:rsidP="00E92D5B">
      <w:pPr>
        <w:pStyle w:val="Body"/>
        <w:ind w:right="-185"/>
      </w:pPr>
      <w:r>
        <w:t xml:space="preserve">The decision to maintain </w:t>
      </w:r>
      <w:r w:rsidR="00764F79">
        <w:t xml:space="preserve">the </w:t>
      </w:r>
      <w:r>
        <w:t xml:space="preserve">existing funding arrangement </w:t>
      </w:r>
      <w:r w:rsidR="00E91900">
        <w:t xml:space="preserve">into </w:t>
      </w:r>
      <w:r>
        <w:t>2020–25 shows confidence in</w:t>
      </w:r>
      <w:r w:rsidR="007C0875">
        <w:t> </w:t>
      </w:r>
      <w:r>
        <w:t>activity based funding, with</w:t>
      </w:r>
      <w:r w:rsidR="00E92D5B">
        <w:t> </w:t>
      </w:r>
      <w:r>
        <w:t>an emphasis on efficient pricing.</w:t>
      </w:r>
    </w:p>
    <w:p w14:paraId="2D3F3814" w14:textId="563B21EA" w:rsidR="00DC15F8" w:rsidRDefault="00FC5A80" w:rsidP="00FC5A80">
      <w:pPr>
        <w:pStyle w:val="Body"/>
      </w:pPr>
      <w:r>
        <w:t xml:space="preserve">Still, there is much work to do. I believe the key changes in the new agreement—including pricing of private patients in public hospitals, pricing adjustments for avoidable hospital readmissions, </w:t>
      </w:r>
      <w:r w:rsidR="005C10F5">
        <w:t>nationally cohesive new health technology assessment</w:t>
      </w:r>
      <w:r>
        <w:t>, and innovative funding models—will help shape strategies that will improve health outcomes for all</w:t>
      </w:r>
      <w:r w:rsidR="0064691D">
        <w:t> </w:t>
      </w:r>
      <w:r>
        <w:t>Australians.</w:t>
      </w:r>
    </w:p>
    <w:p w14:paraId="090B2D8F" w14:textId="1F8B9475" w:rsidR="00FC5A80" w:rsidRPr="00A3040F" w:rsidRDefault="00FC5A80" w:rsidP="00C01136">
      <w:pPr>
        <w:pStyle w:val="H4"/>
        <w:spacing w:before="0"/>
      </w:pPr>
      <w:r w:rsidRPr="00A3040F">
        <w:t xml:space="preserve">Response to </w:t>
      </w:r>
      <w:r w:rsidR="00E747BF">
        <w:t>COVID-19</w:t>
      </w:r>
      <w:r w:rsidR="002E141F">
        <w:t xml:space="preserve"> </w:t>
      </w:r>
    </w:p>
    <w:p w14:paraId="0CDF80B9" w14:textId="59C07E82" w:rsidR="00FC5A80" w:rsidRDefault="00FC5A80" w:rsidP="00FC5A80">
      <w:pPr>
        <w:pStyle w:val="Body"/>
      </w:pPr>
      <w:r>
        <w:t xml:space="preserve">The National Partnership on </w:t>
      </w:r>
      <w:r w:rsidR="00E747BF">
        <w:t>COVID-19</w:t>
      </w:r>
      <w:r w:rsidR="00354589">
        <w:t xml:space="preserve"> Response</w:t>
      </w:r>
      <w:r>
        <w:t xml:space="preserve"> was signed in March 2020, ensuring additional health service funding to cover </w:t>
      </w:r>
      <w:r w:rsidR="002418C6">
        <w:t>the</w:t>
      </w:r>
      <w:r>
        <w:t xml:space="preserve"> national response to the outbreak. It</w:t>
      </w:r>
      <w:r w:rsidR="0085564E">
        <w:t> </w:t>
      </w:r>
      <w:r>
        <w:t xml:space="preserve">enabled the Commonwealth, states and territories to respond rapidly to </w:t>
      </w:r>
      <w:r w:rsidR="00E747BF">
        <w:t>COVID-19</w:t>
      </w:r>
      <w:r w:rsidR="00354589">
        <w:t xml:space="preserve"> and</w:t>
      </w:r>
      <w:r>
        <w:t xml:space="preserve"> control the spread of the virus.</w:t>
      </w:r>
    </w:p>
    <w:p w14:paraId="3882E25B" w14:textId="591F5226" w:rsidR="00FC5A80" w:rsidRDefault="00FC5A80" w:rsidP="00FC5A80">
      <w:pPr>
        <w:pStyle w:val="Body"/>
      </w:pPr>
      <w:r>
        <w:t>In order to implement the measures under the</w:t>
      </w:r>
      <w:r w:rsidR="002418C6">
        <w:t> A</w:t>
      </w:r>
      <w:r>
        <w:t xml:space="preserve">greement, IHPA updated the national activity based funding classifications and data reporting requirements, and published rules for coding </w:t>
      </w:r>
      <w:r w:rsidR="005C10F5">
        <w:t xml:space="preserve">and costing </w:t>
      </w:r>
      <w:r w:rsidR="00E747BF">
        <w:t>COVID-19</w:t>
      </w:r>
      <w:r w:rsidR="00752A9F">
        <w:t xml:space="preserve"> </w:t>
      </w:r>
      <w:r>
        <w:t>episodes</w:t>
      </w:r>
      <w:r w:rsidR="00752A9F">
        <w:t> </w:t>
      </w:r>
      <w:r>
        <w:t xml:space="preserve">of care. </w:t>
      </w:r>
    </w:p>
    <w:p w14:paraId="329916D5" w14:textId="77777777" w:rsidR="00C01136" w:rsidRPr="00A3040F" w:rsidRDefault="00C01136" w:rsidP="00C01136">
      <w:pPr>
        <w:pStyle w:val="Body"/>
      </w:pPr>
      <w:r w:rsidRPr="00A3040F">
        <w:rPr>
          <w:rStyle w:val="H4Char"/>
          <w:bCs w:val="0"/>
          <w:sz w:val="22"/>
        </w:rPr>
        <w:t>Stable and sustainable rate of</w:t>
      </w:r>
      <w:r>
        <w:rPr>
          <w:rStyle w:val="H4Char"/>
          <w:bCs w:val="0"/>
          <w:sz w:val="22"/>
        </w:rPr>
        <w:t> </w:t>
      </w:r>
      <w:r w:rsidRPr="00A3040F">
        <w:rPr>
          <w:rStyle w:val="H4Char"/>
          <w:bCs w:val="0"/>
          <w:sz w:val="22"/>
        </w:rPr>
        <w:t>growth</w:t>
      </w:r>
    </w:p>
    <w:p w14:paraId="360DBA87" w14:textId="3F54227F" w:rsidR="00C01136" w:rsidRDefault="00C01136" w:rsidP="00C01136">
      <w:pPr>
        <w:pStyle w:val="Body"/>
        <w:ind w:right="-44"/>
      </w:pPr>
      <w:r>
        <w:t xml:space="preserve">IHPA published its ninth National Efficient Price Determination and eighth National Efficient Cost </w:t>
      </w:r>
      <w:r>
        <w:lastRenderedPageBreak/>
        <w:t>Determination for public hospital services in 2020–21, which involved extensive consultation with jurisdictions and stakeholders. The Determinations are critical in deciding the Commonwealth funding contribution to public hospital services. They also provide a benchmark for the efficient cost of providing these services, and enable a stable and sustainable rate of growth in public hospital costs. (See </w:t>
      </w:r>
      <w:hyperlink w:anchor="Figure5" w:history="1">
        <w:r w:rsidRPr="00AE1921">
          <w:rPr>
            <w:rStyle w:val="Hyperlink"/>
            <w:rFonts w:ascii="Futura PT Demi" w:hAnsi="Futura PT Demi"/>
            <w:u w:val="none"/>
          </w:rPr>
          <w:t>Figures 5</w:t>
        </w:r>
      </w:hyperlink>
      <w:r>
        <w:t xml:space="preserve"> and </w:t>
      </w:r>
      <w:hyperlink w:anchor="Figure6" w:history="1">
        <w:r w:rsidRPr="00AE1921">
          <w:rPr>
            <w:rStyle w:val="Hyperlink"/>
            <w:rFonts w:ascii="Futura PT Demi" w:hAnsi="Futura PT Demi"/>
            <w:u w:val="none"/>
          </w:rPr>
          <w:t>6</w:t>
        </w:r>
      </w:hyperlink>
      <w:r>
        <w:t>)</w:t>
      </w:r>
    </w:p>
    <w:p w14:paraId="40CA8068" w14:textId="613DD909" w:rsidR="00FC5A80" w:rsidRPr="00A3040F" w:rsidRDefault="0034285D" w:rsidP="00C01136">
      <w:pPr>
        <w:pStyle w:val="H4"/>
      </w:pPr>
      <w:r>
        <w:rPr>
          <w:rStyle w:val="H4Char"/>
          <w:bCs/>
          <w:sz w:val="22"/>
        </w:rPr>
        <w:br w:type="column"/>
      </w:r>
      <w:r w:rsidR="00FC5A80" w:rsidRPr="00A3040F">
        <w:t>Delivering safe, high-quality and efficient health care</w:t>
      </w:r>
    </w:p>
    <w:p w14:paraId="37F4B01E" w14:textId="7FC56E2B" w:rsidR="00354589" w:rsidRPr="00722CBD" w:rsidRDefault="00FC5A80" w:rsidP="00354589">
      <w:pPr>
        <w:pStyle w:val="CommentText"/>
        <w:rPr>
          <w:color w:val="1C1C1C"/>
          <w:sz w:val="18"/>
          <w:szCs w:val="18"/>
        </w:rPr>
      </w:pPr>
      <w:r w:rsidRPr="00722CBD">
        <w:rPr>
          <w:color w:val="1C1C1C"/>
          <w:sz w:val="18"/>
          <w:szCs w:val="18"/>
        </w:rPr>
        <w:t xml:space="preserve">Working with the Australian Commission on Safety and Quality in Health Care and other stakeholders, IHPA continues to incorporate safety and quality into the pricing and funding of public hospital services, to improve health outcomes, and decrease avoidable demand for public hospital services. </w:t>
      </w:r>
      <w:r w:rsidR="00354589" w:rsidRPr="00722CBD">
        <w:rPr>
          <w:color w:val="1C1C1C"/>
          <w:sz w:val="18"/>
          <w:szCs w:val="18"/>
        </w:rPr>
        <w:t>IHPA started a two-year shadow period in 2019</w:t>
      </w:r>
      <w:r w:rsidR="00752A9F">
        <w:rPr>
          <w:color w:val="1C1C1C"/>
          <w:sz w:val="18"/>
          <w:szCs w:val="18"/>
        </w:rPr>
        <w:t>–</w:t>
      </w:r>
      <w:r w:rsidR="00354589" w:rsidRPr="00722CBD">
        <w:rPr>
          <w:color w:val="1C1C1C"/>
          <w:sz w:val="18"/>
          <w:szCs w:val="18"/>
        </w:rPr>
        <w:t>20 to assess funding options to reduce avoidable hospital readmissions.</w:t>
      </w:r>
    </w:p>
    <w:p w14:paraId="5AB382A1" w14:textId="39C00B8D" w:rsidR="00A3040F" w:rsidRDefault="00BF6A65" w:rsidP="00F62675">
      <w:pPr>
        <w:pStyle w:val="H4"/>
      </w:pPr>
      <w:r>
        <w:t xml:space="preserve">Valuable </w:t>
      </w:r>
      <w:r w:rsidR="002119C8">
        <w:t>s</w:t>
      </w:r>
      <w:r>
        <w:t xml:space="preserve">takeholder </w:t>
      </w:r>
      <w:r w:rsidR="00193744">
        <w:t>p</w:t>
      </w:r>
      <w:r w:rsidR="00A3040F">
        <w:t>artnerships and collaboration</w:t>
      </w:r>
    </w:p>
    <w:p w14:paraId="099F8E26" w14:textId="00720320" w:rsidR="00BF6A65" w:rsidRDefault="00BF6A65" w:rsidP="00A3040F">
      <w:pPr>
        <w:pStyle w:val="Body"/>
      </w:pPr>
      <w:r w:rsidRPr="00BF6A65">
        <w:t>IHPA continues to build many strategic and trusted partnerships we</w:t>
      </w:r>
      <w:r>
        <w:t> </w:t>
      </w:r>
      <w:r w:rsidRPr="00BF6A65">
        <w:t>share with all Australian governments, peak bodies and associations. Engaging with and listening to our key stakeholders is a vital part of meeting our</w:t>
      </w:r>
      <w:r>
        <w:t> </w:t>
      </w:r>
      <w:r w:rsidRPr="00BF6A65">
        <w:t xml:space="preserve">priorities. </w:t>
      </w:r>
    </w:p>
    <w:p w14:paraId="30B4AA82" w14:textId="5106B6CC" w:rsidR="00A3040F" w:rsidRDefault="00A3040F" w:rsidP="00A3040F">
      <w:pPr>
        <w:pStyle w:val="Body"/>
      </w:pPr>
      <w:r>
        <w:t>I would also like to highlight the contributions made by our Clinical Advisory Committee. Their advice is essential to the decisions we</w:t>
      </w:r>
      <w:r w:rsidR="00752A9F">
        <w:t> </w:t>
      </w:r>
      <w:r>
        <w:t>make.</w:t>
      </w:r>
    </w:p>
    <w:p w14:paraId="1DFE0768" w14:textId="19BC39E1" w:rsidR="00A3040F" w:rsidRDefault="00A3040F" w:rsidP="00F62675">
      <w:pPr>
        <w:pStyle w:val="H4"/>
      </w:pPr>
      <w:r>
        <w:t>Commendations</w:t>
      </w:r>
    </w:p>
    <w:p w14:paraId="356EF3E1" w14:textId="0D3AB08A" w:rsidR="00A3040F" w:rsidRDefault="00A3040F" w:rsidP="00A3040F">
      <w:pPr>
        <w:pStyle w:val="Body"/>
      </w:pPr>
      <w:r>
        <w:t>This year the Pricing Authority said farewell to</w:t>
      </w:r>
      <w:r w:rsidR="00752A9F">
        <w:t> </w:t>
      </w:r>
      <w:r>
        <w:t>Dr Michael Walsh, who was an inaugural Authority member. I want to thank Michael for</w:t>
      </w:r>
      <w:r w:rsidR="00752A9F">
        <w:t> </w:t>
      </w:r>
      <w:r>
        <w:t>supporting the Pricing Authority with his</w:t>
      </w:r>
      <w:r w:rsidR="00752A9F">
        <w:t> </w:t>
      </w:r>
      <w:r>
        <w:t>invaluable contributions and expert</w:t>
      </w:r>
      <w:r w:rsidR="00752A9F">
        <w:t> </w:t>
      </w:r>
      <w:r>
        <w:t>knowledge. I congratulate Ms</w:t>
      </w:r>
      <w:r w:rsidR="00752A9F">
        <w:t> </w:t>
      </w:r>
      <w:r>
        <w:t>Jennifer</w:t>
      </w:r>
      <w:r w:rsidR="00752A9F">
        <w:t> </w:t>
      </w:r>
      <w:r>
        <w:t xml:space="preserve">Williams on her </w:t>
      </w:r>
      <w:r w:rsidR="0045013C">
        <w:t>appointment as</w:t>
      </w:r>
      <w:r>
        <w:t xml:space="preserve"> Deputy Chair of the Authority—a testament to her abilities and commitment to the Authority. I</w:t>
      </w:r>
      <w:r w:rsidR="00752A9F">
        <w:t> </w:t>
      </w:r>
      <w:r>
        <w:t>also welcome Ms Jenn</w:t>
      </w:r>
      <w:r w:rsidR="0034285D">
        <w:t xml:space="preserve">y </w:t>
      </w:r>
      <w:r>
        <w:t>Richter, who</w:t>
      </w:r>
      <w:r w:rsidR="00A6522C">
        <w:t> </w:t>
      </w:r>
      <w:r>
        <w:t xml:space="preserve">brings many years of health administration and nursing </w:t>
      </w:r>
      <w:r>
        <w:lastRenderedPageBreak/>
        <w:t>expertise to the Pricing Authority. Thank you to all Pricing Authority members who provided professional vision and guidance throughout 2019–20.</w:t>
      </w:r>
    </w:p>
    <w:p w14:paraId="7C8EC312" w14:textId="51A7AEDF" w:rsidR="00A3040F" w:rsidRDefault="00A3040F" w:rsidP="00A3040F">
      <w:pPr>
        <w:pStyle w:val="Body"/>
      </w:pPr>
      <w:r>
        <w:t>On behalf of the Pricing Authority, I</w:t>
      </w:r>
      <w:r w:rsidR="00752A9F">
        <w:t> </w:t>
      </w:r>
      <w:r>
        <w:t>would</w:t>
      </w:r>
      <w:r w:rsidR="00752A9F">
        <w:t> </w:t>
      </w:r>
      <w:r>
        <w:t>like</w:t>
      </w:r>
      <w:r w:rsidR="00752A9F">
        <w:t> </w:t>
      </w:r>
      <w:r>
        <w:t>to commend James Downie, Chief</w:t>
      </w:r>
      <w:r w:rsidR="00752A9F">
        <w:t> </w:t>
      </w:r>
      <w:r>
        <w:t>Executive Officer</w:t>
      </w:r>
      <w:r w:rsidR="00DC07ED">
        <w:t>,</w:t>
      </w:r>
      <w:r>
        <w:t xml:space="preserve"> for his </w:t>
      </w:r>
      <w:r w:rsidR="00354589">
        <w:t>steady and insightful</w:t>
      </w:r>
      <w:r w:rsidR="00752A9F">
        <w:t> </w:t>
      </w:r>
      <w:r>
        <w:t xml:space="preserve">leadership. I also acknowledge the </w:t>
      </w:r>
      <w:r w:rsidR="00452906">
        <w:t>IHPA</w:t>
      </w:r>
      <w:r>
        <w:t xml:space="preserve"> staff for their constant commitment to deliver a successful program of work in a timely manner</w:t>
      </w:r>
      <w:r w:rsidR="00FD32FB">
        <w:t xml:space="preserve"> especially in this challenging</w:t>
      </w:r>
      <w:r w:rsidR="00752A9F">
        <w:t> </w:t>
      </w:r>
      <w:r w:rsidR="00FD32FB">
        <w:t>situation.</w:t>
      </w:r>
    </w:p>
    <w:p w14:paraId="0BDE7C8F" w14:textId="02178364" w:rsidR="00A3040F" w:rsidRDefault="00A3040F" w:rsidP="00F62675">
      <w:pPr>
        <w:pStyle w:val="H4"/>
      </w:pPr>
      <w:r>
        <w:t>Looking ahead</w:t>
      </w:r>
    </w:p>
    <w:p w14:paraId="715D2687" w14:textId="3342D21E" w:rsidR="00A3040F" w:rsidRDefault="00A3040F" w:rsidP="00A3040F">
      <w:pPr>
        <w:pStyle w:val="Body"/>
      </w:pPr>
      <w:r>
        <w:t>In an evolving environment, I am confident that we continue to build a solid foundation to</w:t>
      </w:r>
      <w:r w:rsidR="00B13ADC">
        <w:t> </w:t>
      </w:r>
      <w:r>
        <w:t>undertake IHPA’s purpose and functions. We</w:t>
      </w:r>
      <w:r w:rsidR="00752A9F">
        <w:t> </w:t>
      </w:r>
      <w:r>
        <w:t>remain committed to the highest standards of transparency and accountability, grounded in an open and consultative approach in working with Australian governments and other stakeholders.</w:t>
      </w:r>
    </w:p>
    <w:p w14:paraId="2EF9B880" w14:textId="15DABB88" w:rsidR="0006180D" w:rsidRDefault="00A3040F" w:rsidP="00A3040F">
      <w:pPr>
        <w:pStyle w:val="Body"/>
      </w:pPr>
      <w:r>
        <w:t>In the year ahead, the Pricing Authority looks</w:t>
      </w:r>
      <w:r w:rsidR="00752A9F">
        <w:t> </w:t>
      </w:r>
      <w:r>
        <w:t>forward to contributing further to deliver</w:t>
      </w:r>
      <w:r w:rsidR="00752A9F">
        <w:t> </w:t>
      </w:r>
      <w:r>
        <w:t>sustainable, efficient and quality public</w:t>
      </w:r>
      <w:r w:rsidR="00752A9F">
        <w:t> </w:t>
      </w:r>
      <w:r>
        <w:t>hospital services for all Australians.</w:t>
      </w:r>
    </w:p>
    <w:p w14:paraId="24CB11DF" w14:textId="4CE4863C" w:rsidR="00F62675" w:rsidRDefault="00F62675" w:rsidP="00A3040F">
      <w:pPr>
        <w:pStyle w:val="Body"/>
      </w:pPr>
      <w:r>
        <w:rPr>
          <w:noProof/>
          <w:lang w:val="en-GB" w:eastAsia="en-GB"/>
        </w:rPr>
        <w:drawing>
          <wp:inline distT="0" distB="0" distL="0" distR="0" wp14:anchorId="050380BB" wp14:editId="178BA2F0">
            <wp:extent cx="1508125" cy="252730"/>
            <wp:effectExtent l="0" t="0" r="0" b="0"/>
            <wp:docPr id="21" name="Picture 21" descr="Shane Solomo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hane Solomon Signatur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08125" cy="252730"/>
                    </a:xfrm>
                    <a:prstGeom prst="rect">
                      <a:avLst/>
                    </a:prstGeom>
                    <a:noFill/>
                    <a:ln>
                      <a:noFill/>
                    </a:ln>
                  </pic:spPr>
                </pic:pic>
              </a:graphicData>
            </a:graphic>
          </wp:inline>
        </w:drawing>
      </w:r>
    </w:p>
    <w:p w14:paraId="1BCF8184" w14:textId="62FB7BEC" w:rsidR="00F62675" w:rsidRDefault="00F62675" w:rsidP="00F62675">
      <w:pPr>
        <w:pStyle w:val="Body"/>
      </w:pPr>
      <w:r w:rsidRPr="00F62675">
        <w:rPr>
          <w:b/>
          <w:bCs/>
        </w:rPr>
        <w:t>Shane Solomon</w:t>
      </w:r>
      <w:r>
        <w:rPr>
          <w:b/>
          <w:bCs/>
        </w:rPr>
        <w:br/>
      </w:r>
      <w:r>
        <w:t>Chair, Pricing Authority</w:t>
      </w:r>
      <w:r>
        <w:rPr>
          <w:b/>
          <w:bCs/>
        </w:rPr>
        <w:br/>
      </w:r>
      <w:r w:rsidR="009D4ECA">
        <w:t xml:space="preserve">2 </w:t>
      </w:r>
      <w:r w:rsidR="00FA32DF">
        <w:t>October</w:t>
      </w:r>
      <w:r>
        <w:t xml:space="preserve"> 20</w:t>
      </w:r>
      <w:r w:rsidR="00452906">
        <w:t>20</w:t>
      </w:r>
    </w:p>
    <w:p w14:paraId="0731852A" w14:textId="77777777" w:rsidR="00267FFA" w:rsidRDefault="00267FFA" w:rsidP="00F62675">
      <w:pPr>
        <w:pStyle w:val="Body"/>
        <w:rPr>
          <w:b/>
          <w:bCs/>
        </w:rPr>
        <w:sectPr w:rsidR="00267FFA" w:rsidSect="00FA071D">
          <w:headerReference w:type="even" r:id="rId50"/>
          <w:type w:val="continuous"/>
          <w:pgSz w:w="9979" w:h="14175" w:code="13"/>
          <w:pgMar w:top="1134" w:right="1418" w:bottom="1276" w:left="1418" w:header="709" w:footer="709" w:gutter="0"/>
          <w:cols w:num="2" w:space="708"/>
          <w:docGrid w:linePitch="360"/>
        </w:sectPr>
      </w:pPr>
    </w:p>
    <w:p w14:paraId="2E876386" w14:textId="77777777" w:rsidR="00267FFA" w:rsidRDefault="00267FFA" w:rsidP="00267FFA">
      <w:pPr>
        <w:pStyle w:val="H3"/>
      </w:pPr>
      <w:r>
        <w:lastRenderedPageBreak/>
        <w:t>Significant slowdown in costs</w:t>
      </w:r>
    </w:p>
    <w:p w14:paraId="303CAE9B" w14:textId="0B77C5F4" w:rsidR="00267FFA" w:rsidRDefault="00267FFA" w:rsidP="00267FFA">
      <w:pPr>
        <w:pStyle w:val="H4"/>
      </w:pPr>
      <w:r>
        <w:t>Cost per National Weighted Activity Unit (NWAU)</w:t>
      </w:r>
    </w:p>
    <w:p w14:paraId="6C4E20CC" w14:textId="7F2CD91F" w:rsidR="00267FFA" w:rsidRDefault="00267FFA" w:rsidP="00267FFA">
      <w:pPr>
        <w:pStyle w:val="Body"/>
      </w:pPr>
      <w:r>
        <w:t xml:space="preserve">The NWAU is a measure of health service activity expressed as a common unit, against which the </w:t>
      </w:r>
      <w:r w:rsidR="00FD32FB">
        <w:t>national efficient price</w:t>
      </w:r>
      <w:r>
        <w:t xml:space="preserve"> is determined. Figure 5 </w:t>
      </w:r>
      <w:r w:rsidRPr="00267FFA">
        <w:t>indicates a significant reduction in the rate of growth in</w:t>
      </w:r>
      <w:r w:rsidR="006F2905">
        <w:t> </w:t>
      </w:r>
      <w:r w:rsidRPr="00267FFA">
        <w:t>costs since 2011–12, to a sustained growth rate of 1.9 per cent.</w:t>
      </w:r>
    </w:p>
    <w:p w14:paraId="6D788BC7" w14:textId="77777777" w:rsidR="00267FFA" w:rsidRDefault="00267FFA" w:rsidP="00267FFA">
      <w:pPr>
        <w:pStyle w:val="FigureHeading"/>
      </w:pPr>
      <w:bookmarkStart w:id="49" w:name="_Toc48830267"/>
      <w:bookmarkStart w:id="50" w:name="Figure5"/>
      <w:r>
        <w:t>Figure 5: Cost per National Weighted Activity Unit (NWAU)</w:t>
      </w:r>
      <w:bookmarkEnd w:id="49"/>
    </w:p>
    <w:bookmarkEnd w:id="50"/>
    <w:p w14:paraId="1A21A442" w14:textId="4C7B6107" w:rsidR="00267FFA" w:rsidRDefault="00267FFA" w:rsidP="00F62675">
      <w:pPr>
        <w:pStyle w:val="Body"/>
      </w:pPr>
      <w:r>
        <w:rPr>
          <w:noProof/>
          <w:lang w:val="en-GB" w:eastAsia="en-GB"/>
        </w:rPr>
        <w:drawing>
          <wp:inline distT="0" distB="0" distL="0" distR="0" wp14:anchorId="0BAFE3D3" wp14:editId="64059DA1">
            <wp:extent cx="4210320" cy="1927451"/>
            <wp:effectExtent l="0" t="0" r="0" b="0"/>
            <wp:docPr id="22" name="Picture 22" descr="2006-07 = $3,596&#10;2007-08 = $3,739&#10;2008-09 = $3,949&#10;2009-10 = $4,233&#10;2010-11 = $4,319&#10;2011-12 = $4,466&#10;2012-13 = $4,564&#10;2013-14 = $4,571&#10;2014-15 = $4,672&#10;2015-16 = $4,754&#10;2016-17 = $4,840&#10;2017-18 = $4,998&#10;2018-19 = $5,1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06-07 = $3,596&#10;2007-08 = $3,739&#10;2008-09 = $3,949&#10;2009-10 = $4,233&#10;2010-11 = $4,319&#10;2011-12 = $4,466&#10;2012-13 = $4,564&#10;2013-14 = $4,571&#10;2014-15 = $4,672&#10;2015-16 = $4,754&#10;2016-17 = $4,840&#10;2017-18 = $4,998&#10;2018-19 = $5,103&#1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210320" cy="1927451"/>
                    </a:xfrm>
                    <a:prstGeom prst="rect">
                      <a:avLst/>
                    </a:prstGeom>
                    <a:noFill/>
                    <a:ln>
                      <a:noFill/>
                    </a:ln>
                  </pic:spPr>
                </pic:pic>
              </a:graphicData>
            </a:graphic>
          </wp:inline>
        </w:drawing>
      </w:r>
    </w:p>
    <w:p w14:paraId="66F79E72" w14:textId="42D1AA03" w:rsidR="00267FFA" w:rsidRDefault="00FD32FB" w:rsidP="00267FFA">
      <w:pPr>
        <w:pStyle w:val="H4"/>
      </w:pPr>
      <w:r>
        <w:t>National efficient price</w:t>
      </w:r>
    </w:p>
    <w:p w14:paraId="4486731D" w14:textId="6E255BE0" w:rsidR="00267FFA" w:rsidRDefault="00267FFA" w:rsidP="00267FFA">
      <w:pPr>
        <w:pStyle w:val="Body"/>
      </w:pPr>
      <w:r>
        <w:t xml:space="preserve">The </w:t>
      </w:r>
      <w:r w:rsidR="00FD32FB">
        <w:t xml:space="preserve">national efficient price </w:t>
      </w:r>
      <w:r>
        <w:t xml:space="preserve">represents the average cost of a hospital admission across Australia, and is a determinant (along with the volume of services delivered) of the Australian Government’s funding contribution to public hospitals.  </w:t>
      </w:r>
    </w:p>
    <w:p w14:paraId="02426D8A" w14:textId="5BF3D248" w:rsidR="00267FFA" w:rsidRDefault="00267FFA" w:rsidP="00267FFA">
      <w:pPr>
        <w:pStyle w:val="Body"/>
      </w:pPr>
      <w:r>
        <w:t>Figure 6</w:t>
      </w:r>
      <w:r w:rsidR="000A5F04">
        <w:t>,</w:t>
      </w:r>
      <w:r>
        <w:t xml:space="preserve"> below, is an indicator of the success of activity based funding in controlling costs.</w:t>
      </w:r>
    </w:p>
    <w:p w14:paraId="716CCDE2" w14:textId="059183CF" w:rsidR="00267FFA" w:rsidRDefault="00267FFA" w:rsidP="00267FFA">
      <w:pPr>
        <w:pStyle w:val="Body"/>
      </w:pPr>
      <w:r>
        <w:t xml:space="preserve">As required under the National Health Reform Agreement (cl A40), IHPA back-casts the </w:t>
      </w:r>
      <w:r w:rsidR="00FD32FB">
        <w:t>national efficient pric</w:t>
      </w:r>
      <w:r>
        <w:t>e whenever significant changes to the methodology or underlying data occur</w:t>
      </w:r>
      <w:r w:rsidR="000168CE">
        <w:t>,</w:t>
      </w:r>
      <w:r>
        <w:t xml:space="preserve"> to enable the fair calculation of the Australian Government’s growth funding.</w:t>
      </w:r>
    </w:p>
    <w:p w14:paraId="697F4A07" w14:textId="2CA9657D" w:rsidR="00267FFA" w:rsidRDefault="00267FFA" w:rsidP="00267FFA">
      <w:pPr>
        <w:pStyle w:val="FigureHeading"/>
      </w:pPr>
      <w:bookmarkStart w:id="51" w:name="_Toc48830268"/>
      <w:bookmarkStart w:id="52" w:name="Figure6"/>
      <w:r>
        <w:t>Figure 6: National Efficient Price 2012–2020</w:t>
      </w:r>
      <w:bookmarkEnd w:id="51"/>
    </w:p>
    <w:bookmarkEnd w:id="52"/>
    <w:p w14:paraId="64A3B6C0" w14:textId="37555D01" w:rsidR="00C42C3B" w:rsidRPr="00536DC8" w:rsidRDefault="00CB38FB" w:rsidP="00536DC8">
      <w:pPr>
        <w:pStyle w:val="Body"/>
        <w:rPr>
          <w:noProof/>
          <w:lang w:val="en-GB" w:eastAsia="en-GB"/>
        </w:rPr>
      </w:pPr>
      <w:r>
        <w:rPr>
          <w:noProof/>
          <w:lang w:val="en-GB" w:eastAsia="en-GB"/>
        </w:rPr>
        <w:drawing>
          <wp:inline distT="0" distB="0" distL="0" distR="0" wp14:anchorId="6AB00D03" wp14:editId="3BF194A9">
            <wp:extent cx="4156710" cy="1228090"/>
            <wp:effectExtent l="0" t="0" r="0" b="0"/>
            <wp:docPr id="23" name="Picture 23" descr="2012-13 = $4,808&#10;2013-14 = $4,993&#10;2014-15 = $5,007&#10;2015-16 = $4,971&#10;2016-17 = $4,883&#10;2017-18 = $4,910&#10;2018-19 = $5,012&#10;2019-20 = $5,134&#10;2020-21 =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2012-13 = $4,808&#10;2013-14 = $4,993&#10;2014-15 = $5,007&#10;2015-16 = $4,971&#10;2016-17 = $4,883&#10;2017-18 = $4,910&#10;2018-19 = $5,012&#10;2019-20 = $5,134&#10;2020-21 = $5,32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4156710" cy="1228090"/>
                    </a:xfrm>
                    <a:prstGeom prst="rect">
                      <a:avLst/>
                    </a:prstGeom>
                    <a:noFill/>
                    <a:ln>
                      <a:noFill/>
                    </a:ln>
                  </pic:spPr>
                </pic:pic>
              </a:graphicData>
            </a:graphic>
          </wp:inline>
        </w:drawing>
      </w:r>
    </w:p>
    <w:p w14:paraId="3C8468BD" w14:textId="77A6C2D0" w:rsidR="00C2670F" w:rsidRDefault="00C42C3B" w:rsidP="00C42C3B">
      <w:pPr>
        <w:pStyle w:val="Body"/>
        <w:tabs>
          <w:tab w:val="center" w:pos="751"/>
        </w:tabs>
        <w:sectPr w:rsidR="00C2670F" w:rsidSect="00A83337">
          <w:pgSz w:w="9979" w:h="14175" w:code="13"/>
          <w:pgMar w:top="1134" w:right="1418" w:bottom="1276" w:left="1418" w:header="709" w:footer="709" w:gutter="0"/>
          <w:cols w:space="708"/>
          <w:docGrid w:linePitch="360"/>
        </w:sectPr>
      </w:pPr>
      <w:r>
        <w:lastRenderedPageBreak/>
        <w:tab/>
      </w:r>
      <w:r>
        <w:br w:type="textWrapping" w:clear="all"/>
      </w:r>
    </w:p>
    <w:p w14:paraId="163AB9BC" w14:textId="11792F28" w:rsidR="00845344" w:rsidRDefault="00845344" w:rsidP="00DA5064">
      <w:pPr>
        <w:pStyle w:val="Heading1"/>
        <w:spacing w:before="0" w:beforeAutospacing="0"/>
        <w:ind w:right="-228"/>
        <w:rPr>
          <w:color w:val="008F54" w:themeColor="accent1"/>
        </w:rPr>
        <w:sectPr w:rsidR="00845344" w:rsidSect="00267FFA">
          <w:headerReference w:type="even" r:id="rId53"/>
          <w:pgSz w:w="9979" w:h="14175" w:code="13"/>
          <w:pgMar w:top="1134" w:right="1418" w:bottom="1418" w:left="1418" w:header="709" w:footer="709" w:gutter="0"/>
          <w:cols w:space="708"/>
          <w:docGrid w:linePitch="360"/>
        </w:sectPr>
      </w:pPr>
      <w:bookmarkStart w:id="53" w:name="_About_the_Pricing"/>
      <w:bookmarkStart w:id="54" w:name="_Toc50378069"/>
      <w:bookmarkEnd w:id="53"/>
      <w:r w:rsidRPr="00936074">
        <w:rPr>
          <w:color w:val="008F54" w:themeColor="accent1"/>
        </w:rPr>
        <w:lastRenderedPageBreak/>
        <w:t>About the Pricing</w:t>
      </w:r>
      <w:r w:rsidR="00DA5064">
        <w:rPr>
          <w:color w:val="008F54" w:themeColor="accent1"/>
        </w:rPr>
        <w:t xml:space="preserve"> </w:t>
      </w:r>
      <w:r w:rsidRPr="00936074">
        <w:rPr>
          <w:color w:val="008F54" w:themeColor="accent1"/>
        </w:rPr>
        <w:t>Authority</w:t>
      </w:r>
      <w:bookmarkEnd w:id="54"/>
    </w:p>
    <w:p w14:paraId="42BAD195" w14:textId="77777777" w:rsidR="00845344" w:rsidRPr="00DE0720" w:rsidRDefault="00845344" w:rsidP="00845344">
      <w:pPr>
        <w:pStyle w:val="Body"/>
        <w:rPr>
          <w:b/>
          <w:bCs/>
        </w:rPr>
      </w:pPr>
      <w:r w:rsidRPr="00DE0720">
        <w:rPr>
          <w:b/>
          <w:bCs/>
        </w:rPr>
        <w:t>The Pricing Authority is responsible for promoting improved efficiency in and access to public hospital services. They do this by providing independent advice to Australian governments in relation to the efficient costs of services, and developing and implementing robust systems to promote activity based funding for such</w:t>
      </w:r>
      <w:r>
        <w:rPr>
          <w:b/>
          <w:bCs/>
        </w:rPr>
        <w:t> </w:t>
      </w:r>
      <w:r w:rsidRPr="00DE0720">
        <w:rPr>
          <w:b/>
          <w:bCs/>
        </w:rPr>
        <w:t>services.</w:t>
      </w:r>
    </w:p>
    <w:p w14:paraId="14071E91" w14:textId="40C10ADB" w:rsidR="00845344" w:rsidRDefault="00845344" w:rsidP="00B15FB3">
      <w:pPr>
        <w:pStyle w:val="Body"/>
        <w:ind w:right="-185"/>
      </w:pPr>
      <w:r>
        <w:t>The Pricing Authority consists of a Chair, a Deputy Chair and seven other members.</w:t>
      </w:r>
    </w:p>
    <w:p w14:paraId="702C678E" w14:textId="48CA3964" w:rsidR="00845344" w:rsidRDefault="00DA5064" w:rsidP="00B15FB3">
      <w:pPr>
        <w:pStyle w:val="Body"/>
        <w:ind w:right="-185"/>
      </w:pPr>
      <w:r>
        <w:br w:type="column"/>
      </w:r>
      <w:r w:rsidR="00845344">
        <w:t>Pricing Authority members are appointed for a</w:t>
      </w:r>
      <w:r w:rsidR="00B15FB3">
        <w:t> </w:t>
      </w:r>
      <w:r w:rsidR="00845344">
        <w:t>period not greater than five years. The Chair is</w:t>
      </w:r>
      <w:r w:rsidR="00B15FB3">
        <w:t> </w:t>
      </w:r>
      <w:r w:rsidR="00845344">
        <w:t>appointed by the Australian Government Minister for Health; the Deputy Chair is appointed with the agreement of First Ministers of all states and territories; and the remaining Pricing Authority members are appointed with</w:t>
      </w:r>
      <w:r w:rsidR="00B15FB3">
        <w:t> </w:t>
      </w:r>
      <w:r w:rsidR="00845344">
        <w:t>the agreement of the Prime Minister and First</w:t>
      </w:r>
      <w:r w:rsidR="00B15FB3">
        <w:t> </w:t>
      </w:r>
      <w:r w:rsidR="00845344">
        <w:t>Ministers of the states and territories.</w:t>
      </w:r>
    </w:p>
    <w:p w14:paraId="728DAC57" w14:textId="153AFEDC" w:rsidR="00845344" w:rsidRDefault="00845344" w:rsidP="00B15FB3">
      <w:pPr>
        <w:pStyle w:val="Body"/>
        <w:ind w:right="-327"/>
      </w:pPr>
      <w:r>
        <w:t>Members of the Pricing Authority bring significant and varied expertise to their role including substantial experience and knowledge of the health industry, healthcare needs, and the provision of health care in regional and rural</w:t>
      </w:r>
      <w:r w:rsidR="00B15FB3">
        <w:t> </w:t>
      </w:r>
      <w:r>
        <w:t>areas.</w:t>
      </w:r>
    </w:p>
    <w:p w14:paraId="40198C40" w14:textId="77777777" w:rsidR="00845344" w:rsidRDefault="00845344" w:rsidP="00B15FB3">
      <w:pPr>
        <w:pStyle w:val="Body"/>
        <w:ind w:right="-185"/>
      </w:pPr>
      <w:r>
        <w:t>The Pricing Authority is supported by a Chief Executive Officer, who is responsible for the day-to-day running of IHPA.</w:t>
      </w:r>
    </w:p>
    <w:p w14:paraId="2F265CD3" w14:textId="77777777" w:rsidR="00845344" w:rsidRDefault="00845344" w:rsidP="00B15FB3">
      <w:pPr>
        <w:pStyle w:val="Body"/>
        <w:ind w:right="-185"/>
      </w:pPr>
      <w:r>
        <w:t>All Pricing Authority members are non</w:t>
      </w:r>
      <w:r>
        <w:noBreakHyphen/>
        <w:t>executive.</w:t>
      </w:r>
    </w:p>
    <w:p w14:paraId="44D3E477" w14:textId="77777777" w:rsidR="00845344" w:rsidRDefault="00845344" w:rsidP="00286171">
      <w:pPr>
        <w:pStyle w:val="Body"/>
      </w:pPr>
    </w:p>
    <w:p w14:paraId="031E3524" w14:textId="147AC492" w:rsidR="00845344" w:rsidRPr="00845344" w:rsidRDefault="00845344" w:rsidP="00845344">
      <w:pPr>
        <w:pStyle w:val="Body"/>
        <w:sectPr w:rsidR="00845344" w:rsidRPr="00845344" w:rsidSect="00845344">
          <w:type w:val="continuous"/>
          <w:pgSz w:w="9979" w:h="14175" w:code="13"/>
          <w:pgMar w:top="1134" w:right="1418" w:bottom="1418" w:left="1418" w:header="709" w:footer="709" w:gutter="0"/>
          <w:cols w:num="2" w:space="708"/>
          <w:docGrid w:linePitch="360"/>
        </w:sectPr>
      </w:pPr>
    </w:p>
    <w:p w14:paraId="1A82B266" w14:textId="77777777" w:rsidR="00286171" w:rsidRDefault="00286171" w:rsidP="00DE0720">
      <w:pPr>
        <w:pStyle w:val="H4"/>
        <w:sectPr w:rsidR="00286171" w:rsidSect="00286171">
          <w:type w:val="continuous"/>
          <w:pgSz w:w="9979" w:h="14175" w:code="13"/>
          <w:pgMar w:top="1134" w:right="1418" w:bottom="1134" w:left="1418" w:header="709" w:footer="709" w:gutter="0"/>
          <w:cols w:space="708"/>
          <w:docGrid w:linePitch="360"/>
        </w:sectPr>
      </w:pPr>
    </w:p>
    <w:p w14:paraId="3C504C50" w14:textId="77777777" w:rsidR="00286171" w:rsidRDefault="00286171" w:rsidP="00DE0720">
      <w:pPr>
        <w:pStyle w:val="H4"/>
        <w:sectPr w:rsidR="00286171" w:rsidSect="00286171">
          <w:headerReference w:type="default" r:id="rId54"/>
          <w:pgSz w:w="9979" w:h="14175" w:code="13"/>
          <w:pgMar w:top="1134" w:right="1418" w:bottom="1134" w:left="1418" w:header="709" w:footer="709" w:gutter="0"/>
          <w:cols w:space="708"/>
          <w:docGrid w:linePitch="360"/>
        </w:sectPr>
      </w:pPr>
    </w:p>
    <w:p w14:paraId="7064DF58" w14:textId="2302C51A" w:rsidR="00DE0720" w:rsidRDefault="00DE0720" w:rsidP="00DE0720">
      <w:pPr>
        <w:pStyle w:val="H4"/>
      </w:pPr>
      <w:r>
        <w:lastRenderedPageBreak/>
        <w:t>Mr Shane Solomon (Chair)</w:t>
      </w:r>
    </w:p>
    <w:p w14:paraId="68D93258" w14:textId="02183715" w:rsidR="00DE0720" w:rsidRDefault="00DE0720" w:rsidP="00DE0720">
      <w:pPr>
        <w:pStyle w:val="Body"/>
      </w:pPr>
      <w:r>
        <w:t>Shane Solomon has over 30 years of international and national healthcare management expertise. Shane currently provides health strategy and advisory</w:t>
      </w:r>
      <w:r w:rsidR="00752A9F">
        <w:t> </w:t>
      </w:r>
      <w:r>
        <w:t>services, and holds non‑executive director roles. Prior to this role, he was the founding Managing Director of Telstra Health, an</w:t>
      </w:r>
      <w:r w:rsidR="00752A9F">
        <w:t> </w:t>
      </w:r>
      <w:r>
        <w:t>e</w:t>
      </w:r>
      <w:r w:rsidR="00752A9F">
        <w:noBreakHyphen/>
      </w:r>
      <w:r>
        <w:t>health business within Telstra.</w:t>
      </w:r>
    </w:p>
    <w:p w14:paraId="6F6D5214" w14:textId="139BDBFC" w:rsidR="00DE0720" w:rsidRDefault="00DE0720" w:rsidP="00DE0720">
      <w:pPr>
        <w:pStyle w:val="Body"/>
      </w:pPr>
      <w:r>
        <w:t>Previously, Shane was KPMG’s Partner in</w:t>
      </w:r>
      <w:r w:rsidR="0011737A">
        <w:t> </w:t>
      </w:r>
      <w:r>
        <w:t>Charge, Healthcare. In this role, he worked with state and Australian Governments, along</w:t>
      </w:r>
      <w:r w:rsidR="00752A9F">
        <w:t> </w:t>
      </w:r>
      <w:r>
        <w:t>with private sector health organisations.</w:t>
      </w:r>
    </w:p>
    <w:p w14:paraId="4FF2A99F" w14:textId="07A638EF" w:rsidR="00DE0720" w:rsidRDefault="00DE0720" w:rsidP="00DE0720">
      <w:pPr>
        <w:pStyle w:val="Body"/>
      </w:pPr>
      <w:r>
        <w:t>Shane was the Chief Executive of the</w:t>
      </w:r>
      <w:r w:rsidR="0011737A">
        <w:t> </w:t>
      </w:r>
      <w:r>
        <w:t>Hong</w:t>
      </w:r>
      <w:r w:rsidR="00752A9F">
        <w:t> </w:t>
      </w:r>
      <w:r>
        <w:t>Kong Hospital Authority, managing</w:t>
      </w:r>
      <w:r w:rsidR="0011737A">
        <w:t> </w:t>
      </w:r>
      <w:r>
        <w:t>Hong Kong’s 57,000 public hospital staff. During his five-year tenure, he</w:t>
      </w:r>
      <w:r w:rsidR="0011737A">
        <w:t> </w:t>
      </w:r>
      <w:r>
        <w:t>implemented significant funding and service quality reforms, including a casemix pay‑for‑performance model, and the ongoing development of a comprehensive integrated e-health system.</w:t>
      </w:r>
    </w:p>
    <w:p w14:paraId="2B622961" w14:textId="6580759B" w:rsidR="00DE0720" w:rsidRDefault="00DE0720" w:rsidP="00DE0720">
      <w:pPr>
        <w:pStyle w:val="Body"/>
      </w:pPr>
      <w:r>
        <w:t>In Victoria, Shane was Under-Secretary of Health at the Department of Human Services (as it then was), where he was responsible for</w:t>
      </w:r>
      <w:r w:rsidR="00752A9F">
        <w:t> </w:t>
      </w:r>
      <w:r>
        <w:t>managing the funding system (including</w:t>
      </w:r>
      <w:r w:rsidR="00752A9F">
        <w:t> </w:t>
      </w:r>
      <w:r>
        <w:t>casemix) for Victoria, and</w:t>
      </w:r>
      <w:r w:rsidR="0011737A">
        <w:t> </w:t>
      </w:r>
      <w:r>
        <w:t>performance and governance of Melbourne metropolitan health services. He</w:t>
      </w:r>
      <w:r w:rsidR="0011737A">
        <w:t> </w:t>
      </w:r>
      <w:r>
        <w:t>was responsible for developing the Hospital Admission Risk Program, and</w:t>
      </w:r>
      <w:r w:rsidR="0011737A">
        <w:t> </w:t>
      </w:r>
      <w:r>
        <w:t>implementing governance reforms in</w:t>
      </w:r>
      <w:r w:rsidR="0011737A">
        <w:t> </w:t>
      </w:r>
      <w:r>
        <w:t>Victoria’s</w:t>
      </w:r>
      <w:r w:rsidR="0011737A">
        <w:t> </w:t>
      </w:r>
      <w:r>
        <w:t>public hospital system.</w:t>
      </w:r>
    </w:p>
    <w:p w14:paraId="1EE2450A" w14:textId="6A93D70D" w:rsidR="00267FFA" w:rsidRDefault="008D5C55" w:rsidP="00DE0720">
      <w:pPr>
        <w:pStyle w:val="Body"/>
      </w:pPr>
      <w:r>
        <w:br w:type="column"/>
      </w:r>
      <w:r w:rsidR="00DE0720">
        <w:t>Shane was the first Group Chief Executive Officer of the integrated Sisters of Mercy Victorian hospital and aged care services</w:t>
      </w:r>
      <w:r w:rsidR="00752A9F">
        <w:t> </w:t>
      </w:r>
      <w:r w:rsidR="00DE0720">
        <w:t>group, merging public hospitals, private</w:t>
      </w:r>
      <w:r w:rsidR="00752A9F">
        <w:t> </w:t>
      </w:r>
      <w:r w:rsidR="00DE0720">
        <w:t>hospitals, aged care services, and</w:t>
      </w:r>
      <w:r w:rsidR="00752A9F">
        <w:t> </w:t>
      </w:r>
      <w:r w:rsidR="00DE0720">
        <w:t xml:space="preserve">palliative care services into a single new </w:t>
      </w:r>
      <w:r w:rsidR="0054363F">
        <w:t>organisation</w:t>
      </w:r>
      <w:r w:rsidR="00DE0720">
        <w:t xml:space="preserve"> and expanding the Sisters of Mercy mission from five entities to twelve.</w:t>
      </w:r>
    </w:p>
    <w:p w14:paraId="4692F253" w14:textId="4E964A23" w:rsidR="008D5C55" w:rsidRDefault="008D5C55" w:rsidP="008D5C55">
      <w:pPr>
        <w:pStyle w:val="H4"/>
      </w:pPr>
      <w:r>
        <w:t>Ms Jennifer Williams (Deputy</w:t>
      </w:r>
      <w:r w:rsidR="00752A9F">
        <w:t> </w:t>
      </w:r>
      <w:r>
        <w:t>Chair)</w:t>
      </w:r>
    </w:p>
    <w:p w14:paraId="1DC4F96C" w14:textId="7AC439B5" w:rsidR="005D0B52" w:rsidRPr="005D0B52" w:rsidRDefault="005D0B52" w:rsidP="005D0B52">
      <w:pPr>
        <w:pStyle w:val="H4"/>
        <w:rPr>
          <w:rFonts w:asciiTheme="minorHAnsi" w:hAnsiTheme="minorHAnsi"/>
          <w:bCs w:val="0"/>
          <w:sz w:val="18"/>
        </w:rPr>
      </w:pPr>
      <w:r w:rsidRPr="005D0B52">
        <w:rPr>
          <w:rFonts w:asciiTheme="minorHAnsi" w:hAnsiTheme="minorHAnsi"/>
          <w:bCs w:val="0"/>
          <w:sz w:val="18"/>
        </w:rPr>
        <w:t>Jennifer Williams is a Non-Executive Director and holds a number of board positions including Chair of Northern Health and Chair</w:t>
      </w:r>
      <w:r w:rsidR="00FF2C47">
        <w:rPr>
          <w:rFonts w:asciiTheme="minorHAnsi" w:hAnsiTheme="minorHAnsi"/>
          <w:bCs w:val="0"/>
          <w:sz w:val="18"/>
        </w:rPr>
        <w:t> </w:t>
      </w:r>
      <w:r w:rsidRPr="005D0B52">
        <w:rPr>
          <w:rFonts w:asciiTheme="minorHAnsi" w:hAnsiTheme="minorHAnsi"/>
          <w:bCs w:val="0"/>
          <w:sz w:val="18"/>
        </w:rPr>
        <w:t>of Yooralla.</w:t>
      </w:r>
    </w:p>
    <w:p w14:paraId="35EAEBFB" w14:textId="1E9EF21C" w:rsidR="005D0B52" w:rsidRDefault="005D0B52" w:rsidP="005D0B52">
      <w:pPr>
        <w:pStyle w:val="H4"/>
        <w:rPr>
          <w:rFonts w:asciiTheme="minorHAnsi" w:hAnsiTheme="minorHAnsi"/>
          <w:bCs w:val="0"/>
          <w:sz w:val="18"/>
        </w:rPr>
      </w:pPr>
      <w:r w:rsidRPr="005D0B52">
        <w:rPr>
          <w:rFonts w:asciiTheme="minorHAnsi" w:hAnsiTheme="minorHAnsi"/>
          <w:bCs w:val="0"/>
          <w:sz w:val="18"/>
        </w:rPr>
        <w:t>Her other board appointments are with the Australian Medical Research Advisory Board, InfoXchange and Barwon Health. She has previously held the positions of Chief Executive of the Australian Red Cross Blood</w:t>
      </w:r>
      <w:r>
        <w:rPr>
          <w:rFonts w:asciiTheme="minorHAnsi" w:hAnsiTheme="minorHAnsi"/>
          <w:bCs w:val="0"/>
          <w:sz w:val="18"/>
        </w:rPr>
        <w:t> </w:t>
      </w:r>
      <w:r w:rsidRPr="005D0B52">
        <w:rPr>
          <w:rFonts w:asciiTheme="minorHAnsi" w:hAnsiTheme="minorHAnsi"/>
          <w:bCs w:val="0"/>
          <w:sz w:val="18"/>
        </w:rPr>
        <w:t>Service, Chief Executive of Alfred</w:t>
      </w:r>
      <w:r w:rsidR="007B0CFB">
        <w:rPr>
          <w:rFonts w:asciiTheme="minorHAnsi" w:hAnsiTheme="minorHAnsi"/>
          <w:bCs w:val="0"/>
          <w:sz w:val="18"/>
        </w:rPr>
        <w:t> </w:t>
      </w:r>
      <w:r w:rsidRPr="005D0B52">
        <w:rPr>
          <w:rFonts w:asciiTheme="minorHAnsi" w:hAnsiTheme="minorHAnsi"/>
          <w:bCs w:val="0"/>
          <w:sz w:val="18"/>
        </w:rPr>
        <w:t>Health, and</w:t>
      </w:r>
      <w:r>
        <w:rPr>
          <w:rFonts w:asciiTheme="minorHAnsi" w:hAnsiTheme="minorHAnsi"/>
          <w:bCs w:val="0"/>
          <w:sz w:val="18"/>
        </w:rPr>
        <w:t> </w:t>
      </w:r>
      <w:r w:rsidRPr="005D0B52">
        <w:rPr>
          <w:rFonts w:asciiTheme="minorHAnsi" w:hAnsiTheme="minorHAnsi"/>
          <w:bCs w:val="0"/>
          <w:sz w:val="18"/>
        </w:rPr>
        <w:t>Chief Executive of Austin</w:t>
      </w:r>
      <w:r w:rsidR="007B0CFB">
        <w:rPr>
          <w:rFonts w:asciiTheme="minorHAnsi" w:hAnsiTheme="minorHAnsi"/>
          <w:bCs w:val="0"/>
          <w:sz w:val="18"/>
        </w:rPr>
        <w:t> </w:t>
      </w:r>
      <w:r w:rsidRPr="005D0B52">
        <w:rPr>
          <w:rFonts w:asciiTheme="minorHAnsi" w:hAnsiTheme="minorHAnsi"/>
          <w:bCs w:val="0"/>
          <w:sz w:val="18"/>
        </w:rPr>
        <w:t>Health.</w:t>
      </w:r>
    </w:p>
    <w:p w14:paraId="6BB228D4" w14:textId="2CE70656" w:rsidR="008D5C55" w:rsidRDefault="008D5C55" w:rsidP="005D0B52">
      <w:pPr>
        <w:pStyle w:val="H4"/>
      </w:pPr>
      <w:r>
        <w:t>Mr Glenn Appleyard</w:t>
      </w:r>
    </w:p>
    <w:p w14:paraId="2CD532C5" w14:textId="77777777" w:rsidR="008D5C55" w:rsidRDefault="008D5C55" w:rsidP="008D5C55">
      <w:pPr>
        <w:pStyle w:val="Body"/>
      </w:pPr>
      <w:r>
        <w:t>Glenn Appleyard was a member of the Australian Accounting Standards Board from 1 January 2003 to 31 December 2011.</w:t>
      </w:r>
    </w:p>
    <w:p w14:paraId="0A097CD2" w14:textId="77777777" w:rsidR="008D5C55" w:rsidRDefault="008D5C55" w:rsidP="008D5C55">
      <w:pPr>
        <w:pStyle w:val="Body"/>
      </w:pPr>
      <w:r>
        <w:t>Glenn has held several senior positions within the public service including Deputy Secretary in the Tasmanian and Victorian Departments of Treasury and Finance, and Regional Director for the Australian Bureau of Statistics in Tasmania.</w:t>
      </w:r>
    </w:p>
    <w:p w14:paraId="2906422E" w14:textId="1883E2E3" w:rsidR="008D5C55" w:rsidRDefault="008D5C55" w:rsidP="008D5C55">
      <w:pPr>
        <w:pStyle w:val="Body"/>
      </w:pPr>
      <w:r>
        <w:t xml:space="preserve">He was a member of the Commonwealth Grants Commission </w:t>
      </w:r>
      <w:r>
        <w:lastRenderedPageBreak/>
        <w:t>for 11 years, and was the Chair of the Tasmanian Economic Regulator.</w:t>
      </w:r>
    </w:p>
    <w:p w14:paraId="7025B9E5" w14:textId="44E586B4" w:rsidR="008D5C55" w:rsidRDefault="008D5C55" w:rsidP="008D5C55">
      <w:pPr>
        <w:pStyle w:val="H4"/>
      </w:pPr>
      <w:r>
        <w:br w:type="column"/>
      </w:r>
      <w:r>
        <w:t>Associate Professor Bruce Chater</w:t>
      </w:r>
    </w:p>
    <w:p w14:paraId="72598890" w14:textId="1E6A264A" w:rsidR="008D5C55" w:rsidRDefault="008D5C55" w:rsidP="008D5C55">
      <w:pPr>
        <w:pStyle w:val="Body"/>
      </w:pPr>
      <w:r>
        <w:t>Associate Professor Bruce Chater is Head of</w:t>
      </w:r>
      <w:r w:rsidR="001C1904">
        <w:t> </w:t>
      </w:r>
      <w:r>
        <w:t xml:space="preserve">the </w:t>
      </w:r>
      <w:r w:rsidR="007C3910">
        <w:t>Mayne Academy</w:t>
      </w:r>
      <w:r>
        <w:t xml:space="preserve"> of Rural and Remote Medicine at the University of Queensland. He</w:t>
      </w:r>
      <w:r w:rsidR="00EE75BF">
        <w:t> </w:t>
      </w:r>
      <w:r>
        <w:t>performs these tasks from his rural base of</w:t>
      </w:r>
      <w:r w:rsidR="00EE75BF">
        <w:t> </w:t>
      </w:r>
      <w:r>
        <w:t xml:space="preserve">Theodore, Queensland, where he continues as a </w:t>
      </w:r>
      <w:r w:rsidR="00C11457">
        <w:t>practising</w:t>
      </w:r>
      <w:r>
        <w:t xml:space="preserve"> rural doctor.</w:t>
      </w:r>
    </w:p>
    <w:p w14:paraId="6FD8FE9C" w14:textId="06604C35" w:rsidR="008D5C55" w:rsidRDefault="008D5C55" w:rsidP="008D5C55">
      <w:pPr>
        <w:pStyle w:val="Body"/>
      </w:pPr>
      <w:r>
        <w:t>Bruce has been involved in ensuring that rural health services provide high quality and professional services to rural people. He was the founding convener of the Rural Doctors Association of Queensland and Australia, founding Chair of the National Rural Health</w:t>
      </w:r>
      <w:r w:rsidR="00EE75BF">
        <w:t> </w:t>
      </w:r>
      <w:r>
        <w:t xml:space="preserve">Alliance, </w:t>
      </w:r>
      <w:r w:rsidR="007C3910">
        <w:t>Chair</w:t>
      </w:r>
      <w:r>
        <w:t xml:space="preserve"> of the Rural Working Party of the World Organisation of</w:t>
      </w:r>
      <w:r w:rsidR="00EE75BF">
        <w:t> </w:t>
      </w:r>
      <w:r>
        <w:t>Family Doctors (WONCA) and served as President of the Australian College of Rural and Remote</w:t>
      </w:r>
      <w:r w:rsidR="00602B84">
        <w:t> </w:t>
      </w:r>
      <w:r>
        <w:t>Medicine.</w:t>
      </w:r>
    </w:p>
    <w:p w14:paraId="72ACA213" w14:textId="77777777" w:rsidR="008D5C55" w:rsidRDefault="008D5C55" w:rsidP="008D5C55">
      <w:pPr>
        <w:pStyle w:val="H4"/>
      </w:pPr>
      <w:r>
        <w:t>Ms Prudence Ford</w:t>
      </w:r>
    </w:p>
    <w:p w14:paraId="63D2B966" w14:textId="297055CB" w:rsidR="008D5C55" w:rsidRDefault="008D5C55" w:rsidP="008D5C55">
      <w:pPr>
        <w:pStyle w:val="Body"/>
      </w:pPr>
      <w:r>
        <w:t>Prudence Ford is a member of the Health Consumers’ Council of WA. She was an inaugural member of the Medical Board of</w:t>
      </w:r>
      <w:r w:rsidR="00EE75BF">
        <w:t> </w:t>
      </w:r>
      <w:r>
        <w:t>Australia, and was previously a member of</w:t>
      </w:r>
      <w:r w:rsidR="0011737A">
        <w:t> </w:t>
      </w:r>
      <w:r>
        <w:t>the National Blood Authority, the National Health and Medical Research Council, the</w:t>
      </w:r>
      <w:r w:rsidR="00EE75BF">
        <w:t> </w:t>
      </w:r>
      <w:r>
        <w:t>Brightwater Care Group Board and the</w:t>
      </w:r>
      <w:r w:rsidR="00EE75BF">
        <w:t> </w:t>
      </w:r>
      <w:r>
        <w:t>Western Australian Medical Board.</w:t>
      </w:r>
    </w:p>
    <w:p w14:paraId="261F59B2" w14:textId="7F811E7D" w:rsidR="008D5C55" w:rsidRDefault="008D5C55" w:rsidP="008D5C55">
      <w:pPr>
        <w:pStyle w:val="Body"/>
      </w:pPr>
      <w:r>
        <w:t>Prudence has had 30 years’ experience in the</w:t>
      </w:r>
      <w:r w:rsidR="00EE75BF">
        <w:t> </w:t>
      </w:r>
      <w:r>
        <w:t>public service at Commonwealth and state</w:t>
      </w:r>
      <w:r w:rsidR="00EE75BF">
        <w:t> </w:t>
      </w:r>
      <w:r>
        <w:t>levels. She has held senior executive positions in the then Commonwealth Departments of Community Services and Health, Finance, and the Attorney General, and in the Western Australian Departments of</w:t>
      </w:r>
      <w:r w:rsidR="00EE75BF">
        <w:t> </w:t>
      </w:r>
      <w:r>
        <w:t>Health, and the Premier and Cabinet.</w:t>
      </w:r>
    </w:p>
    <w:p w14:paraId="1BC0BAC3" w14:textId="77777777" w:rsidR="008D5C55" w:rsidRDefault="008D5C55" w:rsidP="008D5C55">
      <w:pPr>
        <w:pStyle w:val="Body"/>
      </w:pPr>
      <w:r>
        <w:lastRenderedPageBreak/>
        <w:t>She was also an independent consultant for several years, undertaking a range of reviews, inquiries and projects for both the government and non‑government sectors.</w:t>
      </w:r>
    </w:p>
    <w:p w14:paraId="4BC98E0D" w14:textId="56CEC1E7" w:rsidR="008D5C55" w:rsidRDefault="008D5C55" w:rsidP="008D5C55">
      <w:pPr>
        <w:pStyle w:val="Body"/>
      </w:pPr>
      <w:r>
        <w:t>Prudence’s experience encompasses policy development, program implementation, and</w:t>
      </w:r>
      <w:r w:rsidR="005C4393">
        <w:t> </w:t>
      </w:r>
      <w:r>
        <w:t>delivery and corporate services.</w:t>
      </w:r>
    </w:p>
    <w:p w14:paraId="0E5B5FF1" w14:textId="77777777" w:rsidR="008D5C55" w:rsidRDefault="008D5C55" w:rsidP="008D5C55">
      <w:pPr>
        <w:pStyle w:val="H4"/>
      </w:pPr>
      <w:r>
        <w:t>Professor Jane Hall</w:t>
      </w:r>
    </w:p>
    <w:p w14:paraId="627C6482" w14:textId="5340A402" w:rsidR="008D5C55" w:rsidRDefault="008D5C55" w:rsidP="008D5C55">
      <w:pPr>
        <w:pStyle w:val="Body"/>
      </w:pPr>
      <w:r>
        <w:t>Professor Jane Hall is Distinguished Professor of Health Economics in the Business School at the University of Technology, Sydney. She is a Fellow of the Academy of Social Sciences in</w:t>
      </w:r>
      <w:r w:rsidR="005C4393">
        <w:t> </w:t>
      </w:r>
      <w:r>
        <w:t>Australia, and a Fellow of the Australian Academy of Health and Medical Sciences.</w:t>
      </w:r>
    </w:p>
    <w:p w14:paraId="5928C5C3" w14:textId="083A2C5B" w:rsidR="008D5C55" w:rsidRDefault="008D5C55" w:rsidP="008D5C55">
      <w:pPr>
        <w:pStyle w:val="Body"/>
      </w:pPr>
      <w:r>
        <w:t>Jane has worked across many areas of</w:t>
      </w:r>
      <w:r w:rsidR="00192F9A">
        <w:t> </w:t>
      </w:r>
      <w:r>
        <w:t>health</w:t>
      </w:r>
      <w:r w:rsidR="005C4393">
        <w:t> </w:t>
      </w:r>
      <w:r>
        <w:t>economics, including health technology</w:t>
      </w:r>
      <w:r w:rsidR="005C4393">
        <w:t> </w:t>
      </w:r>
      <w:r>
        <w:t>assessment, measurement of</w:t>
      </w:r>
      <w:r w:rsidR="005C4393">
        <w:t> </w:t>
      </w:r>
      <w:r>
        <w:t>quality of life, end of life care, health</w:t>
      </w:r>
      <w:r w:rsidR="005C4393">
        <w:t> </w:t>
      </w:r>
      <w:r>
        <w:t>workforce, the economics of primary</w:t>
      </w:r>
      <w:r w:rsidR="005C4393">
        <w:t> </w:t>
      </w:r>
      <w:r>
        <w:t>care, and funding and financing</w:t>
      </w:r>
      <w:r w:rsidR="005C4393">
        <w:t> </w:t>
      </w:r>
      <w:r>
        <w:t>issues.</w:t>
      </w:r>
    </w:p>
    <w:p w14:paraId="0C37B152" w14:textId="77777777" w:rsidR="008D5C55" w:rsidRDefault="008D5C55" w:rsidP="008D5C55">
      <w:pPr>
        <w:pStyle w:val="Body"/>
      </w:pPr>
      <w:r>
        <w:t>Jane established the Centre for Health Economics Research and Evaluation in 1990, and she remains in the Centre as Director, Strategy. She is engaged in health policy issues internationally through her involvement with the Commonwealth Fund International Program in Health Policy and Practice.</w:t>
      </w:r>
    </w:p>
    <w:p w14:paraId="4F9A4458" w14:textId="18E15E81" w:rsidR="008D5C55" w:rsidRDefault="008D5C55" w:rsidP="008D5C55">
      <w:pPr>
        <w:pStyle w:val="Body"/>
      </w:pPr>
      <w:r>
        <w:t xml:space="preserve">Jane has held many advisory and board positions and she is a former member of the board of the Bureau of Health Information. She is actively involved in policy analysis and critique, and is a regular commentator on health funding and </w:t>
      </w:r>
      <w:r w:rsidR="00175E42">
        <w:t>organisational</w:t>
      </w:r>
      <w:r>
        <w:t xml:space="preserve"> issues in</w:t>
      </w:r>
      <w:r w:rsidR="005C4393">
        <w:t> </w:t>
      </w:r>
      <w:r>
        <w:t>Australia.</w:t>
      </w:r>
    </w:p>
    <w:p w14:paraId="6C3CCE97" w14:textId="2329BFCA" w:rsidR="008D5C55" w:rsidRDefault="007C3910" w:rsidP="008D5C55">
      <w:pPr>
        <w:pStyle w:val="H4"/>
      </w:pPr>
      <w:r>
        <w:t xml:space="preserve">Ms </w:t>
      </w:r>
      <w:r w:rsidR="00FD32FB">
        <w:t>Jenn</w:t>
      </w:r>
      <w:r w:rsidR="004119D9">
        <w:t>y</w:t>
      </w:r>
      <w:r w:rsidR="00FD32FB" w:rsidDel="00FD32FB">
        <w:t xml:space="preserve"> </w:t>
      </w:r>
      <w:r w:rsidR="008D5C55">
        <w:t>Richter</w:t>
      </w:r>
    </w:p>
    <w:p w14:paraId="73CE62E6" w14:textId="6B73D5F8" w:rsidR="008D5C55" w:rsidRDefault="00FD32FB" w:rsidP="008D5C55">
      <w:pPr>
        <w:pStyle w:val="Body"/>
      </w:pPr>
      <w:r>
        <w:t>Jenn</w:t>
      </w:r>
      <w:r w:rsidR="004119D9">
        <w:t xml:space="preserve">y </w:t>
      </w:r>
      <w:r w:rsidR="008D5C55">
        <w:t>Richter holds directorships with the</w:t>
      </w:r>
      <w:r w:rsidR="00C96328">
        <w:t> </w:t>
      </w:r>
      <w:r w:rsidR="008D5C55">
        <w:t>South Australian Health and Medical Research Institute, The Cancer Council SA</w:t>
      </w:r>
      <w:r w:rsidR="004119D9">
        <w:t> </w:t>
      </w:r>
      <w:r w:rsidR="008D5C55">
        <w:t>and the Southern Adelaide Local Health</w:t>
      </w:r>
      <w:r w:rsidR="004119D9">
        <w:t> </w:t>
      </w:r>
      <w:r w:rsidR="008D5C55">
        <w:t>Network</w:t>
      </w:r>
      <w:r w:rsidR="004119D9">
        <w:t>,</w:t>
      </w:r>
      <w:r w:rsidR="008D5C55">
        <w:t xml:space="preserve"> where she also chairs the Clinical Governance Board Sub-Committee.</w:t>
      </w:r>
    </w:p>
    <w:p w14:paraId="4FB50F0F" w14:textId="37E5E0B8" w:rsidR="008D5C55" w:rsidRDefault="00FD32FB" w:rsidP="008D5C55">
      <w:pPr>
        <w:pStyle w:val="Body"/>
      </w:pPr>
      <w:r>
        <w:t>Jenn</w:t>
      </w:r>
      <w:r w:rsidR="004119D9">
        <w:t>y</w:t>
      </w:r>
      <w:r w:rsidDel="00FD32FB">
        <w:t xml:space="preserve"> </w:t>
      </w:r>
      <w:r w:rsidR="008D5C55">
        <w:t>Richter is an independent consultant and has previously held a number of executive roles</w:t>
      </w:r>
      <w:r w:rsidR="004119D9">
        <w:t>,</w:t>
      </w:r>
      <w:r w:rsidR="008D5C55">
        <w:t xml:space="preserve"> including five years as Deputy Chief Executive for SA Health and more recently as CEO of Central Adelaide Local Health Network. </w:t>
      </w:r>
    </w:p>
    <w:p w14:paraId="700F95E0" w14:textId="469038DD" w:rsidR="008D5C55" w:rsidRDefault="00FD32FB" w:rsidP="008D5C55">
      <w:pPr>
        <w:pStyle w:val="Body"/>
      </w:pPr>
      <w:r>
        <w:t>Jenn</w:t>
      </w:r>
      <w:r w:rsidR="004119D9">
        <w:t>y</w:t>
      </w:r>
      <w:r>
        <w:t xml:space="preserve">’s </w:t>
      </w:r>
      <w:r w:rsidR="008D5C55">
        <w:t>experience in the health sector commenced as a registered nurse, following</w:t>
      </w:r>
      <w:r w:rsidR="005C4393">
        <w:t> </w:t>
      </w:r>
      <w:r w:rsidR="008D5C55">
        <w:t xml:space="preserve">which she gained significant leadership experience in areas of hospital and health service planning and performance both in Australia and the United Kingdom. </w:t>
      </w:r>
    </w:p>
    <w:p w14:paraId="20F5B401" w14:textId="7C8CB77B" w:rsidR="008D5C55" w:rsidRDefault="00FD32FB" w:rsidP="008D5C55">
      <w:pPr>
        <w:pStyle w:val="Body"/>
      </w:pPr>
      <w:r>
        <w:t>Jenn</w:t>
      </w:r>
      <w:r w:rsidR="004119D9">
        <w:t>y</w:t>
      </w:r>
      <w:r w:rsidDel="00FD32FB">
        <w:t xml:space="preserve"> </w:t>
      </w:r>
      <w:r w:rsidR="008D5C55">
        <w:t>is a graduate of the Australian Institute of Company Directors, a Fellow of the</w:t>
      </w:r>
      <w:r w:rsidR="005C4393">
        <w:t> </w:t>
      </w:r>
      <w:r w:rsidR="008D5C55">
        <w:t>Australasian College of Hea</w:t>
      </w:r>
      <w:r w:rsidR="005640FD">
        <w:t>l</w:t>
      </w:r>
      <w:r w:rsidR="008D5C55">
        <w:t>th Service Management and a Fellow of the Royal College of Nursing Australia. She has a</w:t>
      </w:r>
      <w:r w:rsidR="0039416D">
        <w:t> </w:t>
      </w:r>
      <w:r w:rsidR="008D5C55">
        <w:t>Master of Business Administration, a</w:t>
      </w:r>
      <w:r w:rsidR="005C4393">
        <w:t> </w:t>
      </w:r>
      <w:r w:rsidR="008D5C55">
        <w:t>Graduate Diploma in Health Administration</w:t>
      </w:r>
      <w:r w:rsidR="005C4393">
        <w:t> </w:t>
      </w:r>
      <w:r w:rsidR="008D5C55">
        <w:t>and a Bachelor of Arts</w:t>
      </w:r>
      <w:r w:rsidR="004119D9">
        <w:t>.</w:t>
      </w:r>
    </w:p>
    <w:p w14:paraId="6B40A2BD" w14:textId="77777777" w:rsidR="008D5C55" w:rsidRDefault="008D5C55" w:rsidP="008D5C55">
      <w:pPr>
        <w:pStyle w:val="H4"/>
      </w:pPr>
      <w:r>
        <w:t>Dr Kate Taylor</w:t>
      </w:r>
    </w:p>
    <w:p w14:paraId="1F3D4055" w14:textId="1742924D" w:rsidR="00087884" w:rsidRPr="00087884" w:rsidRDefault="00087884" w:rsidP="00087884">
      <w:pPr>
        <w:pStyle w:val="H4"/>
        <w:rPr>
          <w:rFonts w:asciiTheme="minorHAnsi" w:hAnsiTheme="minorHAnsi"/>
          <w:bCs w:val="0"/>
          <w:sz w:val="18"/>
        </w:rPr>
      </w:pPr>
      <w:r w:rsidRPr="00087884">
        <w:rPr>
          <w:rFonts w:asciiTheme="minorHAnsi" w:hAnsiTheme="minorHAnsi"/>
          <w:bCs w:val="0"/>
          <w:sz w:val="18"/>
        </w:rPr>
        <w:t>Dr Kate Taylor is the Chief Executive Officer and Founder of Oculo, an online platform to</w:t>
      </w:r>
      <w:r>
        <w:rPr>
          <w:rFonts w:asciiTheme="minorHAnsi" w:hAnsiTheme="minorHAnsi"/>
          <w:bCs w:val="0"/>
          <w:sz w:val="18"/>
        </w:rPr>
        <w:t> </w:t>
      </w:r>
      <w:r w:rsidRPr="00087884">
        <w:rPr>
          <w:rFonts w:asciiTheme="minorHAnsi" w:hAnsiTheme="minorHAnsi"/>
          <w:bCs w:val="0"/>
          <w:sz w:val="18"/>
        </w:rPr>
        <w:t>connect eye care professionals and their</w:t>
      </w:r>
      <w:r>
        <w:rPr>
          <w:rFonts w:asciiTheme="minorHAnsi" w:hAnsiTheme="minorHAnsi"/>
          <w:bCs w:val="0"/>
          <w:sz w:val="18"/>
        </w:rPr>
        <w:t> </w:t>
      </w:r>
      <w:r w:rsidRPr="00087884">
        <w:rPr>
          <w:rFonts w:asciiTheme="minorHAnsi" w:hAnsiTheme="minorHAnsi"/>
          <w:bCs w:val="0"/>
          <w:sz w:val="18"/>
        </w:rPr>
        <w:t xml:space="preserve">patients. Kate is a member of the Australian Digital Health Agency’s Clinical and Technical Advisory Committee. She was previously involved with the Board of the Mental Health Cooperative </w:t>
      </w:r>
      <w:r w:rsidRPr="00087884">
        <w:rPr>
          <w:rFonts w:asciiTheme="minorHAnsi" w:hAnsiTheme="minorHAnsi"/>
          <w:bCs w:val="0"/>
          <w:sz w:val="18"/>
        </w:rPr>
        <w:lastRenderedPageBreak/>
        <w:t>Research Centre in Australia, and internationally with the boards of Roll Back Malaria, Stop TB, and</w:t>
      </w:r>
      <w:r>
        <w:rPr>
          <w:rFonts w:asciiTheme="minorHAnsi" w:hAnsiTheme="minorHAnsi"/>
          <w:bCs w:val="0"/>
          <w:sz w:val="18"/>
        </w:rPr>
        <w:t> </w:t>
      </w:r>
      <w:r w:rsidRPr="00087884">
        <w:rPr>
          <w:rFonts w:asciiTheme="minorHAnsi" w:hAnsiTheme="minorHAnsi"/>
          <w:bCs w:val="0"/>
          <w:sz w:val="18"/>
        </w:rPr>
        <w:t>the</w:t>
      </w:r>
      <w:r>
        <w:rPr>
          <w:rFonts w:asciiTheme="minorHAnsi" w:hAnsiTheme="minorHAnsi"/>
          <w:bCs w:val="0"/>
          <w:sz w:val="18"/>
        </w:rPr>
        <w:t> </w:t>
      </w:r>
      <w:r w:rsidRPr="00087884">
        <w:rPr>
          <w:rFonts w:asciiTheme="minorHAnsi" w:hAnsiTheme="minorHAnsi"/>
          <w:bCs w:val="0"/>
          <w:sz w:val="18"/>
        </w:rPr>
        <w:t>GAVI Alliance.</w:t>
      </w:r>
    </w:p>
    <w:p w14:paraId="316A7DDA" w14:textId="50D88DDB" w:rsidR="008D5C55" w:rsidRDefault="00087884" w:rsidP="00087884">
      <w:pPr>
        <w:pStyle w:val="H4"/>
      </w:pPr>
      <w:r w:rsidRPr="00087884">
        <w:rPr>
          <w:rFonts w:asciiTheme="minorHAnsi" w:hAnsiTheme="minorHAnsi"/>
          <w:bCs w:val="0"/>
          <w:sz w:val="18"/>
        </w:rPr>
        <w:t>Kate initially trained as an ophthalmologist, and also holds a Master of Public Health from</w:t>
      </w:r>
      <w:r w:rsidR="009A5E15">
        <w:rPr>
          <w:rFonts w:asciiTheme="minorHAnsi" w:hAnsiTheme="minorHAnsi"/>
          <w:bCs w:val="0"/>
          <w:sz w:val="18"/>
        </w:rPr>
        <w:t> </w:t>
      </w:r>
      <w:r w:rsidRPr="00087884">
        <w:rPr>
          <w:rFonts w:asciiTheme="minorHAnsi" w:hAnsiTheme="minorHAnsi"/>
          <w:bCs w:val="0"/>
          <w:sz w:val="18"/>
        </w:rPr>
        <w:t>Johns Hopkins University as a Fulbright</w:t>
      </w:r>
      <w:r w:rsidR="009A5E15">
        <w:rPr>
          <w:rFonts w:asciiTheme="minorHAnsi" w:hAnsiTheme="minorHAnsi"/>
          <w:bCs w:val="0"/>
          <w:sz w:val="18"/>
        </w:rPr>
        <w:t> </w:t>
      </w:r>
      <w:r w:rsidRPr="00087884">
        <w:rPr>
          <w:rFonts w:asciiTheme="minorHAnsi" w:hAnsiTheme="minorHAnsi"/>
          <w:bCs w:val="0"/>
          <w:sz w:val="18"/>
        </w:rPr>
        <w:t>Scholar. She has worked in strategy, policy</w:t>
      </w:r>
      <w:r w:rsidR="009A5E15">
        <w:rPr>
          <w:rFonts w:asciiTheme="minorHAnsi" w:hAnsiTheme="minorHAnsi"/>
          <w:bCs w:val="0"/>
          <w:sz w:val="18"/>
        </w:rPr>
        <w:t> </w:t>
      </w:r>
      <w:r w:rsidRPr="00087884">
        <w:rPr>
          <w:rFonts w:asciiTheme="minorHAnsi" w:hAnsiTheme="minorHAnsi"/>
          <w:bCs w:val="0"/>
          <w:sz w:val="18"/>
        </w:rPr>
        <w:t>and advocacy with McKinsey &amp;</w:t>
      </w:r>
      <w:r w:rsidR="009A5E15">
        <w:rPr>
          <w:rFonts w:asciiTheme="minorHAnsi" w:hAnsiTheme="minorHAnsi"/>
          <w:bCs w:val="0"/>
          <w:sz w:val="18"/>
        </w:rPr>
        <w:t> </w:t>
      </w:r>
      <w:r w:rsidRPr="00087884">
        <w:rPr>
          <w:rFonts w:asciiTheme="minorHAnsi" w:hAnsiTheme="minorHAnsi"/>
          <w:bCs w:val="0"/>
          <w:sz w:val="18"/>
        </w:rPr>
        <w:t>Company, the World Economic Forum’s Global Health Initiative, International AIDS Vaccine Initiative, and GlaxoSmithKline Biologicals. She brings experience in innovative public-private partnerships spanning new vaccine development through to innovative health financing, including the multi‑billion dollar Advanced Market Commitment for pneumococcal vaccines and</w:t>
      </w:r>
      <w:r w:rsidR="009A5E15">
        <w:rPr>
          <w:rFonts w:asciiTheme="minorHAnsi" w:hAnsiTheme="minorHAnsi"/>
          <w:bCs w:val="0"/>
          <w:sz w:val="18"/>
        </w:rPr>
        <w:t> </w:t>
      </w:r>
      <w:r w:rsidRPr="00087884">
        <w:rPr>
          <w:rFonts w:asciiTheme="minorHAnsi" w:hAnsiTheme="minorHAnsi"/>
          <w:bCs w:val="0"/>
          <w:sz w:val="18"/>
        </w:rPr>
        <w:t>the Global Fund to Fight AIDS, Tuberculosis</w:t>
      </w:r>
      <w:r w:rsidR="009A5E15">
        <w:rPr>
          <w:rFonts w:asciiTheme="minorHAnsi" w:hAnsiTheme="minorHAnsi"/>
          <w:bCs w:val="0"/>
          <w:sz w:val="18"/>
        </w:rPr>
        <w:t> </w:t>
      </w:r>
      <w:r w:rsidRPr="00087884">
        <w:rPr>
          <w:rFonts w:asciiTheme="minorHAnsi" w:hAnsiTheme="minorHAnsi"/>
          <w:bCs w:val="0"/>
          <w:sz w:val="18"/>
        </w:rPr>
        <w:t>and Malaria.</w:t>
      </w:r>
      <w:r w:rsidR="00D41E16">
        <w:br w:type="column"/>
      </w:r>
      <w:r w:rsidR="008D5C55">
        <w:t>Dr Michael Walsh</w:t>
      </w:r>
    </w:p>
    <w:p w14:paraId="5D6AEB56" w14:textId="1269FA24" w:rsidR="008D5C55" w:rsidRDefault="008D5C55" w:rsidP="008D5C55">
      <w:pPr>
        <w:pStyle w:val="Body"/>
      </w:pPr>
      <w:r>
        <w:t>Dr Michael Walsh is Chief Executive of</w:t>
      </w:r>
      <w:r w:rsidR="001B7735">
        <w:t> </w:t>
      </w:r>
      <w:r>
        <w:t>Cabrini Health, a private not-for-profit Catholic health service in Melbourne, Australia. He was recruited from Doha, Qatar,</w:t>
      </w:r>
      <w:r w:rsidR="003A3B04">
        <w:t> </w:t>
      </w:r>
      <w:r>
        <w:t>where he was Chief Executive of the</w:t>
      </w:r>
      <w:r w:rsidR="003A3B04">
        <w:t> </w:t>
      </w:r>
      <w:r>
        <w:t>National</w:t>
      </w:r>
      <w:r w:rsidR="008773FC">
        <w:t> </w:t>
      </w:r>
      <w:r>
        <w:t>Health Authority. Prior to this, he</w:t>
      </w:r>
      <w:r w:rsidR="008773FC">
        <w:t> </w:t>
      </w:r>
      <w:r>
        <w:t>worked in</w:t>
      </w:r>
      <w:r w:rsidR="008773FC">
        <w:t> </w:t>
      </w:r>
      <w:r>
        <w:t>London, England as Chief</w:t>
      </w:r>
      <w:r w:rsidR="003A3B04">
        <w:t> </w:t>
      </w:r>
      <w:r>
        <w:t>Executive, South</w:t>
      </w:r>
      <w:r w:rsidR="008773FC">
        <w:t> </w:t>
      </w:r>
      <w:r>
        <w:t>East London Strategic</w:t>
      </w:r>
      <w:r w:rsidR="003A3B04">
        <w:t> </w:t>
      </w:r>
      <w:r>
        <w:t>Health</w:t>
      </w:r>
      <w:r w:rsidR="008773FC">
        <w:t> </w:t>
      </w:r>
      <w:r>
        <w:t>Authority.</w:t>
      </w:r>
    </w:p>
    <w:p w14:paraId="69D32598" w14:textId="5B106269" w:rsidR="008D5C55" w:rsidRDefault="008D5C55" w:rsidP="008D5C55">
      <w:pPr>
        <w:pStyle w:val="Body"/>
      </w:pPr>
      <w:r>
        <w:t>Michael is a Fellow and current Vice President of the Royal Australasian College of Medical Administrators, and a Fellow of the Australasian College of Health Service Managers. Michael is a member of the Catholic Health Australia Stewardship Board, and he chairs the Health Policy Sub</w:t>
      </w:r>
      <w:r w:rsidR="008773FC">
        <w:noBreakHyphen/>
      </w:r>
      <w:r>
        <w:t>Committee.</w:t>
      </w:r>
    </w:p>
    <w:p w14:paraId="2E2D49D6" w14:textId="63213A81" w:rsidR="008D5C55" w:rsidRDefault="008D5C55" w:rsidP="008D5C55">
      <w:pPr>
        <w:pStyle w:val="Body"/>
      </w:pPr>
      <w:r>
        <w:t>Michael has held a range of senior hospital and health department positions in Victoria and Western Australia. He has over 25 years’ experience in health service policy and</w:t>
      </w:r>
      <w:r w:rsidR="008773FC">
        <w:t> </w:t>
      </w:r>
      <w:r>
        <w:t>management, in both public and private</w:t>
      </w:r>
      <w:r w:rsidR="008773FC">
        <w:t> </w:t>
      </w:r>
      <w:r>
        <w:t>sectors.</w:t>
      </w:r>
    </w:p>
    <w:p w14:paraId="2810DE55" w14:textId="45D57043" w:rsidR="00F73532" w:rsidRDefault="00F73532" w:rsidP="00F73532">
      <w:pPr>
        <w:pStyle w:val="H3"/>
      </w:pPr>
      <w:r>
        <w:br w:type="column"/>
      </w:r>
      <w:r>
        <w:lastRenderedPageBreak/>
        <w:t>Meetings of the Pricing Authority 2019–20</w:t>
      </w:r>
    </w:p>
    <w:p w14:paraId="2A2E3A52" w14:textId="7D55157E" w:rsidR="00F73532" w:rsidRDefault="00F73532" w:rsidP="00F73532">
      <w:pPr>
        <w:pStyle w:val="FigureHeading"/>
      </w:pPr>
      <w:bookmarkStart w:id="55" w:name="_Toc48830269"/>
      <w:r w:rsidRPr="00F73532">
        <w:t>Table 1:</w:t>
      </w:r>
      <w:r>
        <w:t xml:space="preserve"> Meetings of the Pricing Authority 2019–20</w:t>
      </w:r>
      <w:bookmarkEnd w:id="55"/>
    </w:p>
    <w:p w14:paraId="14086B72" w14:textId="43550662" w:rsidR="00F73532" w:rsidRDefault="00F73532" w:rsidP="00F73532">
      <w:pPr>
        <w:pStyle w:val="Body"/>
      </w:pPr>
      <w:r>
        <w:t xml:space="preserve">The Pricing Authority met on </w:t>
      </w:r>
      <w:r w:rsidR="00D27432">
        <w:t>nine</w:t>
      </w:r>
      <w:r>
        <w:t xml:space="preserve"> occasions between 1 July 2019 and 30 June 2020. The</w:t>
      </w:r>
      <w:r w:rsidR="008773FC">
        <w:t> </w:t>
      </w:r>
      <w:r>
        <w:t>Chief Executive Officer, James Downie, as</w:t>
      </w:r>
      <w:r w:rsidR="008773FC">
        <w:t> </w:t>
      </w:r>
      <w:r>
        <w:t xml:space="preserve">the accountable authority, attended all </w:t>
      </w:r>
      <w:r w:rsidR="00D27432">
        <w:t>nine</w:t>
      </w:r>
      <w:r w:rsidR="008773FC">
        <w:t> </w:t>
      </w:r>
      <w:r>
        <w:t>meetings.</w:t>
      </w:r>
    </w:p>
    <w:tbl>
      <w:tblPr>
        <w:tblW w:w="3552" w:type="dxa"/>
        <w:tblInd w:w="-8" w:type="dxa"/>
        <w:tblLayout w:type="fixed"/>
        <w:tblCellMar>
          <w:left w:w="0" w:type="dxa"/>
          <w:right w:w="113" w:type="dxa"/>
        </w:tblCellMar>
        <w:tblLook w:val="0000" w:firstRow="0" w:lastRow="0" w:firstColumn="0" w:lastColumn="0" w:noHBand="0" w:noVBand="0"/>
      </w:tblPr>
      <w:tblGrid>
        <w:gridCol w:w="1709"/>
        <w:gridCol w:w="993"/>
        <w:gridCol w:w="850"/>
      </w:tblGrid>
      <w:tr w:rsidR="00906A47" w:rsidRPr="00906A47" w14:paraId="59B0FB87" w14:textId="624A4C8E" w:rsidTr="00906A47">
        <w:trPr>
          <w:trHeight w:val="20"/>
        </w:trPr>
        <w:tc>
          <w:tcPr>
            <w:tcW w:w="1709" w:type="dxa"/>
            <w:shd w:val="clear" w:color="auto" w:fill="008F54" w:themeFill="accent1"/>
            <w:tcMar>
              <w:top w:w="113" w:type="dxa"/>
              <w:left w:w="113" w:type="dxa"/>
              <w:bottom w:w="113" w:type="dxa"/>
              <w:right w:w="113" w:type="dxa"/>
            </w:tcMar>
          </w:tcPr>
          <w:p w14:paraId="1A272185" w14:textId="7181FB2E" w:rsidR="00906A47" w:rsidRPr="00906A47" w:rsidRDefault="00906A47" w:rsidP="00906A47">
            <w:pPr>
              <w:pStyle w:val="Body"/>
              <w:spacing w:after="0"/>
              <w:rPr>
                <w:rFonts w:ascii="Futura PT Book" w:hAnsi="Futura PT Book" w:cs="Futura PT Book"/>
                <w:b/>
                <w:bCs/>
                <w:color w:val="FFFFFF" w:themeColor="background2"/>
                <w:lang w:val="en-US"/>
              </w:rPr>
            </w:pPr>
            <w:bookmarkStart w:id="56" w:name="_Hlk45635495"/>
            <w:r>
              <w:rPr>
                <w:b/>
                <w:bCs/>
                <w:color w:val="FFFFFF" w:themeColor="background2"/>
                <w:lang w:val="en-US"/>
              </w:rPr>
              <w:t>Member</w:t>
            </w:r>
          </w:p>
        </w:tc>
        <w:tc>
          <w:tcPr>
            <w:tcW w:w="993" w:type="dxa"/>
            <w:shd w:val="clear" w:color="auto" w:fill="008F54" w:themeFill="accent1"/>
            <w:tcMar>
              <w:top w:w="113" w:type="dxa"/>
              <w:left w:w="113" w:type="dxa"/>
              <w:bottom w:w="113" w:type="dxa"/>
              <w:right w:w="113" w:type="dxa"/>
            </w:tcMar>
          </w:tcPr>
          <w:p w14:paraId="6A3DA35C" w14:textId="6A1738B5" w:rsidR="00906A47" w:rsidRPr="00906A47" w:rsidRDefault="00906A47" w:rsidP="00906A47">
            <w:pPr>
              <w:pStyle w:val="Body"/>
              <w:spacing w:after="0"/>
              <w:jc w:val="right"/>
              <w:rPr>
                <w:rFonts w:ascii="Futura PT Book" w:hAnsi="Futura PT Book" w:cs="Futura PT Book"/>
                <w:b/>
                <w:bCs/>
                <w:color w:val="FFFFFF" w:themeColor="background2"/>
                <w:lang w:val="en-US"/>
              </w:rPr>
            </w:pPr>
            <w:r>
              <w:rPr>
                <w:b/>
                <w:bCs/>
                <w:color w:val="FFFFFF" w:themeColor="background2"/>
                <w:lang w:val="en-US"/>
              </w:rPr>
              <w:t>Meetings eligible</w:t>
            </w:r>
          </w:p>
        </w:tc>
        <w:tc>
          <w:tcPr>
            <w:tcW w:w="850" w:type="dxa"/>
            <w:shd w:val="clear" w:color="auto" w:fill="008F54" w:themeFill="accent1"/>
          </w:tcPr>
          <w:p w14:paraId="5767DEB1" w14:textId="3524BF7D" w:rsidR="00906A47" w:rsidRPr="00906A47" w:rsidRDefault="00906A47" w:rsidP="00906A47">
            <w:pPr>
              <w:pStyle w:val="Body"/>
              <w:spacing w:after="0"/>
              <w:jc w:val="right"/>
              <w:rPr>
                <w:b/>
                <w:bCs/>
                <w:color w:val="FFFFFF" w:themeColor="background2"/>
                <w:lang w:val="en-US"/>
              </w:rPr>
            </w:pPr>
            <w:r>
              <w:rPr>
                <w:b/>
                <w:bCs/>
                <w:color w:val="FFFFFF" w:themeColor="background2"/>
                <w:lang w:val="en-US"/>
              </w:rPr>
              <w:t>Meetings attended</w:t>
            </w:r>
          </w:p>
        </w:tc>
      </w:tr>
      <w:tr w:rsidR="00906A47" w:rsidRPr="00906A47" w14:paraId="02B9F104" w14:textId="46D716D9" w:rsidTr="00906A47">
        <w:trPr>
          <w:trHeight w:val="20"/>
        </w:trPr>
        <w:tc>
          <w:tcPr>
            <w:tcW w:w="1709" w:type="dxa"/>
            <w:tcBorders>
              <w:bottom w:val="single" w:sz="4" w:space="0" w:color="A6A6A6" w:themeColor="background2" w:themeShade="A6"/>
            </w:tcBorders>
            <w:tcMar>
              <w:top w:w="113" w:type="dxa"/>
              <w:left w:w="113" w:type="dxa"/>
              <w:bottom w:w="113" w:type="dxa"/>
              <w:right w:w="113" w:type="dxa"/>
            </w:tcMar>
          </w:tcPr>
          <w:p w14:paraId="75AE5497" w14:textId="1958A05B" w:rsidR="00906A47" w:rsidRPr="00906A47" w:rsidRDefault="00906A47" w:rsidP="00906A47">
            <w:pPr>
              <w:pStyle w:val="Body"/>
              <w:spacing w:after="0"/>
              <w:rPr>
                <w:rFonts w:ascii="Futura PT Book" w:hAnsi="Futura PT Book" w:cs="Futura PT Book"/>
                <w:color w:val="000000"/>
                <w:sz w:val="16"/>
                <w:szCs w:val="16"/>
                <w:lang w:val="en-US"/>
              </w:rPr>
            </w:pPr>
            <w:r w:rsidRPr="00A37EEE">
              <w:t>Mr Shane Solomon (Chair)</w:t>
            </w:r>
          </w:p>
        </w:tc>
        <w:tc>
          <w:tcPr>
            <w:tcW w:w="993" w:type="dxa"/>
            <w:tcBorders>
              <w:bottom w:val="single" w:sz="4" w:space="0" w:color="A6A6A6" w:themeColor="background2" w:themeShade="A6"/>
            </w:tcBorders>
            <w:tcMar>
              <w:top w:w="113" w:type="dxa"/>
              <w:left w:w="113" w:type="dxa"/>
              <w:bottom w:w="113" w:type="dxa"/>
              <w:right w:w="113" w:type="dxa"/>
            </w:tcMar>
          </w:tcPr>
          <w:p w14:paraId="3BF009EF" w14:textId="049E76D1" w:rsidR="00906A47" w:rsidRPr="00906A47" w:rsidRDefault="00906A47" w:rsidP="00906A47">
            <w:pPr>
              <w:pStyle w:val="Body"/>
              <w:spacing w:after="0"/>
              <w:jc w:val="right"/>
              <w:rPr>
                <w:rFonts w:ascii="Futura PT Book" w:hAnsi="Futura PT Book" w:cs="Futura PT Book"/>
                <w:color w:val="000000"/>
                <w:sz w:val="16"/>
                <w:szCs w:val="16"/>
                <w:lang w:val="en-US"/>
              </w:rPr>
            </w:pPr>
            <w:r w:rsidRPr="00677C6A">
              <w:t>9</w:t>
            </w:r>
          </w:p>
        </w:tc>
        <w:tc>
          <w:tcPr>
            <w:tcW w:w="850" w:type="dxa"/>
            <w:tcBorders>
              <w:bottom w:val="single" w:sz="4" w:space="0" w:color="A6A6A6" w:themeColor="background2" w:themeShade="A6"/>
            </w:tcBorders>
          </w:tcPr>
          <w:p w14:paraId="449467E9" w14:textId="07483E34" w:rsidR="00906A47" w:rsidRPr="00906A47" w:rsidRDefault="00C72EB0" w:rsidP="00906A47">
            <w:pPr>
              <w:pStyle w:val="Body"/>
              <w:spacing w:after="0"/>
              <w:jc w:val="right"/>
              <w:rPr>
                <w:rFonts w:ascii="Futura PT Book" w:hAnsi="Futura PT Book" w:cs="Futura PT Book"/>
                <w:color w:val="000000"/>
                <w:sz w:val="16"/>
                <w:szCs w:val="16"/>
                <w:lang w:val="en-US"/>
              </w:rPr>
            </w:pPr>
            <w:r>
              <w:t>9</w:t>
            </w:r>
          </w:p>
        </w:tc>
      </w:tr>
      <w:tr w:rsidR="00906A47" w:rsidRPr="00906A47" w14:paraId="63877492" w14:textId="0C6330C3"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25FDC1A" w14:textId="119692A9" w:rsidR="00906A47" w:rsidRPr="00906A47" w:rsidRDefault="00906A47" w:rsidP="00906A47">
            <w:pPr>
              <w:pStyle w:val="Body"/>
              <w:spacing w:after="0"/>
              <w:rPr>
                <w:rFonts w:ascii="Futura PT Book" w:hAnsi="Futura PT Book" w:cs="Futura PT Book"/>
                <w:color w:val="000000"/>
                <w:sz w:val="16"/>
                <w:szCs w:val="16"/>
                <w:lang w:val="en-US"/>
              </w:rPr>
            </w:pPr>
            <w:r w:rsidRPr="00A37EEE">
              <w:t>Ms Jennifer Williams (Deputy Chair)</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28BAD63" w14:textId="2852AFC2" w:rsidR="00906A47" w:rsidRPr="00906A47" w:rsidRDefault="00906A47" w:rsidP="00906A47">
            <w:pPr>
              <w:pStyle w:val="Body"/>
              <w:spacing w:after="0"/>
              <w:jc w:val="right"/>
              <w:rPr>
                <w:rFonts w:ascii="Futura PT Book" w:hAnsi="Futura PT Book" w:cs="Futura PT Book"/>
                <w:color w:val="000000"/>
                <w:sz w:val="16"/>
                <w:szCs w:val="16"/>
                <w:lang w:val="en-US"/>
              </w:rPr>
            </w:pPr>
            <w:r w:rsidRPr="00677C6A">
              <w:t>9</w:t>
            </w:r>
          </w:p>
        </w:tc>
        <w:tc>
          <w:tcPr>
            <w:tcW w:w="850" w:type="dxa"/>
            <w:tcBorders>
              <w:top w:val="single" w:sz="4" w:space="0" w:color="A6A6A6" w:themeColor="background2" w:themeShade="A6"/>
              <w:bottom w:val="single" w:sz="4" w:space="0" w:color="A6A6A6" w:themeColor="background2" w:themeShade="A6"/>
            </w:tcBorders>
          </w:tcPr>
          <w:p w14:paraId="54525785" w14:textId="4C51F539" w:rsidR="00906A47" w:rsidRPr="00906A47" w:rsidRDefault="00C72EB0" w:rsidP="00906A47">
            <w:pPr>
              <w:pStyle w:val="Body"/>
              <w:spacing w:after="0"/>
              <w:jc w:val="right"/>
              <w:rPr>
                <w:rFonts w:ascii="Futura PT Book" w:hAnsi="Futura PT Book" w:cs="Futura PT Book"/>
                <w:color w:val="000000"/>
                <w:sz w:val="16"/>
                <w:szCs w:val="16"/>
                <w:lang w:val="en-US"/>
              </w:rPr>
            </w:pPr>
            <w:r>
              <w:t>9</w:t>
            </w:r>
          </w:p>
        </w:tc>
      </w:tr>
      <w:tr w:rsidR="00906A47" w:rsidRPr="00906A47" w14:paraId="1A0140E1" w14:textId="75F4695F"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E8FFB6D" w14:textId="03FC0BA7" w:rsidR="00906A47" w:rsidRPr="00906A47" w:rsidRDefault="00906A47" w:rsidP="00906A47">
            <w:pPr>
              <w:pStyle w:val="Body"/>
              <w:spacing w:after="0"/>
              <w:rPr>
                <w:rFonts w:ascii="Futura PT Book" w:hAnsi="Futura PT Book" w:cs="Futura PT Book"/>
                <w:color w:val="000000"/>
                <w:sz w:val="16"/>
                <w:szCs w:val="16"/>
                <w:lang w:val="en-US"/>
              </w:rPr>
            </w:pPr>
            <w:r w:rsidRPr="00A37EEE">
              <w:t>Mr Glenn Appleyard</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4AD5E23" w14:textId="7571CF81" w:rsidR="00906A47" w:rsidRPr="00906A47" w:rsidRDefault="00906A47" w:rsidP="00906A47">
            <w:pPr>
              <w:pStyle w:val="Body"/>
              <w:spacing w:after="0"/>
              <w:jc w:val="right"/>
              <w:rPr>
                <w:rFonts w:ascii="Futura PT Book" w:hAnsi="Futura PT Book" w:cs="Futura PT Book"/>
                <w:color w:val="000000"/>
                <w:sz w:val="16"/>
                <w:szCs w:val="16"/>
                <w:lang w:val="en-US"/>
              </w:rPr>
            </w:pPr>
            <w:r w:rsidRPr="00677C6A">
              <w:t>9</w:t>
            </w:r>
          </w:p>
        </w:tc>
        <w:tc>
          <w:tcPr>
            <w:tcW w:w="850" w:type="dxa"/>
            <w:tcBorders>
              <w:top w:val="single" w:sz="4" w:space="0" w:color="A6A6A6" w:themeColor="background2" w:themeShade="A6"/>
              <w:bottom w:val="single" w:sz="4" w:space="0" w:color="A6A6A6" w:themeColor="background2" w:themeShade="A6"/>
            </w:tcBorders>
          </w:tcPr>
          <w:p w14:paraId="3C7B5C78" w14:textId="5AEA9BA6" w:rsidR="00906A47" w:rsidRPr="00906A47" w:rsidRDefault="00C72EB0" w:rsidP="00906A47">
            <w:pPr>
              <w:pStyle w:val="Body"/>
              <w:spacing w:after="0"/>
              <w:jc w:val="right"/>
              <w:rPr>
                <w:rFonts w:ascii="Futura PT Book" w:hAnsi="Futura PT Book" w:cs="Futura PT Book"/>
                <w:color w:val="000000"/>
                <w:sz w:val="16"/>
                <w:szCs w:val="16"/>
                <w:lang w:val="en-US"/>
              </w:rPr>
            </w:pPr>
            <w:r>
              <w:t>6</w:t>
            </w:r>
          </w:p>
        </w:tc>
      </w:tr>
      <w:tr w:rsidR="00906A47" w:rsidRPr="00906A47" w14:paraId="6E5A1AA8" w14:textId="63974447"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D22BB40" w14:textId="7C244993" w:rsidR="00906A47" w:rsidRPr="00906A47" w:rsidRDefault="00906A47" w:rsidP="00906A47">
            <w:pPr>
              <w:pStyle w:val="Body"/>
              <w:spacing w:after="0"/>
              <w:rPr>
                <w:rFonts w:ascii="Futura PT Book" w:hAnsi="Futura PT Book" w:cs="Futura PT Book"/>
                <w:color w:val="000000"/>
                <w:sz w:val="16"/>
                <w:szCs w:val="16"/>
                <w:lang w:val="en-US"/>
              </w:rPr>
            </w:pPr>
            <w:r w:rsidRPr="00A37EEE">
              <w:t>A/Prof Bruce Chater</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87652F9" w14:textId="6C564B7B" w:rsidR="00906A47" w:rsidRPr="00906A47" w:rsidRDefault="00906A47" w:rsidP="00906A47">
            <w:pPr>
              <w:pStyle w:val="Body"/>
              <w:spacing w:after="0"/>
              <w:jc w:val="right"/>
              <w:rPr>
                <w:rFonts w:ascii="Futura PT Book" w:hAnsi="Futura PT Book" w:cs="Futura PT Book"/>
                <w:color w:val="000000"/>
                <w:sz w:val="16"/>
                <w:szCs w:val="16"/>
                <w:lang w:val="en-US"/>
              </w:rPr>
            </w:pPr>
            <w:r w:rsidRPr="00677C6A">
              <w:t>9</w:t>
            </w:r>
          </w:p>
        </w:tc>
        <w:tc>
          <w:tcPr>
            <w:tcW w:w="850" w:type="dxa"/>
            <w:tcBorders>
              <w:top w:val="single" w:sz="4" w:space="0" w:color="A6A6A6" w:themeColor="background2" w:themeShade="A6"/>
              <w:bottom w:val="single" w:sz="4" w:space="0" w:color="A6A6A6" w:themeColor="background2" w:themeShade="A6"/>
            </w:tcBorders>
          </w:tcPr>
          <w:p w14:paraId="3D234C15" w14:textId="4C1FAC75" w:rsidR="00906A47" w:rsidRPr="00906A47" w:rsidRDefault="00C72EB0" w:rsidP="00906A47">
            <w:pPr>
              <w:pStyle w:val="Body"/>
              <w:spacing w:after="0"/>
              <w:jc w:val="right"/>
              <w:rPr>
                <w:rFonts w:ascii="Futura PT Book" w:hAnsi="Futura PT Book" w:cs="Futura PT Book"/>
                <w:color w:val="000000"/>
                <w:sz w:val="16"/>
                <w:szCs w:val="16"/>
                <w:lang w:val="en-US"/>
              </w:rPr>
            </w:pPr>
            <w:r>
              <w:t>9</w:t>
            </w:r>
          </w:p>
        </w:tc>
      </w:tr>
      <w:tr w:rsidR="00906A47" w:rsidRPr="00906A47" w14:paraId="365812AA" w14:textId="0E2A97E0"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1BD9725" w14:textId="62B46EC7" w:rsidR="00906A47" w:rsidRPr="00906A47" w:rsidRDefault="00906A47" w:rsidP="00906A47">
            <w:pPr>
              <w:pStyle w:val="Body"/>
              <w:spacing w:after="0"/>
              <w:rPr>
                <w:rFonts w:ascii="Futura PT Book" w:hAnsi="Futura PT Book" w:cs="Futura PT Book"/>
                <w:color w:val="000000"/>
                <w:sz w:val="16"/>
                <w:szCs w:val="16"/>
                <w:lang w:val="en-US"/>
              </w:rPr>
            </w:pPr>
            <w:r w:rsidRPr="00A37EEE">
              <w:t>Ms Prudence Ford</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15C2083" w14:textId="55BB0113" w:rsidR="00906A47" w:rsidRPr="00906A47" w:rsidRDefault="00906A47" w:rsidP="00906A47">
            <w:pPr>
              <w:pStyle w:val="Body"/>
              <w:spacing w:after="0"/>
              <w:jc w:val="right"/>
              <w:rPr>
                <w:rFonts w:ascii="Futura PT Book" w:hAnsi="Futura PT Book" w:cs="Futura PT Book"/>
                <w:color w:val="000000"/>
                <w:sz w:val="16"/>
                <w:szCs w:val="16"/>
                <w:lang w:val="en-US"/>
              </w:rPr>
            </w:pPr>
            <w:r w:rsidRPr="00677C6A">
              <w:t>9</w:t>
            </w:r>
          </w:p>
        </w:tc>
        <w:tc>
          <w:tcPr>
            <w:tcW w:w="850" w:type="dxa"/>
            <w:tcBorders>
              <w:top w:val="single" w:sz="4" w:space="0" w:color="A6A6A6" w:themeColor="background2" w:themeShade="A6"/>
              <w:bottom w:val="single" w:sz="4" w:space="0" w:color="A6A6A6" w:themeColor="background2" w:themeShade="A6"/>
            </w:tcBorders>
          </w:tcPr>
          <w:p w14:paraId="1311227A" w14:textId="75E800D7" w:rsidR="00906A47" w:rsidRPr="00906A47" w:rsidRDefault="00C72EB0" w:rsidP="00906A47">
            <w:pPr>
              <w:pStyle w:val="Body"/>
              <w:spacing w:after="0"/>
              <w:jc w:val="right"/>
              <w:rPr>
                <w:rFonts w:ascii="Futura PT Book" w:hAnsi="Futura PT Book" w:cs="Futura PT Book"/>
                <w:color w:val="000000"/>
                <w:sz w:val="16"/>
                <w:szCs w:val="16"/>
                <w:lang w:val="en-US"/>
              </w:rPr>
            </w:pPr>
            <w:r>
              <w:t>9</w:t>
            </w:r>
          </w:p>
        </w:tc>
      </w:tr>
      <w:tr w:rsidR="00906A47" w:rsidRPr="00906A47" w14:paraId="643AC252" w14:textId="77777777"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DBD6ED3" w14:textId="3A23B23E" w:rsidR="00906A47" w:rsidRPr="00A37EEE" w:rsidRDefault="00906A47" w:rsidP="00906A47">
            <w:pPr>
              <w:pStyle w:val="Body"/>
              <w:spacing w:after="0"/>
            </w:pPr>
            <w:r w:rsidRPr="00962A5B">
              <w:t>Prof Jane Hall</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751765D" w14:textId="4D280769" w:rsidR="00906A47" w:rsidRPr="00677C6A" w:rsidRDefault="00906A47" w:rsidP="00906A47">
            <w:pPr>
              <w:pStyle w:val="Body"/>
              <w:spacing w:after="0"/>
              <w:jc w:val="right"/>
            </w:pPr>
            <w:r>
              <w:t>9</w:t>
            </w:r>
          </w:p>
        </w:tc>
        <w:tc>
          <w:tcPr>
            <w:tcW w:w="850" w:type="dxa"/>
            <w:tcBorders>
              <w:top w:val="single" w:sz="4" w:space="0" w:color="A6A6A6" w:themeColor="background2" w:themeShade="A6"/>
              <w:bottom w:val="single" w:sz="4" w:space="0" w:color="A6A6A6" w:themeColor="background2" w:themeShade="A6"/>
            </w:tcBorders>
          </w:tcPr>
          <w:p w14:paraId="2B367BDE" w14:textId="0AA50FF8" w:rsidR="00906A47" w:rsidRPr="00647B4F" w:rsidRDefault="00C72EB0" w:rsidP="00906A47">
            <w:pPr>
              <w:pStyle w:val="Body"/>
              <w:spacing w:after="0"/>
              <w:jc w:val="right"/>
            </w:pPr>
            <w:r>
              <w:t>9</w:t>
            </w:r>
          </w:p>
        </w:tc>
      </w:tr>
      <w:tr w:rsidR="00906A47" w:rsidRPr="00906A47" w14:paraId="4B8CF61E" w14:textId="77777777"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78602C4" w14:textId="0679D94E" w:rsidR="00906A47" w:rsidRPr="00A37EEE" w:rsidRDefault="00906A47" w:rsidP="00906A47">
            <w:pPr>
              <w:pStyle w:val="Body"/>
              <w:spacing w:after="0"/>
            </w:pPr>
            <w:r w:rsidRPr="00962A5B">
              <w:t>Dr Kate Taylor</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B250CAC" w14:textId="13B11992" w:rsidR="00906A47" w:rsidRPr="00677C6A" w:rsidRDefault="00906A47" w:rsidP="00906A47">
            <w:pPr>
              <w:pStyle w:val="Body"/>
              <w:spacing w:after="0"/>
              <w:jc w:val="right"/>
            </w:pPr>
            <w:r>
              <w:t>9</w:t>
            </w:r>
          </w:p>
        </w:tc>
        <w:tc>
          <w:tcPr>
            <w:tcW w:w="850" w:type="dxa"/>
            <w:tcBorders>
              <w:top w:val="single" w:sz="4" w:space="0" w:color="A6A6A6" w:themeColor="background2" w:themeShade="A6"/>
              <w:bottom w:val="single" w:sz="4" w:space="0" w:color="A6A6A6" w:themeColor="background2" w:themeShade="A6"/>
            </w:tcBorders>
          </w:tcPr>
          <w:p w14:paraId="7763D26F" w14:textId="4C12DEB4" w:rsidR="00906A47" w:rsidRPr="00647B4F" w:rsidRDefault="00C72EB0" w:rsidP="00906A47">
            <w:pPr>
              <w:pStyle w:val="Body"/>
              <w:spacing w:after="0"/>
              <w:jc w:val="right"/>
            </w:pPr>
            <w:r>
              <w:t>8</w:t>
            </w:r>
          </w:p>
        </w:tc>
      </w:tr>
      <w:tr w:rsidR="00906A47" w:rsidRPr="00906A47" w14:paraId="7F7672CE" w14:textId="77777777"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1A9792A" w14:textId="0B924494" w:rsidR="00906A47" w:rsidRPr="00A37EEE" w:rsidRDefault="00906A47" w:rsidP="00906A47">
            <w:pPr>
              <w:pStyle w:val="Body"/>
              <w:spacing w:after="0"/>
            </w:pPr>
            <w:r w:rsidRPr="00962A5B">
              <w:t xml:space="preserve">Dr Michael Walsh </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D9A1107" w14:textId="0C2EA207" w:rsidR="00906A47" w:rsidRPr="00677C6A" w:rsidRDefault="00906A47" w:rsidP="00906A47">
            <w:pPr>
              <w:pStyle w:val="Body"/>
              <w:spacing w:after="0"/>
              <w:jc w:val="right"/>
            </w:pPr>
            <w:r>
              <w:t>6</w:t>
            </w:r>
          </w:p>
        </w:tc>
        <w:tc>
          <w:tcPr>
            <w:tcW w:w="850" w:type="dxa"/>
            <w:tcBorders>
              <w:top w:val="single" w:sz="4" w:space="0" w:color="A6A6A6" w:themeColor="background2" w:themeShade="A6"/>
              <w:bottom w:val="single" w:sz="4" w:space="0" w:color="A6A6A6" w:themeColor="background2" w:themeShade="A6"/>
            </w:tcBorders>
          </w:tcPr>
          <w:p w14:paraId="4A8C3267" w14:textId="144F8E70" w:rsidR="00906A47" w:rsidRPr="00647B4F" w:rsidRDefault="00906A47" w:rsidP="00906A47">
            <w:pPr>
              <w:pStyle w:val="Body"/>
              <w:spacing w:after="0"/>
              <w:jc w:val="right"/>
            </w:pPr>
            <w:r>
              <w:t>5</w:t>
            </w:r>
          </w:p>
        </w:tc>
      </w:tr>
      <w:tr w:rsidR="00906A47" w:rsidRPr="00906A47" w14:paraId="537BC9A6" w14:textId="77777777" w:rsidTr="00906A47">
        <w:trPr>
          <w:trHeight w:val="20"/>
        </w:trPr>
        <w:tc>
          <w:tcPr>
            <w:tcW w:w="1709"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9E5C93C" w14:textId="09E1A2AA" w:rsidR="00906A47" w:rsidRPr="00A37EEE" w:rsidRDefault="00906A47" w:rsidP="00906A47">
            <w:pPr>
              <w:pStyle w:val="Body"/>
              <w:spacing w:after="0"/>
            </w:pPr>
            <w:r w:rsidRPr="00962A5B">
              <w:t>Ms Jenn</w:t>
            </w:r>
            <w:r w:rsidR="00C72EB0">
              <w:t>y</w:t>
            </w:r>
            <w:r w:rsidRPr="00962A5B">
              <w:t xml:space="preserve"> Richter </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F65F98F" w14:textId="740A8B8E" w:rsidR="00906A47" w:rsidRPr="00677C6A" w:rsidRDefault="00906A47" w:rsidP="00906A47">
            <w:pPr>
              <w:pStyle w:val="Body"/>
              <w:spacing w:after="0"/>
              <w:jc w:val="right"/>
            </w:pPr>
            <w:r>
              <w:t>4</w:t>
            </w:r>
          </w:p>
        </w:tc>
        <w:tc>
          <w:tcPr>
            <w:tcW w:w="850" w:type="dxa"/>
            <w:tcBorders>
              <w:top w:val="single" w:sz="4" w:space="0" w:color="A6A6A6" w:themeColor="background2" w:themeShade="A6"/>
              <w:bottom w:val="single" w:sz="4" w:space="0" w:color="A6A6A6" w:themeColor="background2" w:themeShade="A6"/>
            </w:tcBorders>
          </w:tcPr>
          <w:p w14:paraId="7623B8F7" w14:textId="57F13421" w:rsidR="00906A47" w:rsidRPr="00647B4F" w:rsidRDefault="00C72EB0" w:rsidP="00906A47">
            <w:pPr>
              <w:pStyle w:val="Body"/>
              <w:spacing w:after="0"/>
              <w:jc w:val="right"/>
            </w:pPr>
            <w:r>
              <w:t>4</w:t>
            </w:r>
          </w:p>
        </w:tc>
      </w:tr>
      <w:bookmarkEnd w:id="56"/>
    </w:tbl>
    <w:p w14:paraId="68E8CC4B" w14:textId="29162081" w:rsidR="00906A47" w:rsidRDefault="00906A47" w:rsidP="00F73532">
      <w:pPr>
        <w:pStyle w:val="Body"/>
      </w:pPr>
    </w:p>
    <w:p w14:paraId="50E9C842" w14:textId="57A1E833" w:rsidR="0046530F" w:rsidRDefault="0046530F" w:rsidP="00C72EB0">
      <w:pPr>
        <w:pStyle w:val="Body"/>
        <w:ind w:right="-185"/>
      </w:pPr>
      <w:r w:rsidRPr="0046530F">
        <w:t>Mr Jim Birch resigned from the Authority effective</w:t>
      </w:r>
      <w:r w:rsidR="00C72EB0">
        <w:t> </w:t>
      </w:r>
      <w:r w:rsidRPr="0046530F">
        <w:t xml:space="preserve">30 June 2019 and </w:t>
      </w:r>
      <w:r w:rsidR="00C72EB0">
        <w:t xml:space="preserve">Ms </w:t>
      </w:r>
      <w:r w:rsidRPr="0046530F">
        <w:t>Jenn</w:t>
      </w:r>
      <w:r w:rsidR="00886DA2">
        <w:t>ifer</w:t>
      </w:r>
      <w:r w:rsidRPr="0046530F">
        <w:t xml:space="preserve"> Williams was appoint</w:t>
      </w:r>
      <w:r w:rsidR="00886DA2">
        <w:t>ed</w:t>
      </w:r>
      <w:r w:rsidRPr="0046530F">
        <w:t xml:space="preserve"> as Deputy Chair effective from</w:t>
      </w:r>
      <w:r w:rsidR="00C72EB0">
        <w:t> </w:t>
      </w:r>
      <w:r w:rsidRPr="0046530F">
        <w:t>1</w:t>
      </w:r>
      <w:r w:rsidR="00C72EB0">
        <w:t> </w:t>
      </w:r>
      <w:r w:rsidRPr="0046530F">
        <w:t>February 2020. Ms</w:t>
      </w:r>
      <w:r w:rsidR="00886DA2">
        <w:t> Jenny </w:t>
      </w:r>
      <w:r w:rsidRPr="0046530F">
        <w:t>Richter was</w:t>
      </w:r>
      <w:r w:rsidR="00C72EB0">
        <w:t> </w:t>
      </w:r>
      <w:r w:rsidRPr="0046530F">
        <w:t xml:space="preserve">appointed </w:t>
      </w:r>
      <w:r w:rsidRPr="0046530F">
        <w:t>on 1</w:t>
      </w:r>
      <w:r w:rsidR="00886DA2">
        <w:t> </w:t>
      </w:r>
      <w:r w:rsidRPr="0046530F">
        <w:t>February</w:t>
      </w:r>
      <w:r w:rsidR="00886DA2">
        <w:t> </w:t>
      </w:r>
      <w:r w:rsidRPr="0046530F">
        <w:t>2020</w:t>
      </w:r>
      <w:r w:rsidR="00F42B00">
        <w:t>,</w:t>
      </w:r>
      <w:r w:rsidRPr="0046530F">
        <w:t xml:space="preserve"> and Dr</w:t>
      </w:r>
      <w:r w:rsidR="008773FC">
        <w:t> </w:t>
      </w:r>
      <w:r w:rsidRPr="0046530F">
        <w:t>Michael</w:t>
      </w:r>
      <w:r w:rsidR="00C72EB0">
        <w:t> </w:t>
      </w:r>
      <w:r w:rsidRPr="0046530F">
        <w:t>Walsh resigned effective of 1</w:t>
      </w:r>
      <w:r w:rsidR="008773FC">
        <w:t> </w:t>
      </w:r>
      <w:r w:rsidRPr="0046530F">
        <w:t>April</w:t>
      </w:r>
      <w:r w:rsidR="00C72EB0">
        <w:t> </w:t>
      </w:r>
      <w:r w:rsidRPr="0046530F">
        <w:t>2020.</w:t>
      </w:r>
    </w:p>
    <w:p w14:paraId="4240845E" w14:textId="77777777" w:rsidR="006178B4" w:rsidRDefault="006178B4" w:rsidP="0046530F">
      <w:pPr>
        <w:pStyle w:val="Body"/>
        <w:sectPr w:rsidR="006178B4" w:rsidSect="00286171">
          <w:headerReference w:type="even" r:id="rId55"/>
          <w:headerReference w:type="default" r:id="rId56"/>
          <w:pgSz w:w="9979" w:h="14175" w:code="13"/>
          <w:pgMar w:top="1134" w:right="1418" w:bottom="1134" w:left="1418" w:header="709" w:footer="709" w:gutter="0"/>
          <w:cols w:num="2" w:space="708"/>
          <w:docGrid w:linePitch="360"/>
        </w:sectPr>
      </w:pPr>
    </w:p>
    <w:tbl>
      <w:tblPr>
        <w:tblStyle w:val="TableGrid"/>
        <w:tblW w:w="496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89"/>
      </w:tblGrid>
      <w:tr w:rsidR="002C4B46" w14:paraId="1257F176" w14:textId="77777777" w:rsidTr="00B77F07">
        <w:trPr>
          <w:trHeight w:val="9490"/>
        </w:trPr>
        <w:tc>
          <w:tcPr>
            <w:tcW w:w="5000" w:type="pct"/>
          </w:tcPr>
          <w:p w14:paraId="5AEEB30D" w14:textId="466E401F" w:rsidR="002C4B46" w:rsidRPr="00321177" w:rsidRDefault="002C4B46" w:rsidP="00380ECA">
            <w:pPr>
              <w:pStyle w:val="Heading10"/>
              <w:rPr>
                <w:b w:val="0"/>
                <w:bCs w:val="0"/>
              </w:rPr>
            </w:pPr>
            <w:bookmarkStart w:id="57" w:name="_Toc50378070"/>
            <w:r>
              <w:rPr>
                <w:b w:val="0"/>
                <w:bCs w:val="0"/>
              </w:rPr>
              <w:lastRenderedPageBreak/>
              <w:t xml:space="preserve">IHPA </w:t>
            </w:r>
            <w:r w:rsidR="002E141F">
              <w:rPr>
                <w:b w:val="0"/>
                <w:bCs w:val="0"/>
              </w:rPr>
              <w:t>2019–20</w:t>
            </w:r>
            <w:r w:rsidRPr="00321177">
              <w:rPr>
                <w:b w:val="0"/>
                <w:bCs w:val="0"/>
              </w:rPr>
              <w:br/>
            </w:r>
            <w:r>
              <w:rPr>
                <w:b w:val="0"/>
                <w:bCs w:val="0"/>
              </w:rPr>
              <w:t>Overview</w:t>
            </w:r>
            <w:bookmarkEnd w:id="57"/>
          </w:p>
        </w:tc>
      </w:tr>
      <w:tr w:rsidR="002C4B46" w14:paraId="1C2A0350" w14:textId="77777777" w:rsidTr="00B77F07">
        <w:trPr>
          <w:trHeight w:val="1569"/>
        </w:trPr>
        <w:tc>
          <w:tcPr>
            <w:tcW w:w="5000" w:type="pct"/>
            <w:vAlign w:val="bottom"/>
          </w:tcPr>
          <w:p w14:paraId="52D6F962" w14:textId="2459BE20" w:rsidR="002C4B46" w:rsidRDefault="002C4B46" w:rsidP="00380ECA">
            <w:pPr>
              <w:pStyle w:val="SectionBreakNumber"/>
            </w:pPr>
            <w:r w:rsidRPr="003C6AC0">
              <w:t>0</w:t>
            </w:r>
            <w:r>
              <w:t>3</w:t>
            </w:r>
          </w:p>
        </w:tc>
      </w:tr>
    </w:tbl>
    <w:p w14:paraId="5742BB74" w14:textId="7EA1D219" w:rsidR="006178B4" w:rsidRDefault="006178B4" w:rsidP="0046530F">
      <w:pPr>
        <w:pStyle w:val="Body"/>
      </w:pPr>
    </w:p>
    <w:p w14:paraId="1ADCA3C5" w14:textId="77777777" w:rsidR="002C4B46" w:rsidRDefault="002C4B46" w:rsidP="0046530F">
      <w:pPr>
        <w:pStyle w:val="Body"/>
        <w:sectPr w:rsidR="002C4B46" w:rsidSect="00B77F07">
          <w:headerReference w:type="even" r:id="rId57"/>
          <w:headerReference w:type="default" r:id="rId58"/>
          <w:footerReference w:type="default" r:id="rId59"/>
          <w:pgSz w:w="9979" w:h="14175" w:code="13"/>
          <w:pgMar w:top="1134" w:right="1418" w:bottom="1418" w:left="1418" w:header="709" w:footer="709" w:gutter="0"/>
          <w:cols w:space="708"/>
          <w:docGrid w:linePitch="360"/>
        </w:sectPr>
      </w:pPr>
    </w:p>
    <w:p w14:paraId="10DEBCED" w14:textId="7785D12A" w:rsidR="00A61A58" w:rsidRPr="00936074" w:rsidRDefault="00A61A58" w:rsidP="00A61A58">
      <w:pPr>
        <w:pStyle w:val="Heading1"/>
        <w:rPr>
          <w:color w:val="7EC352" w:themeColor="accent2"/>
        </w:rPr>
        <w:sectPr w:rsidR="00A61A58" w:rsidRPr="00936074" w:rsidSect="002C4B46">
          <w:headerReference w:type="default" r:id="rId60"/>
          <w:pgSz w:w="9979" w:h="14175" w:code="13"/>
          <w:pgMar w:top="1134" w:right="1418" w:bottom="1276" w:left="1418" w:header="709" w:footer="709" w:gutter="0"/>
          <w:cols w:space="708"/>
          <w:docGrid w:linePitch="360"/>
        </w:sectPr>
      </w:pPr>
      <w:bookmarkStart w:id="58" w:name="_Toc44350178"/>
      <w:bookmarkStart w:id="59" w:name="_Toc50378071"/>
      <w:r w:rsidRPr="00936074">
        <w:rPr>
          <w:color w:val="7EC352" w:themeColor="accent2"/>
        </w:rPr>
        <w:lastRenderedPageBreak/>
        <w:t>CEO</w:t>
      </w:r>
      <w:r w:rsidRPr="00057B78">
        <w:rPr>
          <w:color w:val="7EC352" w:themeColor="accent2"/>
          <w:spacing w:val="-80"/>
        </w:rPr>
        <w:t>’</w:t>
      </w:r>
      <w:r w:rsidRPr="00C75DFA">
        <w:rPr>
          <w:color w:val="7EC352" w:themeColor="accent2"/>
          <w:spacing w:val="0"/>
        </w:rPr>
        <w:t>s</w:t>
      </w:r>
      <w:r w:rsidRPr="00057B78">
        <w:rPr>
          <w:color w:val="7EC352" w:themeColor="accent2"/>
          <w:spacing w:val="0"/>
        </w:rPr>
        <w:t xml:space="preserve"> y</w:t>
      </w:r>
      <w:r w:rsidRPr="00936074">
        <w:rPr>
          <w:color w:val="7EC352" w:themeColor="accent2"/>
        </w:rPr>
        <w:t>ear in review</w:t>
      </w:r>
      <w:bookmarkEnd w:id="58"/>
      <w:bookmarkEnd w:id="59"/>
    </w:p>
    <w:p w14:paraId="21060577" w14:textId="4884F375" w:rsidR="002C4B46" w:rsidRDefault="00D03263" w:rsidP="00A61A58">
      <w:pPr>
        <w:pStyle w:val="Body"/>
      </w:pPr>
      <w:r>
        <w:rPr>
          <w:noProof/>
          <w:lang w:val="en-GB" w:eastAsia="en-GB"/>
        </w:rPr>
        <w:drawing>
          <wp:inline distT="0" distB="0" distL="0" distR="0" wp14:anchorId="5E9363A8" wp14:editId="0A881755">
            <wp:extent cx="2038348" cy="1830309"/>
            <wp:effectExtent l="0" t="0" r="635" b="0"/>
            <wp:docPr id="3" name="Picture 3" descr="Photo of James Downie, Chief Executive Officer, IH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James Downie, Chief Executive Officer, IHPA"/>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038348" cy="1830309"/>
                    </a:xfrm>
                    <a:prstGeom prst="rect">
                      <a:avLst/>
                    </a:prstGeom>
                    <a:noFill/>
                    <a:ln>
                      <a:noFill/>
                    </a:ln>
                  </pic:spPr>
                </pic:pic>
              </a:graphicData>
            </a:graphic>
          </wp:inline>
        </w:drawing>
      </w:r>
    </w:p>
    <w:p w14:paraId="10E00A74" w14:textId="7AE7329E" w:rsidR="00D03263" w:rsidRPr="00D03263" w:rsidRDefault="00D03263" w:rsidP="00D03263">
      <w:pPr>
        <w:pStyle w:val="Body"/>
        <w:rPr>
          <w:b/>
          <w:bCs/>
        </w:rPr>
      </w:pPr>
      <w:r w:rsidRPr="00D03263">
        <w:rPr>
          <w:b/>
          <w:bCs/>
        </w:rPr>
        <w:t xml:space="preserve">2019–20 proved to be a busy year for IHPA, with unexpected challenges posed by the </w:t>
      </w:r>
      <w:r w:rsidR="00E747BF">
        <w:rPr>
          <w:b/>
          <w:bCs/>
        </w:rPr>
        <w:t>COVID-19</w:t>
      </w:r>
      <w:r w:rsidR="00AA753B">
        <w:rPr>
          <w:b/>
          <w:bCs/>
        </w:rPr>
        <w:t xml:space="preserve"> </w:t>
      </w:r>
      <w:r w:rsidR="00AA753B" w:rsidRPr="00D03263">
        <w:rPr>
          <w:b/>
          <w:bCs/>
        </w:rPr>
        <w:t>outbreak</w:t>
      </w:r>
      <w:r w:rsidRPr="00D03263">
        <w:rPr>
          <w:b/>
          <w:bCs/>
        </w:rPr>
        <w:t>, in addition to our regular work program.</w:t>
      </w:r>
    </w:p>
    <w:p w14:paraId="0C683852" w14:textId="63E371D5" w:rsidR="00D03263" w:rsidRDefault="00D03263" w:rsidP="00D03263">
      <w:pPr>
        <w:pStyle w:val="Body"/>
      </w:pPr>
      <w:r>
        <w:t xml:space="preserve">These </w:t>
      </w:r>
      <w:r w:rsidR="008376B8">
        <w:t>priorities guided</w:t>
      </w:r>
      <w:r>
        <w:t xml:space="preserve"> the strategic direction for our work as we continued to design the</w:t>
      </w:r>
      <w:r w:rsidR="008B4D54">
        <w:t> </w:t>
      </w:r>
      <w:r>
        <w:t xml:space="preserve">pricing systems to deliver </w:t>
      </w:r>
      <w:r w:rsidR="008376B8">
        <w:t>high-quality</w:t>
      </w:r>
      <w:r>
        <w:t>, efficient and safe public hospital services for</w:t>
      </w:r>
      <w:r w:rsidR="00F5326B">
        <w:t> </w:t>
      </w:r>
      <w:r>
        <w:t>all Australians.</w:t>
      </w:r>
    </w:p>
    <w:p w14:paraId="1EC13B65" w14:textId="631CC8BA" w:rsidR="00CC4196" w:rsidRDefault="00CC4196" w:rsidP="00AB0FA0">
      <w:pPr>
        <w:pStyle w:val="H4"/>
      </w:pPr>
      <w:r>
        <w:t xml:space="preserve">Responding to </w:t>
      </w:r>
      <w:r w:rsidR="00E747BF">
        <w:t>COVID-19</w:t>
      </w:r>
    </w:p>
    <w:p w14:paraId="35655412" w14:textId="50C0C6BC" w:rsidR="00CC4196" w:rsidRDefault="00CC4196" w:rsidP="00CC4196">
      <w:pPr>
        <w:pStyle w:val="Body"/>
      </w:pPr>
      <w:r>
        <w:t>IHPA has worked closely with the Administrator of the National Health Funding Pool to provide assistance in implementing the</w:t>
      </w:r>
      <w:r w:rsidR="002A0758">
        <w:t> </w:t>
      </w:r>
      <w:r>
        <w:t xml:space="preserve">National Partnership Agreement for </w:t>
      </w:r>
      <w:r w:rsidR="00E747BF">
        <w:t>COVID-19</w:t>
      </w:r>
      <w:r>
        <w:t xml:space="preserve"> response.</w:t>
      </w:r>
    </w:p>
    <w:p w14:paraId="006822C5" w14:textId="0380933A" w:rsidR="00CC4196" w:rsidRDefault="00CC4196" w:rsidP="00CC4196">
      <w:pPr>
        <w:pStyle w:val="Body"/>
      </w:pPr>
      <w:r>
        <w:t xml:space="preserve">A key part of this has been the drafting of the national costing and pricing guidelines for </w:t>
      </w:r>
      <w:r w:rsidR="00E747BF">
        <w:t>COVID-19</w:t>
      </w:r>
      <w:r>
        <w:t>, to ensure that the costs of responding to the pandemic are consistently captured across the country.</w:t>
      </w:r>
    </w:p>
    <w:p w14:paraId="3F858F4B" w14:textId="77777777" w:rsidR="00DB4697" w:rsidRDefault="00CC4196" w:rsidP="00CC4196">
      <w:pPr>
        <w:pStyle w:val="Body"/>
      </w:pPr>
      <w:r>
        <w:t xml:space="preserve">It is critical </w:t>
      </w:r>
      <w:r w:rsidR="008376B8">
        <w:t>for</w:t>
      </w:r>
      <w:r>
        <w:t xml:space="preserve"> the healthcare system to accurately capture data on the </w:t>
      </w:r>
      <w:r>
        <w:t xml:space="preserve">patients treated during the pandemic. </w:t>
      </w:r>
    </w:p>
    <w:p w14:paraId="09E3CE94" w14:textId="1EF0E783" w:rsidR="00464AD8" w:rsidRDefault="00464AD8" w:rsidP="00CC4196">
      <w:pPr>
        <w:pStyle w:val="Body"/>
      </w:pPr>
      <w:r w:rsidRPr="00464AD8">
        <w:t>I am proud that IHPA has been able to respond swiftly to develop new coding and</w:t>
      </w:r>
      <w:r>
        <w:t> </w:t>
      </w:r>
      <w:r w:rsidRPr="00464AD8">
        <w:t xml:space="preserve">classification systems for reporting </w:t>
      </w:r>
      <w:r w:rsidR="00E747BF">
        <w:t>COVID-19</w:t>
      </w:r>
      <w:r w:rsidRPr="00464AD8">
        <w:t xml:space="preserve"> within the Australian health care</w:t>
      </w:r>
      <w:r>
        <w:t> </w:t>
      </w:r>
      <w:r w:rsidRPr="00464AD8">
        <w:t>system and guidelines for hospitals when</w:t>
      </w:r>
      <w:r>
        <w:t> </w:t>
      </w:r>
      <w:r w:rsidRPr="00464AD8">
        <w:t xml:space="preserve">coding </w:t>
      </w:r>
      <w:r w:rsidR="00E747BF">
        <w:t>COVID-19</w:t>
      </w:r>
      <w:r w:rsidRPr="00464AD8">
        <w:t xml:space="preserve"> events. </w:t>
      </w:r>
    </w:p>
    <w:p w14:paraId="5AEAE95E" w14:textId="451ECFAE" w:rsidR="00CC4196" w:rsidRDefault="00CC4196" w:rsidP="00CC4196">
      <w:pPr>
        <w:pStyle w:val="Body"/>
      </w:pPr>
      <w:r>
        <w:t xml:space="preserve">We also provided guidance to states and territories and public hospitals on how the costs of treating </w:t>
      </w:r>
      <w:r w:rsidR="00E747BF">
        <w:t>COVID-19</w:t>
      </w:r>
      <w:r>
        <w:t xml:space="preserve"> patients should be captured. This will provide an extremely rich set of data that will be useful to policy makers and health researchers in the future.</w:t>
      </w:r>
    </w:p>
    <w:p w14:paraId="47AD0448" w14:textId="77777777" w:rsidR="00CC4196" w:rsidRDefault="00CC4196" w:rsidP="00CC4196">
      <w:pPr>
        <w:pStyle w:val="H4"/>
      </w:pPr>
      <w:r>
        <w:t>Key highlights</w:t>
      </w:r>
    </w:p>
    <w:p w14:paraId="538A1034" w14:textId="28B5146A" w:rsidR="00CC4196" w:rsidRDefault="00CC4196" w:rsidP="00CC4196">
      <w:pPr>
        <w:pStyle w:val="Body"/>
      </w:pPr>
      <w:r>
        <w:t>In May 2020, all Australian governments signed the Addendum to the National Health</w:t>
      </w:r>
      <w:r w:rsidR="00F5326B">
        <w:t> </w:t>
      </w:r>
      <w:r>
        <w:t>Reform Agreement 2020</w:t>
      </w:r>
      <w:r w:rsidR="00F5326B">
        <w:t>–</w:t>
      </w:r>
      <w:r>
        <w:t>25, which</w:t>
      </w:r>
      <w:r w:rsidR="00F5326B">
        <w:t> </w:t>
      </w:r>
      <w:r>
        <w:t>commences on 1 July 2020. The</w:t>
      </w:r>
      <w:r w:rsidR="00F5326B">
        <w:t> </w:t>
      </w:r>
      <w:r>
        <w:t>Agreement maintains a commitment to</w:t>
      </w:r>
      <w:r w:rsidR="00AE4B4F">
        <w:t> </w:t>
      </w:r>
      <w:r>
        <w:t>activity based funding and reaffirms the role</w:t>
      </w:r>
      <w:r w:rsidR="00F5326B">
        <w:t> </w:t>
      </w:r>
      <w:r>
        <w:t xml:space="preserve">of IHPA. </w:t>
      </w:r>
    </w:p>
    <w:p w14:paraId="13098111" w14:textId="728FCCCD" w:rsidR="00D03263" w:rsidRDefault="00D03263" w:rsidP="00D03263">
      <w:pPr>
        <w:pStyle w:val="Body"/>
      </w:pPr>
      <w:r>
        <w:t>Our work program for 2019–20 continued to be shaped by the safety and quality measures agreed by all Australian governments in</w:t>
      </w:r>
      <w:r w:rsidR="00F5326B">
        <w:t> </w:t>
      </w:r>
      <w:r w:rsidR="00CC4196">
        <w:t>2017</w:t>
      </w:r>
      <w:r>
        <w:t>. We continued reforms to improve safety and quality</w:t>
      </w:r>
      <w:r w:rsidR="009A7843">
        <w:t>, including</w:t>
      </w:r>
      <w:r>
        <w:t xml:space="preserve"> </w:t>
      </w:r>
      <w:r w:rsidR="00CC4196">
        <w:t>reducing</w:t>
      </w:r>
      <w:r>
        <w:t xml:space="preserve"> avoidable hospital admissions</w:t>
      </w:r>
      <w:r w:rsidR="009A7843">
        <w:t>,</w:t>
      </w:r>
      <w:r>
        <w:t xml:space="preserve"> and working for the provision of safe, high-quality care cross the Australian public hospital system.</w:t>
      </w:r>
    </w:p>
    <w:p w14:paraId="6EA9165B" w14:textId="5CCCDBE0" w:rsidR="00D03263" w:rsidRDefault="00D03263" w:rsidP="00D03263">
      <w:pPr>
        <w:pStyle w:val="Body"/>
      </w:pPr>
      <w:r>
        <w:lastRenderedPageBreak/>
        <w:t>As well as our primary function of setting the</w:t>
      </w:r>
      <w:r w:rsidR="006E5402">
        <w:t> </w:t>
      </w:r>
      <w:r>
        <w:t>National Efficient Price and National Efficient</w:t>
      </w:r>
      <w:r w:rsidR="00F5326B">
        <w:t> </w:t>
      </w:r>
      <w:r>
        <w:t xml:space="preserve">Cost, IHPA continued to develop and </w:t>
      </w:r>
      <w:r w:rsidR="006E5402">
        <w:t>refine</w:t>
      </w:r>
      <w:r>
        <w:t xml:space="preserve"> the many classifications, counting and costing systems and </w:t>
      </w:r>
      <w:r w:rsidR="00CC4196">
        <w:t xml:space="preserve">funding </w:t>
      </w:r>
      <w:r>
        <w:t>models, which</w:t>
      </w:r>
      <w:r w:rsidR="006E5402">
        <w:t> </w:t>
      </w:r>
      <w:r>
        <w:t>underpin the national activity</w:t>
      </w:r>
      <w:r w:rsidR="00CF4905">
        <w:t xml:space="preserve"> </w:t>
      </w:r>
      <w:r>
        <w:t>based</w:t>
      </w:r>
      <w:r w:rsidR="00F5326B">
        <w:t> </w:t>
      </w:r>
      <w:r>
        <w:t>funding system. We also used data and research to inform our best practices and</w:t>
      </w:r>
      <w:r w:rsidR="00F5326B">
        <w:t> </w:t>
      </w:r>
      <w:r>
        <w:t>performance.</w:t>
      </w:r>
    </w:p>
    <w:p w14:paraId="67CB8F33" w14:textId="1B9A42D6" w:rsidR="00D03263" w:rsidRDefault="00D03263" w:rsidP="00CF4905">
      <w:pPr>
        <w:pStyle w:val="Body"/>
        <w:ind w:right="-44"/>
      </w:pPr>
      <w:r>
        <w:t>In 2019–20, we continued development of</w:t>
      </w:r>
      <w:r w:rsidR="00F5326B">
        <w:t> </w:t>
      </w:r>
      <w:r>
        <w:t>a</w:t>
      </w:r>
      <w:r w:rsidR="00F5326B">
        <w:t> </w:t>
      </w:r>
      <w:r>
        <w:t>new version of the Australian National</w:t>
      </w:r>
      <w:r w:rsidR="00F5326B">
        <w:t> </w:t>
      </w:r>
      <w:r>
        <w:t>Subacute and Non-acute Patient</w:t>
      </w:r>
      <w:r w:rsidR="00F5326B">
        <w:t> </w:t>
      </w:r>
      <w:r>
        <w:t xml:space="preserve">Classification, </w:t>
      </w:r>
      <w:r w:rsidR="00CF4905">
        <w:t xml:space="preserve">and </w:t>
      </w:r>
      <w:r>
        <w:t>the Australian Mental Health Care Classification, and continued to</w:t>
      </w:r>
      <w:r w:rsidR="00F5326B">
        <w:t> </w:t>
      </w:r>
      <w:r>
        <w:t xml:space="preserve">build reporting systems to support the implementation of the </w:t>
      </w:r>
      <w:r w:rsidR="009A7843">
        <w:t xml:space="preserve">new </w:t>
      </w:r>
      <w:r>
        <w:t xml:space="preserve">Australian Teaching and Training Classification. </w:t>
      </w:r>
    </w:p>
    <w:p w14:paraId="1E56C9A2" w14:textId="601F3E25" w:rsidR="00EA29F7" w:rsidRDefault="00EA29F7" w:rsidP="00AA753B">
      <w:pPr>
        <w:pStyle w:val="H4"/>
      </w:pPr>
      <w:r>
        <w:t>Investing in partnerships</w:t>
      </w:r>
    </w:p>
    <w:p w14:paraId="02820075" w14:textId="0E7CA59C" w:rsidR="00EA29F7" w:rsidRDefault="00EA29F7" w:rsidP="00EA29F7">
      <w:pPr>
        <w:pStyle w:val="Body"/>
      </w:pPr>
      <w:r>
        <w:t>IHPA’s achievements throughout 2019–20 would not have been possible without the dedicated input and collaboration from our many stakeholders.</w:t>
      </w:r>
    </w:p>
    <w:p w14:paraId="5058293F" w14:textId="4A4709C4" w:rsidR="00EA29F7" w:rsidRDefault="00EA29F7" w:rsidP="00EA29F7">
      <w:pPr>
        <w:pStyle w:val="Body"/>
      </w:pPr>
      <w:r>
        <w:t xml:space="preserve">Responding to stakeholder needs and expectations continues to drive improvements in every area of our work. </w:t>
      </w:r>
      <w:r w:rsidR="009A7843">
        <w:t>IHPA undertook a</w:t>
      </w:r>
      <w:r w:rsidR="00073103">
        <w:t> </w:t>
      </w:r>
      <w:r w:rsidR="009A7843">
        <w:t xml:space="preserve">national </w:t>
      </w:r>
      <w:r>
        <w:t>consultation</w:t>
      </w:r>
      <w:r w:rsidR="000D0179">
        <w:t xml:space="preserve"> </w:t>
      </w:r>
      <w:r>
        <w:t>in 2019</w:t>
      </w:r>
      <w:r w:rsidR="00C72EB0">
        <w:t>,</w:t>
      </w:r>
      <w:r w:rsidR="009A7843">
        <w:t xml:space="preserve"> in order to determine a best practice development cycle for </w:t>
      </w:r>
      <w:r>
        <w:t>the acute care classifications.</w:t>
      </w:r>
    </w:p>
    <w:p w14:paraId="61333E30" w14:textId="77777777" w:rsidR="00EA29F7" w:rsidRDefault="00EA29F7" w:rsidP="00EA29F7">
      <w:pPr>
        <w:pStyle w:val="H4"/>
      </w:pPr>
      <w:r>
        <w:t>Commendation</w:t>
      </w:r>
    </w:p>
    <w:p w14:paraId="05E5A24A" w14:textId="77777777" w:rsidR="00EA29F7" w:rsidRDefault="00EA29F7" w:rsidP="00EA29F7">
      <w:pPr>
        <w:pStyle w:val="Body"/>
      </w:pPr>
      <w:r>
        <w:t>I take this opportunity to acknowledge the contributions of the Pricing Authority. I also wish to thank the Clinical Advisory Committee for their expert guidance to deliver a clinically-relevant annual program of work.</w:t>
      </w:r>
    </w:p>
    <w:p w14:paraId="558FA51B" w14:textId="7CE2154C" w:rsidR="00EA29F7" w:rsidRDefault="00EA29F7" w:rsidP="00EA29F7">
      <w:pPr>
        <w:pStyle w:val="Body"/>
      </w:pPr>
      <w:r>
        <w:t>There have been several changes to the Pricing Authority team this year. I would like to</w:t>
      </w:r>
      <w:r w:rsidR="00272227">
        <w:t> </w:t>
      </w:r>
      <w:r>
        <w:t>thank Dr Michael Walsh, who resigned from the Pricing Authority this year. Michael was an</w:t>
      </w:r>
      <w:r w:rsidR="00F5326B">
        <w:t> </w:t>
      </w:r>
      <w:r>
        <w:t>inaugural member of the Authority, serving</w:t>
      </w:r>
      <w:r w:rsidR="00F5326B">
        <w:t> </w:t>
      </w:r>
      <w:r>
        <w:t>since 2012. We have benefitted greatly from his expertise during his tenure. I</w:t>
      </w:r>
      <w:r w:rsidR="00F5326B">
        <w:t> </w:t>
      </w:r>
      <w:r>
        <w:t>wish to congratulate Ms Jennifer Williams who has been appointed as Deputy Chair of</w:t>
      </w:r>
      <w:r w:rsidR="00272227">
        <w:t> </w:t>
      </w:r>
      <w:r>
        <w:t>the Authority. I am also very pleased to</w:t>
      </w:r>
      <w:r w:rsidR="00272227">
        <w:t> </w:t>
      </w:r>
      <w:r>
        <w:t xml:space="preserve">welcome Ms </w:t>
      </w:r>
      <w:r w:rsidR="00CC4196">
        <w:t>Jenn</w:t>
      </w:r>
      <w:r w:rsidR="007B0CFB">
        <w:t>y</w:t>
      </w:r>
      <w:r w:rsidR="00CC4196">
        <w:t xml:space="preserve"> </w:t>
      </w:r>
      <w:r>
        <w:t>Richter to the Pricing</w:t>
      </w:r>
      <w:r w:rsidR="00F5326B">
        <w:t> </w:t>
      </w:r>
      <w:r>
        <w:t xml:space="preserve">Authority. </w:t>
      </w:r>
    </w:p>
    <w:p w14:paraId="4B58A804" w14:textId="32509C52" w:rsidR="00EA29F7" w:rsidRDefault="003964E4" w:rsidP="00EA29F7">
      <w:pPr>
        <w:pStyle w:val="Body"/>
      </w:pPr>
      <w:r>
        <w:br w:type="column"/>
      </w:r>
      <w:r w:rsidR="00EA29F7">
        <w:lastRenderedPageBreak/>
        <w:t>This year, IHPA invested in technological support for our staff. This proved to be critical</w:t>
      </w:r>
      <w:r w:rsidR="00F5326B">
        <w:t> </w:t>
      </w:r>
      <w:r w:rsidR="00EA29F7">
        <w:t xml:space="preserve">in maintaining the required work performance efficiently and enabled a smooth transition to working from home when the government’s </w:t>
      </w:r>
      <w:r w:rsidR="00E747BF">
        <w:t>COVID-19</w:t>
      </w:r>
      <w:r w:rsidR="00F5326B">
        <w:t xml:space="preserve"> </w:t>
      </w:r>
      <w:r w:rsidR="00EA29F7">
        <w:t>restrictions were</w:t>
      </w:r>
      <w:r w:rsidR="00F5326B">
        <w:t> </w:t>
      </w:r>
      <w:r w:rsidR="00EA29F7">
        <w:t>in</w:t>
      </w:r>
      <w:r w:rsidR="00F5326B">
        <w:t> </w:t>
      </w:r>
      <w:r w:rsidR="00EA29F7">
        <w:t>place.</w:t>
      </w:r>
    </w:p>
    <w:p w14:paraId="2332736E" w14:textId="40E59A0B" w:rsidR="00EA29F7" w:rsidRDefault="00EA29F7" w:rsidP="00EA29F7">
      <w:pPr>
        <w:pStyle w:val="Body"/>
      </w:pPr>
      <w:r>
        <w:t>I extend my thanks to all the IHPA staff for their support and commitment once again, especially during the challenging times we have faced during the coronavirus outbreak. I</w:t>
      </w:r>
      <w:r w:rsidR="00F5326B">
        <w:t> </w:t>
      </w:r>
      <w:r>
        <w:t>am delighted to be leading an agency that strives for excellence in delivering its purpose.</w:t>
      </w:r>
    </w:p>
    <w:p w14:paraId="61830280" w14:textId="77777777" w:rsidR="00EA29F7" w:rsidRDefault="00EA29F7" w:rsidP="00EA29F7">
      <w:pPr>
        <w:pStyle w:val="H4"/>
      </w:pPr>
      <w:r>
        <w:t>Year ahead</w:t>
      </w:r>
    </w:p>
    <w:p w14:paraId="7A03C389" w14:textId="16230E58" w:rsidR="00EA29F7" w:rsidRDefault="00EA29F7" w:rsidP="00EA29F7">
      <w:pPr>
        <w:pStyle w:val="Body"/>
      </w:pPr>
      <w:r>
        <w:t>IHPA will continue to work closely with all</w:t>
      </w:r>
      <w:r w:rsidR="00F5326B">
        <w:t> </w:t>
      </w:r>
      <w:r>
        <w:t>jurisdictions and the national agencies to</w:t>
      </w:r>
      <w:r w:rsidR="00F5326B">
        <w:t> </w:t>
      </w:r>
      <w:r>
        <w:t>progress the implementation of the</w:t>
      </w:r>
      <w:r w:rsidR="00F5326B">
        <w:t> </w:t>
      </w:r>
      <w:r>
        <w:t>long</w:t>
      </w:r>
      <w:r w:rsidR="00F5326B">
        <w:noBreakHyphen/>
      </w:r>
      <w:r>
        <w:t xml:space="preserve">term, key </w:t>
      </w:r>
      <w:r w:rsidR="00FC085A">
        <w:t xml:space="preserve">principles </w:t>
      </w:r>
      <w:r>
        <w:t>outlined in the</w:t>
      </w:r>
      <w:r w:rsidR="00F5326B">
        <w:t> </w:t>
      </w:r>
      <w:r w:rsidR="000168CE">
        <w:t xml:space="preserve">2020–25 </w:t>
      </w:r>
      <w:r>
        <w:t>Addendum, and continue to</w:t>
      </w:r>
      <w:r w:rsidR="00095E5B">
        <w:t> </w:t>
      </w:r>
      <w:r>
        <w:t>support funding arrangements under the</w:t>
      </w:r>
      <w:r w:rsidR="00095E5B">
        <w:t> </w:t>
      </w:r>
      <w:r>
        <w:t xml:space="preserve">National Partnership Agreement on </w:t>
      </w:r>
      <w:r w:rsidR="00E747BF">
        <w:t>COVID-19</w:t>
      </w:r>
      <w:r w:rsidR="002E141F">
        <w:t xml:space="preserve"> </w:t>
      </w:r>
      <w:r>
        <w:t>Response.</w:t>
      </w:r>
    </w:p>
    <w:p w14:paraId="4486306F" w14:textId="5DA21784" w:rsidR="00D03263" w:rsidRDefault="00EA29F7" w:rsidP="00EA29F7">
      <w:pPr>
        <w:pStyle w:val="Body"/>
      </w:pPr>
      <w:r>
        <w:t>In the year ahead, IHPA will continue its strategic direction as outlined in its Corporate Plan 2020–21 to ensure that we continue to</w:t>
      </w:r>
      <w:r w:rsidR="009C5C63">
        <w:t> </w:t>
      </w:r>
      <w:r>
        <w:t>deliver our core purpose.</w:t>
      </w:r>
    </w:p>
    <w:p w14:paraId="1F781775" w14:textId="5D28964E" w:rsidR="000B20BC" w:rsidRDefault="000B20BC" w:rsidP="00EA29F7">
      <w:pPr>
        <w:pStyle w:val="Body"/>
      </w:pPr>
    </w:p>
    <w:p w14:paraId="791B0E04" w14:textId="15E595A5" w:rsidR="000B20BC" w:rsidRDefault="000B20BC" w:rsidP="00EA29F7">
      <w:pPr>
        <w:pStyle w:val="Body"/>
      </w:pPr>
      <w:r>
        <w:rPr>
          <w:noProof/>
          <w:lang w:val="en-GB" w:eastAsia="en-GB"/>
        </w:rPr>
        <w:drawing>
          <wp:inline distT="0" distB="0" distL="0" distR="0" wp14:anchorId="5EC8A400" wp14:editId="20AAB082">
            <wp:extent cx="711770" cy="273050"/>
            <wp:effectExtent l="0" t="0" r="0" b="0"/>
            <wp:docPr id="18" name="Picture 18" descr="James Downie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James Downie Signature"/>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711770" cy="273050"/>
                    </a:xfrm>
                    <a:prstGeom prst="rect">
                      <a:avLst/>
                    </a:prstGeom>
                    <a:noFill/>
                    <a:ln>
                      <a:noFill/>
                    </a:ln>
                  </pic:spPr>
                </pic:pic>
              </a:graphicData>
            </a:graphic>
          </wp:inline>
        </w:drawing>
      </w:r>
    </w:p>
    <w:p w14:paraId="64080BED" w14:textId="5B7A3413" w:rsidR="00D70480" w:rsidRDefault="000B20BC" w:rsidP="000B20BC">
      <w:pPr>
        <w:pStyle w:val="Body"/>
        <w:sectPr w:rsidR="00D70480" w:rsidSect="00A61A58">
          <w:headerReference w:type="even" r:id="rId63"/>
          <w:headerReference w:type="default" r:id="rId64"/>
          <w:type w:val="continuous"/>
          <w:pgSz w:w="9979" w:h="14175" w:code="13"/>
          <w:pgMar w:top="1134" w:right="1418" w:bottom="1276" w:left="1418" w:header="709" w:footer="709" w:gutter="0"/>
          <w:cols w:num="2" w:space="708"/>
          <w:docGrid w:linePitch="360"/>
        </w:sectPr>
      </w:pPr>
      <w:r w:rsidRPr="000B20BC">
        <w:rPr>
          <w:b/>
          <w:bCs/>
        </w:rPr>
        <w:t>James Downie</w:t>
      </w:r>
      <w:r>
        <w:br/>
        <w:t>Chief Executive Officer, IHPA</w:t>
      </w:r>
      <w:r>
        <w:br/>
      </w:r>
      <w:r w:rsidR="009D4ECA">
        <w:t xml:space="preserve">2 </w:t>
      </w:r>
      <w:r w:rsidR="005640FD">
        <w:t>October</w:t>
      </w:r>
      <w:r>
        <w:t xml:space="preserve"> 2020</w:t>
      </w:r>
    </w:p>
    <w:p w14:paraId="751E74AD" w14:textId="47FD8998" w:rsidR="000B20BC" w:rsidRPr="00936074" w:rsidRDefault="00CF3EA7" w:rsidP="00CF3EA7">
      <w:pPr>
        <w:pStyle w:val="Heading1"/>
        <w:rPr>
          <w:color w:val="7EC352" w:themeColor="accent2"/>
        </w:rPr>
      </w:pPr>
      <w:bookmarkStart w:id="60" w:name="_Toc44350179"/>
      <w:bookmarkStart w:id="61" w:name="_Toc50378072"/>
      <w:r w:rsidRPr="00936074">
        <w:rPr>
          <w:color w:val="7EC352" w:themeColor="accent2"/>
        </w:rPr>
        <w:lastRenderedPageBreak/>
        <w:t>2019–20 highlights</w:t>
      </w:r>
      <w:bookmarkEnd w:id="60"/>
      <w:bookmarkEnd w:id="61"/>
    </w:p>
    <w:p w14:paraId="7AC70213" w14:textId="77777777" w:rsidR="00CF3EA7" w:rsidRDefault="00CF3EA7" w:rsidP="00CF3EA7">
      <w:pPr>
        <w:pStyle w:val="Body"/>
        <w:rPr>
          <w:b/>
          <w:bCs/>
        </w:rPr>
      </w:pPr>
      <w:r w:rsidRPr="00CF3EA7">
        <w:rPr>
          <w:b/>
          <w:bCs/>
        </w:rPr>
        <w:t>Some of the key achievements from IHPA’s Work Program for 2019–20 include:</w:t>
      </w:r>
    </w:p>
    <w:p w14:paraId="1C4A32F8" w14:textId="77777777" w:rsidR="00CF3EA7" w:rsidRDefault="00CF3EA7" w:rsidP="00CF3EA7">
      <w:pPr>
        <w:pStyle w:val="Body"/>
        <w:rPr>
          <w:b/>
          <w:bCs/>
        </w:rPr>
      </w:pPr>
    </w:p>
    <w:p w14:paraId="1D9E3E3D" w14:textId="2628887C" w:rsidR="00CF3EA7" w:rsidRDefault="00CF3EA7" w:rsidP="00CF3EA7">
      <w:pPr>
        <w:pStyle w:val="Body"/>
        <w:rPr>
          <w:b/>
          <w:bCs/>
        </w:rPr>
        <w:sectPr w:rsidR="00CF3EA7" w:rsidSect="00D70480">
          <w:pgSz w:w="9979" w:h="14175" w:code="13"/>
          <w:pgMar w:top="1134" w:right="1418" w:bottom="1276" w:left="1418" w:header="709" w:footer="709" w:gutter="0"/>
          <w:cols w:space="708"/>
          <w:docGrid w:linePitch="360"/>
        </w:sectPr>
      </w:pPr>
    </w:p>
    <w:p w14:paraId="5B27BB84" w14:textId="77777777" w:rsidR="00CF3EA7" w:rsidRDefault="00CF3EA7" w:rsidP="00CF3EA7">
      <w:pPr>
        <w:pStyle w:val="H4"/>
      </w:pPr>
      <w:r>
        <w:t>July</w:t>
      </w:r>
    </w:p>
    <w:p w14:paraId="03D1F46E" w14:textId="77777777" w:rsidR="00695B9A" w:rsidRDefault="00FC085A" w:rsidP="003277B3">
      <w:pPr>
        <w:pStyle w:val="Bullets"/>
        <w:ind w:left="340" w:hanging="227"/>
      </w:pPr>
      <w:r>
        <w:t>Implementation of the Eleventh Edition of</w:t>
      </w:r>
      <w:r w:rsidR="00952AA4">
        <w:t> </w:t>
      </w:r>
      <w:r>
        <w:t>the International Statistical Classification of Diseases and Related Health</w:t>
      </w:r>
      <w:r w:rsidR="00952AA4">
        <w:t> </w:t>
      </w:r>
      <w:r>
        <w:t>Problems, Tenth Revision, Australian Modification (ICD-10-AM), Australian Classification of Health Interventions (ACHI) and the Australian Coding Standards (ACS)</w:t>
      </w:r>
    </w:p>
    <w:p w14:paraId="6FDD5B64" w14:textId="6C25DE67" w:rsidR="00B40B7D" w:rsidRDefault="00B40B7D" w:rsidP="00695B9A">
      <w:pPr>
        <w:pStyle w:val="H4"/>
      </w:pPr>
      <w:r w:rsidRPr="002F342B">
        <w:t>August</w:t>
      </w:r>
    </w:p>
    <w:p w14:paraId="43CD5A53" w14:textId="5FDCA036" w:rsidR="00B40B7D" w:rsidRDefault="00B40B7D" w:rsidP="003277B3">
      <w:pPr>
        <w:pStyle w:val="Bullets"/>
        <w:ind w:left="340" w:hanging="227"/>
      </w:pPr>
      <w:r>
        <w:t xml:space="preserve">Completion of a </w:t>
      </w:r>
      <w:r w:rsidRPr="00B40B7D">
        <w:t>global horizon scan to identify alternative approaches to health care funding that could be applied in the Australian context</w:t>
      </w:r>
    </w:p>
    <w:p w14:paraId="693ABCED" w14:textId="77777777" w:rsidR="00CF3EA7" w:rsidRDefault="00CF3EA7" w:rsidP="00CF3EA7">
      <w:pPr>
        <w:pStyle w:val="H4"/>
      </w:pPr>
      <w:r>
        <w:t>December</w:t>
      </w:r>
    </w:p>
    <w:p w14:paraId="0D6EC703" w14:textId="3D26E98F" w:rsidR="00CF3EA7" w:rsidRDefault="00CF3EA7" w:rsidP="003277B3">
      <w:pPr>
        <w:pStyle w:val="Bullets"/>
        <w:ind w:left="340" w:hanging="227"/>
      </w:pPr>
      <w:r>
        <w:t xml:space="preserve">Pricing Framework for Australian Public Hospital Services </w:t>
      </w:r>
      <w:r w:rsidR="00D14C38">
        <w:t>2020</w:t>
      </w:r>
      <w:r>
        <w:t>–2</w:t>
      </w:r>
      <w:r w:rsidR="00D14C38">
        <w:t>1</w:t>
      </w:r>
      <w:r>
        <w:t xml:space="preserve"> published</w:t>
      </w:r>
    </w:p>
    <w:p w14:paraId="6E84343E" w14:textId="7664BD64" w:rsidR="00593D63" w:rsidRPr="00593D63" w:rsidRDefault="00593D63" w:rsidP="003277B3">
      <w:pPr>
        <w:pStyle w:val="Bullets"/>
        <w:ind w:left="340" w:hanging="227"/>
      </w:pPr>
      <w:r>
        <w:t xml:space="preserve">The fundamental review of the </w:t>
      </w:r>
      <w:r w:rsidRPr="00593D63">
        <w:t xml:space="preserve">national </w:t>
      </w:r>
      <w:r>
        <w:t>efficient price</w:t>
      </w:r>
      <w:r w:rsidRPr="00593D63">
        <w:t xml:space="preserve"> </w:t>
      </w:r>
      <w:r>
        <w:t>completed</w:t>
      </w:r>
    </w:p>
    <w:p w14:paraId="3E41E8F1" w14:textId="45BFB6F3" w:rsidR="00593D63" w:rsidRDefault="00593D63" w:rsidP="003277B3">
      <w:pPr>
        <w:pStyle w:val="H4"/>
      </w:pPr>
      <w:r>
        <w:t>February</w:t>
      </w:r>
    </w:p>
    <w:p w14:paraId="4590C914" w14:textId="77777777" w:rsidR="00593D63" w:rsidRDefault="00593D63" w:rsidP="003277B3">
      <w:pPr>
        <w:pStyle w:val="Bullets"/>
        <w:ind w:left="340" w:hanging="227"/>
      </w:pPr>
      <w:r>
        <w:t>National Hospital Cost Data Collection, Public Hospital Cost Report, Round 22 (financial year 2017–18) published</w:t>
      </w:r>
    </w:p>
    <w:p w14:paraId="6DD57BAE" w14:textId="4A27D7A8" w:rsidR="00CF3EA7" w:rsidRDefault="003277B3" w:rsidP="00CF3EA7">
      <w:pPr>
        <w:pStyle w:val="H4"/>
      </w:pPr>
      <w:r>
        <w:br w:type="column"/>
      </w:r>
      <w:r w:rsidR="00CF3EA7">
        <w:t>March</w:t>
      </w:r>
    </w:p>
    <w:p w14:paraId="31F6A7E4" w14:textId="4FA78AFD" w:rsidR="00CF3EA7" w:rsidRDefault="00CF3EA7" w:rsidP="003277B3">
      <w:pPr>
        <w:pStyle w:val="Bullets"/>
        <w:ind w:left="340" w:hanging="227"/>
      </w:pPr>
      <w:r>
        <w:t>National Efficient Price and National Efficient Cost Determinations for 2020–</w:t>
      </w:r>
      <w:r w:rsidR="00952AA4">
        <w:rPr>
          <w:rFonts w:ascii="Arial" w:hAnsi="Arial" w:cs="Arial" w:hint="cs"/>
          <w:rtl/>
        </w:rPr>
        <w:t>‍</w:t>
      </w:r>
      <w:r>
        <w:t>21 published</w:t>
      </w:r>
    </w:p>
    <w:p w14:paraId="408F4D65" w14:textId="77777777" w:rsidR="00593D63" w:rsidRDefault="00B40B7D" w:rsidP="003277B3">
      <w:pPr>
        <w:pStyle w:val="Bullets"/>
        <w:ind w:left="340" w:hanging="227"/>
      </w:pPr>
      <w:r>
        <w:t>Publication of shadow price weights for admitted mental health care using the Australian Me</w:t>
      </w:r>
      <w:r w:rsidR="00B50D5A">
        <w:t>n</w:t>
      </w:r>
      <w:r>
        <w:t>tal Health Care Classification Version 1.0</w:t>
      </w:r>
      <w:r w:rsidR="00593D63" w:rsidRPr="00593D63">
        <w:t xml:space="preserve"> </w:t>
      </w:r>
    </w:p>
    <w:p w14:paraId="71EF0087" w14:textId="5F93B4E3" w:rsidR="00593D63" w:rsidRDefault="00593D63" w:rsidP="00593D63">
      <w:pPr>
        <w:pStyle w:val="H4"/>
      </w:pPr>
      <w:r>
        <w:t>April</w:t>
      </w:r>
    </w:p>
    <w:p w14:paraId="78F426C9" w14:textId="77777777" w:rsidR="00593D63" w:rsidRDefault="00593D63" w:rsidP="003277B3">
      <w:pPr>
        <w:pStyle w:val="Bullets"/>
        <w:ind w:left="340" w:hanging="227"/>
      </w:pPr>
      <w:r>
        <w:t>National Hospital Cost Data Collection, Private Hospital Cost Report, Round 22 (financial year 2017–18) published</w:t>
      </w:r>
    </w:p>
    <w:p w14:paraId="4980F504" w14:textId="77777777" w:rsidR="00593D63" w:rsidRDefault="00593D63" w:rsidP="00593D63">
      <w:pPr>
        <w:pStyle w:val="H4"/>
      </w:pPr>
      <w:r>
        <w:t>May</w:t>
      </w:r>
    </w:p>
    <w:p w14:paraId="73446800" w14:textId="77777777" w:rsidR="00593D63" w:rsidRDefault="00593D63" w:rsidP="003277B3">
      <w:pPr>
        <w:pStyle w:val="Bullets"/>
        <w:ind w:left="340" w:hanging="227"/>
      </w:pPr>
      <w:r>
        <w:t>Consultation on IHPA’s draft Work Program 2020–21</w:t>
      </w:r>
    </w:p>
    <w:p w14:paraId="2256C821" w14:textId="3453C220" w:rsidR="00593D63" w:rsidRPr="00593D63" w:rsidRDefault="00593D63" w:rsidP="003277B3">
      <w:pPr>
        <w:pStyle w:val="Bullets"/>
        <w:ind w:left="340" w:hanging="227"/>
      </w:pPr>
      <w:r w:rsidRPr="00B1372A">
        <w:t xml:space="preserve">Rules for coding and reporting </w:t>
      </w:r>
      <w:r w:rsidR="00E747BF">
        <w:t>COVID-</w:t>
      </w:r>
      <w:r w:rsidR="007025AA">
        <w:rPr>
          <w:rFonts w:ascii="Arial" w:hAnsi="Arial" w:cs="Arial" w:hint="cs"/>
          <w:rtl/>
        </w:rPr>
        <w:t>‍</w:t>
      </w:r>
      <w:r w:rsidR="00E747BF">
        <w:t>19</w:t>
      </w:r>
      <w:r w:rsidRPr="00B1372A">
        <w:t xml:space="preserve"> episodes</w:t>
      </w:r>
      <w:r>
        <w:t xml:space="preserve"> </w:t>
      </w:r>
      <w:r w:rsidR="00B76CE5">
        <w:t>published</w:t>
      </w:r>
    </w:p>
    <w:p w14:paraId="764864D7" w14:textId="778425D1" w:rsidR="00593D63" w:rsidRDefault="00593D63" w:rsidP="00593D63">
      <w:pPr>
        <w:pStyle w:val="H4"/>
      </w:pPr>
      <w:r>
        <w:t>June</w:t>
      </w:r>
    </w:p>
    <w:p w14:paraId="5251778D" w14:textId="0557A052" w:rsidR="00593D63" w:rsidRDefault="00593D63" w:rsidP="003277B3">
      <w:pPr>
        <w:pStyle w:val="Bullets"/>
        <w:ind w:left="340" w:hanging="227"/>
      </w:pPr>
      <w:r>
        <w:t>Three Year Data Plan 2020–21 to 202</w:t>
      </w:r>
      <w:r w:rsidR="007B0CFB">
        <w:t>2</w:t>
      </w:r>
      <w:r>
        <w:t>–2</w:t>
      </w:r>
      <w:r w:rsidR="007B0CFB">
        <w:t>3</w:t>
      </w:r>
      <w:r>
        <w:t xml:space="preserve"> published</w:t>
      </w:r>
    </w:p>
    <w:p w14:paraId="1A644859" w14:textId="77777777" w:rsidR="00593D63" w:rsidRDefault="00593D63" w:rsidP="003277B3">
      <w:pPr>
        <w:pStyle w:val="Bullets"/>
        <w:ind w:left="340" w:hanging="227"/>
      </w:pPr>
      <w:r>
        <w:t>Finalisation of the Mental Health Phase of Care Clinical Refinement Project</w:t>
      </w:r>
    </w:p>
    <w:p w14:paraId="143835EF" w14:textId="6431CA3D" w:rsidR="00593D63" w:rsidRDefault="00593D63" w:rsidP="003277B3">
      <w:pPr>
        <w:pStyle w:val="Bullets"/>
        <w:ind w:left="340" w:hanging="227"/>
        <w:sectPr w:rsidR="00593D63" w:rsidSect="00CF3EA7">
          <w:type w:val="continuous"/>
          <w:pgSz w:w="9979" w:h="14175" w:code="13"/>
          <w:pgMar w:top="1134" w:right="1418" w:bottom="1276" w:left="1418" w:header="709" w:footer="709" w:gutter="0"/>
          <w:cols w:num="2" w:space="708"/>
          <w:docGrid w:linePitch="360"/>
        </w:sectPr>
      </w:pPr>
      <w:r>
        <w:t>IHPA’s Work Program 2020–</w:t>
      </w:r>
      <w:r w:rsidR="00952AA4">
        <w:rPr>
          <w:rFonts w:ascii="Arial" w:hAnsi="Arial" w:cs="Arial" w:hint="cs"/>
          <w:rtl/>
        </w:rPr>
        <w:t>‍</w:t>
      </w:r>
      <w:r>
        <w:t>21</w:t>
      </w:r>
      <w:r w:rsidR="00952AA4">
        <w:t> </w:t>
      </w:r>
      <w:r>
        <w:t>published</w:t>
      </w:r>
    </w:p>
    <w:p w14:paraId="5FD5E6AD" w14:textId="5FBDB7B8" w:rsidR="00CF3EA7" w:rsidRDefault="00CF3EA7" w:rsidP="00CF3EA7">
      <w:pPr>
        <w:pStyle w:val="H4"/>
      </w:pPr>
    </w:p>
    <w:p w14:paraId="4B714034" w14:textId="39357D00" w:rsidR="00761E2F" w:rsidRDefault="00761E2F" w:rsidP="00CF3EA7">
      <w:pPr>
        <w:pStyle w:val="Bulletslast"/>
        <w:sectPr w:rsidR="00761E2F" w:rsidSect="00CF3EA7">
          <w:type w:val="continuous"/>
          <w:pgSz w:w="9979" w:h="14175" w:code="13"/>
          <w:pgMar w:top="1134" w:right="1418" w:bottom="1276" w:left="1418" w:header="709" w:footer="709" w:gutter="0"/>
          <w:cols w:num="2" w:space="708"/>
          <w:docGrid w:linePitch="360"/>
        </w:sectPr>
      </w:pPr>
    </w:p>
    <w:tbl>
      <w:tblPr>
        <w:tblStyle w:val="TableGrid"/>
        <w:tblW w:w="496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89"/>
      </w:tblGrid>
      <w:tr w:rsidR="00AA753B" w14:paraId="59CF448E" w14:textId="3214043A" w:rsidTr="00CE0DE4">
        <w:trPr>
          <w:trHeight w:val="9490"/>
        </w:trPr>
        <w:tc>
          <w:tcPr>
            <w:tcW w:w="5000" w:type="pct"/>
          </w:tcPr>
          <w:p w14:paraId="497648AF" w14:textId="21BEDC3E" w:rsidR="00AA753B" w:rsidRPr="00321177" w:rsidRDefault="00AA753B" w:rsidP="00CE0DE4">
            <w:pPr>
              <w:pStyle w:val="Heading10"/>
              <w:rPr>
                <w:b w:val="0"/>
                <w:bCs w:val="0"/>
              </w:rPr>
            </w:pPr>
            <w:bookmarkStart w:id="62" w:name="ClinicalAdvisoryCommittee"/>
            <w:bookmarkStart w:id="63" w:name="_Toc50378073"/>
            <w:bookmarkStart w:id="64" w:name="_Toc44350180"/>
            <w:r>
              <w:rPr>
                <w:b w:val="0"/>
                <w:bCs w:val="0"/>
              </w:rPr>
              <w:lastRenderedPageBreak/>
              <w:t>Clinical Advisory Committee</w:t>
            </w:r>
            <w:bookmarkEnd w:id="62"/>
            <w:bookmarkEnd w:id="63"/>
          </w:p>
        </w:tc>
      </w:tr>
      <w:tr w:rsidR="00AA753B" w14:paraId="4C0BEBC3" w14:textId="3FB67492" w:rsidTr="00CE0DE4">
        <w:trPr>
          <w:trHeight w:val="1569"/>
        </w:trPr>
        <w:tc>
          <w:tcPr>
            <w:tcW w:w="5000" w:type="pct"/>
            <w:vAlign w:val="bottom"/>
          </w:tcPr>
          <w:p w14:paraId="7F85D366" w14:textId="51697223" w:rsidR="00AA753B" w:rsidRDefault="00AA753B" w:rsidP="00CE0DE4">
            <w:pPr>
              <w:pStyle w:val="SectionBreakNumber"/>
            </w:pPr>
            <w:r w:rsidRPr="003C6AC0">
              <w:t>0</w:t>
            </w:r>
            <w:r w:rsidR="003277B3">
              <w:t>4</w:t>
            </w:r>
          </w:p>
        </w:tc>
      </w:tr>
    </w:tbl>
    <w:p w14:paraId="23594E98" w14:textId="1D7DD30E" w:rsidR="005C172F" w:rsidRPr="00AA753B" w:rsidRDefault="00AA753B" w:rsidP="00AA753B">
      <w:pPr>
        <w:pStyle w:val="Heading1"/>
        <w:rPr>
          <w:color w:val="F47920" w:themeColor="accent4"/>
        </w:rPr>
        <w:sectPr w:rsidR="005C172F" w:rsidRPr="00AA753B" w:rsidSect="00182773">
          <w:headerReference w:type="even" r:id="rId65"/>
          <w:headerReference w:type="default" r:id="rId66"/>
          <w:footerReference w:type="default" r:id="rId67"/>
          <w:pgSz w:w="9979" w:h="14175" w:code="13"/>
          <w:pgMar w:top="1134" w:right="1418" w:bottom="1276" w:left="1418" w:header="709" w:footer="709" w:gutter="0"/>
          <w:cols w:space="708"/>
          <w:docGrid w:linePitch="360"/>
        </w:sectPr>
      </w:pPr>
      <w:r w:rsidRPr="00AA753B">
        <w:rPr>
          <w:color w:val="F47920" w:themeColor="accent4"/>
        </w:rPr>
        <w:br w:type="page"/>
      </w:r>
      <w:bookmarkStart w:id="65" w:name="_Toc50378074"/>
      <w:r w:rsidR="00F13CCD" w:rsidRPr="005C0F04">
        <w:rPr>
          <w:color w:val="F47920" w:themeColor="accent4"/>
        </w:rPr>
        <w:lastRenderedPageBreak/>
        <w:t>Letter from the Chair</w:t>
      </w:r>
      <w:bookmarkEnd w:id="64"/>
      <w:bookmarkEnd w:id="65"/>
    </w:p>
    <w:p w14:paraId="64946A7A" w14:textId="49D3EA19" w:rsidR="00CF3EA7" w:rsidRDefault="00936074" w:rsidP="005C172F">
      <w:pPr>
        <w:pStyle w:val="Body"/>
      </w:pPr>
      <w:r>
        <w:rPr>
          <w:noProof/>
          <w:lang w:val="en-GB" w:eastAsia="en-GB"/>
        </w:rPr>
        <w:drawing>
          <wp:inline distT="0" distB="0" distL="0" distR="0" wp14:anchorId="268A32B5" wp14:editId="02E9F767">
            <wp:extent cx="2038348" cy="1830308"/>
            <wp:effectExtent l="0" t="0" r="635" b="0"/>
            <wp:docPr id="20" name="Picture 20" descr="Photo of Associate Professor Alasdair MacDonald, 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of Associate Professor Alasdair MacDonald, Chair, Clinical Advisory Committee"/>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038348" cy="1830308"/>
                    </a:xfrm>
                    <a:prstGeom prst="rect">
                      <a:avLst/>
                    </a:prstGeom>
                    <a:noFill/>
                    <a:ln>
                      <a:noFill/>
                    </a:ln>
                  </pic:spPr>
                </pic:pic>
              </a:graphicData>
            </a:graphic>
          </wp:inline>
        </w:drawing>
      </w:r>
    </w:p>
    <w:p w14:paraId="6393C419" w14:textId="77777777" w:rsidR="00936074" w:rsidRPr="00936074" w:rsidRDefault="00936074" w:rsidP="00936074">
      <w:pPr>
        <w:pStyle w:val="Body"/>
        <w:rPr>
          <w:b/>
          <w:bCs/>
        </w:rPr>
      </w:pPr>
      <w:r w:rsidRPr="00936074">
        <w:rPr>
          <w:b/>
          <w:bCs/>
        </w:rPr>
        <w:t>It is a privilege to chair the Clinical Advisory Committee and to present our Annual Report for 2019–20.</w:t>
      </w:r>
    </w:p>
    <w:p w14:paraId="36D6DA1C" w14:textId="59FCE1FB" w:rsidR="00936074" w:rsidRDefault="00936074" w:rsidP="00936074">
      <w:pPr>
        <w:pStyle w:val="Body"/>
      </w:pPr>
      <w:r>
        <w:t>The Clinical Advisory Committee is a multidisciplinary group whose members have</w:t>
      </w:r>
      <w:r w:rsidR="00A60C3E">
        <w:t> </w:t>
      </w:r>
      <w:r>
        <w:t>extensive clinical knowledge and skills across</w:t>
      </w:r>
      <w:r w:rsidR="00A60C3E">
        <w:t> </w:t>
      </w:r>
      <w:r>
        <w:t>a wide range of areas.</w:t>
      </w:r>
    </w:p>
    <w:p w14:paraId="6B7A34A4" w14:textId="77777777" w:rsidR="00936074" w:rsidRDefault="00936074" w:rsidP="00936074">
      <w:pPr>
        <w:pStyle w:val="Body"/>
      </w:pPr>
      <w:r>
        <w:t>The committee draws on this expertise and experience to provide advice in relation to IHPA’s program of work.</w:t>
      </w:r>
    </w:p>
    <w:p w14:paraId="4A427AED" w14:textId="1EE10B42" w:rsidR="00AB0FA0" w:rsidRDefault="00936074" w:rsidP="00936074">
      <w:pPr>
        <w:pStyle w:val="Body"/>
      </w:pPr>
      <w:r>
        <w:t xml:space="preserve">In 2019–20, the </w:t>
      </w:r>
      <w:r w:rsidR="00B76CE5">
        <w:t xml:space="preserve">committee </w:t>
      </w:r>
      <w:r>
        <w:t xml:space="preserve">provided ongoing input to the Pricing Framework for Australian Public Hospital Services 2019–20, ensuring the Framework’s policies remained clinically relevant. The committee </w:t>
      </w:r>
      <w:r w:rsidR="00310C25">
        <w:t>provided</w:t>
      </w:r>
      <w:r>
        <w:t xml:space="preserve"> advice to allow IHPA to </w:t>
      </w:r>
      <w:r w:rsidR="00310C25">
        <w:t>ensure</w:t>
      </w:r>
      <w:r>
        <w:t xml:space="preserve"> National Efficient Price and National Efficient Cost Determinations for</w:t>
      </w:r>
      <w:r w:rsidR="00C04666">
        <w:t> </w:t>
      </w:r>
      <w:r>
        <w:t>20</w:t>
      </w:r>
      <w:r w:rsidR="00B07F2F">
        <w:t>2</w:t>
      </w:r>
      <w:r w:rsidR="00B76CE5">
        <w:t>0–</w:t>
      </w:r>
      <w:r>
        <w:t>2</w:t>
      </w:r>
      <w:r w:rsidR="00B07F2F">
        <w:t>1</w:t>
      </w:r>
      <w:r w:rsidR="00310C25">
        <w:t xml:space="preserve"> were fit for purpose</w:t>
      </w:r>
      <w:r>
        <w:t>.</w:t>
      </w:r>
    </w:p>
    <w:p w14:paraId="488370FB" w14:textId="49EDB199" w:rsidR="00B76CE5" w:rsidRDefault="00AB0FA0" w:rsidP="00936074">
      <w:pPr>
        <w:pStyle w:val="Body"/>
      </w:pPr>
      <w:r>
        <w:br w:type="column"/>
      </w:r>
      <w:r w:rsidR="00B76CE5">
        <w:t>This year we played a critical role in providing clinical input about the options for pricing and funding for the safety and quality reforms introduced in the 2017 Addendum to</w:t>
      </w:r>
      <w:r w:rsidR="005F573E">
        <w:t> </w:t>
      </w:r>
      <w:r w:rsidR="00B76CE5">
        <w:t>the National Health Reform Agreement. This</w:t>
      </w:r>
      <w:r w:rsidR="00C04666">
        <w:t> </w:t>
      </w:r>
      <w:r w:rsidR="00B76CE5">
        <w:t>included the continued participation of the joint working party with the Australian Commission on Safety and Quality in Health</w:t>
      </w:r>
      <w:r w:rsidR="00C04666">
        <w:t> </w:t>
      </w:r>
      <w:r w:rsidR="00B76CE5">
        <w:t>Care.</w:t>
      </w:r>
    </w:p>
    <w:p w14:paraId="400756C4" w14:textId="683121F2" w:rsidR="00B76CE5" w:rsidRDefault="00B76CE5" w:rsidP="00B76CE5">
      <w:pPr>
        <w:pStyle w:val="Body"/>
      </w:pPr>
      <w:r>
        <w:t>The committee provided clinical advice on IHPA’s three proposed funding options for reducing avoidable hospital readmissions. The committee will continue to advise IHPA in</w:t>
      </w:r>
      <w:r w:rsidR="00310C25">
        <w:t> </w:t>
      </w:r>
      <w:r>
        <w:t>this area, as the agency works on further</w:t>
      </w:r>
      <w:r w:rsidR="00310C25">
        <w:t> </w:t>
      </w:r>
      <w:r>
        <w:t xml:space="preserve">analysis. </w:t>
      </w:r>
    </w:p>
    <w:p w14:paraId="168F0485" w14:textId="7D893E61" w:rsidR="00B76CE5" w:rsidRDefault="00B76CE5" w:rsidP="00B76CE5">
      <w:pPr>
        <w:pStyle w:val="Body"/>
      </w:pPr>
      <w:r>
        <w:t>In 2019–20, the Clinical Advisory Committee continued its work advising on classification systems. The committee also contributed to the final review of the processes involved in the acute care classifications development.</w:t>
      </w:r>
    </w:p>
    <w:p w14:paraId="07AD0E9A" w14:textId="37BDD198" w:rsidR="00B76CE5" w:rsidRDefault="00B76CE5" w:rsidP="00B76CE5">
      <w:pPr>
        <w:pStyle w:val="Body"/>
      </w:pPr>
      <w:r>
        <w:t xml:space="preserve">Under the National Partnership on </w:t>
      </w:r>
      <w:r w:rsidR="00E747BF">
        <w:t>COVID-19</w:t>
      </w:r>
      <w:r w:rsidR="00CC1F75">
        <w:t xml:space="preserve"> </w:t>
      </w:r>
      <w:r>
        <w:t xml:space="preserve">Response, IHPA issued classification and reporting rules to accurately capture </w:t>
      </w:r>
      <w:r w:rsidR="00E747BF">
        <w:t>COVID-</w:t>
      </w:r>
      <w:r w:rsidR="00274CD4">
        <w:rPr>
          <w:rFonts w:ascii="Arial" w:hAnsi="Arial" w:cs="Arial" w:hint="cs"/>
          <w:rtl/>
        </w:rPr>
        <w:t>‍</w:t>
      </w:r>
      <w:r w:rsidR="00E747BF">
        <w:t>19</w:t>
      </w:r>
      <w:r>
        <w:t xml:space="preserve"> episodes of care and</w:t>
      </w:r>
      <w:r w:rsidR="00694A32">
        <w:t> </w:t>
      </w:r>
      <w:r w:rsidR="00E747BF">
        <w:t>COVID-19</w:t>
      </w:r>
      <w:r>
        <w:t xml:space="preserve"> related hospital activity on</w:t>
      </w:r>
      <w:r w:rsidR="00694A32">
        <w:t> </w:t>
      </w:r>
      <w:r>
        <w:t>a</w:t>
      </w:r>
      <w:r w:rsidR="00694A32">
        <w:t> </w:t>
      </w:r>
      <w:r>
        <w:t>nationally consistent basis. Committee</w:t>
      </w:r>
      <w:r w:rsidR="00694A32">
        <w:t> </w:t>
      </w:r>
      <w:r>
        <w:t>members provided feedback to</w:t>
      </w:r>
      <w:r w:rsidR="00694A32">
        <w:t> </w:t>
      </w:r>
      <w:r>
        <w:t>ensure that the rules and advice were</w:t>
      </w:r>
      <w:r w:rsidR="00694A32">
        <w:t> </w:t>
      </w:r>
      <w:r>
        <w:t xml:space="preserve">clinically sound. </w:t>
      </w:r>
    </w:p>
    <w:p w14:paraId="1515EAD6" w14:textId="2804A983" w:rsidR="00B76CE5" w:rsidRDefault="003121B4" w:rsidP="00B76CE5">
      <w:pPr>
        <w:pStyle w:val="Body"/>
      </w:pPr>
      <w:r>
        <w:br w:type="column"/>
      </w:r>
      <w:r w:rsidR="00B76CE5">
        <w:lastRenderedPageBreak/>
        <w:t xml:space="preserve">The committee members continued to promote the WRITEitRIGHT® mobile application, which enables accurate clinical documentation by clinicians and health information managers. </w:t>
      </w:r>
    </w:p>
    <w:p w14:paraId="04DED2C3" w14:textId="15B7BC9F" w:rsidR="00B76CE5" w:rsidRDefault="00B76CE5" w:rsidP="00B76CE5">
      <w:pPr>
        <w:pStyle w:val="Body"/>
      </w:pPr>
      <w:r>
        <w:t>My sincere thanks to my fellow committee members for their meaningful contribution and thoughtful consideration of the complex and at times highly technical issues over the past</w:t>
      </w:r>
      <w:r w:rsidR="00694A32">
        <w:t> </w:t>
      </w:r>
      <w:r>
        <w:t>year. I deeply appreciate their commitment to improving efficiency, accountability and transparency across the</w:t>
      </w:r>
      <w:r w:rsidR="00694A32">
        <w:t> </w:t>
      </w:r>
      <w:r>
        <w:t>public healthcare system.</w:t>
      </w:r>
    </w:p>
    <w:p w14:paraId="6B8A0E29" w14:textId="598AC74E" w:rsidR="00B76CE5" w:rsidRDefault="003121B4" w:rsidP="00B76CE5">
      <w:pPr>
        <w:pStyle w:val="Body"/>
      </w:pPr>
      <w:r>
        <w:br w:type="column"/>
      </w:r>
      <w:r w:rsidR="00B76CE5">
        <w:t>On behalf of the Clinical Advisory Committee, I acknowledge and commend the Pricing</w:t>
      </w:r>
      <w:r w:rsidR="00694A32">
        <w:t> </w:t>
      </w:r>
      <w:r w:rsidR="00B76CE5">
        <w:t>Authority, the IHPA Chief Executive Officer and staff for delivering a successful program of work in 2019–20.</w:t>
      </w:r>
    </w:p>
    <w:p w14:paraId="2A4E18C8" w14:textId="5751A35E" w:rsidR="00B76CE5" w:rsidRDefault="00B76CE5" w:rsidP="00B76CE5">
      <w:pPr>
        <w:pStyle w:val="Body"/>
      </w:pPr>
      <w:r>
        <w:t>I look forward to continuing to lead the work of the Clinical Advisory Committee in the coming year, and welcome the opportunity to</w:t>
      </w:r>
      <w:r w:rsidR="00694A32">
        <w:t> </w:t>
      </w:r>
      <w:r>
        <w:t>support the agency to drive its strategic agenda in the year ahead.</w:t>
      </w:r>
    </w:p>
    <w:p w14:paraId="13307DC8" w14:textId="77777777" w:rsidR="00B76CE5" w:rsidRDefault="00B76CE5" w:rsidP="00B76CE5">
      <w:pPr>
        <w:pStyle w:val="Body"/>
      </w:pPr>
      <w:r>
        <w:rPr>
          <w:noProof/>
          <w:lang w:val="en-GB" w:eastAsia="en-GB"/>
        </w:rPr>
        <w:drawing>
          <wp:inline distT="0" distB="0" distL="0" distR="0" wp14:anchorId="6E9DF4B8" wp14:editId="20F976D8">
            <wp:extent cx="1422400" cy="519175"/>
            <wp:effectExtent l="0" t="0" r="0" b="0"/>
            <wp:docPr id="24" name="Picture 24" descr="Associate Professor Alasdair Macdonald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ssociate Professor Alasdair Macdonald signature"/>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422400" cy="519175"/>
                    </a:xfrm>
                    <a:prstGeom prst="rect">
                      <a:avLst/>
                    </a:prstGeom>
                    <a:noFill/>
                    <a:ln>
                      <a:noFill/>
                    </a:ln>
                  </pic:spPr>
                </pic:pic>
              </a:graphicData>
            </a:graphic>
          </wp:inline>
        </w:drawing>
      </w:r>
    </w:p>
    <w:p w14:paraId="46560F83" w14:textId="0243C70A" w:rsidR="00B76CE5" w:rsidRDefault="00B76CE5" w:rsidP="00B76CE5">
      <w:pPr>
        <w:pStyle w:val="Body"/>
        <w:sectPr w:rsidR="00B76CE5" w:rsidSect="005C172F">
          <w:headerReference w:type="even" r:id="rId70"/>
          <w:headerReference w:type="default" r:id="rId71"/>
          <w:type w:val="continuous"/>
          <w:pgSz w:w="9979" w:h="14175" w:code="13"/>
          <w:pgMar w:top="1134" w:right="1418" w:bottom="1276" w:left="1418" w:header="709" w:footer="709" w:gutter="0"/>
          <w:cols w:num="2" w:space="708"/>
          <w:docGrid w:linePitch="360"/>
        </w:sectPr>
      </w:pPr>
      <w:r w:rsidRPr="004D13E1">
        <w:rPr>
          <w:b/>
          <w:bCs/>
        </w:rPr>
        <w:t>Associate Professor</w:t>
      </w:r>
      <w:r w:rsidRPr="004D13E1">
        <w:rPr>
          <w:b/>
          <w:bCs/>
        </w:rPr>
        <w:br/>
        <w:t>Alasdair MacDonald</w:t>
      </w:r>
      <w:r>
        <w:br/>
        <w:t>Chair, Clinical Advisory Committee</w:t>
      </w:r>
      <w:r>
        <w:br/>
      </w:r>
      <w:r w:rsidR="009D4ECA">
        <w:t xml:space="preserve">2 </w:t>
      </w:r>
      <w:r w:rsidR="005640FD">
        <w:t>October</w:t>
      </w:r>
      <w:r>
        <w:t xml:space="preserve"> 2020</w:t>
      </w:r>
    </w:p>
    <w:p w14:paraId="330E2B95" w14:textId="77777777" w:rsidR="00C34E10" w:rsidRPr="005C0F04" w:rsidRDefault="00C34E10" w:rsidP="00C34E10">
      <w:pPr>
        <w:pStyle w:val="Heading1"/>
        <w:rPr>
          <w:color w:val="F47920" w:themeColor="accent4"/>
        </w:rPr>
        <w:sectPr w:rsidR="00C34E10" w:rsidRPr="005C0F04" w:rsidSect="00F65648">
          <w:headerReference w:type="default" r:id="rId72"/>
          <w:pgSz w:w="9979" w:h="14175" w:code="13"/>
          <w:pgMar w:top="1134" w:right="1418" w:bottom="1276" w:left="1418" w:header="709" w:footer="709" w:gutter="0"/>
          <w:cols w:space="708"/>
          <w:docGrid w:linePitch="360"/>
        </w:sectPr>
      </w:pPr>
      <w:bookmarkStart w:id="66" w:name="_Toc44350181"/>
      <w:bookmarkStart w:id="67" w:name="_Toc50378075"/>
      <w:r w:rsidRPr="005C0F04">
        <w:rPr>
          <w:color w:val="F47920" w:themeColor="accent4"/>
        </w:rPr>
        <w:lastRenderedPageBreak/>
        <w:t>About the Clinical Advisory Committee</w:t>
      </w:r>
      <w:bookmarkEnd w:id="66"/>
      <w:bookmarkEnd w:id="67"/>
    </w:p>
    <w:p w14:paraId="7D93DCB3" w14:textId="774004ED" w:rsidR="00C34E10" w:rsidRPr="00C34E10" w:rsidRDefault="00C34E10" w:rsidP="00C34E10">
      <w:pPr>
        <w:pStyle w:val="Body"/>
        <w:rPr>
          <w:b/>
          <w:bCs/>
        </w:rPr>
      </w:pPr>
      <w:r w:rsidRPr="00C34E10">
        <w:rPr>
          <w:b/>
          <w:bCs/>
        </w:rPr>
        <w:t xml:space="preserve">Clinical Advisory Committee members provide high-level technical and clinical advice to the Pricing Authority on a range of issues, such as activity based funding, classification development, </w:t>
      </w:r>
      <w:r w:rsidR="0030061C">
        <w:rPr>
          <w:b/>
          <w:bCs/>
        </w:rPr>
        <w:t xml:space="preserve">and </w:t>
      </w:r>
      <w:r w:rsidRPr="00C34E10">
        <w:rPr>
          <w:b/>
          <w:bCs/>
        </w:rPr>
        <w:t>IHPA policy development, and inform the National Efficient Price and National Efficient Cost.</w:t>
      </w:r>
    </w:p>
    <w:p w14:paraId="2C86C17B" w14:textId="77777777" w:rsidR="00C34E10" w:rsidRDefault="00C34E10" w:rsidP="00C34E10">
      <w:pPr>
        <w:pStyle w:val="Body"/>
      </w:pPr>
      <w:r>
        <w:t xml:space="preserve">The Clinical Advisory Committee is a statutory committee established under Part 4.10 of the </w:t>
      </w:r>
      <w:r w:rsidRPr="00C34E10">
        <w:rPr>
          <w:i/>
          <w:iCs/>
        </w:rPr>
        <w:t>National Health Reform Act 2011</w:t>
      </w:r>
      <w:r>
        <w:t>.</w:t>
      </w:r>
    </w:p>
    <w:p w14:paraId="48B9484D" w14:textId="77777777" w:rsidR="00C34E10" w:rsidRDefault="00C34E10" w:rsidP="00C34E10">
      <w:pPr>
        <w:pStyle w:val="Body"/>
      </w:pPr>
      <w:r>
        <w:t>The functions of the committee are described in s. 177:</w:t>
      </w:r>
    </w:p>
    <w:p w14:paraId="071789CB" w14:textId="2EA52CF2" w:rsidR="00C34E10" w:rsidRDefault="00C34E10" w:rsidP="00C34E10">
      <w:pPr>
        <w:pStyle w:val="Bullets"/>
      </w:pPr>
      <w:r>
        <w:t>to advise the Pricing Authority in relation to developing and specifying classification systems for health care and other services provided by public</w:t>
      </w:r>
      <w:r w:rsidR="00C374F2">
        <w:t> </w:t>
      </w:r>
      <w:r>
        <w:t>hospitals</w:t>
      </w:r>
    </w:p>
    <w:p w14:paraId="2D0DDFBA" w14:textId="57C9441A" w:rsidR="00C34E10" w:rsidRDefault="00C34E10" w:rsidP="00C34E10">
      <w:pPr>
        <w:pStyle w:val="Bullets"/>
      </w:pPr>
      <w:r>
        <w:t>to advise the Pricing Authority in</w:t>
      </w:r>
      <w:r w:rsidR="00716604">
        <w:t> </w:t>
      </w:r>
      <w:r>
        <w:t>relation to matters that:</w:t>
      </w:r>
    </w:p>
    <w:p w14:paraId="084CB824" w14:textId="148ACEAE" w:rsidR="00C34E10" w:rsidRDefault="00C34E10" w:rsidP="00C70CBB">
      <w:pPr>
        <w:pStyle w:val="BulletsL2"/>
        <w:ind w:left="851" w:hanging="284"/>
      </w:pPr>
      <w:r>
        <w:t>relate to the functions of the Pricing Authority, and</w:t>
      </w:r>
    </w:p>
    <w:p w14:paraId="02410131" w14:textId="0798D344" w:rsidR="00C34E10" w:rsidRDefault="00C34E10" w:rsidP="00C70CBB">
      <w:pPr>
        <w:pStyle w:val="BulletsL2"/>
        <w:ind w:left="851" w:hanging="284"/>
      </w:pPr>
      <w:r>
        <w:t>are referred to the Clinical Advisory Committee by the Pricing Authority</w:t>
      </w:r>
    </w:p>
    <w:p w14:paraId="12D76C8D" w14:textId="1245DB43" w:rsidR="00C34E10" w:rsidRDefault="00C34E10" w:rsidP="00C34E10">
      <w:pPr>
        <w:pStyle w:val="Bulletslast"/>
      </w:pPr>
      <w:r>
        <w:t>to do anything incidental to or conducive to the performance of the above functions.</w:t>
      </w:r>
    </w:p>
    <w:p w14:paraId="6D6C1618" w14:textId="682D208A" w:rsidR="00C34E10" w:rsidRDefault="00C34E10" w:rsidP="00C34E10">
      <w:pPr>
        <w:pStyle w:val="H4"/>
        <w:spacing w:before="0"/>
      </w:pPr>
      <w:r>
        <w:br w:type="column"/>
      </w:r>
      <w:r>
        <w:t>Membership</w:t>
      </w:r>
    </w:p>
    <w:p w14:paraId="66988264" w14:textId="26CC28B7" w:rsidR="00C34E10" w:rsidRDefault="00C34E10" w:rsidP="00C34E10">
      <w:pPr>
        <w:pStyle w:val="Body"/>
      </w:pPr>
      <w:r>
        <w:t>The members of the committee are appointed by the Australian Government Minister for</w:t>
      </w:r>
      <w:r w:rsidR="00C374F2">
        <w:t> </w:t>
      </w:r>
      <w:r>
        <w:t>Health, and are drawn from a range of clinical specialties and backgrounds to ensure the committee represents a wide range of clinical expertise.</w:t>
      </w:r>
    </w:p>
    <w:p w14:paraId="03CF10EC" w14:textId="0D30E083" w:rsidR="00C34E10" w:rsidRDefault="00C34E10" w:rsidP="00C34E10">
      <w:pPr>
        <w:pStyle w:val="Body"/>
      </w:pPr>
      <w:r>
        <w:t>Appointments are based on individual expertise rather than as a representative of</w:t>
      </w:r>
      <w:r w:rsidR="00813021">
        <w:t> </w:t>
      </w:r>
      <w:r>
        <w:t>an</w:t>
      </w:r>
      <w:r w:rsidR="00C374F2">
        <w:t> </w:t>
      </w:r>
      <w:r w:rsidR="002316F4">
        <w:t>organisation</w:t>
      </w:r>
      <w:r>
        <w:t>, peak body or jurisdiction. The</w:t>
      </w:r>
      <w:r w:rsidR="00C374F2">
        <w:t> </w:t>
      </w:r>
      <w:r>
        <w:t>Remuneration Tribunal determines remuneration.</w:t>
      </w:r>
    </w:p>
    <w:p w14:paraId="330D511B" w14:textId="77777777" w:rsidR="009059C6" w:rsidRDefault="00C34E10" w:rsidP="00C34E10">
      <w:pPr>
        <w:pStyle w:val="Body"/>
        <w:sectPr w:rsidR="009059C6" w:rsidSect="00C34E10">
          <w:type w:val="continuous"/>
          <w:pgSz w:w="9979" w:h="14175" w:code="13"/>
          <w:pgMar w:top="1134" w:right="1418" w:bottom="1276" w:left="1418" w:header="709" w:footer="709" w:gutter="0"/>
          <w:cols w:num="2" w:space="708"/>
          <w:docGrid w:linePitch="360"/>
        </w:sectPr>
      </w:pPr>
      <w:r>
        <w:t>The Chair of the committee, Associate Professor Alasdair MacDonald, reports to the Australian Government Minister for Health, and is supported by IHPA staff.</w:t>
      </w:r>
    </w:p>
    <w:p w14:paraId="1A7A30C8" w14:textId="01203069" w:rsidR="004D13E1" w:rsidRDefault="00380ECA" w:rsidP="00380ECA">
      <w:pPr>
        <w:pStyle w:val="FigureHeading"/>
      </w:pPr>
      <w:bookmarkStart w:id="68" w:name="_Toc48830270"/>
      <w:r w:rsidRPr="00380ECA">
        <w:lastRenderedPageBreak/>
        <w:t>Table 2: Membership and meetings of the Clinical Advisory Committee in</w:t>
      </w:r>
      <w:r w:rsidR="00E64AC1">
        <w:t> </w:t>
      </w:r>
      <w:r w:rsidRPr="00380ECA">
        <w:t>201</w:t>
      </w:r>
      <w:r>
        <w:t>9</w:t>
      </w:r>
      <w:r w:rsidRPr="00380ECA">
        <w:t>–</w:t>
      </w:r>
      <w:r>
        <w:t>20</w:t>
      </w:r>
      <w:bookmarkEnd w:id="68"/>
    </w:p>
    <w:tbl>
      <w:tblPr>
        <w:tblW w:w="7381" w:type="dxa"/>
        <w:tblInd w:w="-8" w:type="dxa"/>
        <w:tblLayout w:type="fixed"/>
        <w:tblCellMar>
          <w:left w:w="0" w:type="dxa"/>
          <w:right w:w="113" w:type="dxa"/>
        </w:tblCellMar>
        <w:tblLook w:val="0020" w:firstRow="1" w:lastRow="0" w:firstColumn="0" w:lastColumn="0" w:noHBand="0" w:noVBand="0"/>
      </w:tblPr>
      <w:tblGrid>
        <w:gridCol w:w="1993"/>
        <w:gridCol w:w="992"/>
        <w:gridCol w:w="2410"/>
        <w:gridCol w:w="993"/>
        <w:gridCol w:w="993"/>
      </w:tblGrid>
      <w:tr w:rsidR="00380ECA" w:rsidRPr="00906A47" w14:paraId="1E02FA6E" w14:textId="77777777" w:rsidTr="0094584F">
        <w:trPr>
          <w:trHeight w:val="20"/>
          <w:tblHeader/>
        </w:trPr>
        <w:tc>
          <w:tcPr>
            <w:tcW w:w="1993" w:type="dxa"/>
            <w:shd w:val="clear" w:color="auto" w:fill="F47920" w:themeFill="accent4"/>
            <w:tcMar>
              <w:top w:w="113" w:type="dxa"/>
              <w:left w:w="113" w:type="dxa"/>
              <w:bottom w:w="113" w:type="dxa"/>
              <w:right w:w="113" w:type="dxa"/>
            </w:tcMar>
          </w:tcPr>
          <w:p w14:paraId="6A5861EE" w14:textId="58C7E75F" w:rsidR="00380ECA" w:rsidRPr="00906A47" w:rsidRDefault="00380ECA" w:rsidP="00380ECA">
            <w:pPr>
              <w:pStyle w:val="Body"/>
              <w:spacing w:after="0"/>
              <w:rPr>
                <w:rFonts w:ascii="Futura PT Book" w:hAnsi="Futura PT Book" w:cs="Futura PT Book"/>
                <w:b/>
                <w:bCs/>
                <w:color w:val="FFFFFF" w:themeColor="background2"/>
                <w:lang w:val="en-US"/>
              </w:rPr>
            </w:pPr>
            <w:r>
              <w:rPr>
                <w:b/>
                <w:bCs/>
                <w:color w:val="FFFFFF" w:themeColor="background2"/>
                <w:lang w:val="en-US"/>
              </w:rPr>
              <w:t>Name</w:t>
            </w:r>
          </w:p>
        </w:tc>
        <w:tc>
          <w:tcPr>
            <w:tcW w:w="992" w:type="dxa"/>
            <w:shd w:val="clear" w:color="auto" w:fill="F47920" w:themeFill="accent4"/>
          </w:tcPr>
          <w:p w14:paraId="5FD34EBB" w14:textId="10EDB190" w:rsidR="00380ECA" w:rsidRDefault="00380ECA" w:rsidP="00380ECA">
            <w:pPr>
              <w:pStyle w:val="Body"/>
              <w:spacing w:after="0"/>
              <w:rPr>
                <w:b/>
                <w:bCs/>
                <w:color w:val="FFFFFF" w:themeColor="background2"/>
                <w:lang w:val="en-US"/>
              </w:rPr>
            </w:pPr>
            <w:r>
              <w:rPr>
                <w:b/>
                <w:bCs/>
                <w:color w:val="FFFFFF" w:themeColor="background2"/>
                <w:lang w:val="en-US"/>
              </w:rPr>
              <w:t>Position</w:t>
            </w:r>
          </w:p>
        </w:tc>
        <w:tc>
          <w:tcPr>
            <w:tcW w:w="2410" w:type="dxa"/>
            <w:shd w:val="clear" w:color="auto" w:fill="F47920" w:themeFill="accent4"/>
          </w:tcPr>
          <w:p w14:paraId="45F46ABA" w14:textId="4ACF0A5A" w:rsidR="00380ECA" w:rsidRDefault="00380ECA" w:rsidP="00380ECA">
            <w:pPr>
              <w:pStyle w:val="Body"/>
              <w:spacing w:after="0"/>
              <w:rPr>
                <w:b/>
                <w:bCs/>
                <w:color w:val="FFFFFF" w:themeColor="background2"/>
                <w:lang w:val="en-US"/>
              </w:rPr>
            </w:pPr>
            <w:r>
              <w:rPr>
                <w:b/>
                <w:bCs/>
                <w:color w:val="FFFFFF" w:themeColor="background2"/>
                <w:lang w:val="en-US"/>
              </w:rPr>
              <w:t>Specialty</w:t>
            </w:r>
          </w:p>
        </w:tc>
        <w:tc>
          <w:tcPr>
            <w:tcW w:w="993" w:type="dxa"/>
            <w:shd w:val="clear" w:color="auto" w:fill="F47920" w:themeFill="accent4"/>
            <w:tcMar>
              <w:top w:w="113" w:type="dxa"/>
              <w:left w:w="113" w:type="dxa"/>
              <w:bottom w:w="113" w:type="dxa"/>
              <w:right w:w="113" w:type="dxa"/>
            </w:tcMar>
          </w:tcPr>
          <w:p w14:paraId="5BB1CA24" w14:textId="7B8C06F9" w:rsidR="00380ECA" w:rsidRPr="00906A47" w:rsidRDefault="00380ECA" w:rsidP="00380ECA">
            <w:pPr>
              <w:pStyle w:val="Body"/>
              <w:spacing w:after="0"/>
              <w:jc w:val="right"/>
              <w:rPr>
                <w:rFonts w:ascii="Futura PT Book" w:hAnsi="Futura PT Book" w:cs="Futura PT Book"/>
                <w:b/>
                <w:bCs/>
                <w:color w:val="FFFFFF" w:themeColor="background2"/>
                <w:lang w:val="en-US"/>
              </w:rPr>
            </w:pPr>
            <w:r>
              <w:rPr>
                <w:b/>
                <w:bCs/>
                <w:color w:val="FFFFFF" w:themeColor="background2"/>
                <w:lang w:val="en-US"/>
              </w:rPr>
              <w:t>Meetings eligible</w:t>
            </w:r>
          </w:p>
        </w:tc>
        <w:tc>
          <w:tcPr>
            <w:tcW w:w="993" w:type="dxa"/>
            <w:shd w:val="clear" w:color="auto" w:fill="F47920" w:themeFill="accent4"/>
          </w:tcPr>
          <w:p w14:paraId="4EA4A962" w14:textId="77777777" w:rsidR="00380ECA" w:rsidRPr="00906A47" w:rsidRDefault="00380ECA" w:rsidP="00380ECA">
            <w:pPr>
              <w:pStyle w:val="Body"/>
              <w:spacing w:after="0"/>
              <w:jc w:val="right"/>
              <w:rPr>
                <w:b/>
                <w:bCs/>
                <w:color w:val="FFFFFF" w:themeColor="background2"/>
                <w:lang w:val="en-US"/>
              </w:rPr>
            </w:pPr>
            <w:r>
              <w:rPr>
                <w:b/>
                <w:bCs/>
                <w:color w:val="FFFFFF" w:themeColor="background2"/>
                <w:lang w:val="en-US"/>
              </w:rPr>
              <w:t>Meetings attended</w:t>
            </w:r>
          </w:p>
        </w:tc>
      </w:tr>
      <w:tr w:rsidR="00380ECA" w:rsidRPr="00906A47" w14:paraId="11D1EADD" w14:textId="77777777" w:rsidTr="0094584F">
        <w:trPr>
          <w:trHeight w:val="20"/>
        </w:trPr>
        <w:tc>
          <w:tcPr>
            <w:tcW w:w="1993" w:type="dxa"/>
            <w:tcBorders>
              <w:bottom w:val="single" w:sz="4" w:space="0" w:color="A6A6A6" w:themeColor="background2" w:themeShade="A6"/>
            </w:tcBorders>
            <w:tcMar>
              <w:top w:w="113" w:type="dxa"/>
              <w:left w:w="113" w:type="dxa"/>
              <w:bottom w:w="113" w:type="dxa"/>
              <w:right w:w="113" w:type="dxa"/>
            </w:tcMar>
          </w:tcPr>
          <w:p w14:paraId="734E2207" w14:textId="07999C7E" w:rsidR="00380ECA" w:rsidRPr="0094584F" w:rsidRDefault="00380ECA" w:rsidP="0094584F">
            <w:pPr>
              <w:pStyle w:val="Body"/>
              <w:spacing w:after="0"/>
              <w:rPr>
                <w:rFonts w:ascii="Futura PT Book" w:hAnsi="Futura PT Book" w:cs="Futura PT Book"/>
                <w:color w:val="000000"/>
                <w:sz w:val="15"/>
                <w:szCs w:val="15"/>
                <w:lang w:val="en-US"/>
              </w:rPr>
            </w:pPr>
            <w:r w:rsidRPr="0094584F">
              <w:rPr>
                <w:sz w:val="15"/>
                <w:szCs w:val="15"/>
              </w:rPr>
              <w:t>A/Prof Alasdair MacDonald</w:t>
            </w:r>
          </w:p>
        </w:tc>
        <w:tc>
          <w:tcPr>
            <w:tcW w:w="992" w:type="dxa"/>
            <w:tcBorders>
              <w:bottom w:val="single" w:sz="4" w:space="0" w:color="A6A6A6" w:themeColor="background2" w:themeShade="A6"/>
            </w:tcBorders>
          </w:tcPr>
          <w:p w14:paraId="7C05C2CB" w14:textId="2B15473F" w:rsidR="00380ECA" w:rsidRPr="0094584F" w:rsidRDefault="00380ECA" w:rsidP="0094584F">
            <w:pPr>
              <w:pStyle w:val="Body"/>
              <w:spacing w:after="0"/>
              <w:rPr>
                <w:sz w:val="15"/>
                <w:szCs w:val="15"/>
              </w:rPr>
            </w:pPr>
            <w:r w:rsidRPr="0094584F">
              <w:rPr>
                <w:sz w:val="15"/>
                <w:szCs w:val="15"/>
              </w:rPr>
              <w:t>Chair</w:t>
            </w:r>
          </w:p>
        </w:tc>
        <w:tc>
          <w:tcPr>
            <w:tcW w:w="2410" w:type="dxa"/>
            <w:tcBorders>
              <w:bottom w:val="single" w:sz="4" w:space="0" w:color="A6A6A6" w:themeColor="background2" w:themeShade="A6"/>
            </w:tcBorders>
          </w:tcPr>
          <w:p w14:paraId="7C3E9D84" w14:textId="6A5AFB93" w:rsidR="00380ECA" w:rsidRPr="0094584F" w:rsidRDefault="00380ECA" w:rsidP="0094584F">
            <w:pPr>
              <w:pStyle w:val="Body"/>
              <w:spacing w:after="0"/>
              <w:rPr>
                <w:sz w:val="15"/>
                <w:szCs w:val="15"/>
              </w:rPr>
            </w:pPr>
            <w:r w:rsidRPr="0094584F">
              <w:rPr>
                <w:sz w:val="15"/>
                <w:szCs w:val="15"/>
              </w:rPr>
              <w:t>Internal Medicine</w:t>
            </w:r>
          </w:p>
        </w:tc>
        <w:tc>
          <w:tcPr>
            <w:tcW w:w="993" w:type="dxa"/>
            <w:tcBorders>
              <w:bottom w:val="single" w:sz="4" w:space="0" w:color="A6A6A6" w:themeColor="background2" w:themeShade="A6"/>
            </w:tcBorders>
            <w:tcMar>
              <w:top w:w="113" w:type="dxa"/>
              <w:left w:w="113" w:type="dxa"/>
              <w:bottom w:w="113" w:type="dxa"/>
              <w:right w:w="113" w:type="dxa"/>
            </w:tcMar>
          </w:tcPr>
          <w:p w14:paraId="177C5F1B" w14:textId="182A9213"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c>
          <w:tcPr>
            <w:tcW w:w="993" w:type="dxa"/>
            <w:tcBorders>
              <w:bottom w:val="single" w:sz="4" w:space="0" w:color="A6A6A6" w:themeColor="background2" w:themeShade="A6"/>
            </w:tcBorders>
          </w:tcPr>
          <w:p w14:paraId="19594C54" w14:textId="156945C6"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r>
      <w:tr w:rsidR="00380ECA" w:rsidRPr="00906A47" w14:paraId="5DD0F40C"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D2BEA8A" w14:textId="46B75181" w:rsidR="00380ECA" w:rsidRPr="0094584F" w:rsidRDefault="00380ECA" w:rsidP="0094584F">
            <w:pPr>
              <w:pStyle w:val="Body"/>
              <w:spacing w:after="0"/>
              <w:rPr>
                <w:rFonts w:ascii="Futura PT Book" w:hAnsi="Futura PT Book" w:cs="Futura PT Book"/>
                <w:color w:val="000000"/>
                <w:sz w:val="15"/>
                <w:szCs w:val="15"/>
                <w:lang w:val="en-US"/>
              </w:rPr>
            </w:pPr>
            <w:r w:rsidRPr="0094584F">
              <w:rPr>
                <w:sz w:val="15"/>
                <w:szCs w:val="15"/>
              </w:rPr>
              <w:t>Prof Gerard Carroll</w:t>
            </w:r>
          </w:p>
        </w:tc>
        <w:tc>
          <w:tcPr>
            <w:tcW w:w="992" w:type="dxa"/>
            <w:tcBorders>
              <w:top w:val="single" w:sz="4" w:space="0" w:color="A6A6A6" w:themeColor="background2" w:themeShade="A6"/>
              <w:bottom w:val="single" w:sz="4" w:space="0" w:color="A6A6A6" w:themeColor="background2" w:themeShade="A6"/>
            </w:tcBorders>
          </w:tcPr>
          <w:p w14:paraId="49FA5410" w14:textId="01BE9D82"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3DB23DCC" w14:textId="08AD2DF7" w:rsidR="00380ECA" w:rsidRPr="0094584F" w:rsidRDefault="00380ECA" w:rsidP="0094584F">
            <w:pPr>
              <w:pStyle w:val="Body"/>
              <w:spacing w:after="0"/>
              <w:rPr>
                <w:sz w:val="15"/>
                <w:szCs w:val="15"/>
              </w:rPr>
            </w:pPr>
            <w:r w:rsidRPr="0094584F">
              <w:rPr>
                <w:sz w:val="15"/>
                <w:szCs w:val="15"/>
              </w:rPr>
              <w:t>Cardiology/Rural</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8D18A32" w14:textId="1B7F7E69"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79AF86BD" w14:textId="6AA7B1AB"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2</w:t>
            </w:r>
          </w:p>
        </w:tc>
      </w:tr>
      <w:tr w:rsidR="00380ECA" w:rsidRPr="00906A47" w14:paraId="23FF1207"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42F6613" w14:textId="4964526F" w:rsidR="00380ECA" w:rsidRPr="0094584F" w:rsidRDefault="00380ECA" w:rsidP="0094584F">
            <w:pPr>
              <w:pStyle w:val="Body"/>
              <w:spacing w:after="0"/>
              <w:rPr>
                <w:rFonts w:ascii="Futura PT Book" w:hAnsi="Futura PT Book" w:cs="Futura PT Book"/>
                <w:color w:val="000000"/>
                <w:sz w:val="15"/>
                <w:szCs w:val="15"/>
                <w:lang w:val="en-US"/>
              </w:rPr>
            </w:pPr>
            <w:r w:rsidRPr="0094584F">
              <w:rPr>
                <w:sz w:val="15"/>
                <w:szCs w:val="15"/>
              </w:rPr>
              <w:t>Ms Jan Erven</w:t>
            </w:r>
          </w:p>
        </w:tc>
        <w:tc>
          <w:tcPr>
            <w:tcW w:w="992" w:type="dxa"/>
            <w:tcBorders>
              <w:top w:val="single" w:sz="4" w:space="0" w:color="A6A6A6" w:themeColor="background2" w:themeShade="A6"/>
              <w:bottom w:val="single" w:sz="4" w:space="0" w:color="A6A6A6" w:themeColor="background2" w:themeShade="A6"/>
            </w:tcBorders>
          </w:tcPr>
          <w:p w14:paraId="44015632" w14:textId="28BB4D0F"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486BA75" w14:textId="3487FF08" w:rsidR="00380ECA" w:rsidRPr="0094584F" w:rsidRDefault="00380ECA" w:rsidP="0094584F">
            <w:pPr>
              <w:pStyle w:val="Body"/>
              <w:spacing w:after="0"/>
              <w:rPr>
                <w:sz w:val="15"/>
                <w:szCs w:val="15"/>
              </w:rPr>
            </w:pPr>
            <w:r w:rsidRPr="0094584F">
              <w:rPr>
                <w:sz w:val="15"/>
                <w:szCs w:val="15"/>
              </w:rPr>
              <w:t>Occupational Therapy</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96BA818" w14:textId="6CB13D13"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21C553E" w14:textId="798ECD5A"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r>
      <w:tr w:rsidR="00380ECA" w:rsidRPr="00906A47" w14:paraId="10FE4810"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B635C9B" w14:textId="32DC73D1" w:rsidR="00380ECA" w:rsidRPr="0094584F" w:rsidRDefault="00380ECA" w:rsidP="0094584F">
            <w:pPr>
              <w:pStyle w:val="Body"/>
              <w:spacing w:after="0"/>
              <w:rPr>
                <w:rFonts w:ascii="Futura PT Book" w:hAnsi="Futura PT Book" w:cs="Futura PT Book"/>
                <w:color w:val="000000"/>
                <w:sz w:val="15"/>
                <w:szCs w:val="15"/>
                <w:lang w:val="en-US"/>
              </w:rPr>
            </w:pPr>
            <w:r w:rsidRPr="0094584F">
              <w:rPr>
                <w:sz w:val="15"/>
                <w:szCs w:val="15"/>
              </w:rPr>
              <w:t>Mr Anthony Graham Fish</w:t>
            </w:r>
          </w:p>
        </w:tc>
        <w:tc>
          <w:tcPr>
            <w:tcW w:w="992" w:type="dxa"/>
            <w:tcBorders>
              <w:top w:val="single" w:sz="4" w:space="0" w:color="A6A6A6" w:themeColor="background2" w:themeShade="A6"/>
              <w:bottom w:val="single" w:sz="4" w:space="0" w:color="A6A6A6" w:themeColor="background2" w:themeShade="A6"/>
            </w:tcBorders>
          </w:tcPr>
          <w:p w14:paraId="0036EB1F" w14:textId="4E53FA42"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389AA2BA" w14:textId="06B48DF2" w:rsidR="00380ECA" w:rsidRPr="0094584F" w:rsidRDefault="00380ECA" w:rsidP="0094584F">
            <w:pPr>
              <w:pStyle w:val="Body"/>
              <w:spacing w:after="0"/>
              <w:rPr>
                <w:sz w:val="15"/>
                <w:szCs w:val="15"/>
              </w:rPr>
            </w:pPr>
            <w:r w:rsidRPr="0094584F">
              <w:rPr>
                <w:sz w:val="15"/>
                <w:szCs w:val="15"/>
              </w:rPr>
              <w:t>Allied Health</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DE45369" w14:textId="04D56DB5"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3B60F0AF" w14:textId="1485C71B"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2</w:t>
            </w:r>
          </w:p>
        </w:tc>
      </w:tr>
      <w:tr w:rsidR="00380ECA" w:rsidRPr="00906A47" w14:paraId="7A3D2743"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61F432A" w14:textId="46DD1FCB" w:rsidR="00380ECA" w:rsidRPr="0094584F" w:rsidRDefault="00380ECA" w:rsidP="0094584F">
            <w:pPr>
              <w:pStyle w:val="Body"/>
              <w:spacing w:after="0"/>
              <w:rPr>
                <w:rFonts w:ascii="Futura PT Book" w:hAnsi="Futura PT Book" w:cs="Futura PT Book"/>
                <w:color w:val="000000"/>
                <w:sz w:val="15"/>
                <w:szCs w:val="15"/>
                <w:lang w:val="en-US"/>
              </w:rPr>
            </w:pPr>
            <w:r w:rsidRPr="0094584F">
              <w:rPr>
                <w:sz w:val="15"/>
                <w:szCs w:val="15"/>
              </w:rPr>
              <w:t>Prof Leon Flicker</w:t>
            </w:r>
          </w:p>
        </w:tc>
        <w:tc>
          <w:tcPr>
            <w:tcW w:w="992" w:type="dxa"/>
            <w:tcBorders>
              <w:top w:val="single" w:sz="4" w:space="0" w:color="A6A6A6" w:themeColor="background2" w:themeShade="A6"/>
              <w:bottom w:val="single" w:sz="4" w:space="0" w:color="A6A6A6" w:themeColor="background2" w:themeShade="A6"/>
            </w:tcBorders>
          </w:tcPr>
          <w:p w14:paraId="0C40F792" w14:textId="2C199579"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AA9541C" w14:textId="6C881DEB" w:rsidR="00380ECA" w:rsidRPr="0094584F" w:rsidRDefault="00380ECA" w:rsidP="0094584F">
            <w:pPr>
              <w:pStyle w:val="Body"/>
              <w:spacing w:after="0"/>
              <w:rPr>
                <w:sz w:val="15"/>
                <w:szCs w:val="15"/>
              </w:rPr>
            </w:pPr>
            <w:r w:rsidRPr="0094584F">
              <w:rPr>
                <w:sz w:val="15"/>
                <w:szCs w:val="15"/>
              </w:rPr>
              <w:t>Geriatrics/Indigenous Health</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8606252" w14:textId="7849F97A"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24A8C93E" w14:textId="703CEDAB" w:rsidR="00380ECA" w:rsidRPr="0094584F" w:rsidRDefault="00380ECA" w:rsidP="0094584F">
            <w:pPr>
              <w:pStyle w:val="Body"/>
              <w:spacing w:after="0"/>
              <w:jc w:val="right"/>
              <w:rPr>
                <w:rFonts w:ascii="Futura PT Book" w:hAnsi="Futura PT Book" w:cs="Futura PT Book"/>
                <w:color w:val="000000"/>
                <w:sz w:val="15"/>
                <w:szCs w:val="15"/>
                <w:lang w:val="en-US"/>
              </w:rPr>
            </w:pPr>
            <w:r w:rsidRPr="0094584F">
              <w:rPr>
                <w:sz w:val="15"/>
                <w:szCs w:val="15"/>
              </w:rPr>
              <w:t>1</w:t>
            </w:r>
          </w:p>
        </w:tc>
      </w:tr>
      <w:tr w:rsidR="00380ECA" w:rsidRPr="00906A47" w14:paraId="3CFCC413"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7182A15" w14:textId="1F57B201" w:rsidR="00380ECA" w:rsidRPr="0094584F" w:rsidRDefault="00380ECA" w:rsidP="0094584F">
            <w:pPr>
              <w:pStyle w:val="Body"/>
              <w:spacing w:after="0"/>
              <w:rPr>
                <w:sz w:val="15"/>
                <w:szCs w:val="15"/>
              </w:rPr>
            </w:pPr>
            <w:r w:rsidRPr="0094584F">
              <w:rPr>
                <w:sz w:val="15"/>
                <w:szCs w:val="15"/>
              </w:rPr>
              <w:t>A/Prof Liza Heslop</w:t>
            </w:r>
          </w:p>
        </w:tc>
        <w:tc>
          <w:tcPr>
            <w:tcW w:w="992" w:type="dxa"/>
            <w:tcBorders>
              <w:top w:val="single" w:sz="4" w:space="0" w:color="A6A6A6" w:themeColor="background2" w:themeShade="A6"/>
              <w:bottom w:val="single" w:sz="4" w:space="0" w:color="A6A6A6" w:themeColor="background2" w:themeShade="A6"/>
            </w:tcBorders>
          </w:tcPr>
          <w:p w14:paraId="76A670E4" w14:textId="0254A2B7"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BA653A7" w14:textId="03F2EB80" w:rsidR="00380ECA" w:rsidRPr="0094584F" w:rsidRDefault="00380ECA" w:rsidP="0094584F">
            <w:pPr>
              <w:pStyle w:val="Body"/>
              <w:spacing w:after="0"/>
              <w:rPr>
                <w:sz w:val="15"/>
                <w:szCs w:val="15"/>
              </w:rPr>
            </w:pPr>
            <w:r w:rsidRPr="0094584F">
              <w:rPr>
                <w:sz w:val="15"/>
                <w:szCs w:val="15"/>
              </w:rPr>
              <w:t>Nursing/Pregnancy and Childbirth</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5131B1C" w14:textId="75D9F154"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1903AC7C" w14:textId="7ECA1FCB" w:rsidR="00380ECA" w:rsidRPr="0094584F" w:rsidRDefault="00380ECA" w:rsidP="0094584F">
            <w:pPr>
              <w:pStyle w:val="Body"/>
              <w:spacing w:after="0"/>
              <w:jc w:val="right"/>
              <w:rPr>
                <w:sz w:val="15"/>
                <w:szCs w:val="15"/>
              </w:rPr>
            </w:pPr>
            <w:r w:rsidRPr="0094584F">
              <w:rPr>
                <w:sz w:val="15"/>
                <w:szCs w:val="15"/>
              </w:rPr>
              <w:t>0</w:t>
            </w:r>
          </w:p>
        </w:tc>
      </w:tr>
      <w:tr w:rsidR="00380ECA" w:rsidRPr="00906A47" w14:paraId="59BD9E08"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7FADB21" w14:textId="4F29F795" w:rsidR="00380ECA" w:rsidRPr="0094584F" w:rsidRDefault="00380ECA" w:rsidP="0094584F">
            <w:pPr>
              <w:pStyle w:val="Body"/>
              <w:spacing w:after="0"/>
              <w:rPr>
                <w:sz w:val="15"/>
                <w:szCs w:val="15"/>
              </w:rPr>
            </w:pPr>
            <w:r w:rsidRPr="0094584F">
              <w:rPr>
                <w:sz w:val="15"/>
                <w:szCs w:val="15"/>
              </w:rPr>
              <w:t>Dr Philip Hoyle</w:t>
            </w:r>
          </w:p>
        </w:tc>
        <w:tc>
          <w:tcPr>
            <w:tcW w:w="992" w:type="dxa"/>
            <w:tcBorders>
              <w:top w:val="single" w:sz="4" w:space="0" w:color="A6A6A6" w:themeColor="background2" w:themeShade="A6"/>
              <w:bottom w:val="single" w:sz="4" w:space="0" w:color="A6A6A6" w:themeColor="background2" w:themeShade="A6"/>
            </w:tcBorders>
          </w:tcPr>
          <w:p w14:paraId="1241927D" w14:textId="180BF27D"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6AEBB3E4" w14:textId="1D625358" w:rsidR="00380ECA" w:rsidRPr="0094584F" w:rsidRDefault="00380ECA" w:rsidP="0094584F">
            <w:pPr>
              <w:pStyle w:val="Body"/>
              <w:spacing w:after="0"/>
              <w:rPr>
                <w:sz w:val="15"/>
                <w:szCs w:val="15"/>
              </w:rPr>
            </w:pPr>
            <w:r w:rsidRPr="0094584F">
              <w:rPr>
                <w:sz w:val="15"/>
                <w:szCs w:val="15"/>
              </w:rPr>
              <w:t>Administration</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DB54CBD" w14:textId="63AE5232"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2F4DE101" w14:textId="1AC3F3B8" w:rsidR="00380ECA" w:rsidRPr="0094584F" w:rsidRDefault="00380ECA" w:rsidP="0094584F">
            <w:pPr>
              <w:pStyle w:val="Body"/>
              <w:spacing w:after="0"/>
              <w:jc w:val="right"/>
              <w:rPr>
                <w:sz w:val="15"/>
                <w:szCs w:val="15"/>
              </w:rPr>
            </w:pPr>
            <w:r w:rsidRPr="0094584F">
              <w:rPr>
                <w:sz w:val="15"/>
                <w:szCs w:val="15"/>
              </w:rPr>
              <w:t>1</w:t>
            </w:r>
          </w:p>
        </w:tc>
      </w:tr>
      <w:tr w:rsidR="00380ECA" w:rsidRPr="00906A47" w14:paraId="167DB8A7"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A647B5C" w14:textId="70959AFB" w:rsidR="00380ECA" w:rsidRPr="0094584F" w:rsidRDefault="00380ECA" w:rsidP="0094584F">
            <w:pPr>
              <w:pStyle w:val="Body"/>
              <w:spacing w:after="0"/>
              <w:rPr>
                <w:sz w:val="15"/>
                <w:szCs w:val="15"/>
              </w:rPr>
            </w:pPr>
            <w:r w:rsidRPr="0094584F">
              <w:rPr>
                <w:sz w:val="15"/>
                <w:szCs w:val="15"/>
              </w:rPr>
              <w:t>A/Prof Louis Irving</w:t>
            </w:r>
          </w:p>
        </w:tc>
        <w:tc>
          <w:tcPr>
            <w:tcW w:w="992" w:type="dxa"/>
            <w:tcBorders>
              <w:top w:val="single" w:sz="4" w:space="0" w:color="A6A6A6" w:themeColor="background2" w:themeShade="A6"/>
              <w:bottom w:val="single" w:sz="4" w:space="0" w:color="A6A6A6" w:themeColor="background2" w:themeShade="A6"/>
            </w:tcBorders>
          </w:tcPr>
          <w:p w14:paraId="5001E24B" w14:textId="366788B8"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D4ADFED" w14:textId="3CF4C64C" w:rsidR="00380ECA" w:rsidRPr="0094584F" w:rsidRDefault="00380ECA" w:rsidP="0094584F">
            <w:pPr>
              <w:pStyle w:val="Body"/>
              <w:spacing w:after="0"/>
              <w:rPr>
                <w:sz w:val="15"/>
                <w:szCs w:val="15"/>
              </w:rPr>
            </w:pPr>
            <w:r w:rsidRPr="0094584F">
              <w:rPr>
                <w:sz w:val="15"/>
                <w:szCs w:val="15"/>
              </w:rPr>
              <w:t>Respiratory/Indigenous Health</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BDD6C2F" w14:textId="57D65245"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88C3944" w14:textId="4286D3B9" w:rsidR="00380ECA" w:rsidRPr="0094584F" w:rsidRDefault="00380ECA" w:rsidP="0094584F">
            <w:pPr>
              <w:pStyle w:val="Body"/>
              <w:spacing w:after="0"/>
              <w:jc w:val="right"/>
              <w:rPr>
                <w:sz w:val="15"/>
                <w:szCs w:val="15"/>
              </w:rPr>
            </w:pPr>
            <w:r w:rsidRPr="0094584F">
              <w:rPr>
                <w:sz w:val="15"/>
                <w:szCs w:val="15"/>
              </w:rPr>
              <w:t>1</w:t>
            </w:r>
          </w:p>
        </w:tc>
      </w:tr>
      <w:tr w:rsidR="00380ECA" w:rsidRPr="00906A47" w14:paraId="72241619"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0219510" w14:textId="2FE4DFAE" w:rsidR="00380ECA" w:rsidRPr="0094584F" w:rsidRDefault="00380ECA" w:rsidP="0094584F">
            <w:pPr>
              <w:pStyle w:val="Body"/>
              <w:spacing w:after="0"/>
              <w:rPr>
                <w:sz w:val="15"/>
                <w:szCs w:val="15"/>
              </w:rPr>
            </w:pPr>
            <w:r w:rsidRPr="0094584F">
              <w:rPr>
                <w:sz w:val="15"/>
                <w:szCs w:val="15"/>
              </w:rPr>
              <w:t>Dr Amod Karnik</w:t>
            </w:r>
          </w:p>
        </w:tc>
        <w:tc>
          <w:tcPr>
            <w:tcW w:w="992" w:type="dxa"/>
            <w:tcBorders>
              <w:top w:val="single" w:sz="4" w:space="0" w:color="A6A6A6" w:themeColor="background2" w:themeShade="A6"/>
              <w:bottom w:val="single" w:sz="4" w:space="0" w:color="A6A6A6" w:themeColor="background2" w:themeShade="A6"/>
            </w:tcBorders>
          </w:tcPr>
          <w:p w14:paraId="5CDC04A4" w14:textId="7A65EF86"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34AB7E84" w14:textId="33A2D54D" w:rsidR="00380ECA" w:rsidRPr="0094584F" w:rsidRDefault="00380ECA" w:rsidP="0094584F">
            <w:pPr>
              <w:pStyle w:val="Body"/>
              <w:spacing w:after="0"/>
              <w:rPr>
                <w:sz w:val="15"/>
                <w:szCs w:val="15"/>
              </w:rPr>
            </w:pPr>
            <w:r w:rsidRPr="0094584F">
              <w:rPr>
                <w:sz w:val="15"/>
                <w:szCs w:val="15"/>
              </w:rPr>
              <w:t>Intensive Care Medicine</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3608212" w14:textId="3D58C24E"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386ABEBC" w14:textId="085B38E7" w:rsidR="00380ECA" w:rsidRPr="0094584F" w:rsidRDefault="00380ECA" w:rsidP="0094584F">
            <w:pPr>
              <w:pStyle w:val="Body"/>
              <w:spacing w:after="0"/>
              <w:jc w:val="right"/>
              <w:rPr>
                <w:sz w:val="15"/>
                <w:szCs w:val="15"/>
              </w:rPr>
            </w:pPr>
            <w:r w:rsidRPr="0094584F">
              <w:rPr>
                <w:sz w:val="15"/>
                <w:szCs w:val="15"/>
              </w:rPr>
              <w:t>2</w:t>
            </w:r>
          </w:p>
        </w:tc>
      </w:tr>
      <w:tr w:rsidR="00380ECA" w:rsidRPr="00906A47" w14:paraId="13477FD4"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1FD9F37" w14:textId="1B0EFFB7" w:rsidR="00380ECA" w:rsidRPr="0094584F" w:rsidRDefault="00380ECA" w:rsidP="0094584F">
            <w:pPr>
              <w:pStyle w:val="Body"/>
              <w:spacing w:after="0"/>
              <w:rPr>
                <w:sz w:val="15"/>
                <w:szCs w:val="15"/>
              </w:rPr>
            </w:pPr>
            <w:r w:rsidRPr="0094584F">
              <w:rPr>
                <w:sz w:val="15"/>
                <w:szCs w:val="15"/>
              </w:rPr>
              <w:t>Dr Amanda Ling</w:t>
            </w:r>
          </w:p>
        </w:tc>
        <w:tc>
          <w:tcPr>
            <w:tcW w:w="992" w:type="dxa"/>
            <w:tcBorders>
              <w:top w:val="single" w:sz="4" w:space="0" w:color="A6A6A6" w:themeColor="background2" w:themeShade="A6"/>
              <w:bottom w:val="single" w:sz="4" w:space="0" w:color="A6A6A6" w:themeColor="background2" w:themeShade="A6"/>
            </w:tcBorders>
          </w:tcPr>
          <w:p w14:paraId="29D1FD4A" w14:textId="2974D10B"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7EEC08B" w14:textId="01846A5E" w:rsidR="00380ECA" w:rsidRPr="0094584F" w:rsidRDefault="00380ECA" w:rsidP="0094584F">
            <w:pPr>
              <w:pStyle w:val="Body"/>
              <w:spacing w:after="0"/>
              <w:rPr>
                <w:sz w:val="15"/>
                <w:szCs w:val="15"/>
              </w:rPr>
            </w:pPr>
            <w:r w:rsidRPr="0094584F">
              <w:rPr>
                <w:sz w:val="15"/>
                <w:szCs w:val="15"/>
              </w:rPr>
              <w:t>Administration</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D5D8B56" w14:textId="4FF143AE"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28B71904" w14:textId="75BE5881" w:rsidR="00380ECA" w:rsidRPr="0094584F" w:rsidRDefault="00380ECA" w:rsidP="0094584F">
            <w:pPr>
              <w:pStyle w:val="Body"/>
              <w:spacing w:after="0"/>
              <w:jc w:val="right"/>
              <w:rPr>
                <w:sz w:val="15"/>
                <w:szCs w:val="15"/>
              </w:rPr>
            </w:pPr>
            <w:r w:rsidRPr="0094584F">
              <w:rPr>
                <w:sz w:val="15"/>
                <w:szCs w:val="15"/>
              </w:rPr>
              <w:t>2</w:t>
            </w:r>
          </w:p>
        </w:tc>
      </w:tr>
      <w:tr w:rsidR="00380ECA" w:rsidRPr="00906A47" w14:paraId="1D0B7E56"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34A6D6A" w14:textId="2256408E" w:rsidR="00380ECA" w:rsidRPr="0094584F" w:rsidRDefault="00380ECA" w:rsidP="0094584F">
            <w:pPr>
              <w:pStyle w:val="Body"/>
              <w:spacing w:after="0"/>
              <w:rPr>
                <w:sz w:val="15"/>
                <w:szCs w:val="15"/>
              </w:rPr>
            </w:pPr>
            <w:r w:rsidRPr="0094584F">
              <w:rPr>
                <w:sz w:val="15"/>
                <w:szCs w:val="15"/>
              </w:rPr>
              <w:t>Ms Amber Polles</w:t>
            </w:r>
          </w:p>
        </w:tc>
        <w:tc>
          <w:tcPr>
            <w:tcW w:w="992" w:type="dxa"/>
            <w:tcBorders>
              <w:top w:val="single" w:sz="4" w:space="0" w:color="A6A6A6" w:themeColor="background2" w:themeShade="A6"/>
              <w:bottom w:val="single" w:sz="4" w:space="0" w:color="A6A6A6" w:themeColor="background2" w:themeShade="A6"/>
            </w:tcBorders>
          </w:tcPr>
          <w:p w14:paraId="195458CC" w14:textId="61F74C71"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53DF430E" w14:textId="673C887B" w:rsidR="00380ECA" w:rsidRPr="0094584F" w:rsidRDefault="00380ECA" w:rsidP="0094584F">
            <w:pPr>
              <w:pStyle w:val="Body"/>
              <w:spacing w:after="0"/>
              <w:rPr>
                <w:sz w:val="15"/>
                <w:szCs w:val="15"/>
              </w:rPr>
            </w:pPr>
            <w:r w:rsidRPr="0094584F">
              <w:rPr>
                <w:sz w:val="15"/>
                <w:szCs w:val="15"/>
              </w:rPr>
              <w:t>Pharmacy</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71C4BB9" w14:textId="184CB313"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391D7AA" w14:textId="517E91F4" w:rsidR="00380ECA" w:rsidRPr="0094584F" w:rsidRDefault="00380ECA" w:rsidP="0094584F">
            <w:pPr>
              <w:pStyle w:val="Body"/>
              <w:spacing w:after="0"/>
              <w:jc w:val="right"/>
              <w:rPr>
                <w:sz w:val="15"/>
                <w:szCs w:val="15"/>
              </w:rPr>
            </w:pPr>
            <w:r w:rsidRPr="0094584F">
              <w:rPr>
                <w:sz w:val="15"/>
                <w:szCs w:val="15"/>
              </w:rPr>
              <w:t>3</w:t>
            </w:r>
          </w:p>
        </w:tc>
      </w:tr>
      <w:tr w:rsidR="00380ECA" w:rsidRPr="00906A47" w14:paraId="72DF59AB"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B3F6AE0" w14:textId="7FB2245D" w:rsidR="00380ECA" w:rsidRPr="0094584F" w:rsidRDefault="00380ECA" w:rsidP="0094584F">
            <w:pPr>
              <w:pStyle w:val="Body"/>
              <w:spacing w:after="0"/>
              <w:rPr>
                <w:sz w:val="15"/>
                <w:szCs w:val="15"/>
              </w:rPr>
            </w:pPr>
            <w:bookmarkStart w:id="69" w:name="_Hlk44325003"/>
            <w:r w:rsidRPr="0094584F">
              <w:rPr>
                <w:sz w:val="15"/>
                <w:szCs w:val="15"/>
              </w:rPr>
              <w:t>Prof Sally Tracy</w:t>
            </w:r>
          </w:p>
        </w:tc>
        <w:tc>
          <w:tcPr>
            <w:tcW w:w="992" w:type="dxa"/>
            <w:tcBorders>
              <w:top w:val="single" w:sz="4" w:space="0" w:color="A6A6A6" w:themeColor="background2" w:themeShade="A6"/>
              <w:bottom w:val="single" w:sz="4" w:space="0" w:color="A6A6A6" w:themeColor="background2" w:themeShade="A6"/>
            </w:tcBorders>
          </w:tcPr>
          <w:p w14:paraId="1AF3DB29" w14:textId="702A051C"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182B67D3" w14:textId="1712F0CB" w:rsidR="00380ECA" w:rsidRPr="0094584F" w:rsidRDefault="00380ECA" w:rsidP="0094584F">
            <w:pPr>
              <w:pStyle w:val="Body"/>
              <w:spacing w:after="0"/>
              <w:rPr>
                <w:sz w:val="15"/>
                <w:szCs w:val="15"/>
              </w:rPr>
            </w:pPr>
            <w:r w:rsidRPr="0094584F">
              <w:rPr>
                <w:sz w:val="15"/>
                <w:szCs w:val="15"/>
              </w:rPr>
              <w:t>Midwifery</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43AB868" w14:textId="4CAC6BB2"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6BC154CE" w14:textId="0DAC5E3D" w:rsidR="00380ECA" w:rsidRPr="0094584F" w:rsidRDefault="00380ECA" w:rsidP="0094584F">
            <w:pPr>
              <w:pStyle w:val="Body"/>
              <w:spacing w:after="0"/>
              <w:jc w:val="right"/>
              <w:rPr>
                <w:sz w:val="15"/>
                <w:szCs w:val="15"/>
              </w:rPr>
            </w:pPr>
            <w:r w:rsidRPr="0094584F">
              <w:rPr>
                <w:sz w:val="15"/>
                <w:szCs w:val="15"/>
              </w:rPr>
              <w:t>1</w:t>
            </w:r>
          </w:p>
        </w:tc>
      </w:tr>
      <w:tr w:rsidR="00380ECA" w:rsidRPr="00906A47" w14:paraId="51EB6E0A"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D7FF89E" w14:textId="28A80415" w:rsidR="00380ECA" w:rsidRPr="0094584F" w:rsidRDefault="00380ECA" w:rsidP="0094584F">
            <w:pPr>
              <w:pStyle w:val="Body"/>
              <w:spacing w:after="0"/>
              <w:rPr>
                <w:sz w:val="15"/>
                <w:szCs w:val="15"/>
              </w:rPr>
            </w:pPr>
            <w:r w:rsidRPr="0094584F">
              <w:rPr>
                <w:sz w:val="15"/>
                <w:szCs w:val="15"/>
              </w:rPr>
              <w:t>A/Prof Melinda Truesdale</w:t>
            </w:r>
          </w:p>
        </w:tc>
        <w:tc>
          <w:tcPr>
            <w:tcW w:w="992" w:type="dxa"/>
            <w:tcBorders>
              <w:top w:val="single" w:sz="4" w:space="0" w:color="A6A6A6" w:themeColor="background2" w:themeShade="A6"/>
              <w:bottom w:val="single" w:sz="4" w:space="0" w:color="A6A6A6" w:themeColor="background2" w:themeShade="A6"/>
            </w:tcBorders>
          </w:tcPr>
          <w:p w14:paraId="3171BD36" w14:textId="50B15CC4"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374852C" w14:textId="3F409B74" w:rsidR="00380ECA" w:rsidRPr="0094584F" w:rsidRDefault="00380ECA" w:rsidP="0094584F">
            <w:pPr>
              <w:pStyle w:val="Body"/>
              <w:spacing w:after="0"/>
              <w:rPr>
                <w:sz w:val="15"/>
                <w:szCs w:val="15"/>
              </w:rPr>
            </w:pPr>
            <w:r w:rsidRPr="0094584F">
              <w:rPr>
                <w:sz w:val="15"/>
                <w:szCs w:val="15"/>
              </w:rPr>
              <w:t>Emergency Medicine</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825F0E7" w14:textId="2C987939"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4297BAF0" w14:textId="706F4F81" w:rsidR="00380ECA" w:rsidRPr="0094584F" w:rsidRDefault="00380ECA" w:rsidP="0094584F">
            <w:pPr>
              <w:pStyle w:val="Body"/>
              <w:spacing w:after="0"/>
              <w:jc w:val="right"/>
              <w:rPr>
                <w:sz w:val="15"/>
                <w:szCs w:val="15"/>
              </w:rPr>
            </w:pPr>
            <w:r w:rsidRPr="0094584F">
              <w:rPr>
                <w:sz w:val="15"/>
                <w:szCs w:val="15"/>
              </w:rPr>
              <w:t>3</w:t>
            </w:r>
          </w:p>
        </w:tc>
      </w:tr>
      <w:tr w:rsidR="00380ECA" w:rsidRPr="00906A47" w14:paraId="41039C54"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C43B4FD" w14:textId="7949F2DC" w:rsidR="00380ECA" w:rsidRPr="0094584F" w:rsidRDefault="00380ECA" w:rsidP="0094584F">
            <w:pPr>
              <w:pStyle w:val="Body"/>
              <w:spacing w:after="0"/>
              <w:rPr>
                <w:sz w:val="15"/>
                <w:szCs w:val="15"/>
              </w:rPr>
            </w:pPr>
            <w:r w:rsidRPr="0094584F">
              <w:rPr>
                <w:sz w:val="15"/>
                <w:szCs w:val="15"/>
              </w:rPr>
              <w:t>A/Prof Paul Varghese</w:t>
            </w:r>
          </w:p>
        </w:tc>
        <w:tc>
          <w:tcPr>
            <w:tcW w:w="992" w:type="dxa"/>
            <w:tcBorders>
              <w:top w:val="single" w:sz="4" w:space="0" w:color="A6A6A6" w:themeColor="background2" w:themeShade="A6"/>
              <w:bottom w:val="single" w:sz="4" w:space="0" w:color="A6A6A6" w:themeColor="background2" w:themeShade="A6"/>
            </w:tcBorders>
          </w:tcPr>
          <w:p w14:paraId="5C831C22" w14:textId="24F6CA73"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2CDB3678" w14:textId="2AC1603E" w:rsidR="00380ECA" w:rsidRPr="0094584F" w:rsidRDefault="00380ECA" w:rsidP="0094584F">
            <w:pPr>
              <w:pStyle w:val="Body"/>
              <w:spacing w:after="0"/>
              <w:rPr>
                <w:sz w:val="15"/>
                <w:szCs w:val="15"/>
              </w:rPr>
            </w:pPr>
            <w:r w:rsidRPr="0094584F">
              <w:rPr>
                <w:sz w:val="15"/>
                <w:szCs w:val="15"/>
              </w:rPr>
              <w:t>Geriatrics/Rehabilitation</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0C56592" w14:textId="5795E26B"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FD672EB" w14:textId="2C1C100B" w:rsidR="00380ECA" w:rsidRPr="0094584F" w:rsidRDefault="00380ECA" w:rsidP="0094584F">
            <w:pPr>
              <w:pStyle w:val="Body"/>
              <w:spacing w:after="0"/>
              <w:jc w:val="right"/>
              <w:rPr>
                <w:sz w:val="15"/>
                <w:szCs w:val="15"/>
              </w:rPr>
            </w:pPr>
            <w:r w:rsidRPr="0094584F">
              <w:rPr>
                <w:sz w:val="15"/>
                <w:szCs w:val="15"/>
              </w:rPr>
              <w:t>3</w:t>
            </w:r>
          </w:p>
        </w:tc>
      </w:tr>
      <w:tr w:rsidR="00380ECA" w:rsidRPr="00906A47" w14:paraId="6627B4C9"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2911F21" w14:textId="4BA0426C" w:rsidR="00380ECA" w:rsidRPr="0094584F" w:rsidRDefault="00380ECA" w:rsidP="0094584F">
            <w:pPr>
              <w:pStyle w:val="Body"/>
              <w:spacing w:after="0"/>
              <w:rPr>
                <w:sz w:val="15"/>
                <w:szCs w:val="15"/>
              </w:rPr>
            </w:pPr>
            <w:r w:rsidRPr="0094584F">
              <w:rPr>
                <w:sz w:val="15"/>
                <w:szCs w:val="15"/>
              </w:rPr>
              <w:t>Dr Ruth Vine</w:t>
            </w:r>
          </w:p>
        </w:tc>
        <w:tc>
          <w:tcPr>
            <w:tcW w:w="992" w:type="dxa"/>
            <w:tcBorders>
              <w:top w:val="single" w:sz="4" w:space="0" w:color="A6A6A6" w:themeColor="background2" w:themeShade="A6"/>
              <w:bottom w:val="single" w:sz="4" w:space="0" w:color="A6A6A6" w:themeColor="background2" w:themeShade="A6"/>
            </w:tcBorders>
          </w:tcPr>
          <w:p w14:paraId="5463FBF2" w14:textId="5E210D90"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1AC54D48" w14:textId="35122F78" w:rsidR="00380ECA" w:rsidRPr="0094584F" w:rsidRDefault="00380ECA" w:rsidP="0094584F">
            <w:pPr>
              <w:pStyle w:val="Body"/>
              <w:spacing w:after="0"/>
              <w:rPr>
                <w:sz w:val="15"/>
                <w:szCs w:val="15"/>
              </w:rPr>
            </w:pPr>
            <w:r w:rsidRPr="0094584F">
              <w:rPr>
                <w:sz w:val="15"/>
                <w:szCs w:val="15"/>
              </w:rPr>
              <w:t>Psychiatry</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E3278E2" w14:textId="15B3E67D"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115432A6" w14:textId="319DFF5C" w:rsidR="00380ECA" w:rsidRPr="0094584F" w:rsidRDefault="00380ECA" w:rsidP="0094584F">
            <w:pPr>
              <w:pStyle w:val="Body"/>
              <w:spacing w:after="0"/>
              <w:jc w:val="right"/>
              <w:rPr>
                <w:sz w:val="15"/>
                <w:szCs w:val="15"/>
              </w:rPr>
            </w:pPr>
            <w:r w:rsidRPr="0094584F">
              <w:rPr>
                <w:sz w:val="15"/>
                <w:szCs w:val="15"/>
              </w:rPr>
              <w:t>1</w:t>
            </w:r>
          </w:p>
        </w:tc>
      </w:tr>
      <w:tr w:rsidR="00380ECA" w:rsidRPr="00906A47" w14:paraId="4F7D1D16"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279A663" w14:textId="155A3DDF" w:rsidR="00380ECA" w:rsidRPr="0094584F" w:rsidRDefault="00380ECA" w:rsidP="0094584F">
            <w:pPr>
              <w:pStyle w:val="Body"/>
              <w:spacing w:after="0"/>
              <w:rPr>
                <w:sz w:val="15"/>
                <w:szCs w:val="15"/>
              </w:rPr>
            </w:pPr>
            <w:r w:rsidRPr="0094584F">
              <w:rPr>
                <w:sz w:val="15"/>
                <w:szCs w:val="15"/>
              </w:rPr>
              <w:t>A/Prof Andrew Wei</w:t>
            </w:r>
          </w:p>
        </w:tc>
        <w:tc>
          <w:tcPr>
            <w:tcW w:w="992" w:type="dxa"/>
            <w:tcBorders>
              <w:top w:val="single" w:sz="4" w:space="0" w:color="A6A6A6" w:themeColor="background2" w:themeShade="A6"/>
              <w:bottom w:val="single" w:sz="4" w:space="0" w:color="A6A6A6" w:themeColor="background2" w:themeShade="A6"/>
            </w:tcBorders>
          </w:tcPr>
          <w:p w14:paraId="7FF1048B" w14:textId="4204587F"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5C484DDE" w14:textId="3BC3DABA" w:rsidR="00380ECA" w:rsidRPr="0094584F" w:rsidRDefault="00380ECA" w:rsidP="0094584F">
            <w:pPr>
              <w:pStyle w:val="Body"/>
              <w:spacing w:after="0"/>
              <w:rPr>
                <w:sz w:val="15"/>
                <w:szCs w:val="15"/>
              </w:rPr>
            </w:pPr>
            <w:r w:rsidRPr="0094584F">
              <w:rPr>
                <w:sz w:val="15"/>
                <w:szCs w:val="15"/>
              </w:rPr>
              <w:t>Haematology</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CE023C6" w14:textId="63AADC32"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1DC952E0" w14:textId="2CCE6712" w:rsidR="00380ECA" w:rsidRPr="0094584F" w:rsidRDefault="00380ECA" w:rsidP="0094584F">
            <w:pPr>
              <w:pStyle w:val="Body"/>
              <w:spacing w:after="0"/>
              <w:jc w:val="right"/>
              <w:rPr>
                <w:sz w:val="15"/>
                <w:szCs w:val="15"/>
              </w:rPr>
            </w:pPr>
            <w:r w:rsidRPr="0094584F">
              <w:rPr>
                <w:sz w:val="15"/>
                <w:szCs w:val="15"/>
              </w:rPr>
              <w:t>3</w:t>
            </w:r>
          </w:p>
        </w:tc>
      </w:tr>
      <w:tr w:rsidR="00380ECA" w:rsidRPr="00906A47" w14:paraId="53C618D4"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DD1BA4C" w14:textId="0554EF84" w:rsidR="00380ECA" w:rsidRPr="0094584F" w:rsidRDefault="00380ECA" w:rsidP="0094584F">
            <w:pPr>
              <w:pStyle w:val="Body"/>
              <w:spacing w:after="0"/>
              <w:rPr>
                <w:sz w:val="15"/>
                <w:szCs w:val="15"/>
              </w:rPr>
            </w:pPr>
            <w:r w:rsidRPr="0094584F">
              <w:rPr>
                <w:sz w:val="15"/>
                <w:szCs w:val="15"/>
              </w:rPr>
              <w:t>A/Prof Bernard Whitfield</w:t>
            </w:r>
          </w:p>
        </w:tc>
        <w:tc>
          <w:tcPr>
            <w:tcW w:w="992" w:type="dxa"/>
            <w:tcBorders>
              <w:top w:val="single" w:sz="4" w:space="0" w:color="A6A6A6" w:themeColor="background2" w:themeShade="A6"/>
              <w:bottom w:val="single" w:sz="4" w:space="0" w:color="A6A6A6" w:themeColor="background2" w:themeShade="A6"/>
            </w:tcBorders>
          </w:tcPr>
          <w:p w14:paraId="41E4BF44" w14:textId="2675437E"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F8A5C61" w14:textId="7BAAF683" w:rsidR="00380ECA" w:rsidRPr="0094584F" w:rsidRDefault="00380ECA" w:rsidP="0094584F">
            <w:pPr>
              <w:pStyle w:val="Body"/>
              <w:spacing w:after="0"/>
              <w:rPr>
                <w:sz w:val="15"/>
                <w:szCs w:val="15"/>
              </w:rPr>
            </w:pPr>
            <w:r w:rsidRPr="0094584F">
              <w:rPr>
                <w:sz w:val="15"/>
                <w:szCs w:val="15"/>
              </w:rPr>
              <w:t>Ear Nose and Throat Surgery/ Injuries/Trauma</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A06FCC8" w14:textId="68BFF334"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791C751F" w14:textId="26E1F639" w:rsidR="00380ECA" w:rsidRPr="0094584F" w:rsidRDefault="00380ECA" w:rsidP="0094584F">
            <w:pPr>
              <w:pStyle w:val="Body"/>
              <w:spacing w:after="0"/>
              <w:jc w:val="right"/>
              <w:rPr>
                <w:sz w:val="15"/>
                <w:szCs w:val="15"/>
              </w:rPr>
            </w:pPr>
            <w:r w:rsidRPr="0094584F">
              <w:rPr>
                <w:sz w:val="15"/>
                <w:szCs w:val="15"/>
              </w:rPr>
              <w:t>1</w:t>
            </w:r>
          </w:p>
        </w:tc>
      </w:tr>
      <w:tr w:rsidR="00380ECA" w:rsidRPr="00906A47" w14:paraId="70E620A9"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1B34C83" w14:textId="45AFA480" w:rsidR="00380ECA" w:rsidRPr="0094584F" w:rsidRDefault="00380ECA" w:rsidP="0094584F">
            <w:pPr>
              <w:pStyle w:val="Body"/>
              <w:spacing w:after="0"/>
              <w:rPr>
                <w:sz w:val="15"/>
                <w:szCs w:val="15"/>
              </w:rPr>
            </w:pPr>
            <w:r w:rsidRPr="0094584F">
              <w:rPr>
                <w:sz w:val="15"/>
                <w:szCs w:val="15"/>
              </w:rPr>
              <w:t>A/Prof Daryl Williams</w:t>
            </w:r>
          </w:p>
        </w:tc>
        <w:tc>
          <w:tcPr>
            <w:tcW w:w="992" w:type="dxa"/>
            <w:tcBorders>
              <w:top w:val="single" w:sz="4" w:space="0" w:color="A6A6A6" w:themeColor="background2" w:themeShade="A6"/>
              <w:bottom w:val="single" w:sz="4" w:space="0" w:color="A6A6A6" w:themeColor="background2" w:themeShade="A6"/>
            </w:tcBorders>
          </w:tcPr>
          <w:p w14:paraId="068B3315" w14:textId="77777777" w:rsidR="00380ECA" w:rsidRPr="0094584F" w:rsidRDefault="00380ECA"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253358EA" w14:textId="759DCAA3" w:rsidR="00380ECA" w:rsidRPr="0094584F" w:rsidRDefault="00380ECA" w:rsidP="0094584F">
            <w:pPr>
              <w:pStyle w:val="Body"/>
              <w:spacing w:after="0"/>
              <w:rPr>
                <w:sz w:val="15"/>
                <w:szCs w:val="15"/>
              </w:rPr>
            </w:pPr>
            <w:r w:rsidRPr="0094584F">
              <w:rPr>
                <w:sz w:val="15"/>
                <w:szCs w:val="15"/>
              </w:rPr>
              <w:t>Anaesthesia and Pain Management</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DE6C9E5" w14:textId="4173C707" w:rsidR="00380ECA" w:rsidRPr="0094584F" w:rsidRDefault="00380ECA"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9DC3B91" w14:textId="11A71C1B" w:rsidR="00380ECA" w:rsidRPr="0094584F" w:rsidRDefault="00380ECA" w:rsidP="0094584F">
            <w:pPr>
              <w:pStyle w:val="Body"/>
              <w:spacing w:after="0"/>
              <w:jc w:val="right"/>
              <w:rPr>
                <w:sz w:val="15"/>
                <w:szCs w:val="15"/>
              </w:rPr>
            </w:pPr>
            <w:r w:rsidRPr="0094584F">
              <w:rPr>
                <w:sz w:val="15"/>
                <w:szCs w:val="15"/>
              </w:rPr>
              <w:t>0</w:t>
            </w:r>
          </w:p>
        </w:tc>
      </w:tr>
      <w:tr w:rsidR="00D81984" w:rsidRPr="00906A47" w14:paraId="3FE0D8C2"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D2A0D38" w14:textId="052A8945" w:rsidR="00D81984" w:rsidRPr="0094584F" w:rsidRDefault="00D81984" w:rsidP="0094584F">
            <w:pPr>
              <w:pStyle w:val="Body"/>
              <w:spacing w:after="0"/>
              <w:rPr>
                <w:sz w:val="15"/>
                <w:szCs w:val="15"/>
              </w:rPr>
            </w:pPr>
            <w:r w:rsidRPr="0094584F">
              <w:rPr>
                <w:sz w:val="15"/>
                <w:szCs w:val="15"/>
              </w:rPr>
              <w:t>W/Prof Fiona Wood</w:t>
            </w:r>
          </w:p>
        </w:tc>
        <w:tc>
          <w:tcPr>
            <w:tcW w:w="992" w:type="dxa"/>
            <w:tcBorders>
              <w:top w:val="single" w:sz="4" w:space="0" w:color="A6A6A6" w:themeColor="background2" w:themeShade="A6"/>
              <w:bottom w:val="single" w:sz="4" w:space="0" w:color="A6A6A6" w:themeColor="background2" w:themeShade="A6"/>
            </w:tcBorders>
          </w:tcPr>
          <w:p w14:paraId="6149F010" w14:textId="4BE0DEC1" w:rsidR="00D81984" w:rsidRPr="0094584F" w:rsidRDefault="00D81984"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6C8B8408" w14:textId="0CCE5EEB" w:rsidR="00D81984" w:rsidRPr="0094584F" w:rsidRDefault="00D81984" w:rsidP="0094584F">
            <w:pPr>
              <w:pStyle w:val="Body"/>
              <w:spacing w:after="0"/>
              <w:rPr>
                <w:sz w:val="15"/>
                <w:szCs w:val="15"/>
              </w:rPr>
            </w:pPr>
            <w:r w:rsidRPr="0094584F">
              <w:rPr>
                <w:sz w:val="15"/>
                <w:szCs w:val="15"/>
              </w:rPr>
              <w:t>Burns</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F55082A" w14:textId="641C17D0" w:rsidR="00D81984" w:rsidRPr="0094584F" w:rsidRDefault="00D81984"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3C270468" w14:textId="24CA7A7B" w:rsidR="00D81984" w:rsidRPr="0094584F" w:rsidRDefault="00D81984" w:rsidP="0094584F">
            <w:pPr>
              <w:pStyle w:val="Body"/>
              <w:spacing w:after="0"/>
              <w:jc w:val="right"/>
              <w:rPr>
                <w:sz w:val="15"/>
                <w:szCs w:val="15"/>
              </w:rPr>
            </w:pPr>
            <w:r w:rsidRPr="0094584F">
              <w:rPr>
                <w:sz w:val="15"/>
                <w:szCs w:val="15"/>
              </w:rPr>
              <w:t>1</w:t>
            </w:r>
          </w:p>
        </w:tc>
      </w:tr>
      <w:tr w:rsidR="00D81984" w:rsidRPr="00906A47" w14:paraId="28DC9447"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EDDE623" w14:textId="06C97417" w:rsidR="00D81984" w:rsidRPr="0094584F" w:rsidRDefault="00D81984" w:rsidP="0094584F">
            <w:pPr>
              <w:pStyle w:val="Body"/>
              <w:spacing w:after="0"/>
              <w:rPr>
                <w:sz w:val="15"/>
                <w:szCs w:val="15"/>
              </w:rPr>
            </w:pPr>
            <w:r w:rsidRPr="0094584F">
              <w:rPr>
                <w:sz w:val="15"/>
                <w:szCs w:val="15"/>
              </w:rPr>
              <w:t>Dr Jo Wright</w:t>
            </w:r>
          </w:p>
        </w:tc>
        <w:tc>
          <w:tcPr>
            <w:tcW w:w="992" w:type="dxa"/>
            <w:tcBorders>
              <w:top w:val="single" w:sz="4" w:space="0" w:color="A6A6A6" w:themeColor="background2" w:themeShade="A6"/>
              <w:bottom w:val="single" w:sz="4" w:space="0" w:color="A6A6A6" w:themeColor="background2" w:themeShade="A6"/>
            </w:tcBorders>
          </w:tcPr>
          <w:p w14:paraId="31D2B2B2" w14:textId="79773AB1" w:rsidR="00D81984" w:rsidRPr="0094584F" w:rsidRDefault="00D81984"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7B1E124E" w14:textId="6E139C2C" w:rsidR="00D81984" w:rsidRPr="0094584F" w:rsidRDefault="00D81984" w:rsidP="0094584F">
            <w:pPr>
              <w:pStyle w:val="Body"/>
              <w:spacing w:after="0"/>
              <w:rPr>
                <w:sz w:val="15"/>
                <w:szCs w:val="15"/>
              </w:rPr>
            </w:pPr>
            <w:r w:rsidRPr="0094584F">
              <w:rPr>
                <w:sz w:val="15"/>
                <w:szCs w:val="15"/>
              </w:rPr>
              <w:t>Rural Medical Practice</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BB12AA7" w14:textId="015B3834" w:rsidR="00D81984" w:rsidRPr="0094584F" w:rsidRDefault="00D81984"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66BE2D4B" w14:textId="2387CBE1" w:rsidR="00D81984" w:rsidRPr="0094584F" w:rsidRDefault="00D81984" w:rsidP="0094584F">
            <w:pPr>
              <w:pStyle w:val="Body"/>
              <w:spacing w:after="0"/>
              <w:jc w:val="right"/>
              <w:rPr>
                <w:sz w:val="15"/>
                <w:szCs w:val="15"/>
              </w:rPr>
            </w:pPr>
            <w:r w:rsidRPr="0094584F">
              <w:rPr>
                <w:sz w:val="15"/>
                <w:szCs w:val="15"/>
              </w:rPr>
              <w:t>2</w:t>
            </w:r>
          </w:p>
        </w:tc>
      </w:tr>
      <w:tr w:rsidR="00D81984" w:rsidRPr="00906A47" w14:paraId="4D104B37"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8047160" w14:textId="2BA537EE" w:rsidR="00D81984" w:rsidRPr="0094584F" w:rsidRDefault="00D81984" w:rsidP="0094584F">
            <w:pPr>
              <w:pStyle w:val="Body"/>
              <w:spacing w:after="0"/>
              <w:rPr>
                <w:sz w:val="15"/>
                <w:szCs w:val="15"/>
              </w:rPr>
            </w:pPr>
            <w:r w:rsidRPr="0094584F">
              <w:rPr>
                <w:sz w:val="15"/>
                <w:szCs w:val="15"/>
              </w:rPr>
              <w:lastRenderedPageBreak/>
              <w:t>Dr Kathryn Zeitz</w:t>
            </w:r>
          </w:p>
        </w:tc>
        <w:tc>
          <w:tcPr>
            <w:tcW w:w="992" w:type="dxa"/>
            <w:tcBorders>
              <w:top w:val="single" w:sz="4" w:space="0" w:color="A6A6A6" w:themeColor="background2" w:themeShade="A6"/>
              <w:bottom w:val="single" w:sz="4" w:space="0" w:color="A6A6A6" w:themeColor="background2" w:themeShade="A6"/>
            </w:tcBorders>
          </w:tcPr>
          <w:p w14:paraId="6D7E51A7" w14:textId="7C5F657C" w:rsidR="00D81984" w:rsidRPr="0094584F" w:rsidRDefault="00D81984"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220F7572" w14:textId="72C53B32" w:rsidR="00D81984" w:rsidRPr="0094584F" w:rsidRDefault="00D81984" w:rsidP="0094584F">
            <w:pPr>
              <w:pStyle w:val="Body"/>
              <w:spacing w:after="0"/>
              <w:rPr>
                <w:sz w:val="15"/>
                <w:szCs w:val="15"/>
              </w:rPr>
            </w:pPr>
            <w:r w:rsidRPr="0094584F">
              <w:rPr>
                <w:sz w:val="15"/>
                <w:szCs w:val="15"/>
              </w:rPr>
              <w:t>Nursing</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61960F8" w14:textId="137CDA0A" w:rsidR="00D81984" w:rsidRPr="0094584F" w:rsidRDefault="00D81984" w:rsidP="0094584F">
            <w:pPr>
              <w:pStyle w:val="Body"/>
              <w:spacing w:after="0"/>
              <w:jc w:val="right"/>
              <w:rPr>
                <w:sz w:val="15"/>
                <w:szCs w:val="15"/>
              </w:rPr>
            </w:pPr>
            <w:r w:rsidRPr="0094584F">
              <w:rPr>
                <w:sz w:val="15"/>
                <w:szCs w:val="15"/>
              </w:rPr>
              <w:t>3</w:t>
            </w:r>
          </w:p>
        </w:tc>
        <w:tc>
          <w:tcPr>
            <w:tcW w:w="993" w:type="dxa"/>
            <w:tcBorders>
              <w:top w:val="single" w:sz="4" w:space="0" w:color="A6A6A6" w:themeColor="background2" w:themeShade="A6"/>
              <w:bottom w:val="single" w:sz="4" w:space="0" w:color="A6A6A6" w:themeColor="background2" w:themeShade="A6"/>
            </w:tcBorders>
          </w:tcPr>
          <w:p w14:paraId="56A9D9AB" w14:textId="37C56243" w:rsidR="00D81984" w:rsidRPr="0094584F" w:rsidRDefault="00D81984" w:rsidP="0094584F">
            <w:pPr>
              <w:pStyle w:val="Body"/>
              <w:spacing w:after="0"/>
              <w:jc w:val="right"/>
              <w:rPr>
                <w:sz w:val="15"/>
                <w:szCs w:val="15"/>
              </w:rPr>
            </w:pPr>
            <w:r w:rsidRPr="0094584F">
              <w:rPr>
                <w:sz w:val="15"/>
                <w:szCs w:val="15"/>
              </w:rPr>
              <w:t>2</w:t>
            </w:r>
          </w:p>
        </w:tc>
      </w:tr>
      <w:tr w:rsidR="00D81984" w:rsidRPr="00906A47" w14:paraId="63CE9D7A"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1E1C01D" w14:textId="2A5779C2" w:rsidR="00D81984" w:rsidRPr="0094584F" w:rsidRDefault="00D81984" w:rsidP="0094584F">
            <w:pPr>
              <w:pStyle w:val="Body"/>
              <w:spacing w:after="0"/>
              <w:rPr>
                <w:sz w:val="15"/>
                <w:szCs w:val="15"/>
              </w:rPr>
            </w:pPr>
            <w:r w:rsidRPr="0094584F">
              <w:rPr>
                <w:sz w:val="15"/>
                <w:szCs w:val="15"/>
              </w:rPr>
              <w:t>Dr Phil Sargent</w:t>
            </w:r>
          </w:p>
        </w:tc>
        <w:tc>
          <w:tcPr>
            <w:tcW w:w="992" w:type="dxa"/>
            <w:tcBorders>
              <w:top w:val="single" w:sz="4" w:space="0" w:color="A6A6A6" w:themeColor="background2" w:themeShade="A6"/>
              <w:bottom w:val="single" w:sz="4" w:space="0" w:color="A6A6A6" w:themeColor="background2" w:themeShade="A6"/>
            </w:tcBorders>
          </w:tcPr>
          <w:p w14:paraId="0C93E26B" w14:textId="78E6E403" w:rsidR="00D81984" w:rsidRPr="0094584F" w:rsidRDefault="00D81984"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2061DA18" w14:textId="60731525" w:rsidR="00D81984" w:rsidRPr="0094584F" w:rsidRDefault="00D81984" w:rsidP="0094584F">
            <w:pPr>
              <w:pStyle w:val="Body"/>
              <w:spacing w:after="0"/>
              <w:rPr>
                <w:sz w:val="15"/>
                <w:szCs w:val="15"/>
              </w:rPr>
            </w:pPr>
            <w:r w:rsidRPr="0094584F">
              <w:rPr>
                <w:sz w:val="15"/>
                <w:szCs w:val="15"/>
              </w:rPr>
              <w:t>Paed</w:t>
            </w:r>
            <w:r w:rsidR="002A37D8">
              <w:rPr>
                <w:sz w:val="15"/>
                <w:szCs w:val="15"/>
              </w:rPr>
              <w:t>ia</w:t>
            </w:r>
            <w:r w:rsidRPr="0094584F">
              <w:rPr>
                <w:sz w:val="15"/>
                <w:szCs w:val="15"/>
              </w:rPr>
              <w:t>trics</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4F89F89" w14:textId="69CA26AF" w:rsidR="00D81984" w:rsidRPr="0094584F" w:rsidRDefault="00D81984" w:rsidP="0094584F">
            <w:pPr>
              <w:pStyle w:val="Body"/>
              <w:spacing w:after="0"/>
              <w:jc w:val="right"/>
              <w:rPr>
                <w:sz w:val="15"/>
                <w:szCs w:val="15"/>
              </w:rPr>
            </w:pPr>
            <w:r w:rsidRPr="0094584F">
              <w:rPr>
                <w:sz w:val="15"/>
                <w:szCs w:val="15"/>
              </w:rPr>
              <w:t>1</w:t>
            </w:r>
          </w:p>
        </w:tc>
        <w:tc>
          <w:tcPr>
            <w:tcW w:w="993" w:type="dxa"/>
            <w:tcBorders>
              <w:top w:val="single" w:sz="4" w:space="0" w:color="A6A6A6" w:themeColor="background2" w:themeShade="A6"/>
              <w:bottom w:val="single" w:sz="4" w:space="0" w:color="A6A6A6" w:themeColor="background2" w:themeShade="A6"/>
            </w:tcBorders>
          </w:tcPr>
          <w:p w14:paraId="310D3C4A" w14:textId="0B3AF13A" w:rsidR="00D81984" w:rsidRPr="0094584F" w:rsidRDefault="00D81984" w:rsidP="0094584F">
            <w:pPr>
              <w:pStyle w:val="Body"/>
              <w:spacing w:after="0"/>
              <w:jc w:val="right"/>
              <w:rPr>
                <w:sz w:val="15"/>
                <w:szCs w:val="15"/>
              </w:rPr>
            </w:pPr>
            <w:r w:rsidRPr="0094584F">
              <w:rPr>
                <w:sz w:val="15"/>
                <w:szCs w:val="15"/>
              </w:rPr>
              <w:t>0</w:t>
            </w:r>
          </w:p>
        </w:tc>
      </w:tr>
      <w:tr w:rsidR="00D81984" w:rsidRPr="00906A47" w14:paraId="1067C757" w14:textId="77777777" w:rsidTr="0094584F">
        <w:trPr>
          <w:trHeight w:val="20"/>
        </w:trPr>
        <w:tc>
          <w:tcPr>
            <w:tcW w:w="1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653168B" w14:textId="6F44F5E4" w:rsidR="00D81984" w:rsidRPr="0094584F" w:rsidRDefault="00D81984" w:rsidP="0094584F">
            <w:pPr>
              <w:pStyle w:val="Body"/>
              <w:spacing w:after="0"/>
              <w:rPr>
                <w:sz w:val="15"/>
                <w:szCs w:val="15"/>
              </w:rPr>
            </w:pPr>
            <w:r w:rsidRPr="0094584F">
              <w:rPr>
                <w:sz w:val="15"/>
                <w:szCs w:val="15"/>
              </w:rPr>
              <w:t>A/Prof Virginia Plummer</w:t>
            </w:r>
          </w:p>
        </w:tc>
        <w:tc>
          <w:tcPr>
            <w:tcW w:w="992" w:type="dxa"/>
            <w:tcBorders>
              <w:top w:val="single" w:sz="4" w:space="0" w:color="A6A6A6" w:themeColor="background2" w:themeShade="A6"/>
              <w:bottom w:val="single" w:sz="4" w:space="0" w:color="A6A6A6" w:themeColor="background2" w:themeShade="A6"/>
            </w:tcBorders>
          </w:tcPr>
          <w:p w14:paraId="6C94CB6E" w14:textId="439A1208" w:rsidR="00D81984" w:rsidRPr="0094584F" w:rsidRDefault="00D81984" w:rsidP="0094584F">
            <w:pPr>
              <w:pStyle w:val="Body"/>
              <w:spacing w:after="0"/>
              <w:rPr>
                <w:sz w:val="15"/>
                <w:szCs w:val="15"/>
              </w:rPr>
            </w:pPr>
            <w:r w:rsidRPr="0094584F">
              <w:rPr>
                <w:sz w:val="15"/>
                <w:szCs w:val="15"/>
              </w:rPr>
              <w:t>Member</w:t>
            </w:r>
          </w:p>
        </w:tc>
        <w:tc>
          <w:tcPr>
            <w:tcW w:w="2410" w:type="dxa"/>
            <w:tcBorders>
              <w:top w:val="single" w:sz="4" w:space="0" w:color="A6A6A6" w:themeColor="background2" w:themeShade="A6"/>
              <w:bottom w:val="single" w:sz="4" w:space="0" w:color="A6A6A6" w:themeColor="background2" w:themeShade="A6"/>
            </w:tcBorders>
          </w:tcPr>
          <w:p w14:paraId="234D1B65" w14:textId="08B28D75" w:rsidR="00D81984" w:rsidRPr="0094584F" w:rsidRDefault="00D81984" w:rsidP="0094584F">
            <w:pPr>
              <w:pStyle w:val="Body"/>
              <w:spacing w:after="0"/>
              <w:rPr>
                <w:sz w:val="15"/>
                <w:szCs w:val="15"/>
              </w:rPr>
            </w:pPr>
            <w:r w:rsidRPr="0094584F">
              <w:rPr>
                <w:sz w:val="15"/>
                <w:szCs w:val="15"/>
              </w:rPr>
              <w:t xml:space="preserve">Nursing </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020C2D6" w14:textId="44E97F18" w:rsidR="00D81984" w:rsidRPr="0094584F" w:rsidRDefault="00D81984" w:rsidP="0094584F">
            <w:pPr>
              <w:pStyle w:val="Body"/>
              <w:spacing w:after="0"/>
              <w:jc w:val="right"/>
              <w:rPr>
                <w:sz w:val="15"/>
                <w:szCs w:val="15"/>
              </w:rPr>
            </w:pPr>
            <w:r w:rsidRPr="0094584F">
              <w:rPr>
                <w:sz w:val="15"/>
                <w:szCs w:val="15"/>
              </w:rPr>
              <w:t>1</w:t>
            </w:r>
          </w:p>
        </w:tc>
        <w:tc>
          <w:tcPr>
            <w:tcW w:w="993" w:type="dxa"/>
            <w:tcBorders>
              <w:top w:val="single" w:sz="4" w:space="0" w:color="A6A6A6" w:themeColor="background2" w:themeShade="A6"/>
              <w:bottom w:val="single" w:sz="4" w:space="0" w:color="A6A6A6" w:themeColor="background2" w:themeShade="A6"/>
            </w:tcBorders>
          </w:tcPr>
          <w:p w14:paraId="63DF8114" w14:textId="4CBDA165" w:rsidR="00D81984" w:rsidRPr="0094584F" w:rsidRDefault="00D81984" w:rsidP="0094584F">
            <w:pPr>
              <w:pStyle w:val="Body"/>
              <w:spacing w:after="0"/>
              <w:jc w:val="right"/>
              <w:rPr>
                <w:sz w:val="15"/>
                <w:szCs w:val="15"/>
              </w:rPr>
            </w:pPr>
            <w:r w:rsidRPr="0094584F">
              <w:rPr>
                <w:sz w:val="15"/>
                <w:szCs w:val="15"/>
              </w:rPr>
              <w:t>1</w:t>
            </w:r>
          </w:p>
        </w:tc>
      </w:tr>
    </w:tbl>
    <w:bookmarkEnd w:id="69"/>
    <w:p w14:paraId="428AB411" w14:textId="77777777" w:rsidR="006335F9" w:rsidRPr="005C0F04" w:rsidRDefault="006335F9" w:rsidP="006335F9">
      <w:pPr>
        <w:pStyle w:val="H3"/>
        <w:rPr>
          <w:color w:val="F47920" w:themeColor="accent4"/>
        </w:rPr>
      </w:pPr>
      <w:r w:rsidRPr="005C0F04">
        <w:rPr>
          <w:color w:val="F47920" w:themeColor="accent4"/>
        </w:rPr>
        <w:t>Clinical Advisory Committee meetings 2019–20</w:t>
      </w:r>
    </w:p>
    <w:p w14:paraId="452F7A01" w14:textId="77777777" w:rsidR="00F92F56" w:rsidRDefault="006335F9" w:rsidP="006335F9">
      <w:pPr>
        <w:pStyle w:val="Body"/>
      </w:pPr>
      <w:r>
        <w:t>5 August 2019</w:t>
      </w:r>
      <w:r w:rsidR="00F92F56">
        <w:br/>
      </w:r>
      <w:r>
        <w:t>4 November 2019</w:t>
      </w:r>
      <w:r w:rsidR="00F92F56">
        <w:br/>
      </w:r>
      <w:r>
        <w:t>30 March 2020</w:t>
      </w:r>
    </w:p>
    <w:p w14:paraId="44B5C914" w14:textId="2A27922E" w:rsidR="00F92F56" w:rsidRDefault="00F92F56" w:rsidP="006335F9">
      <w:pPr>
        <w:pStyle w:val="Body"/>
      </w:pPr>
      <w:r>
        <w:br/>
      </w:r>
      <w:r>
        <w:rPr>
          <w:noProof/>
          <w:lang w:val="en-GB" w:eastAsia="en-GB"/>
        </w:rPr>
        <w:drawing>
          <wp:inline distT="0" distB="0" distL="0" distR="0" wp14:anchorId="2844337A" wp14:editId="57FD4229">
            <wp:extent cx="4536440" cy="12065"/>
            <wp:effectExtent l="0" t="0" r="0" b="0"/>
            <wp:docPr id="27" name="Picture 2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73"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536440" cy="12065"/>
                    </a:xfrm>
                    <a:prstGeom prst="rect">
                      <a:avLst/>
                    </a:prstGeom>
                    <a:noFill/>
                    <a:ln>
                      <a:noFill/>
                    </a:ln>
                  </pic:spPr>
                </pic:pic>
              </a:graphicData>
            </a:graphic>
          </wp:inline>
        </w:drawing>
      </w:r>
    </w:p>
    <w:p w14:paraId="2DDF247E" w14:textId="49686349" w:rsidR="00F92F56" w:rsidRDefault="00F92F56" w:rsidP="006335F9">
      <w:pPr>
        <w:pStyle w:val="Body"/>
        <w:sectPr w:rsidR="00F92F56" w:rsidSect="0094584F">
          <w:pgSz w:w="9979" w:h="14175" w:code="13"/>
          <w:pgMar w:top="1134" w:right="1418" w:bottom="993" w:left="1418" w:header="709" w:footer="709" w:gutter="0"/>
          <w:cols w:space="708"/>
          <w:docGrid w:linePitch="360"/>
        </w:sectPr>
      </w:pPr>
    </w:p>
    <w:p w14:paraId="09C023A5" w14:textId="77777777" w:rsidR="00F92F56" w:rsidRPr="005C0F04" w:rsidRDefault="00F92F56" w:rsidP="00F92F56">
      <w:pPr>
        <w:pStyle w:val="Heading1"/>
        <w:rPr>
          <w:color w:val="F47920" w:themeColor="accent4"/>
        </w:rPr>
      </w:pPr>
      <w:bookmarkStart w:id="70" w:name="_Toc44350182"/>
      <w:bookmarkStart w:id="71" w:name="_Toc50378076"/>
      <w:r w:rsidRPr="005C0F04">
        <w:rPr>
          <w:color w:val="F47920" w:themeColor="accent4"/>
        </w:rPr>
        <w:t>2019–20 highlights</w:t>
      </w:r>
      <w:bookmarkEnd w:id="70"/>
      <w:bookmarkEnd w:id="71"/>
    </w:p>
    <w:p w14:paraId="5A262B5F" w14:textId="41D8AC0C" w:rsidR="00F92F56" w:rsidRPr="00F92F56" w:rsidRDefault="00F92F56" w:rsidP="00F92F56">
      <w:pPr>
        <w:pStyle w:val="Body"/>
        <w:sectPr w:rsidR="00F92F56" w:rsidRPr="00F92F56" w:rsidSect="00F92F56">
          <w:type w:val="continuous"/>
          <w:pgSz w:w="9979" w:h="14175" w:code="13"/>
          <w:pgMar w:top="1134" w:right="1418" w:bottom="1276" w:left="1418" w:header="709" w:footer="709" w:gutter="0"/>
          <w:cols w:space="708"/>
          <w:docGrid w:linePitch="360"/>
        </w:sectPr>
      </w:pPr>
      <w:r w:rsidRPr="00F92F56">
        <w:t>In 2019–20, the Clinical Advisory Committee supported IHPA’s work program to deliver the following key achievements:</w:t>
      </w:r>
    </w:p>
    <w:p w14:paraId="1F3EF1E8" w14:textId="1F0A7ECD" w:rsidR="00F92F56" w:rsidRDefault="00F92F56" w:rsidP="00F92F56">
      <w:pPr>
        <w:pStyle w:val="Bullets"/>
      </w:pPr>
      <w:r>
        <w:t>The Pricing Framework for Australian Public Hospital Services 2020–21</w:t>
      </w:r>
    </w:p>
    <w:p w14:paraId="4CD30CC6" w14:textId="5271D252" w:rsidR="00F92F56" w:rsidRDefault="00F92F56" w:rsidP="00F92F56">
      <w:pPr>
        <w:pStyle w:val="Bullets"/>
      </w:pPr>
      <w:r>
        <w:t>IHPA’s determination of the National Efficient Price and National Efficient Cost for 2020–21</w:t>
      </w:r>
    </w:p>
    <w:p w14:paraId="740CF27C" w14:textId="555A6761" w:rsidR="006F35CE" w:rsidRPr="006F35CE" w:rsidRDefault="006F35CE" w:rsidP="006F35CE">
      <w:pPr>
        <w:pStyle w:val="Bullets"/>
      </w:pPr>
      <w:r>
        <w:t xml:space="preserve">Feedback on the </w:t>
      </w:r>
      <w:r w:rsidRPr="006F35CE">
        <w:t xml:space="preserve">national activity based funding classifications and updated the new coding and classification systems for reporting </w:t>
      </w:r>
      <w:r w:rsidR="00E747BF">
        <w:t>COVID-19</w:t>
      </w:r>
      <w:r w:rsidRPr="006F35CE">
        <w:t xml:space="preserve"> in Australian hospitals, including emergency and non</w:t>
      </w:r>
      <w:r w:rsidR="00362F35">
        <w:noBreakHyphen/>
      </w:r>
      <w:r w:rsidRPr="006F35CE">
        <w:t>admitted</w:t>
      </w:r>
      <w:r w:rsidR="00362F35">
        <w:t> </w:t>
      </w:r>
      <w:r w:rsidRPr="006F35CE">
        <w:t>care</w:t>
      </w:r>
    </w:p>
    <w:p w14:paraId="6032C57E" w14:textId="405B7FEB" w:rsidR="00F92F56" w:rsidRDefault="00F92F56" w:rsidP="00F92F56">
      <w:pPr>
        <w:pStyle w:val="Bullets"/>
      </w:pPr>
      <w:r>
        <w:t xml:space="preserve">Advice on the </w:t>
      </w:r>
      <w:r w:rsidR="00DD1E4D">
        <w:t>f</w:t>
      </w:r>
      <w:r>
        <w:t xml:space="preserve">inal </w:t>
      </w:r>
      <w:r w:rsidR="00DD1E4D">
        <w:t>r</w:t>
      </w:r>
      <w:r>
        <w:t xml:space="preserve">eport on the </w:t>
      </w:r>
      <w:r w:rsidR="009D4ECA">
        <w:t>c</w:t>
      </w:r>
      <w:r>
        <w:t xml:space="preserve">onsultation and </w:t>
      </w:r>
      <w:r w:rsidR="009D4ECA">
        <w:t>r</w:t>
      </w:r>
      <w:r>
        <w:t>eview to develop new versions of the classifications for admitted acute care</w:t>
      </w:r>
    </w:p>
    <w:p w14:paraId="16CF6917" w14:textId="00385D76" w:rsidR="00F92F56" w:rsidRDefault="0094584F" w:rsidP="00F92F56">
      <w:pPr>
        <w:pStyle w:val="Bullets"/>
      </w:pPr>
      <w:r>
        <w:br w:type="column"/>
      </w:r>
      <w:r w:rsidR="00F92F56">
        <w:t>Work to refine the current version of the Australian National Subacute and Non-acute Patient classification</w:t>
      </w:r>
    </w:p>
    <w:p w14:paraId="5277628E" w14:textId="77777777" w:rsidR="007873AC" w:rsidRDefault="00F92F56" w:rsidP="00F92F56">
      <w:pPr>
        <w:pStyle w:val="Bulletslast"/>
        <w:sectPr w:rsidR="007873AC" w:rsidSect="00F92F56">
          <w:type w:val="continuous"/>
          <w:pgSz w:w="9979" w:h="14175" w:code="13"/>
          <w:pgMar w:top="1134" w:right="1418" w:bottom="1276" w:left="1418" w:header="709" w:footer="709" w:gutter="0"/>
          <w:cols w:num="2" w:space="708"/>
          <w:docGrid w:linePitch="360"/>
        </w:sectPr>
      </w:pPr>
      <w:r>
        <w:t>Promotion of the WRITEitRIGHT® mobile application to champion accurate clinical documentation.</w:t>
      </w:r>
    </w:p>
    <w:tbl>
      <w:tblPr>
        <w:tblStyle w:val="TableGrid"/>
        <w:tblW w:w="496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89"/>
      </w:tblGrid>
      <w:tr w:rsidR="005A0820" w14:paraId="1B44768E" w14:textId="77777777" w:rsidTr="00B77F07">
        <w:trPr>
          <w:trHeight w:val="9490"/>
        </w:trPr>
        <w:tc>
          <w:tcPr>
            <w:tcW w:w="5000" w:type="pct"/>
          </w:tcPr>
          <w:p w14:paraId="344A2399" w14:textId="7D74C8A7" w:rsidR="005A0820" w:rsidRPr="008C1BF9" w:rsidRDefault="005A0820" w:rsidP="003A1B2B">
            <w:pPr>
              <w:pStyle w:val="Heading10"/>
              <w:rPr>
                <w:b w:val="0"/>
                <w:bCs w:val="0"/>
              </w:rPr>
            </w:pPr>
            <w:bookmarkStart w:id="72" w:name="AnnualPerformanceStatements"/>
            <w:bookmarkStart w:id="73" w:name="_Toc50378077"/>
            <w:r w:rsidRPr="008C1BF9">
              <w:rPr>
                <w:b w:val="0"/>
                <w:bCs w:val="0"/>
              </w:rPr>
              <w:lastRenderedPageBreak/>
              <w:t>Annual</w:t>
            </w:r>
            <w:r w:rsidRPr="008C1BF9">
              <w:rPr>
                <w:b w:val="0"/>
                <w:bCs w:val="0"/>
              </w:rPr>
              <w:br/>
              <w:t>Performance</w:t>
            </w:r>
            <w:r w:rsidRPr="008C1BF9">
              <w:rPr>
                <w:b w:val="0"/>
                <w:bCs w:val="0"/>
              </w:rPr>
              <w:br/>
              <w:t>Statements</w:t>
            </w:r>
            <w:bookmarkEnd w:id="72"/>
            <w:bookmarkEnd w:id="73"/>
          </w:p>
        </w:tc>
      </w:tr>
      <w:tr w:rsidR="005A0820" w14:paraId="03A41D28" w14:textId="77777777" w:rsidTr="00B77F07">
        <w:trPr>
          <w:trHeight w:val="1569"/>
        </w:trPr>
        <w:tc>
          <w:tcPr>
            <w:tcW w:w="5000" w:type="pct"/>
            <w:vAlign w:val="bottom"/>
          </w:tcPr>
          <w:p w14:paraId="2C84F47D" w14:textId="5DA4A320" w:rsidR="005A0820" w:rsidRDefault="005A0820" w:rsidP="003C7FA7">
            <w:pPr>
              <w:pStyle w:val="SectionBreakNumber"/>
            </w:pPr>
            <w:r w:rsidRPr="003C6AC0">
              <w:t>0</w:t>
            </w:r>
            <w:r>
              <w:t>5</w:t>
            </w:r>
          </w:p>
        </w:tc>
      </w:tr>
    </w:tbl>
    <w:p w14:paraId="0B080C1C" w14:textId="77777777" w:rsidR="005A0820" w:rsidRDefault="005A0820" w:rsidP="007873AC">
      <w:pPr>
        <w:pStyle w:val="Body"/>
        <w:sectPr w:rsidR="005A0820" w:rsidSect="007873AC">
          <w:headerReference w:type="even" r:id="rId74"/>
          <w:headerReference w:type="default" r:id="rId75"/>
          <w:footerReference w:type="default" r:id="rId76"/>
          <w:pgSz w:w="9979" w:h="14175" w:code="13"/>
          <w:pgMar w:top="1134" w:right="1418" w:bottom="1276" w:left="1418" w:header="709" w:footer="709" w:gutter="0"/>
          <w:cols w:space="708"/>
          <w:docGrid w:linePitch="360"/>
        </w:sectPr>
      </w:pPr>
    </w:p>
    <w:p w14:paraId="4CF9FD2B" w14:textId="77777777" w:rsidR="00805F6B" w:rsidRDefault="00805F6B" w:rsidP="001D4D30">
      <w:pPr>
        <w:pStyle w:val="Heading1"/>
        <w:rPr>
          <w:color w:val="5E2F7E" w:themeColor="accent5"/>
        </w:rPr>
        <w:sectPr w:rsidR="00805F6B" w:rsidSect="007873AC">
          <w:headerReference w:type="default" r:id="rId77"/>
          <w:pgSz w:w="9979" w:h="14175" w:code="13"/>
          <w:pgMar w:top="1134" w:right="1418" w:bottom="1276" w:left="1418" w:header="709" w:footer="709" w:gutter="0"/>
          <w:cols w:space="708"/>
          <w:docGrid w:linePitch="360"/>
        </w:sectPr>
      </w:pPr>
      <w:bookmarkStart w:id="74" w:name="_Toc44350183"/>
      <w:bookmarkStart w:id="75" w:name="_Toc50378078"/>
      <w:r w:rsidRPr="00805F6B">
        <w:rPr>
          <w:color w:val="5E2F7E" w:themeColor="accent5"/>
        </w:rPr>
        <w:lastRenderedPageBreak/>
        <w:t>Introductory Statement</w:t>
      </w:r>
      <w:bookmarkEnd w:id="74"/>
      <w:bookmarkEnd w:id="75"/>
    </w:p>
    <w:p w14:paraId="35599A90" w14:textId="1B33FBD1" w:rsidR="00805F6B" w:rsidRPr="00805F6B" w:rsidRDefault="00805F6B" w:rsidP="00805F6B">
      <w:pPr>
        <w:pStyle w:val="Body"/>
        <w:rPr>
          <w:b/>
          <w:bCs/>
        </w:rPr>
      </w:pPr>
      <w:r w:rsidRPr="00805F6B">
        <w:rPr>
          <w:b/>
          <w:bCs/>
        </w:rPr>
        <w:t>I, James Downie, as the accountable authority of the Independent Hospital Pricing Authority (IHPA), present the 2019–</w:t>
      </w:r>
      <w:r w:rsidR="00687F9F">
        <w:rPr>
          <w:rFonts w:ascii="Arial" w:hAnsi="Arial" w:cs="Arial" w:hint="cs"/>
          <w:b/>
          <w:bCs/>
          <w:rtl/>
        </w:rPr>
        <w:t>‍</w:t>
      </w:r>
      <w:r w:rsidRPr="00805F6B">
        <w:rPr>
          <w:b/>
          <w:bCs/>
        </w:rPr>
        <w:t xml:space="preserve">20 annual performance statements of IHPA, as required under paragraph 39(1)(a) of the </w:t>
      </w:r>
      <w:r w:rsidRPr="00805F6B">
        <w:rPr>
          <w:b/>
          <w:bCs/>
          <w:i/>
          <w:iCs/>
        </w:rPr>
        <w:t>Public Governance, Performance and Accountability Act</w:t>
      </w:r>
      <w:r w:rsidR="00687F9F">
        <w:rPr>
          <w:b/>
          <w:bCs/>
          <w:i/>
          <w:iCs/>
        </w:rPr>
        <w:t> </w:t>
      </w:r>
      <w:r w:rsidRPr="00805F6B">
        <w:rPr>
          <w:b/>
          <w:bCs/>
          <w:i/>
          <w:iCs/>
        </w:rPr>
        <w:t>2013</w:t>
      </w:r>
      <w:r w:rsidR="00687F9F">
        <w:rPr>
          <w:b/>
          <w:bCs/>
        </w:rPr>
        <w:t> </w:t>
      </w:r>
      <w:r w:rsidRPr="00805F6B">
        <w:rPr>
          <w:b/>
          <w:bCs/>
        </w:rPr>
        <w:t>(PGPA Act).</w:t>
      </w:r>
    </w:p>
    <w:p w14:paraId="202719D1" w14:textId="05D16FC1" w:rsidR="006335F9" w:rsidRDefault="00805F6B" w:rsidP="00805F6B">
      <w:pPr>
        <w:pStyle w:val="Body"/>
      </w:pPr>
      <w:r>
        <w:br w:type="column"/>
      </w:r>
      <w:r>
        <w:t>In my opinion, these annual performance statements are based on properly maintained</w:t>
      </w:r>
      <w:r w:rsidR="00687F9F">
        <w:t> </w:t>
      </w:r>
      <w:r>
        <w:t>records, accurately reflect the performance of the entity, and comply with subsection 39(2) of the PGPA Act.</w:t>
      </w:r>
    </w:p>
    <w:p w14:paraId="0BE9DFB3" w14:textId="77777777" w:rsidR="001D4D30" w:rsidRDefault="001D4D30" w:rsidP="00805F6B">
      <w:pPr>
        <w:pStyle w:val="Body"/>
        <w:sectPr w:rsidR="001D4D30" w:rsidSect="00805F6B">
          <w:type w:val="continuous"/>
          <w:pgSz w:w="9979" w:h="14175" w:code="13"/>
          <w:pgMar w:top="1134" w:right="1418" w:bottom="1276" w:left="1418" w:header="709" w:footer="709" w:gutter="0"/>
          <w:cols w:num="2" w:space="708"/>
          <w:docGrid w:linePitch="360"/>
        </w:sectPr>
      </w:pPr>
    </w:p>
    <w:p w14:paraId="0C7384CC" w14:textId="4EB8FCB4" w:rsidR="001D4D30" w:rsidRDefault="001D4D30" w:rsidP="00805F6B">
      <w:pPr>
        <w:pStyle w:val="Body"/>
      </w:pPr>
    </w:p>
    <w:p w14:paraId="3A667E5D" w14:textId="77777777" w:rsidR="001D4D30" w:rsidRDefault="001D4D30" w:rsidP="00805F6B">
      <w:pPr>
        <w:pStyle w:val="Body"/>
      </w:pPr>
    </w:p>
    <w:p w14:paraId="0CC23096" w14:textId="77777777" w:rsidR="004B4304" w:rsidRDefault="004B4304" w:rsidP="001D4D30">
      <w:pPr>
        <w:pStyle w:val="Heading1"/>
        <w:rPr>
          <w:color w:val="5E2F7E" w:themeColor="accent5"/>
        </w:rPr>
        <w:sectPr w:rsidR="004B4304" w:rsidSect="001D4D30">
          <w:headerReference w:type="default" r:id="rId78"/>
          <w:type w:val="continuous"/>
          <w:pgSz w:w="9979" w:h="14175" w:code="13"/>
          <w:pgMar w:top="1134" w:right="1418" w:bottom="1276" w:left="1418" w:header="709" w:footer="709" w:gutter="0"/>
          <w:cols w:space="708"/>
          <w:docGrid w:linePitch="360"/>
        </w:sectPr>
      </w:pPr>
      <w:bookmarkStart w:id="76" w:name="_Toc44350184"/>
    </w:p>
    <w:p w14:paraId="3D82F5F0" w14:textId="48C37090" w:rsidR="001D4D30" w:rsidRDefault="001D4D30" w:rsidP="001D4D30">
      <w:pPr>
        <w:pStyle w:val="Heading1"/>
        <w:rPr>
          <w:color w:val="5E2F7E" w:themeColor="accent5"/>
        </w:rPr>
      </w:pPr>
      <w:bookmarkStart w:id="77" w:name="_Toc50378079"/>
      <w:r w:rsidRPr="001D4D30">
        <w:rPr>
          <w:color w:val="5E2F7E" w:themeColor="accent5"/>
        </w:rPr>
        <w:lastRenderedPageBreak/>
        <w:t>Pe</w:t>
      </w:r>
      <w:r w:rsidRPr="0066511B">
        <w:rPr>
          <w:color w:val="5E2F7E" w:themeColor="accent5"/>
          <w:spacing w:val="20"/>
        </w:rPr>
        <w:t>rf</w:t>
      </w:r>
      <w:r w:rsidRPr="001D4D30">
        <w:rPr>
          <w:color w:val="5E2F7E" w:themeColor="accent5"/>
        </w:rPr>
        <w:t>ormance in 2019–20</w:t>
      </w:r>
      <w:bookmarkEnd w:id="76"/>
      <w:bookmarkEnd w:id="77"/>
    </w:p>
    <w:p w14:paraId="00BE316B" w14:textId="48EF57AC" w:rsidR="001D4D30" w:rsidRDefault="00663309" w:rsidP="005E60C8">
      <w:pPr>
        <w:pStyle w:val="FigureHeading"/>
      </w:pPr>
      <w:bookmarkStart w:id="78" w:name="_Toc48830271"/>
      <w:r>
        <w:t>Table</w:t>
      </w:r>
      <w:r w:rsidRPr="00663309">
        <w:t xml:space="preserve"> </w:t>
      </w:r>
      <w:r>
        <w:t>3</w:t>
      </w:r>
      <w:r w:rsidRPr="00663309">
        <w:t>: Relationship between 201</w:t>
      </w:r>
      <w:r>
        <w:t>9</w:t>
      </w:r>
      <w:r w:rsidRPr="00663309">
        <w:t>–</w:t>
      </w:r>
      <w:r>
        <w:t>20</w:t>
      </w:r>
      <w:r w:rsidRPr="00663309">
        <w:t xml:space="preserve"> Portfolio Budget Statements, IHPA</w:t>
      </w:r>
      <w:r w:rsidR="00687F9F">
        <w:t> </w:t>
      </w:r>
      <w:r w:rsidRPr="00663309">
        <w:t xml:space="preserve">Corporate Plan </w:t>
      </w:r>
      <w:r w:rsidR="006F35CE" w:rsidRPr="00663309">
        <w:t>201</w:t>
      </w:r>
      <w:r w:rsidR="006F35CE">
        <w:t>9</w:t>
      </w:r>
      <w:r w:rsidRPr="00663309">
        <w:t>–</w:t>
      </w:r>
      <w:r w:rsidR="006F35CE">
        <w:t>20</w:t>
      </w:r>
      <w:r w:rsidRPr="00663309">
        <w:t xml:space="preserve"> and the 201</w:t>
      </w:r>
      <w:r>
        <w:t>9</w:t>
      </w:r>
      <w:r w:rsidRPr="00663309">
        <w:t>–</w:t>
      </w:r>
      <w:r>
        <w:t>20</w:t>
      </w:r>
      <w:r w:rsidRPr="00663309">
        <w:t xml:space="preserve"> Annual Report Performance Statement</w:t>
      </w:r>
      <w:bookmarkEnd w:id="78"/>
    </w:p>
    <w:tbl>
      <w:tblPr>
        <w:tblW w:w="7238" w:type="dxa"/>
        <w:tblInd w:w="-8" w:type="dxa"/>
        <w:tblLayout w:type="fixed"/>
        <w:tblCellMar>
          <w:left w:w="0" w:type="dxa"/>
          <w:right w:w="113" w:type="dxa"/>
        </w:tblCellMar>
        <w:tblLook w:val="0000" w:firstRow="0" w:lastRow="0" w:firstColumn="0" w:lastColumn="0" w:noHBand="0" w:noVBand="0"/>
      </w:tblPr>
      <w:tblGrid>
        <w:gridCol w:w="4686"/>
        <w:gridCol w:w="76"/>
        <w:gridCol w:w="2476"/>
      </w:tblGrid>
      <w:tr w:rsidR="003C7FA7" w:rsidRPr="00906A47" w14:paraId="70154734" w14:textId="77777777" w:rsidTr="00C72EB0">
        <w:trPr>
          <w:trHeight w:val="20"/>
        </w:trPr>
        <w:tc>
          <w:tcPr>
            <w:tcW w:w="7238" w:type="dxa"/>
            <w:gridSpan w:val="3"/>
            <w:shd w:val="clear" w:color="auto" w:fill="5E2F7E" w:themeFill="accent5"/>
            <w:tcMar>
              <w:top w:w="113" w:type="dxa"/>
              <w:left w:w="113" w:type="dxa"/>
              <w:bottom w:w="113" w:type="dxa"/>
              <w:right w:w="113" w:type="dxa"/>
            </w:tcMar>
          </w:tcPr>
          <w:p w14:paraId="770F54A1" w14:textId="26FE09FD" w:rsidR="003C7FA7" w:rsidRPr="00906A47" w:rsidRDefault="003C7FA7" w:rsidP="003C7FA7">
            <w:pPr>
              <w:pStyle w:val="Body"/>
              <w:spacing w:after="0"/>
              <w:rPr>
                <w:rFonts w:ascii="Futura PT Book" w:hAnsi="Futura PT Book" w:cs="Futura PT Book"/>
                <w:b/>
                <w:bCs/>
                <w:color w:val="FFFFFF" w:themeColor="background2"/>
                <w:lang w:val="en-US"/>
              </w:rPr>
            </w:pPr>
            <w:r>
              <w:rPr>
                <w:b/>
                <w:bCs/>
                <w:color w:val="FFFFFF" w:themeColor="background2"/>
                <w:lang w:val="en-US"/>
              </w:rPr>
              <w:t>2019</w:t>
            </w:r>
            <w:r w:rsidR="005E60C8">
              <w:rPr>
                <w:b/>
                <w:bCs/>
                <w:color w:val="FFFFFF" w:themeColor="background2"/>
                <w:lang w:val="en-US"/>
              </w:rPr>
              <w:t>–</w:t>
            </w:r>
            <w:r>
              <w:rPr>
                <w:b/>
                <w:bCs/>
                <w:color w:val="FFFFFF" w:themeColor="background2"/>
                <w:lang w:val="en-US"/>
              </w:rPr>
              <w:t>20 Portfolio Budget Statements</w:t>
            </w:r>
          </w:p>
        </w:tc>
      </w:tr>
      <w:tr w:rsidR="003C7FA7" w:rsidRPr="00906A47" w14:paraId="478B3DC1" w14:textId="77777777" w:rsidTr="00C72EB0">
        <w:trPr>
          <w:trHeight w:val="20"/>
        </w:trPr>
        <w:tc>
          <w:tcPr>
            <w:tcW w:w="7238" w:type="dxa"/>
            <w:gridSpan w:val="3"/>
            <w:tcBorders>
              <w:bottom w:val="single" w:sz="4" w:space="0" w:color="A6A6A6" w:themeColor="background2" w:themeShade="A6"/>
            </w:tcBorders>
            <w:tcMar>
              <w:top w:w="113" w:type="dxa"/>
              <w:left w:w="113" w:type="dxa"/>
              <w:bottom w:w="113" w:type="dxa"/>
              <w:right w:w="113" w:type="dxa"/>
            </w:tcMar>
          </w:tcPr>
          <w:p w14:paraId="6E53440D" w14:textId="77777777" w:rsidR="003C7FA7" w:rsidRPr="00F06543" w:rsidRDefault="003C7FA7" w:rsidP="003C7FA7">
            <w:pPr>
              <w:pStyle w:val="Body"/>
              <w:spacing w:after="0"/>
              <w:rPr>
                <w:b/>
                <w:bCs/>
                <w:sz w:val="16"/>
                <w:szCs w:val="16"/>
              </w:rPr>
            </w:pPr>
            <w:r w:rsidRPr="00F06543">
              <w:rPr>
                <w:b/>
                <w:bCs/>
                <w:sz w:val="16"/>
                <w:szCs w:val="16"/>
              </w:rPr>
              <w:t>Outcome 1</w:t>
            </w:r>
          </w:p>
          <w:p w14:paraId="35505A5E" w14:textId="0B669F49" w:rsidR="003C7FA7" w:rsidRPr="00F06543" w:rsidRDefault="003C7FA7" w:rsidP="003C7FA7">
            <w:pPr>
              <w:pStyle w:val="Body"/>
              <w:spacing w:after="0"/>
              <w:rPr>
                <w:rFonts w:ascii="Futura PT Book" w:hAnsi="Futura PT Book" w:cs="Futura PT Book"/>
                <w:color w:val="000000"/>
                <w:sz w:val="16"/>
                <w:szCs w:val="16"/>
                <w:lang w:val="en-US"/>
              </w:rPr>
            </w:pPr>
            <w:r w:rsidRPr="00F06543">
              <w:rPr>
                <w:sz w:val="16"/>
                <w:szCs w:val="16"/>
              </w:rPr>
              <w:t>Promote improved efficiency in, and access to, public hospital services primarily through setting efficient national prices and levels of block funding for hospital activities</w:t>
            </w:r>
          </w:p>
        </w:tc>
      </w:tr>
      <w:tr w:rsidR="003C7FA7" w:rsidRPr="00906A47" w14:paraId="087E43F9" w14:textId="77777777" w:rsidTr="00C72EB0">
        <w:trPr>
          <w:trHeight w:val="20"/>
        </w:trPr>
        <w:tc>
          <w:tcPr>
            <w:tcW w:w="7238" w:type="dxa"/>
            <w:gridSpan w:val="3"/>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7EA051F" w14:textId="77777777" w:rsidR="003C7FA7" w:rsidRPr="00F06543" w:rsidRDefault="003C7FA7" w:rsidP="003C7FA7">
            <w:pPr>
              <w:pStyle w:val="Body"/>
              <w:spacing w:after="0"/>
              <w:rPr>
                <w:b/>
                <w:bCs/>
                <w:sz w:val="16"/>
                <w:szCs w:val="16"/>
              </w:rPr>
            </w:pPr>
            <w:r w:rsidRPr="00F06543">
              <w:rPr>
                <w:b/>
                <w:bCs/>
                <w:sz w:val="16"/>
                <w:szCs w:val="16"/>
              </w:rPr>
              <w:t>Program 1.1 Public Hospital Price Determinations</w:t>
            </w:r>
          </w:p>
          <w:p w14:paraId="299B856F" w14:textId="5B85CF6A" w:rsidR="003C7FA7" w:rsidRPr="00F06543" w:rsidRDefault="003C7FA7" w:rsidP="003C7FA7">
            <w:pPr>
              <w:pStyle w:val="Body"/>
              <w:spacing w:after="0"/>
              <w:rPr>
                <w:rFonts w:ascii="Futura PT Book" w:hAnsi="Futura PT Book" w:cs="Futura PT Book"/>
                <w:color w:val="000000"/>
                <w:sz w:val="16"/>
                <w:szCs w:val="16"/>
                <w:lang w:val="en-US"/>
              </w:rPr>
            </w:pPr>
            <w:r w:rsidRPr="00F06543">
              <w:rPr>
                <w:sz w:val="16"/>
                <w:szCs w:val="16"/>
              </w:rPr>
              <w:t>IHPA promotes improved efficiency in, and access to, public hospital services by providing independent advice</w:t>
            </w:r>
            <w:r w:rsidR="00687F9F">
              <w:rPr>
                <w:sz w:val="16"/>
                <w:szCs w:val="16"/>
              </w:rPr>
              <w:t> </w:t>
            </w:r>
            <w:r w:rsidRPr="00F06543">
              <w:rPr>
                <w:sz w:val="16"/>
                <w:szCs w:val="16"/>
              </w:rPr>
              <w:t>to</w:t>
            </w:r>
            <w:r w:rsidR="00687F9F">
              <w:rPr>
                <w:sz w:val="16"/>
                <w:szCs w:val="16"/>
              </w:rPr>
              <w:t> </w:t>
            </w:r>
            <w:r w:rsidRPr="00F06543">
              <w:rPr>
                <w:sz w:val="16"/>
                <w:szCs w:val="16"/>
              </w:rPr>
              <w:t>the Australian Government and state and territory governments regarding the efficient price of healthcare</w:t>
            </w:r>
            <w:r w:rsidR="00687F9F">
              <w:rPr>
                <w:sz w:val="16"/>
                <w:szCs w:val="16"/>
              </w:rPr>
              <w:t> </w:t>
            </w:r>
            <w:r w:rsidRPr="00F06543">
              <w:rPr>
                <w:sz w:val="16"/>
                <w:szCs w:val="16"/>
              </w:rPr>
              <w:t>services, and by developing and implementing robust systems to support activity based funding for</w:t>
            </w:r>
            <w:r w:rsidR="00687F9F">
              <w:rPr>
                <w:sz w:val="16"/>
                <w:szCs w:val="16"/>
              </w:rPr>
              <w:t> </w:t>
            </w:r>
            <w:r w:rsidRPr="00F06543">
              <w:rPr>
                <w:sz w:val="16"/>
                <w:szCs w:val="16"/>
              </w:rPr>
              <w:t>those services</w:t>
            </w:r>
          </w:p>
        </w:tc>
      </w:tr>
      <w:tr w:rsidR="003C7FA7" w:rsidRPr="00906A47" w14:paraId="046DB233" w14:textId="77777777" w:rsidTr="00C72EB0">
        <w:trPr>
          <w:trHeight w:val="20"/>
        </w:trPr>
        <w:tc>
          <w:tcPr>
            <w:tcW w:w="7238" w:type="dxa"/>
            <w:gridSpan w:val="3"/>
            <w:tcBorders>
              <w:top w:val="single" w:sz="4" w:space="0" w:color="A6A6A6" w:themeColor="background2" w:themeShade="A6"/>
              <w:bottom w:val="single" w:sz="4" w:space="0" w:color="A6A6A6" w:themeColor="background2" w:themeShade="A6"/>
            </w:tcBorders>
            <w:shd w:val="clear" w:color="auto" w:fill="F2F2F2" w:themeFill="background2" w:themeFillShade="F2"/>
            <w:tcMar>
              <w:top w:w="113" w:type="dxa"/>
              <w:left w:w="113" w:type="dxa"/>
              <w:bottom w:w="113" w:type="dxa"/>
              <w:right w:w="113" w:type="dxa"/>
            </w:tcMar>
          </w:tcPr>
          <w:p w14:paraId="49BA853C" w14:textId="53BE18F1" w:rsidR="003C7FA7" w:rsidRPr="003C7FA7" w:rsidRDefault="003C7FA7" w:rsidP="003C7FA7">
            <w:pPr>
              <w:pStyle w:val="Body"/>
              <w:spacing w:after="0"/>
              <w:rPr>
                <w:rFonts w:ascii="Futura PT Book" w:hAnsi="Futura PT Book" w:cs="Futura PT Book"/>
                <w:b/>
                <w:bCs/>
                <w:color w:val="000000"/>
                <w:sz w:val="16"/>
                <w:szCs w:val="16"/>
                <w:lang w:val="en-US"/>
              </w:rPr>
            </w:pPr>
            <w:r w:rsidRPr="003C7FA7">
              <w:rPr>
                <w:b/>
                <w:bCs/>
              </w:rPr>
              <w:t>2019–20 Corporate Plan</w:t>
            </w:r>
          </w:p>
        </w:tc>
      </w:tr>
      <w:tr w:rsidR="003C7FA7" w:rsidRPr="00906A47" w14:paraId="06EB18F1" w14:textId="77777777" w:rsidTr="00C72EB0">
        <w:trPr>
          <w:trHeight w:val="20"/>
        </w:trPr>
        <w:tc>
          <w:tcPr>
            <w:tcW w:w="7238" w:type="dxa"/>
            <w:gridSpan w:val="3"/>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B08BB67" w14:textId="77777777" w:rsidR="003C7FA7" w:rsidRPr="00F06543" w:rsidRDefault="003C7FA7" w:rsidP="003C7FA7">
            <w:pPr>
              <w:pStyle w:val="Body"/>
              <w:spacing w:after="0"/>
              <w:rPr>
                <w:b/>
                <w:bCs/>
                <w:sz w:val="16"/>
                <w:szCs w:val="16"/>
              </w:rPr>
            </w:pPr>
            <w:r w:rsidRPr="00F06543">
              <w:rPr>
                <w:b/>
                <w:bCs/>
                <w:sz w:val="16"/>
                <w:szCs w:val="16"/>
              </w:rPr>
              <w:t>Purpose</w:t>
            </w:r>
          </w:p>
          <w:p w14:paraId="39E67F3A" w14:textId="590A3110" w:rsidR="003C7FA7" w:rsidRPr="00F06543" w:rsidRDefault="003C7FA7" w:rsidP="003C7FA7">
            <w:pPr>
              <w:pStyle w:val="Body"/>
              <w:spacing w:after="0"/>
              <w:rPr>
                <w:rFonts w:ascii="Futura PT Book" w:hAnsi="Futura PT Book" w:cs="Futura PT Book"/>
                <w:color w:val="000000"/>
                <w:sz w:val="16"/>
                <w:szCs w:val="16"/>
                <w:lang w:val="en-US"/>
              </w:rPr>
            </w:pPr>
            <w:r w:rsidRPr="00F06543">
              <w:rPr>
                <w:sz w:val="16"/>
                <w:szCs w:val="16"/>
              </w:rPr>
              <w:t>To determine the National Efficient Price and the National Efficient Cost for public hospital services</w:t>
            </w:r>
          </w:p>
        </w:tc>
      </w:tr>
      <w:tr w:rsidR="003C7FA7" w:rsidRPr="00906A47" w14:paraId="5431C055" w14:textId="77777777" w:rsidTr="00C72EB0">
        <w:trPr>
          <w:trHeight w:val="20"/>
        </w:trPr>
        <w:tc>
          <w:tcPr>
            <w:tcW w:w="468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BD73C26" w14:textId="77777777" w:rsidR="003C7FA7" w:rsidRPr="00F06543" w:rsidRDefault="003C7FA7" w:rsidP="003C7FA7">
            <w:pPr>
              <w:pStyle w:val="Body"/>
              <w:spacing w:after="0"/>
              <w:rPr>
                <w:b/>
                <w:bCs/>
                <w:sz w:val="16"/>
                <w:szCs w:val="16"/>
              </w:rPr>
            </w:pPr>
            <w:r w:rsidRPr="00F06543">
              <w:rPr>
                <w:b/>
                <w:bCs/>
                <w:sz w:val="16"/>
                <w:szCs w:val="16"/>
              </w:rPr>
              <w:t>Strategic objective 1</w:t>
            </w:r>
          </w:p>
          <w:p w14:paraId="042888E1" w14:textId="4B2B576B" w:rsidR="003C7FA7" w:rsidRPr="00F06543" w:rsidRDefault="003C7FA7" w:rsidP="003C7FA7">
            <w:pPr>
              <w:pStyle w:val="Body"/>
              <w:spacing w:after="0"/>
              <w:rPr>
                <w:rFonts w:ascii="Futura PT Book" w:hAnsi="Futura PT Book" w:cs="Futura PT Book"/>
                <w:color w:val="000000"/>
                <w:sz w:val="16"/>
                <w:szCs w:val="16"/>
                <w:lang w:val="en-US"/>
              </w:rPr>
            </w:pPr>
            <w:r w:rsidRPr="00F06543">
              <w:rPr>
                <w:sz w:val="16"/>
                <w:szCs w:val="16"/>
              </w:rPr>
              <w:t>Perform IHPA pricing functions</w:t>
            </w:r>
          </w:p>
        </w:tc>
        <w:tc>
          <w:tcPr>
            <w:tcW w:w="255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217E37A" w14:textId="48B3A537" w:rsidR="003C7FA7" w:rsidRPr="00F06543" w:rsidRDefault="00513D1A" w:rsidP="003C7FA7">
            <w:pPr>
              <w:pStyle w:val="Body"/>
              <w:spacing w:after="0"/>
              <w:jc w:val="right"/>
              <w:rPr>
                <w:rFonts w:ascii="Futura PT Book" w:hAnsi="Futura PT Book" w:cs="Futura PT Book"/>
                <w:color w:val="000000"/>
                <w:sz w:val="16"/>
                <w:szCs w:val="16"/>
                <w:lang w:val="en-US"/>
              </w:rPr>
            </w:pPr>
            <w:r w:rsidRPr="00C4041D">
              <w:rPr>
                <w:sz w:val="16"/>
                <w:szCs w:val="16"/>
              </w:rPr>
              <w:t xml:space="preserve">Activity </w:t>
            </w:r>
            <w:r>
              <w:rPr>
                <w:sz w:val="16"/>
                <w:szCs w:val="16"/>
              </w:rPr>
              <w:t>1</w:t>
            </w:r>
            <w:r w:rsidR="00C72EB0">
              <w:rPr>
                <w:sz w:val="16"/>
                <w:szCs w:val="16"/>
              </w:rPr>
              <w:t>: Perform IHPA Pricing Functions</w:t>
            </w:r>
          </w:p>
        </w:tc>
      </w:tr>
      <w:tr w:rsidR="003C7FA7" w:rsidRPr="00906A47" w14:paraId="3FED3A22" w14:textId="77777777" w:rsidTr="00C72EB0">
        <w:trPr>
          <w:trHeight w:val="20"/>
        </w:trPr>
        <w:tc>
          <w:tcPr>
            <w:tcW w:w="476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11D3822" w14:textId="77777777" w:rsidR="003C7FA7" w:rsidRPr="00F06543" w:rsidRDefault="003C7FA7" w:rsidP="003C7FA7">
            <w:pPr>
              <w:pStyle w:val="Body"/>
              <w:spacing w:after="0"/>
              <w:rPr>
                <w:b/>
                <w:bCs/>
                <w:sz w:val="16"/>
                <w:szCs w:val="16"/>
              </w:rPr>
            </w:pPr>
            <w:r w:rsidRPr="00F06543">
              <w:rPr>
                <w:b/>
                <w:bCs/>
                <w:sz w:val="16"/>
                <w:szCs w:val="16"/>
              </w:rPr>
              <w:t>Strategic objective 2</w:t>
            </w:r>
          </w:p>
          <w:p w14:paraId="13AC4FAD" w14:textId="08FF72E1" w:rsidR="003C7FA7" w:rsidRPr="00F06543" w:rsidRDefault="003C7FA7" w:rsidP="003C7FA7">
            <w:pPr>
              <w:pStyle w:val="Body"/>
              <w:spacing w:after="0"/>
              <w:rPr>
                <w:sz w:val="16"/>
                <w:szCs w:val="16"/>
              </w:rPr>
            </w:pPr>
            <w:r w:rsidRPr="00F06543">
              <w:rPr>
                <w:sz w:val="16"/>
                <w:szCs w:val="16"/>
              </w:rPr>
              <w:t>Refine and develop hospital activity classification systems</w:t>
            </w:r>
          </w:p>
        </w:tc>
        <w:tc>
          <w:tcPr>
            <w:tcW w:w="24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4796EAC" w14:textId="4A40C196" w:rsidR="003C7FA7" w:rsidRPr="00F06543" w:rsidRDefault="00C4041D" w:rsidP="003C7FA7">
            <w:pPr>
              <w:pStyle w:val="Body"/>
              <w:spacing w:after="0"/>
              <w:jc w:val="right"/>
              <w:rPr>
                <w:sz w:val="16"/>
                <w:szCs w:val="16"/>
              </w:rPr>
            </w:pPr>
            <w:r w:rsidRPr="00C4041D">
              <w:rPr>
                <w:sz w:val="16"/>
                <w:szCs w:val="16"/>
              </w:rPr>
              <w:t>Activity 2: Refine and develop national classification systems</w:t>
            </w:r>
          </w:p>
        </w:tc>
      </w:tr>
      <w:tr w:rsidR="003C7FA7" w:rsidRPr="00906A47" w14:paraId="6A1493BA" w14:textId="77777777" w:rsidTr="00C72EB0">
        <w:trPr>
          <w:trHeight w:val="20"/>
        </w:trPr>
        <w:tc>
          <w:tcPr>
            <w:tcW w:w="476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394F037" w14:textId="3BFB0979" w:rsidR="003C7FA7" w:rsidRPr="00F06543" w:rsidRDefault="003C7FA7" w:rsidP="003C7FA7">
            <w:pPr>
              <w:pStyle w:val="Body"/>
              <w:spacing w:after="0"/>
              <w:rPr>
                <w:b/>
                <w:bCs/>
                <w:sz w:val="16"/>
                <w:szCs w:val="16"/>
              </w:rPr>
            </w:pPr>
            <w:r w:rsidRPr="00F06543">
              <w:rPr>
                <w:b/>
                <w:bCs/>
                <w:sz w:val="16"/>
                <w:szCs w:val="16"/>
              </w:rPr>
              <w:t>Strategic objective 3</w:t>
            </w:r>
          </w:p>
          <w:p w14:paraId="0ADC0E3C" w14:textId="57D53124" w:rsidR="003C7FA7" w:rsidRPr="00F06543" w:rsidRDefault="003C7FA7" w:rsidP="003C7FA7">
            <w:pPr>
              <w:pStyle w:val="Body"/>
              <w:spacing w:after="0"/>
              <w:rPr>
                <w:sz w:val="16"/>
                <w:szCs w:val="16"/>
              </w:rPr>
            </w:pPr>
            <w:r w:rsidRPr="00F06543">
              <w:rPr>
                <w:sz w:val="16"/>
                <w:szCs w:val="16"/>
              </w:rPr>
              <w:t>Refine and improve hospital costing</w:t>
            </w:r>
          </w:p>
        </w:tc>
        <w:tc>
          <w:tcPr>
            <w:tcW w:w="24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71ACC25" w14:textId="2DD88EF4" w:rsidR="003C7FA7" w:rsidRPr="00F06543" w:rsidRDefault="003C7FA7" w:rsidP="003C7FA7">
            <w:pPr>
              <w:pStyle w:val="Body"/>
              <w:spacing w:after="0"/>
              <w:jc w:val="right"/>
              <w:rPr>
                <w:sz w:val="16"/>
                <w:szCs w:val="16"/>
              </w:rPr>
            </w:pPr>
            <w:r w:rsidRPr="00F06543">
              <w:rPr>
                <w:sz w:val="16"/>
                <w:szCs w:val="16"/>
              </w:rPr>
              <w:t>Activity 3: Refine and improve hospital costing</w:t>
            </w:r>
          </w:p>
        </w:tc>
      </w:tr>
      <w:tr w:rsidR="003C7FA7" w:rsidRPr="00906A47" w14:paraId="5EFC281F" w14:textId="77777777" w:rsidTr="00C72EB0">
        <w:trPr>
          <w:trHeight w:val="20"/>
        </w:trPr>
        <w:tc>
          <w:tcPr>
            <w:tcW w:w="476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CCCCB31" w14:textId="113600CE" w:rsidR="003C7FA7" w:rsidRPr="00F06543" w:rsidRDefault="003C7FA7" w:rsidP="003C7FA7">
            <w:pPr>
              <w:pStyle w:val="Body"/>
              <w:spacing w:after="0"/>
              <w:rPr>
                <w:b/>
                <w:bCs/>
                <w:sz w:val="16"/>
                <w:szCs w:val="16"/>
              </w:rPr>
            </w:pPr>
            <w:r w:rsidRPr="00F06543">
              <w:rPr>
                <w:b/>
                <w:bCs/>
                <w:sz w:val="16"/>
                <w:szCs w:val="16"/>
              </w:rPr>
              <w:t>Strategic objective 4</w:t>
            </w:r>
          </w:p>
          <w:p w14:paraId="32742D26" w14:textId="5B678DE3" w:rsidR="003C7FA7" w:rsidRPr="00F06543" w:rsidRDefault="003C7FA7" w:rsidP="003C7FA7">
            <w:pPr>
              <w:pStyle w:val="Body"/>
              <w:spacing w:after="0"/>
              <w:rPr>
                <w:sz w:val="16"/>
                <w:szCs w:val="16"/>
              </w:rPr>
            </w:pPr>
            <w:r w:rsidRPr="00F06543">
              <w:rPr>
                <w:sz w:val="16"/>
                <w:szCs w:val="16"/>
              </w:rPr>
              <w:t>Determine data requirements and collect data</w:t>
            </w:r>
          </w:p>
        </w:tc>
        <w:tc>
          <w:tcPr>
            <w:tcW w:w="24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DF4D7D5" w14:textId="1B353AEC" w:rsidR="003C7FA7" w:rsidRPr="00F06543" w:rsidRDefault="003C7FA7" w:rsidP="003C7FA7">
            <w:pPr>
              <w:pStyle w:val="Body"/>
              <w:spacing w:after="0"/>
              <w:jc w:val="right"/>
              <w:rPr>
                <w:sz w:val="16"/>
                <w:szCs w:val="16"/>
              </w:rPr>
            </w:pPr>
            <w:r w:rsidRPr="00F06543">
              <w:rPr>
                <w:sz w:val="16"/>
                <w:szCs w:val="16"/>
              </w:rPr>
              <w:t>Activity 4: Develop hospital data requirements and collect data</w:t>
            </w:r>
          </w:p>
        </w:tc>
      </w:tr>
      <w:tr w:rsidR="003C7FA7" w:rsidRPr="00906A47" w14:paraId="316011F3" w14:textId="77777777" w:rsidTr="00C72EB0">
        <w:trPr>
          <w:trHeight w:val="20"/>
        </w:trPr>
        <w:tc>
          <w:tcPr>
            <w:tcW w:w="476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08ADEF5" w14:textId="317DDE85" w:rsidR="003C7FA7" w:rsidRPr="00F06543" w:rsidRDefault="003C7FA7" w:rsidP="003C7FA7">
            <w:pPr>
              <w:pStyle w:val="Body"/>
              <w:spacing w:after="0"/>
              <w:rPr>
                <w:b/>
                <w:bCs/>
                <w:sz w:val="16"/>
                <w:szCs w:val="16"/>
              </w:rPr>
            </w:pPr>
            <w:r w:rsidRPr="00F06543">
              <w:rPr>
                <w:b/>
                <w:bCs/>
                <w:sz w:val="16"/>
                <w:szCs w:val="16"/>
              </w:rPr>
              <w:t>Strategic objective 5</w:t>
            </w:r>
          </w:p>
          <w:p w14:paraId="0A9C0827" w14:textId="10672B8C" w:rsidR="003C7FA7" w:rsidRPr="00F06543" w:rsidRDefault="003C7FA7" w:rsidP="003C7FA7">
            <w:pPr>
              <w:pStyle w:val="Body"/>
              <w:spacing w:after="0"/>
              <w:rPr>
                <w:sz w:val="16"/>
                <w:szCs w:val="16"/>
              </w:rPr>
            </w:pPr>
            <w:r w:rsidRPr="00F06543">
              <w:rPr>
                <w:sz w:val="16"/>
                <w:szCs w:val="16"/>
              </w:rPr>
              <w:t>Resolve disputes on cost‑shifting and cross‑border issues</w:t>
            </w:r>
          </w:p>
        </w:tc>
        <w:tc>
          <w:tcPr>
            <w:tcW w:w="24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EF1804F" w14:textId="751CA3F9" w:rsidR="003C7FA7" w:rsidRPr="00F06543" w:rsidRDefault="003C7FA7" w:rsidP="003C7FA7">
            <w:pPr>
              <w:pStyle w:val="Body"/>
              <w:spacing w:after="0"/>
              <w:jc w:val="right"/>
              <w:rPr>
                <w:sz w:val="16"/>
                <w:szCs w:val="16"/>
              </w:rPr>
            </w:pPr>
            <w:r w:rsidRPr="00F06543">
              <w:rPr>
                <w:sz w:val="16"/>
                <w:szCs w:val="16"/>
              </w:rPr>
              <w:t>Activity 5: Resolve disputes on cost‑shifting and cross‑border issues</w:t>
            </w:r>
          </w:p>
        </w:tc>
      </w:tr>
      <w:tr w:rsidR="003C7FA7" w:rsidRPr="00906A47" w14:paraId="70DC81D0" w14:textId="77777777" w:rsidTr="00C72EB0">
        <w:trPr>
          <w:trHeight w:val="20"/>
        </w:trPr>
        <w:tc>
          <w:tcPr>
            <w:tcW w:w="4762"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4B8EC6B" w14:textId="3911CA2F" w:rsidR="003C7FA7" w:rsidRPr="00F06543" w:rsidRDefault="003C7FA7" w:rsidP="003C7FA7">
            <w:pPr>
              <w:pStyle w:val="Body"/>
              <w:spacing w:after="0"/>
              <w:rPr>
                <w:b/>
                <w:bCs/>
                <w:sz w:val="16"/>
                <w:szCs w:val="16"/>
              </w:rPr>
            </w:pPr>
            <w:r w:rsidRPr="00F06543">
              <w:rPr>
                <w:b/>
                <w:bCs/>
                <w:sz w:val="16"/>
                <w:szCs w:val="16"/>
              </w:rPr>
              <w:t>Strategic objective 6</w:t>
            </w:r>
          </w:p>
          <w:p w14:paraId="022861A7" w14:textId="517A024D" w:rsidR="003C7FA7" w:rsidRPr="00F06543" w:rsidRDefault="003C7FA7" w:rsidP="003C7FA7">
            <w:pPr>
              <w:pStyle w:val="Body"/>
              <w:spacing w:after="0"/>
              <w:rPr>
                <w:b/>
                <w:bCs/>
                <w:sz w:val="16"/>
                <w:szCs w:val="16"/>
              </w:rPr>
            </w:pPr>
            <w:r w:rsidRPr="00F06543">
              <w:rPr>
                <w:sz w:val="16"/>
                <w:szCs w:val="16"/>
              </w:rPr>
              <w:t>Independent and transparent decision-making and engagement with</w:t>
            </w:r>
            <w:r w:rsidR="00687F9F">
              <w:rPr>
                <w:sz w:val="16"/>
                <w:szCs w:val="16"/>
              </w:rPr>
              <w:t> </w:t>
            </w:r>
            <w:r w:rsidRPr="00F06543">
              <w:rPr>
                <w:sz w:val="16"/>
                <w:szCs w:val="16"/>
              </w:rPr>
              <w:t>stakeholders</w:t>
            </w:r>
          </w:p>
        </w:tc>
        <w:tc>
          <w:tcPr>
            <w:tcW w:w="24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236F186" w14:textId="4E0D0BDD" w:rsidR="003C7FA7" w:rsidRPr="00F06543" w:rsidRDefault="003C7FA7" w:rsidP="003C7FA7">
            <w:pPr>
              <w:pStyle w:val="Body"/>
              <w:spacing w:after="0"/>
              <w:jc w:val="right"/>
              <w:rPr>
                <w:sz w:val="16"/>
                <w:szCs w:val="16"/>
              </w:rPr>
            </w:pPr>
            <w:r w:rsidRPr="00F06543">
              <w:rPr>
                <w:sz w:val="16"/>
                <w:szCs w:val="16"/>
              </w:rPr>
              <w:t xml:space="preserve">Activity </w:t>
            </w:r>
            <w:r w:rsidR="00513D1A">
              <w:rPr>
                <w:sz w:val="16"/>
                <w:szCs w:val="16"/>
              </w:rPr>
              <w:t>6</w:t>
            </w:r>
            <w:r w:rsidRPr="00F06543">
              <w:rPr>
                <w:sz w:val="16"/>
                <w:szCs w:val="16"/>
              </w:rPr>
              <w:t xml:space="preserve">: </w:t>
            </w:r>
            <w:r w:rsidR="00513D1A">
              <w:rPr>
                <w:sz w:val="16"/>
                <w:szCs w:val="16"/>
              </w:rPr>
              <w:t>Independent and transparent decision-making and engagement with stakeholders</w:t>
            </w:r>
          </w:p>
        </w:tc>
      </w:tr>
    </w:tbl>
    <w:p w14:paraId="5F2C13E6" w14:textId="605C2DC4" w:rsidR="00663309" w:rsidRDefault="00663309" w:rsidP="001D4D30">
      <w:pPr>
        <w:pStyle w:val="Body"/>
      </w:pPr>
    </w:p>
    <w:p w14:paraId="38EC5F96" w14:textId="77777777" w:rsidR="006F35CE" w:rsidRDefault="006F35CE">
      <w:pPr>
        <w:rPr>
          <w:rFonts w:ascii="Futura PT Demi" w:hAnsi="Futura PT Demi"/>
          <w:bCs/>
          <w:color w:val="1C1C1C"/>
          <w:szCs w:val="18"/>
        </w:rPr>
      </w:pPr>
      <w:r>
        <w:lastRenderedPageBreak/>
        <w:br w:type="page"/>
      </w:r>
    </w:p>
    <w:p w14:paraId="4B54A9F2" w14:textId="5756D313" w:rsidR="009434CA" w:rsidRDefault="009434CA" w:rsidP="009434CA">
      <w:pPr>
        <w:pStyle w:val="FigureHeading"/>
      </w:pPr>
      <w:bookmarkStart w:id="79" w:name="_Toc48830272"/>
      <w:r w:rsidRPr="009434CA">
        <w:lastRenderedPageBreak/>
        <w:t xml:space="preserve">Table </w:t>
      </w:r>
      <w:r>
        <w:t>4</w:t>
      </w:r>
      <w:r w:rsidRPr="009434CA">
        <w:t xml:space="preserve">: </w:t>
      </w:r>
      <w:r>
        <w:t>Summary of Performance for 2019–20</w:t>
      </w:r>
      <w:bookmarkEnd w:id="79"/>
    </w:p>
    <w:tbl>
      <w:tblPr>
        <w:tblW w:w="7238" w:type="dxa"/>
        <w:tblInd w:w="-8" w:type="dxa"/>
        <w:tblLayout w:type="fixed"/>
        <w:tblCellMar>
          <w:left w:w="0" w:type="dxa"/>
          <w:right w:w="113" w:type="dxa"/>
        </w:tblCellMar>
        <w:tblLook w:val="0000" w:firstRow="0" w:lastRow="0" w:firstColumn="0" w:lastColumn="0" w:noHBand="0" w:noVBand="0"/>
      </w:tblPr>
      <w:tblGrid>
        <w:gridCol w:w="5820"/>
        <w:gridCol w:w="246"/>
        <w:gridCol w:w="1134"/>
        <w:gridCol w:w="38"/>
      </w:tblGrid>
      <w:tr w:rsidR="00F11542" w:rsidRPr="00906A47" w14:paraId="36CDC3F6" w14:textId="77777777" w:rsidTr="00512548">
        <w:trPr>
          <w:trHeight w:val="20"/>
        </w:trPr>
        <w:tc>
          <w:tcPr>
            <w:tcW w:w="7238" w:type="dxa"/>
            <w:gridSpan w:val="4"/>
            <w:shd w:val="clear" w:color="auto" w:fill="5E2F7E" w:themeFill="accent5"/>
            <w:tcMar>
              <w:top w:w="113" w:type="dxa"/>
              <w:left w:w="113" w:type="dxa"/>
              <w:bottom w:w="113" w:type="dxa"/>
              <w:right w:w="113" w:type="dxa"/>
            </w:tcMar>
          </w:tcPr>
          <w:p w14:paraId="7052E2A5" w14:textId="0D1AA2D7" w:rsidR="00F11542" w:rsidRPr="00906A47" w:rsidRDefault="00F11542" w:rsidP="00512548">
            <w:pPr>
              <w:pStyle w:val="Body"/>
              <w:spacing w:after="0"/>
              <w:rPr>
                <w:rFonts w:ascii="Futura PT Book" w:hAnsi="Futura PT Book" w:cs="Futura PT Book"/>
                <w:b/>
                <w:bCs/>
                <w:color w:val="FFFFFF" w:themeColor="background2"/>
                <w:lang w:val="en-US"/>
              </w:rPr>
            </w:pPr>
            <w:r w:rsidRPr="00F11542">
              <w:rPr>
                <w:b/>
                <w:bCs/>
                <w:color w:val="FFFFFF" w:themeColor="background2"/>
                <w:lang w:val="en-US"/>
              </w:rPr>
              <w:t>1. Perform IHPA pricing functions</w:t>
            </w:r>
          </w:p>
        </w:tc>
      </w:tr>
      <w:tr w:rsidR="00F11542" w:rsidRPr="00906A47" w14:paraId="48181F33" w14:textId="77777777" w:rsidTr="001F7E1A">
        <w:trPr>
          <w:gridAfter w:val="1"/>
          <w:wAfter w:w="38" w:type="dxa"/>
          <w:trHeight w:val="20"/>
        </w:trPr>
        <w:tc>
          <w:tcPr>
            <w:tcW w:w="6066"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15E3DF0" w14:textId="1EB44712" w:rsidR="00F11542" w:rsidRPr="00FF5133" w:rsidRDefault="00F11542" w:rsidP="00F11542">
            <w:pPr>
              <w:pStyle w:val="Body"/>
              <w:spacing w:after="0"/>
              <w:rPr>
                <w:sz w:val="16"/>
                <w:szCs w:val="16"/>
              </w:rPr>
            </w:pPr>
            <w:r w:rsidRPr="00FF5133">
              <w:rPr>
                <w:sz w:val="16"/>
                <w:szCs w:val="16"/>
              </w:rPr>
              <w:t>Publish the Pricing Framework for Australian Public Hospital Services 2019–20 by 31</w:t>
            </w:r>
            <w:r w:rsidR="00687F9F">
              <w:rPr>
                <w:sz w:val="16"/>
                <w:szCs w:val="16"/>
              </w:rPr>
              <w:t> </w:t>
            </w:r>
            <w:r w:rsidRPr="00FF5133">
              <w:rPr>
                <w:sz w:val="16"/>
                <w:szCs w:val="16"/>
              </w:rPr>
              <w:t>December 2019</w:t>
            </w:r>
          </w:p>
        </w:tc>
        <w:tc>
          <w:tcPr>
            <w:tcW w:w="113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77B166C" w14:textId="5B4D4943" w:rsidR="00F11542" w:rsidRPr="00FF5133" w:rsidRDefault="00F11542" w:rsidP="00F11542">
            <w:pPr>
              <w:pStyle w:val="Body"/>
              <w:spacing w:after="0"/>
              <w:jc w:val="right"/>
              <w:rPr>
                <w:sz w:val="16"/>
                <w:szCs w:val="16"/>
              </w:rPr>
            </w:pPr>
            <w:r w:rsidRPr="00FF5133">
              <w:rPr>
                <w:sz w:val="16"/>
                <w:szCs w:val="16"/>
              </w:rPr>
              <w:t>Delivered</w:t>
            </w:r>
          </w:p>
        </w:tc>
      </w:tr>
      <w:tr w:rsidR="00F11542" w:rsidRPr="00906A47" w14:paraId="3445EF3B" w14:textId="77777777" w:rsidTr="001F7E1A">
        <w:trPr>
          <w:gridAfter w:val="1"/>
          <w:wAfter w:w="38" w:type="dxa"/>
          <w:trHeight w:val="20"/>
        </w:trPr>
        <w:tc>
          <w:tcPr>
            <w:tcW w:w="6066"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8AC3276" w14:textId="30241854" w:rsidR="00F11542" w:rsidRPr="00FF5133" w:rsidRDefault="00F11542" w:rsidP="00F11542">
            <w:pPr>
              <w:pStyle w:val="Body"/>
              <w:spacing w:after="0"/>
              <w:rPr>
                <w:sz w:val="16"/>
                <w:szCs w:val="16"/>
              </w:rPr>
            </w:pPr>
            <w:r w:rsidRPr="00FF5133">
              <w:rPr>
                <w:sz w:val="16"/>
                <w:szCs w:val="16"/>
              </w:rPr>
              <w:t>Publish the National Efficient Price and National Efficient Cost Determinations by 31</w:t>
            </w:r>
            <w:r w:rsidR="00687F9F">
              <w:rPr>
                <w:sz w:val="16"/>
                <w:szCs w:val="16"/>
              </w:rPr>
              <w:t> </w:t>
            </w:r>
            <w:r w:rsidRPr="00FF5133">
              <w:rPr>
                <w:sz w:val="16"/>
                <w:szCs w:val="16"/>
              </w:rPr>
              <w:t>March</w:t>
            </w:r>
            <w:r w:rsidR="001F7E1A">
              <w:rPr>
                <w:sz w:val="16"/>
                <w:szCs w:val="16"/>
              </w:rPr>
              <w:t> </w:t>
            </w:r>
            <w:r w:rsidRPr="00FF5133">
              <w:rPr>
                <w:sz w:val="16"/>
                <w:szCs w:val="16"/>
              </w:rPr>
              <w:t>2020</w:t>
            </w:r>
          </w:p>
        </w:tc>
        <w:tc>
          <w:tcPr>
            <w:tcW w:w="113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1188227" w14:textId="7428F5EE" w:rsidR="00F11542" w:rsidRPr="00FF5133" w:rsidRDefault="00F11542" w:rsidP="00F11542">
            <w:pPr>
              <w:pStyle w:val="Body"/>
              <w:spacing w:after="0"/>
              <w:jc w:val="right"/>
              <w:rPr>
                <w:sz w:val="16"/>
                <w:szCs w:val="16"/>
              </w:rPr>
            </w:pPr>
            <w:r w:rsidRPr="00FF5133">
              <w:rPr>
                <w:sz w:val="16"/>
                <w:szCs w:val="16"/>
              </w:rPr>
              <w:t>Delivered</w:t>
            </w:r>
          </w:p>
        </w:tc>
      </w:tr>
      <w:tr w:rsidR="00F11542" w:rsidRPr="00906A47" w14:paraId="3DA2F733" w14:textId="77777777" w:rsidTr="001F7E1A">
        <w:trPr>
          <w:gridAfter w:val="1"/>
          <w:wAfter w:w="38" w:type="dxa"/>
          <w:trHeight w:val="20"/>
        </w:trPr>
        <w:tc>
          <w:tcPr>
            <w:tcW w:w="6066"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54A1DBF" w14:textId="4C6C4B05" w:rsidR="00F11542" w:rsidRPr="00FF5133" w:rsidRDefault="00F11542" w:rsidP="00F11542">
            <w:pPr>
              <w:pStyle w:val="Body"/>
              <w:spacing w:after="0"/>
              <w:rPr>
                <w:sz w:val="16"/>
                <w:szCs w:val="16"/>
              </w:rPr>
            </w:pPr>
            <w:r w:rsidRPr="00FF5133">
              <w:rPr>
                <w:sz w:val="16"/>
                <w:szCs w:val="16"/>
              </w:rPr>
              <w:t>Undertake a fundamental review of the methodology underpinning the National Efficient</w:t>
            </w:r>
            <w:r w:rsidR="00687F9F">
              <w:rPr>
                <w:sz w:val="16"/>
                <w:szCs w:val="16"/>
              </w:rPr>
              <w:t> </w:t>
            </w:r>
            <w:r w:rsidRPr="00FF5133">
              <w:rPr>
                <w:sz w:val="16"/>
                <w:szCs w:val="16"/>
              </w:rPr>
              <w:t>Price</w:t>
            </w:r>
          </w:p>
        </w:tc>
        <w:tc>
          <w:tcPr>
            <w:tcW w:w="113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763E05C" w14:textId="707591F3" w:rsidR="00F11542" w:rsidRPr="00FF5133" w:rsidRDefault="00F11542" w:rsidP="00F11542">
            <w:pPr>
              <w:pStyle w:val="Body"/>
              <w:spacing w:after="0"/>
              <w:jc w:val="right"/>
              <w:rPr>
                <w:sz w:val="16"/>
                <w:szCs w:val="16"/>
              </w:rPr>
            </w:pPr>
            <w:r w:rsidRPr="00FF5133">
              <w:rPr>
                <w:sz w:val="16"/>
                <w:szCs w:val="16"/>
              </w:rPr>
              <w:t>Delivered</w:t>
            </w:r>
          </w:p>
        </w:tc>
      </w:tr>
      <w:tr w:rsidR="00F11542" w:rsidRPr="00906A47" w14:paraId="2F727B11" w14:textId="77777777" w:rsidTr="001F7E1A">
        <w:trPr>
          <w:gridAfter w:val="1"/>
          <w:wAfter w:w="38" w:type="dxa"/>
          <w:trHeight w:val="20"/>
        </w:trPr>
        <w:tc>
          <w:tcPr>
            <w:tcW w:w="6066"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7EEFB14" w14:textId="0645E7C1" w:rsidR="00F11542" w:rsidRPr="00FF5133" w:rsidRDefault="00F11542" w:rsidP="00F11542">
            <w:pPr>
              <w:pStyle w:val="Body"/>
              <w:spacing w:after="0"/>
              <w:rPr>
                <w:sz w:val="16"/>
                <w:szCs w:val="16"/>
              </w:rPr>
            </w:pPr>
            <w:r w:rsidRPr="00FF5133">
              <w:rPr>
                <w:sz w:val="16"/>
                <w:szCs w:val="16"/>
              </w:rPr>
              <w:t>Undertake a review of the block funding model for small rural hospitals that underpins the National Efficient Cost</w:t>
            </w:r>
          </w:p>
        </w:tc>
        <w:tc>
          <w:tcPr>
            <w:tcW w:w="113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6233344" w14:textId="16255E4C" w:rsidR="00F11542" w:rsidRPr="00FF5133" w:rsidRDefault="00F11542" w:rsidP="00F11542">
            <w:pPr>
              <w:pStyle w:val="Body"/>
              <w:spacing w:after="0"/>
              <w:jc w:val="right"/>
              <w:rPr>
                <w:sz w:val="16"/>
                <w:szCs w:val="16"/>
              </w:rPr>
            </w:pPr>
            <w:r w:rsidRPr="00FF5133">
              <w:rPr>
                <w:sz w:val="16"/>
                <w:szCs w:val="16"/>
              </w:rPr>
              <w:t>Delivered</w:t>
            </w:r>
          </w:p>
        </w:tc>
      </w:tr>
      <w:tr w:rsidR="00F11542" w:rsidRPr="00906A47" w14:paraId="2FCFAB7B" w14:textId="77777777" w:rsidTr="001F7E1A">
        <w:trPr>
          <w:gridAfter w:val="1"/>
          <w:wAfter w:w="38" w:type="dxa"/>
          <w:trHeight w:val="20"/>
        </w:trPr>
        <w:tc>
          <w:tcPr>
            <w:tcW w:w="6066" w:type="dxa"/>
            <w:gridSpan w:val="2"/>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F6D5AD0" w14:textId="5CEA99EF" w:rsidR="00F11542" w:rsidRPr="00FF5133" w:rsidRDefault="00F11542" w:rsidP="00F11542">
            <w:pPr>
              <w:pStyle w:val="Body"/>
              <w:spacing w:after="0"/>
              <w:rPr>
                <w:sz w:val="16"/>
                <w:szCs w:val="16"/>
              </w:rPr>
            </w:pPr>
            <w:r w:rsidRPr="00FF5133">
              <w:rPr>
                <w:sz w:val="16"/>
                <w:szCs w:val="16"/>
              </w:rPr>
              <w:t>Undertake a global horizon scan to identify issues, solutions and innovations in health funding across the globe that could be incorporated into the Australian system to provide</w:t>
            </w:r>
            <w:r w:rsidR="00687F9F">
              <w:rPr>
                <w:sz w:val="16"/>
                <w:szCs w:val="16"/>
              </w:rPr>
              <w:t> </w:t>
            </w:r>
            <w:r w:rsidRPr="00FF5133">
              <w:rPr>
                <w:sz w:val="16"/>
                <w:szCs w:val="16"/>
              </w:rPr>
              <w:t>improvements</w:t>
            </w:r>
          </w:p>
        </w:tc>
        <w:tc>
          <w:tcPr>
            <w:tcW w:w="113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141AE7C" w14:textId="35510617" w:rsidR="00F11542" w:rsidRPr="00FF5133" w:rsidRDefault="00557321" w:rsidP="00F11542">
            <w:pPr>
              <w:pStyle w:val="Body"/>
              <w:spacing w:after="0"/>
              <w:jc w:val="right"/>
              <w:rPr>
                <w:sz w:val="16"/>
                <w:szCs w:val="16"/>
              </w:rPr>
            </w:pPr>
            <w:r>
              <w:rPr>
                <w:sz w:val="16"/>
                <w:szCs w:val="16"/>
              </w:rPr>
              <w:t>Delivered</w:t>
            </w:r>
          </w:p>
        </w:tc>
      </w:tr>
      <w:tr w:rsidR="00803EA9" w:rsidRPr="00906A47" w14:paraId="453D68AA" w14:textId="77777777" w:rsidTr="00512548">
        <w:trPr>
          <w:trHeight w:val="20"/>
        </w:trPr>
        <w:tc>
          <w:tcPr>
            <w:tcW w:w="7238" w:type="dxa"/>
            <w:gridSpan w:val="4"/>
            <w:tcBorders>
              <w:top w:val="single" w:sz="4" w:space="0" w:color="A6A6A6" w:themeColor="background2" w:themeShade="A6"/>
              <w:bottom w:val="single" w:sz="4" w:space="0" w:color="A6A6A6" w:themeColor="background2" w:themeShade="A6"/>
            </w:tcBorders>
            <w:shd w:val="clear" w:color="auto" w:fill="5E2F7E" w:themeFill="accent5"/>
            <w:tcMar>
              <w:top w:w="113" w:type="dxa"/>
              <w:left w:w="113" w:type="dxa"/>
              <w:bottom w:w="113" w:type="dxa"/>
              <w:right w:w="113" w:type="dxa"/>
            </w:tcMar>
          </w:tcPr>
          <w:p w14:paraId="07F7B73E" w14:textId="12D13C09" w:rsidR="00803EA9" w:rsidRDefault="00803EA9" w:rsidP="00803EA9">
            <w:pPr>
              <w:pStyle w:val="Body"/>
              <w:spacing w:after="0"/>
            </w:pPr>
            <w:r>
              <w:rPr>
                <w:b/>
                <w:bCs/>
                <w:color w:val="FFFFFF" w:themeColor="background2"/>
                <w:lang w:val="en-US"/>
              </w:rPr>
              <w:t>2</w:t>
            </w:r>
            <w:r w:rsidRPr="00F11542">
              <w:rPr>
                <w:b/>
                <w:bCs/>
                <w:color w:val="FFFFFF" w:themeColor="background2"/>
                <w:lang w:val="en-US"/>
              </w:rPr>
              <w:t xml:space="preserve">. </w:t>
            </w:r>
            <w:r w:rsidRPr="00621B84">
              <w:rPr>
                <w:b/>
                <w:bCs/>
                <w:color w:val="FFFFFF" w:themeColor="background2"/>
                <w:lang w:val="en-US"/>
              </w:rPr>
              <w:t>Refine and develop hospital activity classification systems</w:t>
            </w:r>
          </w:p>
        </w:tc>
      </w:tr>
      <w:tr w:rsidR="00CD2678" w:rsidRPr="00906A47" w14:paraId="788AE011"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29D3130" w14:textId="46ADBDDD" w:rsidR="00CD2678" w:rsidRPr="00FF5133" w:rsidRDefault="00CD2678" w:rsidP="00CD2678">
            <w:pPr>
              <w:pStyle w:val="Body"/>
              <w:spacing w:after="0"/>
              <w:rPr>
                <w:b/>
                <w:bCs/>
                <w:color w:val="FFFFFF" w:themeColor="background2"/>
                <w:sz w:val="16"/>
                <w:szCs w:val="16"/>
                <w:lang w:val="en-US"/>
              </w:rPr>
            </w:pPr>
            <w:r w:rsidRPr="00FF5133">
              <w:rPr>
                <w:sz w:val="16"/>
                <w:szCs w:val="16"/>
              </w:rPr>
              <w:t>Seek input from clinicians and ensure acceptance of classification systems by committees including IHPA’s Clinical Advisory Committee</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4374F294" w14:textId="2FC21631" w:rsidR="00CD2678" w:rsidRPr="00FF5133" w:rsidRDefault="00CD2678" w:rsidP="00CD2678">
            <w:pPr>
              <w:pStyle w:val="Body"/>
              <w:spacing w:after="0"/>
              <w:jc w:val="right"/>
              <w:rPr>
                <w:sz w:val="16"/>
                <w:szCs w:val="16"/>
              </w:rPr>
            </w:pPr>
            <w:r w:rsidRPr="00FF5133">
              <w:rPr>
                <w:sz w:val="16"/>
                <w:szCs w:val="16"/>
              </w:rPr>
              <w:t>Delivered</w:t>
            </w:r>
          </w:p>
        </w:tc>
      </w:tr>
      <w:tr w:rsidR="00CD2678" w:rsidRPr="00906A47" w14:paraId="016F17F1"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87A568C" w14:textId="12599D15" w:rsidR="00CD2678" w:rsidRPr="00FF5133" w:rsidRDefault="00CD2678" w:rsidP="00CD2678">
            <w:pPr>
              <w:pStyle w:val="Body"/>
              <w:spacing w:after="0"/>
              <w:rPr>
                <w:b/>
                <w:bCs/>
                <w:color w:val="FFFFFF" w:themeColor="background2"/>
                <w:sz w:val="16"/>
                <w:szCs w:val="16"/>
                <w:lang w:val="en-US"/>
              </w:rPr>
            </w:pPr>
            <w:r w:rsidRPr="00FF5133">
              <w:rPr>
                <w:sz w:val="16"/>
                <w:szCs w:val="16"/>
              </w:rPr>
              <w:t>Continue data collection for the Australian Teaching and Training Classification</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8571FE3" w14:textId="43DA2227" w:rsidR="00CD2678" w:rsidRPr="00FF5133" w:rsidRDefault="00CD2678" w:rsidP="00CD2678">
            <w:pPr>
              <w:pStyle w:val="Body"/>
              <w:spacing w:after="0"/>
              <w:jc w:val="right"/>
              <w:rPr>
                <w:sz w:val="16"/>
                <w:szCs w:val="16"/>
              </w:rPr>
            </w:pPr>
            <w:r w:rsidRPr="00FF5133">
              <w:rPr>
                <w:sz w:val="16"/>
                <w:szCs w:val="16"/>
              </w:rPr>
              <w:t>Delivered</w:t>
            </w:r>
          </w:p>
        </w:tc>
      </w:tr>
      <w:tr w:rsidR="00CD2678" w:rsidRPr="00906A47" w14:paraId="0400E522"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E64B448" w14:textId="12EBE149" w:rsidR="00CD2678" w:rsidRPr="00FF5133" w:rsidRDefault="00CD2678" w:rsidP="00CD2678">
            <w:pPr>
              <w:pStyle w:val="Body"/>
              <w:spacing w:after="0"/>
              <w:rPr>
                <w:b/>
                <w:bCs/>
                <w:color w:val="FFFFFF" w:themeColor="background2"/>
                <w:sz w:val="16"/>
                <w:szCs w:val="16"/>
                <w:lang w:val="en-US"/>
              </w:rPr>
            </w:pPr>
            <w:r w:rsidRPr="00FF5133">
              <w:rPr>
                <w:sz w:val="16"/>
                <w:szCs w:val="16"/>
              </w:rPr>
              <w:t>Complete development work on the Australian Emergency Care Classification system for emergency care services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864F466" w14:textId="225D0F88" w:rsidR="00CD2678" w:rsidRPr="00FF5133" w:rsidRDefault="00CD2678" w:rsidP="00CD2678">
            <w:pPr>
              <w:pStyle w:val="Body"/>
              <w:spacing w:after="0"/>
              <w:jc w:val="right"/>
              <w:rPr>
                <w:sz w:val="16"/>
                <w:szCs w:val="16"/>
              </w:rPr>
            </w:pPr>
            <w:r w:rsidRPr="00FF5133">
              <w:rPr>
                <w:sz w:val="16"/>
                <w:szCs w:val="16"/>
              </w:rPr>
              <w:t>Delivered</w:t>
            </w:r>
          </w:p>
        </w:tc>
      </w:tr>
      <w:tr w:rsidR="00CD2678" w:rsidRPr="00906A47" w14:paraId="520F55B1"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0B3EE311" w14:textId="7E2E58E6" w:rsidR="00CD2678" w:rsidRPr="00FF5133" w:rsidRDefault="00CD2678" w:rsidP="00CD2678">
            <w:pPr>
              <w:pStyle w:val="Body"/>
              <w:spacing w:after="0"/>
              <w:rPr>
                <w:b/>
                <w:bCs/>
                <w:color w:val="FFFFFF" w:themeColor="background2"/>
                <w:sz w:val="16"/>
                <w:szCs w:val="16"/>
                <w:lang w:val="en-US"/>
              </w:rPr>
            </w:pPr>
            <w:r w:rsidRPr="00FF5133">
              <w:rPr>
                <w:sz w:val="16"/>
                <w:szCs w:val="16"/>
              </w:rPr>
              <w:t>Further refine the Australian Mental Health Care Classification</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0699B708" w14:textId="67299451" w:rsidR="00CD2678" w:rsidRPr="00FF5133" w:rsidRDefault="00CD2678" w:rsidP="00CD2678">
            <w:pPr>
              <w:pStyle w:val="Body"/>
              <w:spacing w:after="0"/>
              <w:jc w:val="right"/>
              <w:rPr>
                <w:sz w:val="16"/>
                <w:szCs w:val="16"/>
              </w:rPr>
            </w:pPr>
            <w:r w:rsidRPr="00FF5133">
              <w:rPr>
                <w:sz w:val="16"/>
                <w:szCs w:val="16"/>
              </w:rPr>
              <w:t>Delivered</w:t>
            </w:r>
          </w:p>
        </w:tc>
      </w:tr>
      <w:tr w:rsidR="00CD2678" w:rsidRPr="00906A47" w14:paraId="4DD3D2E2"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1575273" w14:textId="53157646" w:rsidR="00CD2678" w:rsidRPr="00FF5133" w:rsidRDefault="00CD2678" w:rsidP="00CD2678">
            <w:pPr>
              <w:pStyle w:val="Body"/>
              <w:spacing w:after="0"/>
              <w:rPr>
                <w:b/>
                <w:bCs/>
                <w:color w:val="FFFFFF" w:themeColor="background2"/>
                <w:sz w:val="16"/>
                <w:szCs w:val="16"/>
                <w:lang w:val="en-US"/>
              </w:rPr>
            </w:pPr>
            <w:r w:rsidRPr="00FF5133">
              <w:rPr>
                <w:sz w:val="16"/>
                <w:szCs w:val="16"/>
              </w:rPr>
              <w:t>Continue development of the admitted Australian National Subacute and Non-Acute Patient Classification</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7E02D5DF" w14:textId="412BE54E" w:rsidR="00CD2678" w:rsidRPr="00FF5133" w:rsidRDefault="00CD2678" w:rsidP="00CD2678">
            <w:pPr>
              <w:pStyle w:val="Body"/>
              <w:spacing w:after="0"/>
              <w:jc w:val="right"/>
              <w:rPr>
                <w:sz w:val="16"/>
                <w:szCs w:val="16"/>
              </w:rPr>
            </w:pPr>
            <w:r w:rsidRPr="00FF5133">
              <w:rPr>
                <w:sz w:val="16"/>
                <w:szCs w:val="16"/>
              </w:rPr>
              <w:t>Ongoing</w:t>
            </w:r>
          </w:p>
        </w:tc>
      </w:tr>
      <w:tr w:rsidR="00CD2678" w:rsidRPr="00906A47" w14:paraId="5DB812B8"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524E0024" w14:textId="161FAB9D" w:rsidR="00CD2678" w:rsidRPr="00FF5133" w:rsidRDefault="00CD2678" w:rsidP="00CD2678">
            <w:pPr>
              <w:pStyle w:val="Body"/>
              <w:spacing w:after="0"/>
              <w:rPr>
                <w:b/>
                <w:bCs/>
                <w:color w:val="FFFFFF" w:themeColor="background2"/>
                <w:sz w:val="16"/>
                <w:szCs w:val="16"/>
                <w:lang w:val="en-US"/>
              </w:rPr>
            </w:pPr>
            <w:r w:rsidRPr="00FF5133">
              <w:rPr>
                <w:sz w:val="16"/>
                <w:szCs w:val="16"/>
              </w:rPr>
              <w:t>Develop a new classification for non-admitted care services by undertaking a national non</w:t>
            </w:r>
            <w:r w:rsidR="00A53826">
              <w:rPr>
                <w:sz w:val="16"/>
                <w:szCs w:val="16"/>
              </w:rPr>
              <w:noBreakHyphen/>
            </w:r>
            <w:r w:rsidRPr="00FF5133">
              <w:rPr>
                <w:sz w:val="16"/>
                <w:szCs w:val="16"/>
              </w:rPr>
              <w:t>admitted costing study</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5684F54" w14:textId="4C08C12B" w:rsidR="00CD2678" w:rsidRPr="00FF5133" w:rsidRDefault="00CD2678" w:rsidP="00CD2678">
            <w:pPr>
              <w:pStyle w:val="Body"/>
              <w:spacing w:after="0"/>
              <w:jc w:val="right"/>
              <w:rPr>
                <w:sz w:val="16"/>
                <w:szCs w:val="16"/>
              </w:rPr>
            </w:pPr>
            <w:r w:rsidRPr="00FF5133">
              <w:rPr>
                <w:sz w:val="16"/>
                <w:szCs w:val="16"/>
              </w:rPr>
              <w:t>Ongoing</w:t>
            </w:r>
          </w:p>
        </w:tc>
      </w:tr>
      <w:tr w:rsidR="00CD2678" w:rsidRPr="00906A47" w14:paraId="233DE8EA"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2387771" w14:textId="0ADD426D" w:rsidR="00CD2678" w:rsidRPr="00FF5133" w:rsidRDefault="00CD2678" w:rsidP="00CD2678">
            <w:pPr>
              <w:pStyle w:val="Body"/>
              <w:spacing w:after="0"/>
              <w:rPr>
                <w:b/>
                <w:bCs/>
                <w:color w:val="FFFFFF" w:themeColor="background2"/>
                <w:sz w:val="16"/>
                <w:szCs w:val="16"/>
                <w:lang w:val="en-US"/>
              </w:rPr>
            </w:pPr>
            <w:r w:rsidRPr="00FF5133">
              <w:rPr>
                <w:sz w:val="16"/>
                <w:szCs w:val="16"/>
              </w:rPr>
              <w:t>Continue development of AR-DRGs V11.0 and ICD-10-AM/ACHI/ACS Twelfth Edition</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B4AE4F2" w14:textId="06E774AD" w:rsidR="00CD2678" w:rsidRPr="00FF5133" w:rsidRDefault="00CD2678" w:rsidP="00CD2678">
            <w:pPr>
              <w:pStyle w:val="Body"/>
              <w:spacing w:after="0"/>
              <w:jc w:val="right"/>
              <w:rPr>
                <w:sz w:val="16"/>
                <w:szCs w:val="16"/>
              </w:rPr>
            </w:pPr>
            <w:r w:rsidRPr="00FF5133">
              <w:rPr>
                <w:sz w:val="16"/>
                <w:szCs w:val="16"/>
              </w:rPr>
              <w:t>Ongoing</w:t>
            </w:r>
          </w:p>
        </w:tc>
      </w:tr>
      <w:tr w:rsidR="00803EA9" w:rsidRPr="00906A47" w14:paraId="410BCCCA" w14:textId="77777777" w:rsidTr="00512548">
        <w:trPr>
          <w:trHeight w:val="20"/>
        </w:trPr>
        <w:tc>
          <w:tcPr>
            <w:tcW w:w="7238" w:type="dxa"/>
            <w:gridSpan w:val="4"/>
            <w:tcBorders>
              <w:top w:val="single" w:sz="4" w:space="0" w:color="A6A6A6" w:themeColor="background2" w:themeShade="A6"/>
              <w:bottom w:val="single" w:sz="4" w:space="0" w:color="A6A6A6" w:themeColor="background2" w:themeShade="A6"/>
            </w:tcBorders>
            <w:shd w:val="clear" w:color="auto" w:fill="5E2F7E" w:themeFill="accent5"/>
            <w:tcMar>
              <w:top w:w="113" w:type="dxa"/>
              <w:left w:w="113" w:type="dxa"/>
              <w:bottom w:w="113" w:type="dxa"/>
              <w:right w:w="113" w:type="dxa"/>
            </w:tcMar>
          </w:tcPr>
          <w:p w14:paraId="3152657A" w14:textId="149266A1" w:rsidR="00803EA9" w:rsidRDefault="00803EA9" w:rsidP="00803EA9">
            <w:pPr>
              <w:pStyle w:val="Body"/>
              <w:spacing w:after="0"/>
            </w:pPr>
            <w:r>
              <w:rPr>
                <w:b/>
                <w:bCs/>
                <w:color w:val="FFFFFF" w:themeColor="background2"/>
                <w:lang w:val="en-US"/>
              </w:rPr>
              <w:t>3</w:t>
            </w:r>
            <w:r w:rsidRPr="00F11542">
              <w:rPr>
                <w:b/>
                <w:bCs/>
                <w:color w:val="FFFFFF" w:themeColor="background2"/>
                <w:lang w:val="en-US"/>
              </w:rPr>
              <w:t xml:space="preserve">. </w:t>
            </w:r>
            <w:r w:rsidRPr="00770063">
              <w:rPr>
                <w:b/>
                <w:bCs/>
                <w:color w:val="FFFFFF" w:themeColor="background2"/>
                <w:lang w:val="en-US"/>
              </w:rPr>
              <w:t>Refine and improve hospital costing</w:t>
            </w:r>
          </w:p>
        </w:tc>
      </w:tr>
      <w:tr w:rsidR="00770063" w:rsidRPr="00906A47" w14:paraId="294A56EA"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6D4C22B" w14:textId="4FB811C0" w:rsidR="00770063" w:rsidRPr="00FF5133" w:rsidRDefault="00770063" w:rsidP="00770063">
            <w:pPr>
              <w:pStyle w:val="Body"/>
              <w:spacing w:after="0"/>
              <w:rPr>
                <w:sz w:val="16"/>
                <w:szCs w:val="16"/>
              </w:rPr>
            </w:pPr>
            <w:r w:rsidRPr="00FF5133">
              <w:rPr>
                <w:sz w:val="16"/>
                <w:szCs w:val="16"/>
              </w:rPr>
              <w:t>Maintain national costing standards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B29AFCF" w14:textId="68189901" w:rsidR="00770063" w:rsidRPr="00FF5133" w:rsidRDefault="00770063" w:rsidP="00770063">
            <w:pPr>
              <w:pStyle w:val="Body"/>
              <w:spacing w:after="0"/>
              <w:jc w:val="right"/>
              <w:rPr>
                <w:sz w:val="16"/>
                <w:szCs w:val="16"/>
              </w:rPr>
            </w:pPr>
            <w:r w:rsidRPr="00FF5133">
              <w:rPr>
                <w:sz w:val="16"/>
                <w:szCs w:val="16"/>
              </w:rPr>
              <w:t>Ongoing</w:t>
            </w:r>
          </w:p>
        </w:tc>
      </w:tr>
      <w:tr w:rsidR="00770063" w:rsidRPr="00906A47" w14:paraId="6F384421"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A0DDC66" w14:textId="638DDA13" w:rsidR="00770063" w:rsidRPr="00FF5133" w:rsidRDefault="00770063" w:rsidP="00770063">
            <w:pPr>
              <w:pStyle w:val="Body"/>
              <w:spacing w:after="0"/>
              <w:rPr>
                <w:sz w:val="16"/>
                <w:szCs w:val="16"/>
              </w:rPr>
            </w:pPr>
            <w:r w:rsidRPr="00FF5133">
              <w:rPr>
                <w:sz w:val="16"/>
                <w:szCs w:val="16"/>
              </w:rPr>
              <w:t>Ensure effective collection and processing of costing information to support activity based funding outcomes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0CCE34A" w14:textId="12B296EE" w:rsidR="00770063" w:rsidRPr="00FF5133" w:rsidRDefault="00770063" w:rsidP="00770063">
            <w:pPr>
              <w:pStyle w:val="Body"/>
              <w:spacing w:after="0"/>
              <w:jc w:val="right"/>
              <w:rPr>
                <w:sz w:val="16"/>
                <w:szCs w:val="16"/>
              </w:rPr>
            </w:pPr>
            <w:r w:rsidRPr="00FF5133">
              <w:rPr>
                <w:sz w:val="16"/>
                <w:szCs w:val="16"/>
              </w:rPr>
              <w:t>Delivered</w:t>
            </w:r>
          </w:p>
        </w:tc>
      </w:tr>
      <w:tr w:rsidR="00770063" w:rsidRPr="00906A47" w14:paraId="670C02EA"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E34D9C6" w14:textId="00636D3C" w:rsidR="00770063" w:rsidRPr="00FF5133" w:rsidRDefault="00770063" w:rsidP="00770063">
            <w:pPr>
              <w:pStyle w:val="Body"/>
              <w:spacing w:after="0"/>
              <w:rPr>
                <w:sz w:val="16"/>
                <w:szCs w:val="16"/>
              </w:rPr>
            </w:pPr>
            <w:r w:rsidRPr="00FF5133">
              <w:rPr>
                <w:sz w:val="16"/>
                <w:szCs w:val="16"/>
              </w:rPr>
              <w:t>Produce informative and authoritative information of hospital costs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C933959" w14:textId="6854DA96" w:rsidR="00770063" w:rsidRPr="00FF5133" w:rsidRDefault="00770063" w:rsidP="00770063">
            <w:pPr>
              <w:pStyle w:val="Body"/>
              <w:spacing w:after="0"/>
              <w:jc w:val="right"/>
              <w:rPr>
                <w:sz w:val="16"/>
                <w:szCs w:val="16"/>
              </w:rPr>
            </w:pPr>
            <w:r w:rsidRPr="00FF5133">
              <w:rPr>
                <w:sz w:val="16"/>
                <w:szCs w:val="16"/>
              </w:rPr>
              <w:t>Delivered</w:t>
            </w:r>
          </w:p>
        </w:tc>
      </w:tr>
      <w:tr w:rsidR="00770063" w:rsidRPr="00906A47" w14:paraId="36293099"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50F75F5" w14:textId="51611EC0" w:rsidR="00770063" w:rsidRPr="00FF5133" w:rsidRDefault="00770063" w:rsidP="00770063">
            <w:pPr>
              <w:pStyle w:val="Body"/>
              <w:spacing w:after="0"/>
              <w:rPr>
                <w:sz w:val="16"/>
                <w:szCs w:val="16"/>
              </w:rPr>
            </w:pPr>
            <w:r w:rsidRPr="00FF5133">
              <w:rPr>
                <w:sz w:val="16"/>
                <w:szCs w:val="16"/>
              </w:rPr>
              <w:lastRenderedPageBreak/>
              <w:t>Evaluate compliance with new aspects incorporated in the Australian Hospital Patient Costing Standards Version 4.0.</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D2D191D" w14:textId="1A529A31" w:rsidR="00770063" w:rsidRPr="00FF5133" w:rsidRDefault="00770063" w:rsidP="00770063">
            <w:pPr>
              <w:pStyle w:val="Body"/>
              <w:spacing w:after="0"/>
              <w:jc w:val="right"/>
              <w:rPr>
                <w:sz w:val="16"/>
                <w:szCs w:val="16"/>
              </w:rPr>
            </w:pPr>
            <w:r w:rsidRPr="00FF5133">
              <w:rPr>
                <w:sz w:val="16"/>
                <w:szCs w:val="16"/>
              </w:rPr>
              <w:t>Delivered</w:t>
            </w:r>
          </w:p>
        </w:tc>
      </w:tr>
      <w:tr w:rsidR="00803EA9" w:rsidRPr="00906A47" w14:paraId="3A5F6A9F" w14:textId="77777777" w:rsidTr="00512548">
        <w:trPr>
          <w:trHeight w:val="20"/>
        </w:trPr>
        <w:tc>
          <w:tcPr>
            <w:tcW w:w="7238" w:type="dxa"/>
            <w:gridSpan w:val="4"/>
            <w:tcBorders>
              <w:top w:val="single" w:sz="4" w:space="0" w:color="A6A6A6" w:themeColor="background2" w:themeShade="A6"/>
              <w:bottom w:val="single" w:sz="4" w:space="0" w:color="A6A6A6" w:themeColor="background2" w:themeShade="A6"/>
            </w:tcBorders>
            <w:shd w:val="clear" w:color="auto" w:fill="5E2F7E" w:themeFill="accent5"/>
            <w:tcMar>
              <w:top w:w="113" w:type="dxa"/>
              <w:left w:w="113" w:type="dxa"/>
              <w:bottom w:w="113" w:type="dxa"/>
              <w:right w:w="113" w:type="dxa"/>
            </w:tcMar>
          </w:tcPr>
          <w:p w14:paraId="6C4F543C" w14:textId="52FA8647" w:rsidR="00803EA9" w:rsidRPr="00EA04F6" w:rsidRDefault="00803EA9" w:rsidP="00803EA9">
            <w:pPr>
              <w:pStyle w:val="Body"/>
              <w:spacing w:after="0"/>
            </w:pPr>
            <w:r>
              <w:rPr>
                <w:b/>
                <w:bCs/>
                <w:color w:val="FFFFFF" w:themeColor="background2"/>
                <w:lang w:val="en-US"/>
              </w:rPr>
              <w:t>4</w:t>
            </w:r>
            <w:r w:rsidRPr="00F11542">
              <w:rPr>
                <w:b/>
                <w:bCs/>
                <w:color w:val="FFFFFF" w:themeColor="background2"/>
                <w:lang w:val="en-US"/>
              </w:rPr>
              <w:t xml:space="preserve">. </w:t>
            </w:r>
            <w:r w:rsidRPr="00803EA9">
              <w:rPr>
                <w:b/>
                <w:bCs/>
                <w:color w:val="FFFFFF" w:themeColor="background2"/>
                <w:lang w:val="en-US"/>
              </w:rPr>
              <w:t>Develop hospital data requirements and collect data</w:t>
            </w:r>
          </w:p>
        </w:tc>
      </w:tr>
      <w:tr w:rsidR="00803EA9" w:rsidRPr="00906A47" w14:paraId="0DCB6F59"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6DF7061" w14:textId="0BD6B29B" w:rsidR="00803EA9" w:rsidRPr="00FF5133" w:rsidRDefault="00803EA9" w:rsidP="00F117AF">
            <w:pPr>
              <w:pStyle w:val="Body"/>
              <w:spacing w:after="0"/>
              <w:rPr>
                <w:sz w:val="16"/>
                <w:szCs w:val="16"/>
              </w:rPr>
            </w:pPr>
            <w:r w:rsidRPr="00FF5133">
              <w:rPr>
                <w:sz w:val="16"/>
                <w:szCs w:val="16"/>
              </w:rPr>
              <w:t xml:space="preserve">Publish the Three Year Data Plan 2020–21 </w:t>
            </w:r>
            <w:r w:rsidR="00F117AF">
              <w:rPr>
                <w:sz w:val="16"/>
                <w:szCs w:val="16"/>
              </w:rPr>
              <w:t>—</w:t>
            </w:r>
            <w:r w:rsidR="00F117AF" w:rsidRPr="00FF5133">
              <w:rPr>
                <w:sz w:val="16"/>
                <w:szCs w:val="16"/>
              </w:rPr>
              <w:t xml:space="preserve"> </w:t>
            </w:r>
            <w:r w:rsidRPr="00FF5133">
              <w:rPr>
                <w:sz w:val="16"/>
                <w:szCs w:val="16"/>
              </w:rPr>
              <w:t>2022–23</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4E70583" w14:textId="7EE83317" w:rsidR="00803EA9" w:rsidRPr="00FF5133" w:rsidRDefault="00803EA9" w:rsidP="00803EA9">
            <w:pPr>
              <w:pStyle w:val="Body"/>
              <w:spacing w:after="0"/>
              <w:jc w:val="right"/>
              <w:rPr>
                <w:sz w:val="16"/>
                <w:szCs w:val="16"/>
              </w:rPr>
            </w:pPr>
            <w:r w:rsidRPr="00FF5133">
              <w:rPr>
                <w:sz w:val="16"/>
                <w:szCs w:val="16"/>
              </w:rPr>
              <w:t>Delivered</w:t>
            </w:r>
          </w:p>
        </w:tc>
      </w:tr>
      <w:tr w:rsidR="00803EA9" w:rsidRPr="00906A47" w14:paraId="199C493F"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66FA83E" w14:textId="50BA1CCE" w:rsidR="00803EA9" w:rsidRPr="00FF5133" w:rsidRDefault="00803EA9" w:rsidP="00803EA9">
            <w:pPr>
              <w:pStyle w:val="Body"/>
              <w:spacing w:after="0"/>
              <w:rPr>
                <w:sz w:val="16"/>
                <w:szCs w:val="16"/>
              </w:rPr>
            </w:pPr>
            <w:r w:rsidRPr="00FF5133">
              <w:rPr>
                <w:sz w:val="16"/>
                <w:szCs w:val="16"/>
              </w:rPr>
              <w:t>Develop the process for the collection of Individual Healthcare Identifier</w:t>
            </w:r>
            <w:r w:rsidR="00C24B67">
              <w:rPr>
                <w:sz w:val="16"/>
                <w:szCs w:val="16"/>
              </w:rPr>
              <w:t>s</w:t>
            </w:r>
            <w:r w:rsidRPr="00FF5133">
              <w:rPr>
                <w:sz w:val="16"/>
                <w:szCs w:val="16"/>
              </w:rPr>
              <w:t xml:space="preserve"> as part of national data sets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54960074" w14:textId="2CFCE58E" w:rsidR="00803EA9" w:rsidRPr="00FF5133" w:rsidRDefault="00803EA9" w:rsidP="00803EA9">
            <w:pPr>
              <w:pStyle w:val="Body"/>
              <w:spacing w:after="0"/>
              <w:jc w:val="right"/>
              <w:rPr>
                <w:sz w:val="16"/>
                <w:szCs w:val="16"/>
              </w:rPr>
            </w:pPr>
            <w:r w:rsidRPr="00FF5133">
              <w:rPr>
                <w:sz w:val="16"/>
                <w:szCs w:val="16"/>
              </w:rPr>
              <w:t>Ongoing</w:t>
            </w:r>
          </w:p>
        </w:tc>
      </w:tr>
      <w:tr w:rsidR="00803EA9" w:rsidRPr="00906A47" w14:paraId="5D5A12D0"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0BAF364" w14:textId="01625837" w:rsidR="00803EA9" w:rsidRPr="00FF5133" w:rsidRDefault="00803EA9" w:rsidP="00803EA9">
            <w:pPr>
              <w:pStyle w:val="Body"/>
              <w:spacing w:after="0"/>
              <w:rPr>
                <w:sz w:val="16"/>
                <w:szCs w:val="16"/>
              </w:rPr>
            </w:pPr>
            <w:r w:rsidRPr="00FF5133">
              <w:rPr>
                <w:sz w:val="16"/>
                <w:szCs w:val="16"/>
              </w:rPr>
              <w:t>Further development of the</w:t>
            </w:r>
            <w:r w:rsidRPr="00C24B67">
              <w:rPr>
                <w:sz w:val="16"/>
                <w:szCs w:val="16"/>
              </w:rPr>
              <w:t xml:space="preserve"> </w:t>
            </w:r>
            <w:r w:rsidR="00F117AF" w:rsidRPr="00C24B67">
              <w:rPr>
                <w:sz w:val="16"/>
                <w:szCs w:val="16"/>
              </w:rPr>
              <w:t>Secured Data Management System</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7F182BED" w14:textId="34DED90D" w:rsidR="00803EA9" w:rsidRPr="00FF5133" w:rsidRDefault="00F117AF" w:rsidP="00803EA9">
            <w:pPr>
              <w:pStyle w:val="Body"/>
              <w:spacing w:after="0"/>
              <w:jc w:val="right"/>
              <w:rPr>
                <w:sz w:val="16"/>
                <w:szCs w:val="16"/>
              </w:rPr>
            </w:pPr>
            <w:r w:rsidRPr="00FF5133">
              <w:rPr>
                <w:sz w:val="16"/>
                <w:szCs w:val="16"/>
              </w:rPr>
              <w:t>Ongoing</w:t>
            </w:r>
          </w:p>
        </w:tc>
      </w:tr>
      <w:tr w:rsidR="00803EA9" w:rsidRPr="00906A47" w14:paraId="55D0873E"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61AC9162" w14:textId="506585F2" w:rsidR="00803EA9" w:rsidRPr="00FF5133" w:rsidRDefault="00803EA9" w:rsidP="00803EA9">
            <w:pPr>
              <w:pStyle w:val="Body"/>
              <w:spacing w:after="0"/>
              <w:rPr>
                <w:sz w:val="16"/>
                <w:szCs w:val="16"/>
              </w:rPr>
            </w:pPr>
            <w:r w:rsidRPr="00FF5133">
              <w:rPr>
                <w:sz w:val="16"/>
                <w:szCs w:val="16"/>
              </w:rPr>
              <w:t>Collection of jurisdictional submission for quarterly</w:t>
            </w:r>
            <w:r w:rsidR="00F117AF" w:rsidRPr="00FF5133">
              <w:rPr>
                <w:sz w:val="16"/>
                <w:szCs w:val="16"/>
              </w:rPr>
              <w:t xml:space="preserve"> activity based funding </w:t>
            </w:r>
            <w:r w:rsidRPr="00FF5133">
              <w:rPr>
                <w:sz w:val="16"/>
                <w:szCs w:val="16"/>
              </w:rPr>
              <w:t>activity data</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4525696" w14:textId="65F3A058" w:rsidR="00803EA9" w:rsidRPr="00FF5133" w:rsidRDefault="00803EA9" w:rsidP="00803EA9">
            <w:pPr>
              <w:pStyle w:val="Body"/>
              <w:spacing w:after="0"/>
              <w:jc w:val="right"/>
              <w:rPr>
                <w:sz w:val="16"/>
                <w:szCs w:val="16"/>
              </w:rPr>
            </w:pPr>
            <w:r w:rsidRPr="00FF5133">
              <w:rPr>
                <w:sz w:val="16"/>
                <w:szCs w:val="16"/>
              </w:rPr>
              <w:t>Delivered</w:t>
            </w:r>
          </w:p>
        </w:tc>
      </w:tr>
      <w:tr w:rsidR="00803EA9" w:rsidRPr="00906A47" w14:paraId="2A912B8B"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5832141" w14:textId="345E2612" w:rsidR="00803EA9" w:rsidRPr="00FF5133" w:rsidRDefault="00803EA9" w:rsidP="00803EA9">
            <w:pPr>
              <w:pStyle w:val="Body"/>
              <w:spacing w:after="0"/>
              <w:rPr>
                <w:sz w:val="16"/>
                <w:szCs w:val="16"/>
              </w:rPr>
            </w:pPr>
            <w:r w:rsidRPr="00FF5133">
              <w:rPr>
                <w:sz w:val="16"/>
                <w:szCs w:val="16"/>
              </w:rPr>
              <w:t>Publish a data compliance report on a quarterly rolling basis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329F767B" w14:textId="4E5B2D67" w:rsidR="00803EA9" w:rsidRPr="00FF5133" w:rsidRDefault="00803EA9" w:rsidP="00803EA9">
            <w:pPr>
              <w:pStyle w:val="Body"/>
              <w:spacing w:after="0"/>
              <w:jc w:val="right"/>
              <w:rPr>
                <w:sz w:val="16"/>
                <w:szCs w:val="16"/>
              </w:rPr>
            </w:pPr>
            <w:r w:rsidRPr="00FF5133">
              <w:rPr>
                <w:sz w:val="16"/>
                <w:szCs w:val="16"/>
              </w:rPr>
              <w:t>Delivered</w:t>
            </w:r>
          </w:p>
        </w:tc>
      </w:tr>
      <w:tr w:rsidR="00803EA9" w:rsidRPr="00906A47" w14:paraId="05DE89F2"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7686A9CD" w14:textId="2ABA096C" w:rsidR="00803EA9" w:rsidRPr="00FF5133" w:rsidRDefault="00803EA9" w:rsidP="00803EA9">
            <w:pPr>
              <w:pStyle w:val="Body"/>
              <w:spacing w:after="0"/>
              <w:rPr>
                <w:sz w:val="16"/>
                <w:szCs w:val="16"/>
              </w:rPr>
            </w:pPr>
            <w:r w:rsidRPr="00FF5133">
              <w:rPr>
                <w:sz w:val="16"/>
                <w:szCs w:val="16"/>
              </w:rPr>
              <w:t xml:space="preserve">Maintain and continue to develop the National Benchmarking Portal, including promoting access for all </w:t>
            </w:r>
            <w:r w:rsidR="00F117AF" w:rsidRPr="00FF5133">
              <w:rPr>
                <w:sz w:val="16"/>
                <w:szCs w:val="16"/>
              </w:rPr>
              <w:t>local health networks</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272D09D2" w14:textId="1AE9B5AA" w:rsidR="00803EA9" w:rsidRPr="00FF5133" w:rsidRDefault="00803EA9" w:rsidP="00803EA9">
            <w:pPr>
              <w:pStyle w:val="Body"/>
              <w:spacing w:after="0"/>
              <w:jc w:val="right"/>
              <w:rPr>
                <w:sz w:val="16"/>
                <w:szCs w:val="16"/>
              </w:rPr>
            </w:pPr>
            <w:r w:rsidRPr="00FF5133">
              <w:rPr>
                <w:sz w:val="16"/>
                <w:szCs w:val="16"/>
              </w:rPr>
              <w:t>Delivered</w:t>
            </w:r>
          </w:p>
        </w:tc>
      </w:tr>
      <w:tr w:rsidR="00803EA9" w:rsidRPr="00906A47" w14:paraId="168A1B06" w14:textId="77777777" w:rsidTr="00803EA9">
        <w:trPr>
          <w:trHeight w:val="20"/>
        </w:trPr>
        <w:tc>
          <w:tcPr>
            <w:tcW w:w="7238" w:type="dxa"/>
            <w:gridSpan w:val="4"/>
            <w:tcBorders>
              <w:top w:val="single" w:sz="4" w:space="0" w:color="A6A6A6" w:themeColor="background2" w:themeShade="A6"/>
              <w:bottom w:val="single" w:sz="4" w:space="0" w:color="A6A6A6" w:themeColor="background2" w:themeShade="A6"/>
            </w:tcBorders>
            <w:shd w:val="clear" w:color="auto" w:fill="5E2F7E" w:themeFill="accent5"/>
            <w:tcMar>
              <w:top w:w="113" w:type="dxa"/>
              <w:left w:w="113" w:type="dxa"/>
              <w:bottom w:w="113" w:type="dxa"/>
              <w:right w:w="113" w:type="dxa"/>
            </w:tcMar>
          </w:tcPr>
          <w:p w14:paraId="77E7E6B1" w14:textId="75D4E5FC" w:rsidR="00803EA9" w:rsidRPr="00EA04F6" w:rsidRDefault="00803EA9" w:rsidP="00803EA9">
            <w:pPr>
              <w:pStyle w:val="Body"/>
              <w:spacing w:after="0"/>
            </w:pPr>
            <w:r>
              <w:rPr>
                <w:b/>
                <w:bCs/>
                <w:color w:val="FFFFFF" w:themeColor="background2"/>
                <w:lang w:val="en-US"/>
              </w:rPr>
              <w:t>5</w:t>
            </w:r>
            <w:r w:rsidRPr="00F11542">
              <w:rPr>
                <w:b/>
                <w:bCs/>
                <w:color w:val="FFFFFF" w:themeColor="background2"/>
                <w:lang w:val="en-US"/>
              </w:rPr>
              <w:t xml:space="preserve">. </w:t>
            </w:r>
            <w:r w:rsidRPr="00803EA9">
              <w:rPr>
                <w:b/>
                <w:bCs/>
                <w:color w:val="FFFFFF" w:themeColor="background2"/>
                <w:lang w:val="en-US"/>
              </w:rPr>
              <w:t>Resolve disputes on cost‑shifting and cross‑border issues</w:t>
            </w:r>
          </w:p>
        </w:tc>
      </w:tr>
      <w:tr w:rsidR="00803EA9" w:rsidRPr="00906A47" w14:paraId="7AF01807"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4B37F8B" w14:textId="25DF559C" w:rsidR="00803EA9" w:rsidRPr="00FF5133" w:rsidRDefault="00803EA9" w:rsidP="00803EA9">
            <w:pPr>
              <w:pStyle w:val="Body"/>
              <w:spacing w:after="0"/>
              <w:rPr>
                <w:sz w:val="16"/>
                <w:szCs w:val="16"/>
              </w:rPr>
            </w:pPr>
            <w:r w:rsidRPr="00FF5133">
              <w:rPr>
                <w:sz w:val="16"/>
                <w:szCs w:val="16"/>
              </w:rPr>
              <w:t xml:space="preserve">Publish an updated Cost-shifting and Cross-border Dispute Resolution Framework </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4530C486" w14:textId="7CD4C6AA" w:rsidR="00803EA9" w:rsidRPr="00FF5133" w:rsidRDefault="00803EA9" w:rsidP="00803EA9">
            <w:pPr>
              <w:pStyle w:val="Body"/>
              <w:spacing w:after="0"/>
              <w:jc w:val="right"/>
              <w:rPr>
                <w:sz w:val="16"/>
                <w:szCs w:val="16"/>
              </w:rPr>
            </w:pPr>
            <w:r w:rsidRPr="00FF5133">
              <w:rPr>
                <w:sz w:val="16"/>
                <w:szCs w:val="16"/>
              </w:rPr>
              <w:t xml:space="preserve">Delivered </w:t>
            </w:r>
          </w:p>
        </w:tc>
      </w:tr>
      <w:tr w:rsidR="00803EA9" w:rsidRPr="00906A47" w14:paraId="31179FA3" w14:textId="77777777" w:rsidTr="00803EA9">
        <w:trPr>
          <w:trHeight w:val="20"/>
        </w:trPr>
        <w:tc>
          <w:tcPr>
            <w:tcW w:w="7238" w:type="dxa"/>
            <w:gridSpan w:val="4"/>
            <w:tcBorders>
              <w:top w:val="single" w:sz="4" w:space="0" w:color="A6A6A6" w:themeColor="background2" w:themeShade="A6"/>
              <w:bottom w:val="single" w:sz="4" w:space="0" w:color="A6A6A6" w:themeColor="background2" w:themeShade="A6"/>
            </w:tcBorders>
            <w:shd w:val="clear" w:color="auto" w:fill="5E2F7E" w:themeFill="accent5"/>
            <w:tcMar>
              <w:top w:w="113" w:type="dxa"/>
              <w:left w:w="113" w:type="dxa"/>
              <w:bottom w:w="113" w:type="dxa"/>
              <w:right w:w="113" w:type="dxa"/>
            </w:tcMar>
          </w:tcPr>
          <w:p w14:paraId="63FB0C66" w14:textId="6C7ECEFE" w:rsidR="00803EA9" w:rsidRPr="00EA04F6" w:rsidRDefault="00803EA9" w:rsidP="00803EA9">
            <w:pPr>
              <w:pStyle w:val="Body"/>
              <w:spacing w:after="0"/>
            </w:pPr>
            <w:r>
              <w:rPr>
                <w:b/>
                <w:bCs/>
                <w:color w:val="FFFFFF" w:themeColor="background2"/>
                <w:lang w:val="en-US"/>
              </w:rPr>
              <w:t>6</w:t>
            </w:r>
            <w:r w:rsidRPr="00F11542">
              <w:rPr>
                <w:b/>
                <w:bCs/>
                <w:color w:val="FFFFFF" w:themeColor="background2"/>
                <w:lang w:val="en-US"/>
              </w:rPr>
              <w:t xml:space="preserve">. </w:t>
            </w:r>
            <w:r w:rsidRPr="00803EA9">
              <w:rPr>
                <w:b/>
                <w:bCs/>
                <w:color w:val="FFFFFF" w:themeColor="background2"/>
                <w:lang w:val="en-US"/>
              </w:rPr>
              <w:t>Independent and transparent decision-making and engagement with stakeholders</w:t>
            </w:r>
          </w:p>
        </w:tc>
      </w:tr>
      <w:tr w:rsidR="00803EA9" w:rsidRPr="00906A47" w14:paraId="690FA4E7" w14:textId="77777777" w:rsidTr="00D12B9F">
        <w:trPr>
          <w:trHeight w:val="20"/>
        </w:trPr>
        <w:tc>
          <w:tcPr>
            <w:tcW w:w="5820" w:type="dxa"/>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1AC986D6" w14:textId="022E6610" w:rsidR="00803EA9" w:rsidRPr="00FF5133" w:rsidRDefault="00803EA9" w:rsidP="00803EA9">
            <w:pPr>
              <w:pStyle w:val="Body"/>
              <w:spacing w:after="0"/>
              <w:rPr>
                <w:sz w:val="16"/>
                <w:szCs w:val="16"/>
              </w:rPr>
            </w:pPr>
            <w:r w:rsidRPr="00FF5133">
              <w:rPr>
                <w:sz w:val="16"/>
                <w:szCs w:val="16"/>
              </w:rPr>
              <w:t xml:space="preserve">IHPA held </w:t>
            </w:r>
            <w:r w:rsidR="00C72EB0">
              <w:rPr>
                <w:sz w:val="16"/>
                <w:szCs w:val="16"/>
              </w:rPr>
              <w:t>78</w:t>
            </w:r>
            <w:r w:rsidRPr="00FF5133">
              <w:rPr>
                <w:sz w:val="16"/>
                <w:szCs w:val="16"/>
              </w:rPr>
              <w:t xml:space="preserve"> meetings with the </w:t>
            </w:r>
            <w:r w:rsidR="00C72EB0">
              <w:rPr>
                <w:sz w:val="16"/>
                <w:szCs w:val="16"/>
              </w:rPr>
              <w:t>18</w:t>
            </w:r>
            <w:r w:rsidRPr="00FF5133">
              <w:rPr>
                <w:sz w:val="16"/>
                <w:szCs w:val="16"/>
              </w:rPr>
              <w:t xml:space="preserve"> committees and working groups, to provide expert advice and to ensure the transparency and integrity of the </w:t>
            </w:r>
            <w:r w:rsidR="00171E19">
              <w:rPr>
                <w:sz w:val="16"/>
                <w:szCs w:val="16"/>
              </w:rPr>
              <w:t>organisation</w:t>
            </w:r>
            <w:r w:rsidRPr="00FF5133">
              <w:rPr>
                <w:sz w:val="16"/>
                <w:szCs w:val="16"/>
              </w:rPr>
              <w:t>.</w:t>
            </w:r>
          </w:p>
        </w:tc>
        <w:tc>
          <w:tcPr>
            <w:tcW w:w="1418" w:type="dxa"/>
            <w:gridSpan w:val="3"/>
            <w:tcBorders>
              <w:top w:val="single" w:sz="4" w:space="0" w:color="A6A6A6" w:themeColor="background2" w:themeShade="A6"/>
              <w:bottom w:val="single" w:sz="4" w:space="0" w:color="A6A6A6" w:themeColor="background2" w:themeShade="A6"/>
            </w:tcBorders>
            <w:shd w:val="clear" w:color="auto" w:fill="auto"/>
            <w:tcMar>
              <w:top w:w="113" w:type="dxa"/>
              <w:left w:w="113" w:type="dxa"/>
              <w:bottom w:w="113" w:type="dxa"/>
              <w:right w:w="113" w:type="dxa"/>
            </w:tcMar>
          </w:tcPr>
          <w:p w14:paraId="40466EA6" w14:textId="7DB67BF2" w:rsidR="00803EA9" w:rsidRPr="00FF5133" w:rsidRDefault="00803EA9" w:rsidP="00803EA9">
            <w:pPr>
              <w:pStyle w:val="Body"/>
              <w:spacing w:after="0"/>
              <w:jc w:val="right"/>
              <w:rPr>
                <w:sz w:val="16"/>
                <w:szCs w:val="16"/>
              </w:rPr>
            </w:pPr>
            <w:r w:rsidRPr="00FF5133">
              <w:rPr>
                <w:sz w:val="16"/>
                <w:szCs w:val="16"/>
              </w:rPr>
              <w:t xml:space="preserve">Ongoing </w:t>
            </w:r>
          </w:p>
        </w:tc>
      </w:tr>
    </w:tbl>
    <w:p w14:paraId="57496514" w14:textId="77777777" w:rsidR="007419B4" w:rsidRDefault="007419B4" w:rsidP="00F11542">
      <w:pPr>
        <w:pStyle w:val="Body"/>
        <w:sectPr w:rsidR="007419B4" w:rsidSect="004B4304">
          <w:headerReference w:type="even" r:id="rId79"/>
          <w:pgSz w:w="9979" w:h="14175" w:code="13"/>
          <w:pgMar w:top="1134" w:right="1418" w:bottom="1276" w:left="1418" w:header="709" w:footer="709" w:gutter="0"/>
          <w:cols w:space="708"/>
          <w:docGrid w:linePitch="360"/>
        </w:sectPr>
      </w:pPr>
    </w:p>
    <w:p w14:paraId="1DC109D8" w14:textId="77777777" w:rsidR="00CE0B2C" w:rsidRDefault="009D7905" w:rsidP="00851861">
      <w:pPr>
        <w:pStyle w:val="Heading1"/>
        <w:rPr>
          <w:color w:val="5E2F7E" w:themeColor="accent5"/>
        </w:rPr>
        <w:sectPr w:rsidR="00CE0B2C" w:rsidSect="007419B4">
          <w:pgSz w:w="9979" w:h="14175" w:code="13"/>
          <w:pgMar w:top="1134" w:right="1418" w:bottom="1276" w:left="1418" w:header="709" w:footer="709" w:gutter="0"/>
          <w:cols w:space="708"/>
          <w:docGrid w:linePitch="360"/>
        </w:sectPr>
      </w:pPr>
      <w:bookmarkStart w:id="80" w:name="_Toc44350185"/>
      <w:bookmarkStart w:id="81" w:name="_Toc50378080"/>
      <w:r w:rsidRPr="009D7905">
        <w:rPr>
          <w:color w:val="5E2F7E" w:themeColor="accent5"/>
        </w:rPr>
        <w:lastRenderedPageBreak/>
        <w:t>Results</w:t>
      </w:r>
      <w:bookmarkEnd w:id="80"/>
      <w:bookmarkEnd w:id="81"/>
    </w:p>
    <w:p w14:paraId="3EC6F21D" w14:textId="0719C1B0" w:rsidR="003D69BF" w:rsidRPr="004F6691" w:rsidRDefault="003D69BF" w:rsidP="003D69BF">
      <w:pPr>
        <w:pStyle w:val="Body"/>
        <w:rPr>
          <w:b/>
          <w:bCs/>
        </w:rPr>
      </w:pPr>
      <w:r w:rsidRPr="004F6691">
        <w:rPr>
          <w:b/>
          <w:bCs/>
        </w:rPr>
        <w:t>Results against performance criteria are as</w:t>
      </w:r>
      <w:r w:rsidR="00687F9F">
        <w:rPr>
          <w:b/>
          <w:bCs/>
        </w:rPr>
        <w:t> </w:t>
      </w:r>
      <w:r w:rsidRPr="004F6691">
        <w:rPr>
          <w:b/>
          <w:bCs/>
        </w:rPr>
        <w:t>follows:</w:t>
      </w:r>
    </w:p>
    <w:p w14:paraId="71430B23" w14:textId="77777777" w:rsidR="003D69BF" w:rsidRPr="003D69BF" w:rsidRDefault="003D69BF" w:rsidP="003D69BF">
      <w:pPr>
        <w:pStyle w:val="H3"/>
        <w:rPr>
          <w:color w:val="5E2F7E" w:themeColor="accent5"/>
        </w:rPr>
      </w:pPr>
      <w:r w:rsidRPr="003D69BF">
        <w:rPr>
          <w:color w:val="5E2F7E" w:themeColor="accent5"/>
        </w:rPr>
        <w:t>Activity 1: Perform IHPA pricing functions</w:t>
      </w:r>
    </w:p>
    <w:p w14:paraId="340F3E4B" w14:textId="76BA4204" w:rsidR="003D69BF" w:rsidRDefault="003D69BF" w:rsidP="003D69BF">
      <w:pPr>
        <w:pStyle w:val="Body"/>
      </w:pPr>
      <w:r>
        <w:t>IHPA’s primary function is to produce the National Efficient Price Determination and the</w:t>
      </w:r>
      <w:r w:rsidR="00687F9F">
        <w:t> </w:t>
      </w:r>
      <w:r>
        <w:t>National Efficient Cost Determination each</w:t>
      </w:r>
      <w:r w:rsidR="00687F9F">
        <w:t> </w:t>
      </w:r>
      <w:r>
        <w:t>year. The Pricing Framework for Australian Public Hospital Services forms the policy basis for the Determinations. The Pricing Framework outlines the principles, scope and methodology to be adopted by IHPA in the setting of the National Efficient Price and National Efficient Cost for public hospital services in the next financial year.</w:t>
      </w:r>
    </w:p>
    <w:p w14:paraId="47D59165" w14:textId="6E8DCE42" w:rsidR="003D69BF" w:rsidRDefault="003D69BF" w:rsidP="003D69BF">
      <w:pPr>
        <w:pStyle w:val="Body"/>
      </w:pPr>
      <w:r>
        <w:t>During 2019–20, IHPA undertook further technical development to improve the price</w:t>
      </w:r>
      <w:r w:rsidR="00C92471">
        <w:noBreakHyphen/>
      </w:r>
      <w:r>
        <w:t>setting process and continue to refine the</w:t>
      </w:r>
      <w:r w:rsidR="00C92471">
        <w:t> </w:t>
      </w:r>
      <w:r>
        <w:t>models used to determine the National Efficient Price and National Efficient Cost.</w:t>
      </w:r>
    </w:p>
    <w:p w14:paraId="6737BAD6" w14:textId="48CAE971" w:rsidR="003D69BF" w:rsidRDefault="00233B6F" w:rsidP="003D69BF">
      <w:pPr>
        <w:pStyle w:val="H4"/>
      </w:pPr>
      <w:r>
        <w:br w:type="column"/>
      </w:r>
      <w:r w:rsidR="003D69BF">
        <w:t>Performance criteria</w:t>
      </w:r>
    </w:p>
    <w:p w14:paraId="60079A34" w14:textId="1CA1D47E" w:rsidR="003D69BF" w:rsidRDefault="003D69BF" w:rsidP="003D69BF">
      <w:pPr>
        <w:pStyle w:val="NumberedList"/>
      </w:pPr>
      <w:r>
        <w:t>Publish the Pricing Framework for Australian Public Hospital Services 2019–20 by 31 December 2019.</w:t>
      </w:r>
    </w:p>
    <w:p w14:paraId="1EB39D67" w14:textId="08CEA6B5" w:rsidR="003D69BF" w:rsidRDefault="003D69BF" w:rsidP="003D69BF">
      <w:pPr>
        <w:pStyle w:val="NumberedList"/>
      </w:pPr>
      <w:r>
        <w:t>Publish the National Efficient Price and National Efficient Cost Determinations by</w:t>
      </w:r>
      <w:r w:rsidR="00C92471">
        <w:t> </w:t>
      </w:r>
      <w:r>
        <w:t>31 March 2020.</w:t>
      </w:r>
    </w:p>
    <w:p w14:paraId="6BAA2A18" w14:textId="3CD05F3F" w:rsidR="003D69BF" w:rsidRDefault="003D69BF" w:rsidP="003D69BF">
      <w:pPr>
        <w:pStyle w:val="NumberedList"/>
      </w:pPr>
      <w:r>
        <w:t>Reduce the number of local hospital networks that record costs per National</w:t>
      </w:r>
      <w:r w:rsidR="00C92471">
        <w:t> </w:t>
      </w:r>
      <w:r>
        <w:t>Weighted Activity Unit significantly above the National Efficient</w:t>
      </w:r>
      <w:r w:rsidR="00C92471">
        <w:t> </w:t>
      </w:r>
      <w:r>
        <w:t>Price.</w:t>
      </w:r>
    </w:p>
    <w:p w14:paraId="7A1DC4F7" w14:textId="3DFD99E3" w:rsidR="003D69BF" w:rsidRDefault="003D69BF" w:rsidP="003D69BF">
      <w:pPr>
        <w:pStyle w:val="NumberedList"/>
      </w:pPr>
      <w:r>
        <w:t>Provide a further increase in the proportion of funding for public services using activity based funding as reported</w:t>
      </w:r>
      <w:r w:rsidR="004F6691">
        <w:t xml:space="preserve"> </w:t>
      </w:r>
      <w:r>
        <w:t>by the Administrator of the National Health Funding Pool.</w:t>
      </w:r>
    </w:p>
    <w:p w14:paraId="631A2772" w14:textId="77777777" w:rsidR="003D69BF" w:rsidRDefault="003D69BF" w:rsidP="003D69BF">
      <w:pPr>
        <w:pStyle w:val="H4"/>
      </w:pPr>
      <w:r>
        <w:t>Source</w:t>
      </w:r>
    </w:p>
    <w:p w14:paraId="7D683A05" w14:textId="439EFD87" w:rsidR="003D69BF" w:rsidRDefault="003D69BF" w:rsidP="003D69BF">
      <w:pPr>
        <w:pStyle w:val="Bullets"/>
      </w:pPr>
      <w:r>
        <w:t xml:space="preserve">2019–20 Corporate Plan — Strategy </w:t>
      </w:r>
      <w:r w:rsidRPr="00187A69">
        <w:t>1</w:t>
      </w:r>
    </w:p>
    <w:p w14:paraId="2286CA74" w14:textId="1A3BBF1D" w:rsidR="003D69BF" w:rsidRDefault="003D69BF" w:rsidP="003D69BF">
      <w:pPr>
        <w:pStyle w:val="Bulletslast"/>
      </w:pPr>
      <w:r>
        <w:t>2019–20 Portfolio Budget Statement Program 1.1</w:t>
      </w:r>
    </w:p>
    <w:p w14:paraId="281188B4" w14:textId="36BA4A3B" w:rsidR="003D69BF" w:rsidRDefault="00233B6F" w:rsidP="003D69BF">
      <w:pPr>
        <w:pStyle w:val="H4"/>
      </w:pPr>
      <w:r>
        <w:br w:type="column"/>
      </w:r>
      <w:r w:rsidR="003D69BF">
        <w:lastRenderedPageBreak/>
        <w:t>Results against performance</w:t>
      </w:r>
      <w:r w:rsidR="00C56BB8">
        <w:t> </w:t>
      </w:r>
      <w:r w:rsidR="003D69BF">
        <w:t>criteria</w:t>
      </w:r>
    </w:p>
    <w:p w14:paraId="43B61C96" w14:textId="77EB9072" w:rsidR="003D69BF" w:rsidRDefault="003D69BF" w:rsidP="003D69BF">
      <w:pPr>
        <w:pStyle w:val="NumberedList"/>
        <w:numPr>
          <w:ilvl w:val="0"/>
          <w:numId w:val="4"/>
        </w:numPr>
      </w:pPr>
      <w:r>
        <w:t>The Pricing Framework for Australian Public Hospital Services 2020–21 was published on 5 December 2019.</w:t>
      </w:r>
    </w:p>
    <w:p w14:paraId="3C736D00" w14:textId="5253A2A0" w:rsidR="003D69BF" w:rsidRDefault="003D69BF" w:rsidP="003D69BF">
      <w:pPr>
        <w:pStyle w:val="NumberedList"/>
        <w:numPr>
          <w:ilvl w:val="0"/>
          <w:numId w:val="4"/>
        </w:numPr>
      </w:pPr>
      <w:r>
        <w:t>The National Efficient Price and National Efficient Cost Determinations 2020</w:t>
      </w:r>
      <w:r w:rsidR="00681EE1">
        <w:t>–</w:t>
      </w:r>
      <w:r>
        <w:t>21 were published on 2</w:t>
      </w:r>
      <w:r w:rsidR="009C1313">
        <w:t xml:space="preserve"> </w:t>
      </w:r>
      <w:r>
        <w:t>March 2020.</w:t>
      </w:r>
    </w:p>
    <w:p w14:paraId="33296FEB" w14:textId="7BF6D2FC" w:rsidR="003D69BF" w:rsidRDefault="003D69BF" w:rsidP="003D69BF">
      <w:pPr>
        <w:pStyle w:val="NumberedList"/>
        <w:numPr>
          <w:ilvl w:val="0"/>
          <w:numId w:val="4"/>
        </w:numPr>
      </w:pPr>
      <w:r>
        <w:t>The range between the 50</w:t>
      </w:r>
      <w:r w:rsidRPr="00592DB5">
        <w:rPr>
          <w:vertAlign w:val="superscript"/>
        </w:rPr>
        <w:t>th</w:t>
      </w:r>
      <w:r>
        <w:t xml:space="preserve"> and 90</w:t>
      </w:r>
      <w:r w:rsidRPr="00592DB5">
        <w:rPr>
          <w:vertAlign w:val="superscript"/>
        </w:rPr>
        <w:t>th</w:t>
      </w:r>
      <w:r>
        <w:t xml:space="preserve"> percentile decreased from $1,070 in 2016–17 to $926 in 2016–17, representing a reduction of $144.</w:t>
      </w:r>
    </w:p>
    <w:p w14:paraId="6E5743F4" w14:textId="79DABED2" w:rsidR="00F11542" w:rsidRDefault="003D69BF" w:rsidP="003D69BF">
      <w:pPr>
        <w:pStyle w:val="NumberedList"/>
        <w:numPr>
          <w:ilvl w:val="0"/>
          <w:numId w:val="4"/>
        </w:numPr>
      </w:pPr>
      <w:r>
        <w:t>During 2019</w:t>
      </w:r>
      <w:r w:rsidR="00681EE1">
        <w:t>–</w:t>
      </w:r>
      <w:r>
        <w:t>20, 8</w:t>
      </w:r>
      <w:r w:rsidR="00647164">
        <w:t>2</w:t>
      </w:r>
      <w:r>
        <w:t>.</w:t>
      </w:r>
      <w:r w:rsidR="00647164">
        <w:t>6</w:t>
      </w:r>
      <w:r w:rsidR="00C72EB0">
        <w:t>3</w:t>
      </w:r>
      <w:r>
        <w:t xml:space="preserve">% of funding for public services paid by the Administrator of the National Health Funding Pool </w:t>
      </w:r>
      <w:r w:rsidR="00C72EB0" w:rsidRPr="00C72EB0">
        <w:t>was based on activity based funding. This is a</w:t>
      </w:r>
      <w:r w:rsidR="00917B56">
        <w:t> </w:t>
      </w:r>
      <w:r w:rsidR="00C72EB0" w:rsidRPr="00C72EB0">
        <w:t>decrease of 0.</w:t>
      </w:r>
      <w:r w:rsidR="00917B56">
        <w:t>63</w:t>
      </w:r>
      <w:r w:rsidR="00C72EB0" w:rsidRPr="00C72EB0">
        <w:t>%</w:t>
      </w:r>
      <w:r w:rsidR="00917B56">
        <w:t xml:space="preserve"> compared to June 2019</w:t>
      </w:r>
      <w:r w:rsidR="00C72EB0" w:rsidRPr="00C72EB0">
        <w:t>.</w:t>
      </w:r>
    </w:p>
    <w:p w14:paraId="6332CF55" w14:textId="0DAD765D" w:rsidR="00233B6F" w:rsidRDefault="00233B6F" w:rsidP="007302F0">
      <w:pPr>
        <w:pStyle w:val="FigureHeading"/>
      </w:pPr>
      <w:bookmarkStart w:id="82" w:name="_Toc48830273"/>
      <w:r w:rsidRPr="00233B6F">
        <w:t xml:space="preserve">Table </w:t>
      </w:r>
      <w:r>
        <w:t>5</w:t>
      </w:r>
      <w:r w:rsidRPr="00233B6F">
        <w:t>: Proportion of funding for public hospital services using activity based funding</w:t>
      </w:r>
      <w:bookmarkEnd w:id="82"/>
    </w:p>
    <w:tbl>
      <w:tblPr>
        <w:tblW w:w="3269" w:type="dxa"/>
        <w:tblInd w:w="-8" w:type="dxa"/>
        <w:tblLayout w:type="fixed"/>
        <w:tblCellMar>
          <w:left w:w="0" w:type="dxa"/>
          <w:right w:w="113" w:type="dxa"/>
        </w:tblCellMar>
        <w:tblLook w:val="0000" w:firstRow="0" w:lastRow="0" w:firstColumn="0" w:lastColumn="0" w:noHBand="0" w:noVBand="0"/>
      </w:tblPr>
      <w:tblGrid>
        <w:gridCol w:w="2276"/>
        <w:gridCol w:w="993"/>
      </w:tblGrid>
      <w:tr w:rsidR="00233B6F" w:rsidRPr="00906A47" w14:paraId="05AF2ED6" w14:textId="77777777" w:rsidTr="00233B6F">
        <w:trPr>
          <w:trHeight w:val="20"/>
        </w:trPr>
        <w:tc>
          <w:tcPr>
            <w:tcW w:w="2276" w:type="dxa"/>
            <w:shd w:val="clear" w:color="auto" w:fill="5E2F7E" w:themeFill="accent5"/>
            <w:tcMar>
              <w:top w:w="113" w:type="dxa"/>
              <w:left w:w="113" w:type="dxa"/>
              <w:bottom w:w="113" w:type="dxa"/>
              <w:right w:w="113" w:type="dxa"/>
            </w:tcMar>
          </w:tcPr>
          <w:p w14:paraId="2CE6C6E5" w14:textId="7610BAB1" w:rsidR="00233B6F" w:rsidRPr="00906A47" w:rsidRDefault="00233B6F" w:rsidP="00512548">
            <w:pPr>
              <w:pStyle w:val="Body"/>
              <w:spacing w:after="0"/>
              <w:rPr>
                <w:rFonts w:ascii="Futura PT Book" w:hAnsi="Futura PT Book" w:cs="Futura PT Book"/>
                <w:b/>
                <w:bCs/>
                <w:color w:val="FFFFFF" w:themeColor="background2"/>
                <w:lang w:val="en-US"/>
              </w:rPr>
            </w:pPr>
            <w:r>
              <w:rPr>
                <w:b/>
                <w:bCs/>
                <w:color w:val="FFFFFF" w:themeColor="background2"/>
                <w:lang w:val="en-US"/>
              </w:rPr>
              <w:t>Year</w:t>
            </w:r>
          </w:p>
        </w:tc>
        <w:tc>
          <w:tcPr>
            <w:tcW w:w="993" w:type="dxa"/>
            <w:shd w:val="clear" w:color="auto" w:fill="5E2F7E" w:themeFill="accent5"/>
            <w:tcMar>
              <w:top w:w="113" w:type="dxa"/>
              <w:left w:w="113" w:type="dxa"/>
              <w:bottom w:w="113" w:type="dxa"/>
              <w:right w:w="113" w:type="dxa"/>
            </w:tcMar>
          </w:tcPr>
          <w:p w14:paraId="2C6906C0" w14:textId="4B43092C" w:rsidR="00233B6F" w:rsidRPr="00906A47" w:rsidRDefault="00233B6F" w:rsidP="00512548">
            <w:pPr>
              <w:pStyle w:val="Body"/>
              <w:spacing w:after="0"/>
              <w:jc w:val="right"/>
              <w:rPr>
                <w:rFonts w:ascii="Futura PT Book" w:hAnsi="Futura PT Book" w:cs="Futura PT Book"/>
                <w:b/>
                <w:bCs/>
                <w:color w:val="FFFFFF" w:themeColor="background2"/>
                <w:lang w:val="en-US"/>
              </w:rPr>
            </w:pPr>
            <w:r>
              <w:rPr>
                <w:b/>
                <w:bCs/>
                <w:color w:val="FFFFFF" w:themeColor="background2"/>
                <w:lang w:val="en-US"/>
              </w:rPr>
              <w:t>Per cent</w:t>
            </w:r>
          </w:p>
        </w:tc>
      </w:tr>
      <w:tr w:rsidR="00233B6F" w:rsidRPr="00906A47" w14:paraId="77CDD456" w14:textId="77777777" w:rsidTr="00233B6F">
        <w:trPr>
          <w:trHeight w:val="20"/>
        </w:trPr>
        <w:tc>
          <w:tcPr>
            <w:tcW w:w="2276" w:type="dxa"/>
            <w:tcBorders>
              <w:bottom w:val="single" w:sz="4" w:space="0" w:color="A6A6A6" w:themeColor="background2" w:themeShade="A6"/>
            </w:tcBorders>
            <w:tcMar>
              <w:top w:w="113" w:type="dxa"/>
              <w:left w:w="113" w:type="dxa"/>
              <w:bottom w:w="113" w:type="dxa"/>
              <w:right w:w="113" w:type="dxa"/>
            </w:tcMar>
          </w:tcPr>
          <w:p w14:paraId="2CA48748" w14:textId="3942946F" w:rsidR="00233B6F" w:rsidRPr="00906A47" w:rsidRDefault="00233B6F" w:rsidP="00233B6F">
            <w:pPr>
              <w:pStyle w:val="Body"/>
              <w:spacing w:after="0"/>
              <w:rPr>
                <w:rFonts w:ascii="Futura PT Book" w:hAnsi="Futura PT Book" w:cs="Futura PT Book"/>
                <w:color w:val="000000"/>
                <w:sz w:val="16"/>
                <w:szCs w:val="16"/>
                <w:lang w:val="en-US"/>
              </w:rPr>
            </w:pPr>
            <w:r w:rsidRPr="00B43622">
              <w:t>2013–14</w:t>
            </w:r>
          </w:p>
        </w:tc>
        <w:tc>
          <w:tcPr>
            <w:tcW w:w="993" w:type="dxa"/>
            <w:tcBorders>
              <w:bottom w:val="single" w:sz="4" w:space="0" w:color="A6A6A6" w:themeColor="background2" w:themeShade="A6"/>
            </w:tcBorders>
            <w:tcMar>
              <w:top w:w="113" w:type="dxa"/>
              <w:left w:w="113" w:type="dxa"/>
              <w:bottom w:w="113" w:type="dxa"/>
              <w:right w:w="113" w:type="dxa"/>
            </w:tcMar>
          </w:tcPr>
          <w:p w14:paraId="3EE6B032" w14:textId="033ACE89" w:rsidR="00233B6F" w:rsidRPr="00906A47" w:rsidRDefault="00233B6F" w:rsidP="00233B6F">
            <w:pPr>
              <w:pStyle w:val="Body"/>
              <w:spacing w:after="0"/>
              <w:jc w:val="right"/>
              <w:rPr>
                <w:rFonts w:ascii="Futura PT Book" w:hAnsi="Futura PT Book" w:cs="Futura PT Book"/>
                <w:color w:val="000000"/>
                <w:sz w:val="16"/>
                <w:szCs w:val="16"/>
                <w:lang w:val="en-US"/>
              </w:rPr>
            </w:pPr>
            <w:r w:rsidRPr="00B71399">
              <w:t>82.43%</w:t>
            </w:r>
          </w:p>
        </w:tc>
      </w:tr>
      <w:tr w:rsidR="00233B6F" w:rsidRPr="00906A47" w14:paraId="0E5051C6"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E57E1D4" w14:textId="5F452B36" w:rsidR="00233B6F" w:rsidRPr="00906A47" w:rsidRDefault="00233B6F" w:rsidP="00233B6F">
            <w:pPr>
              <w:pStyle w:val="Body"/>
              <w:spacing w:after="0"/>
              <w:rPr>
                <w:rFonts w:ascii="Futura PT Book" w:hAnsi="Futura PT Book" w:cs="Futura PT Book"/>
                <w:color w:val="000000"/>
                <w:sz w:val="16"/>
                <w:szCs w:val="16"/>
                <w:lang w:val="en-US"/>
              </w:rPr>
            </w:pPr>
            <w:r w:rsidRPr="00B43622">
              <w:t>2014–15</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C7F3BC8" w14:textId="07804E58" w:rsidR="00233B6F" w:rsidRPr="00906A47" w:rsidRDefault="00233B6F" w:rsidP="00233B6F">
            <w:pPr>
              <w:pStyle w:val="Body"/>
              <w:spacing w:after="0"/>
              <w:jc w:val="right"/>
              <w:rPr>
                <w:rFonts w:ascii="Futura PT Book" w:hAnsi="Futura PT Book" w:cs="Futura PT Book"/>
                <w:color w:val="000000"/>
                <w:sz w:val="16"/>
                <w:szCs w:val="16"/>
                <w:lang w:val="en-US"/>
              </w:rPr>
            </w:pPr>
            <w:r w:rsidRPr="00B71399">
              <w:t>83.08%</w:t>
            </w:r>
          </w:p>
        </w:tc>
      </w:tr>
      <w:tr w:rsidR="00233B6F" w:rsidRPr="00906A47" w14:paraId="523C5D43"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A5DC7D6" w14:textId="021D3834" w:rsidR="00233B6F" w:rsidRPr="00906A47" w:rsidRDefault="00233B6F" w:rsidP="00233B6F">
            <w:pPr>
              <w:pStyle w:val="Body"/>
              <w:spacing w:after="0"/>
              <w:rPr>
                <w:rFonts w:ascii="Futura PT Book" w:hAnsi="Futura PT Book" w:cs="Futura PT Book"/>
                <w:color w:val="000000"/>
                <w:sz w:val="16"/>
                <w:szCs w:val="16"/>
                <w:lang w:val="en-US"/>
              </w:rPr>
            </w:pPr>
            <w:r w:rsidRPr="00B43622">
              <w:t>2015–16</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AC82B58" w14:textId="1B6D83E2" w:rsidR="00233B6F" w:rsidRPr="00906A47" w:rsidRDefault="00233B6F" w:rsidP="00233B6F">
            <w:pPr>
              <w:pStyle w:val="Body"/>
              <w:spacing w:after="0"/>
              <w:jc w:val="right"/>
              <w:rPr>
                <w:rFonts w:ascii="Futura PT Book" w:hAnsi="Futura PT Book" w:cs="Futura PT Book"/>
                <w:color w:val="000000"/>
                <w:sz w:val="16"/>
                <w:szCs w:val="16"/>
                <w:lang w:val="en-US"/>
              </w:rPr>
            </w:pPr>
            <w:r w:rsidRPr="00B71399">
              <w:t>85.42%</w:t>
            </w:r>
          </w:p>
        </w:tc>
      </w:tr>
      <w:tr w:rsidR="00233B6F" w:rsidRPr="00906A47" w14:paraId="0EFCB580"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0D2B618" w14:textId="7FDFE1F0" w:rsidR="00233B6F" w:rsidRPr="00906A47" w:rsidRDefault="00233B6F" w:rsidP="00233B6F">
            <w:pPr>
              <w:pStyle w:val="Body"/>
              <w:spacing w:after="0"/>
              <w:rPr>
                <w:rFonts w:ascii="Futura PT Book" w:hAnsi="Futura PT Book" w:cs="Futura PT Book"/>
                <w:color w:val="000000"/>
                <w:sz w:val="16"/>
                <w:szCs w:val="16"/>
                <w:lang w:val="en-US"/>
              </w:rPr>
            </w:pPr>
            <w:r w:rsidRPr="00B43622">
              <w:t>2016–17</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EA09FFE" w14:textId="08B3147D" w:rsidR="00233B6F" w:rsidRPr="00906A47" w:rsidRDefault="00233B6F" w:rsidP="00233B6F">
            <w:pPr>
              <w:pStyle w:val="Body"/>
              <w:spacing w:after="0"/>
              <w:jc w:val="right"/>
              <w:rPr>
                <w:rFonts w:ascii="Futura PT Book" w:hAnsi="Futura PT Book" w:cs="Futura PT Book"/>
                <w:color w:val="000000"/>
                <w:sz w:val="16"/>
                <w:szCs w:val="16"/>
                <w:lang w:val="en-US"/>
              </w:rPr>
            </w:pPr>
            <w:r w:rsidRPr="00B71399">
              <w:t>83.95%</w:t>
            </w:r>
          </w:p>
        </w:tc>
      </w:tr>
      <w:tr w:rsidR="00233B6F" w:rsidRPr="00906A47" w14:paraId="405938EF"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FCBBA0F" w14:textId="518DB9F7" w:rsidR="00233B6F" w:rsidRPr="00906A47" w:rsidRDefault="00233B6F" w:rsidP="00233B6F">
            <w:pPr>
              <w:pStyle w:val="Body"/>
              <w:spacing w:after="0"/>
              <w:rPr>
                <w:rFonts w:ascii="Futura PT Book" w:hAnsi="Futura PT Book" w:cs="Futura PT Book"/>
                <w:color w:val="000000"/>
                <w:sz w:val="16"/>
                <w:szCs w:val="16"/>
                <w:lang w:val="en-US"/>
              </w:rPr>
            </w:pPr>
            <w:r w:rsidRPr="00B43622">
              <w:t>2017–18</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5AD7AAA" w14:textId="145E1662" w:rsidR="00233B6F" w:rsidRPr="00906A47" w:rsidRDefault="00233B6F" w:rsidP="00233B6F">
            <w:pPr>
              <w:pStyle w:val="Body"/>
              <w:spacing w:after="0"/>
              <w:jc w:val="right"/>
              <w:rPr>
                <w:rFonts w:ascii="Futura PT Book" w:hAnsi="Futura PT Book" w:cs="Futura PT Book"/>
                <w:color w:val="000000"/>
                <w:sz w:val="16"/>
                <w:szCs w:val="16"/>
                <w:lang w:val="en-US"/>
              </w:rPr>
            </w:pPr>
            <w:r w:rsidRPr="00B71399">
              <w:t>83.35%</w:t>
            </w:r>
          </w:p>
        </w:tc>
      </w:tr>
      <w:tr w:rsidR="00233B6F" w:rsidRPr="00906A47" w14:paraId="52CBBE3B"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9EA1073" w14:textId="156D4B41" w:rsidR="00233B6F" w:rsidRPr="00A37EEE" w:rsidRDefault="00233B6F" w:rsidP="00233B6F">
            <w:pPr>
              <w:pStyle w:val="Body"/>
              <w:spacing w:after="0"/>
            </w:pPr>
            <w:r w:rsidRPr="00B43622">
              <w:t>2018–19</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385EDA2" w14:textId="657E2F28" w:rsidR="00233B6F" w:rsidRPr="00677C6A" w:rsidRDefault="00233B6F" w:rsidP="00233B6F">
            <w:pPr>
              <w:pStyle w:val="Body"/>
              <w:spacing w:after="0"/>
              <w:jc w:val="right"/>
            </w:pPr>
            <w:r w:rsidRPr="00B71399">
              <w:t>83.25%</w:t>
            </w:r>
          </w:p>
        </w:tc>
      </w:tr>
      <w:tr w:rsidR="00233B6F" w:rsidRPr="00906A47" w14:paraId="533EE4F1" w14:textId="77777777" w:rsidTr="00233B6F">
        <w:trPr>
          <w:trHeight w:val="20"/>
        </w:trPr>
        <w:tc>
          <w:tcPr>
            <w:tcW w:w="2276"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D4DAD61" w14:textId="5C77A001" w:rsidR="00233B6F" w:rsidRPr="00A37EEE" w:rsidRDefault="00233B6F" w:rsidP="00233B6F">
            <w:pPr>
              <w:pStyle w:val="Body"/>
              <w:spacing w:after="0"/>
            </w:pPr>
            <w:r w:rsidRPr="00B43622">
              <w:t>2019</w:t>
            </w:r>
            <w:r w:rsidR="00E47C01" w:rsidRPr="00B43622">
              <w:t>–</w:t>
            </w:r>
            <w:r w:rsidRPr="00B43622">
              <w:t xml:space="preserve">20 </w:t>
            </w:r>
          </w:p>
        </w:tc>
        <w:tc>
          <w:tcPr>
            <w:tcW w:w="993"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8015B2C" w14:textId="51E030A1" w:rsidR="00233B6F" w:rsidRPr="00677C6A" w:rsidRDefault="00233B6F" w:rsidP="00233B6F">
            <w:pPr>
              <w:pStyle w:val="Body"/>
              <w:spacing w:after="0"/>
              <w:jc w:val="right"/>
            </w:pPr>
            <w:r w:rsidRPr="00B71399">
              <w:t>8</w:t>
            </w:r>
            <w:r w:rsidR="00526F8F">
              <w:t>2</w:t>
            </w:r>
            <w:r w:rsidRPr="00B71399">
              <w:t>.</w:t>
            </w:r>
            <w:r w:rsidR="00526F8F">
              <w:t>6</w:t>
            </w:r>
            <w:r w:rsidR="00C72EB0">
              <w:t>3</w:t>
            </w:r>
            <w:r w:rsidRPr="00B71399">
              <w:t>%</w:t>
            </w:r>
          </w:p>
        </w:tc>
      </w:tr>
    </w:tbl>
    <w:p w14:paraId="06287F98" w14:textId="1D0A55FF" w:rsidR="00D97D2E" w:rsidRPr="003D69BF" w:rsidRDefault="00D97D2E" w:rsidP="00D97D2E">
      <w:pPr>
        <w:pStyle w:val="H3"/>
        <w:rPr>
          <w:color w:val="5E2F7E" w:themeColor="accent5"/>
        </w:rPr>
      </w:pPr>
      <w:r>
        <w:br w:type="column"/>
      </w:r>
      <w:r w:rsidRPr="003D69BF">
        <w:rPr>
          <w:color w:val="5E2F7E" w:themeColor="accent5"/>
        </w:rPr>
        <w:t xml:space="preserve">Activity </w:t>
      </w:r>
      <w:r>
        <w:rPr>
          <w:color w:val="5E2F7E" w:themeColor="accent5"/>
        </w:rPr>
        <w:t>2</w:t>
      </w:r>
      <w:r w:rsidRPr="003D69BF">
        <w:rPr>
          <w:color w:val="5E2F7E" w:themeColor="accent5"/>
        </w:rPr>
        <w:t xml:space="preserve">: </w:t>
      </w:r>
      <w:r w:rsidRPr="00D97D2E">
        <w:rPr>
          <w:color w:val="5E2F7E" w:themeColor="accent5"/>
        </w:rPr>
        <w:t>Refine and develop national classification systems</w:t>
      </w:r>
    </w:p>
    <w:p w14:paraId="42147E0F" w14:textId="2D7F5C1D" w:rsidR="00D97D2E" w:rsidRDefault="00D97D2E" w:rsidP="00D97D2E">
      <w:pPr>
        <w:pStyle w:val="Body"/>
      </w:pPr>
      <w:r>
        <w:t>Activity based funding requires robust classification systems on which pricing can be</w:t>
      </w:r>
      <w:r w:rsidR="00C56BB8">
        <w:t> </w:t>
      </w:r>
      <w:r>
        <w:t>based. Classifications aim to provide the healthcare sector with a nationally consistent method of classifying all types of patients, their</w:t>
      </w:r>
      <w:r w:rsidR="00C56BB8">
        <w:t> </w:t>
      </w:r>
      <w:r>
        <w:t>treatment, and associated costs. IHPA</w:t>
      </w:r>
      <w:r w:rsidR="00C56BB8">
        <w:t> </w:t>
      </w:r>
      <w:r>
        <w:t>has</w:t>
      </w:r>
      <w:r w:rsidR="00C56BB8">
        <w:t> </w:t>
      </w:r>
      <w:r>
        <w:t>already determined the national classification systems for public hospital services, including</w:t>
      </w:r>
      <w:r w:rsidR="00C56BB8">
        <w:t> </w:t>
      </w:r>
      <w:r>
        <w:t>admitted acute, non‑admitted, emergency, admitted subacute and non-acute, and mental health care.</w:t>
      </w:r>
    </w:p>
    <w:p w14:paraId="2734EE93" w14:textId="4F8A0DC3" w:rsidR="00D97D2E" w:rsidRDefault="00D97D2E" w:rsidP="00D97D2E">
      <w:pPr>
        <w:pStyle w:val="Body"/>
      </w:pPr>
      <w:r>
        <w:t>Classifications are reviewed regularly and updated periodically to ensure that they remain clinically relevant and resource homogeneous within a service category. Such</w:t>
      </w:r>
      <w:r w:rsidR="00C56BB8">
        <w:t> </w:t>
      </w:r>
      <w:r>
        <w:t>modifications are based on robust statistical analysis and include specialist input</w:t>
      </w:r>
      <w:r w:rsidR="00C56BB8">
        <w:t> </w:t>
      </w:r>
      <w:r>
        <w:t>from clinicians.</w:t>
      </w:r>
    </w:p>
    <w:p w14:paraId="34B1512C" w14:textId="7C86DEB3" w:rsidR="00D97D2E" w:rsidRDefault="00D97D2E" w:rsidP="0053687F">
      <w:pPr>
        <w:pStyle w:val="Body"/>
        <w:ind w:right="-426"/>
      </w:pPr>
      <w:r>
        <w:t>During 2019, IHPA commissioned a review of</w:t>
      </w:r>
      <w:r w:rsidR="0053687F">
        <w:t xml:space="preserve"> </w:t>
      </w:r>
      <w:r>
        <w:t>the</w:t>
      </w:r>
      <w:r w:rsidR="0053687F">
        <w:t> </w:t>
      </w:r>
      <w:r>
        <w:t>processes involved in the development of the activity based funding classifications for acute care. The</w:t>
      </w:r>
      <w:r w:rsidR="0053687F">
        <w:t> </w:t>
      </w:r>
      <w:r>
        <w:t>review highlighted some key opportunities for improvement, including a</w:t>
      </w:r>
      <w:r w:rsidR="00AB6C65">
        <w:t> </w:t>
      </w:r>
      <w:r>
        <w:t>move to a three-year development cycle. IHPA</w:t>
      </w:r>
      <w:r w:rsidR="00C56BB8">
        <w:t> </w:t>
      </w:r>
      <w:r>
        <w:t xml:space="preserve">has </w:t>
      </w:r>
      <w:r w:rsidR="00984DCD">
        <w:t>started</w:t>
      </w:r>
      <w:r>
        <w:t xml:space="preserve"> to implement opportunities highlighted by the review, including the</w:t>
      </w:r>
      <w:r w:rsidR="0053687F">
        <w:t> </w:t>
      </w:r>
      <w:r>
        <w:t>extended development cycle. IHPA continued to</w:t>
      </w:r>
      <w:r w:rsidR="0053687F">
        <w:t> </w:t>
      </w:r>
      <w:r>
        <w:t>further develop the classifications for admitted subacute and non</w:t>
      </w:r>
      <w:r w:rsidR="00C56BB8">
        <w:noBreakHyphen/>
      </w:r>
      <w:r>
        <w:t>acute care, non</w:t>
      </w:r>
      <w:r w:rsidR="00984DCD">
        <w:noBreakHyphen/>
      </w:r>
      <w:r>
        <w:t>admitted patient</w:t>
      </w:r>
      <w:r w:rsidR="0053687F">
        <w:t> </w:t>
      </w:r>
      <w:r>
        <w:t>care and</w:t>
      </w:r>
      <w:r w:rsidR="00C56BB8">
        <w:t> </w:t>
      </w:r>
      <w:r>
        <w:t>mental health</w:t>
      </w:r>
      <w:r w:rsidR="00984DCD">
        <w:t> </w:t>
      </w:r>
      <w:r>
        <w:t xml:space="preserve">care. </w:t>
      </w:r>
    </w:p>
    <w:p w14:paraId="52A27DD0" w14:textId="19F14CB7" w:rsidR="00233B6F" w:rsidRDefault="00D97D2E" w:rsidP="00D97D2E">
      <w:pPr>
        <w:pStyle w:val="Body"/>
      </w:pPr>
      <w:r>
        <w:t>In addition, to implement the measures under</w:t>
      </w:r>
      <w:r w:rsidR="00C56BB8">
        <w:t> </w:t>
      </w:r>
      <w:r>
        <w:t xml:space="preserve">the National Partnership on </w:t>
      </w:r>
      <w:r w:rsidR="00E747BF">
        <w:t>COVID-</w:t>
      </w:r>
      <w:r w:rsidR="002B52BE">
        <w:rPr>
          <w:rFonts w:ascii="Arial" w:hAnsi="Arial" w:cs="Arial" w:hint="cs"/>
          <w:rtl/>
        </w:rPr>
        <w:t>‍</w:t>
      </w:r>
      <w:r w:rsidR="00E747BF">
        <w:t>19</w:t>
      </w:r>
      <w:r w:rsidR="00C56BB8">
        <w:t> </w:t>
      </w:r>
      <w:r>
        <w:t xml:space="preserve">Response, IHPA updated the national activity based funding classifications and data reporting requirements to </w:t>
      </w:r>
      <w:r>
        <w:lastRenderedPageBreak/>
        <w:t>accommodate the emerging situation with</w:t>
      </w:r>
      <w:r w:rsidR="00C56BB8">
        <w:t> </w:t>
      </w:r>
      <w:r w:rsidR="00E747BF">
        <w:t>COVID-19</w:t>
      </w:r>
      <w:r>
        <w:t xml:space="preserve">. Accurately capturing hospital activity associated with the </w:t>
      </w:r>
      <w:r w:rsidR="00E747BF">
        <w:t>COVID-19</w:t>
      </w:r>
      <w:r w:rsidR="00183F07">
        <w:t xml:space="preserve"> outbreak</w:t>
      </w:r>
      <w:r>
        <w:t xml:space="preserve"> will also be critical</w:t>
      </w:r>
      <w:r w:rsidR="0053687F">
        <w:t> </w:t>
      </w:r>
      <w:r>
        <w:t>for</w:t>
      </w:r>
      <w:r w:rsidR="00C56BB8">
        <w:t> </w:t>
      </w:r>
      <w:r>
        <w:t>other purposes, such as epidemiological</w:t>
      </w:r>
      <w:r w:rsidR="00C56BB8">
        <w:t> </w:t>
      </w:r>
      <w:r>
        <w:t>studies.</w:t>
      </w:r>
    </w:p>
    <w:p w14:paraId="76CE3946" w14:textId="77777777" w:rsidR="00D97D2E" w:rsidRDefault="00D97D2E" w:rsidP="00D97D2E">
      <w:pPr>
        <w:pStyle w:val="H4"/>
      </w:pPr>
      <w:r>
        <w:t>Performance criteria</w:t>
      </w:r>
    </w:p>
    <w:p w14:paraId="607825AB" w14:textId="385729EA" w:rsidR="00D97D2E" w:rsidRDefault="00D97D2E" w:rsidP="00D97D2E">
      <w:pPr>
        <w:pStyle w:val="NumberedList"/>
        <w:numPr>
          <w:ilvl w:val="0"/>
          <w:numId w:val="5"/>
        </w:numPr>
      </w:pPr>
      <w:r>
        <w:t>Continue refinement of the Australian Mental Health Care Classification, specifically the refinement of the first level of the classification—the mental health phase of care.</w:t>
      </w:r>
    </w:p>
    <w:p w14:paraId="7C49F90B" w14:textId="6FD0DA2F" w:rsidR="00D97D2E" w:rsidRDefault="00D97D2E" w:rsidP="00D97D2E">
      <w:pPr>
        <w:pStyle w:val="NumberedList"/>
        <w:numPr>
          <w:ilvl w:val="0"/>
          <w:numId w:val="5"/>
        </w:numPr>
      </w:pPr>
      <w:r>
        <w:t>Complete development of the classification for teaching and training.</w:t>
      </w:r>
    </w:p>
    <w:p w14:paraId="3CE418BA" w14:textId="5B4DB112" w:rsidR="00D97D2E" w:rsidRDefault="00D97D2E" w:rsidP="00D97D2E">
      <w:pPr>
        <w:pStyle w:val="NumberedList"/>
        <w:numPr>
          <w:ilvl w:val="0"/>
          <w:numId w:val="5"/>
        </w:numPr>
      </w:pPr>
      <w:r>
        <w:t>Develop a new classification system for emergency care services.</w:t>
      </w:r>
    </w:p>
    <w:p w14:paraId="1595699F" w14:textId="256D5883" w:rsidR="00D97D2E" w:rsidRDefault="00D97D2E" w:rsidP="00D97D2E">
      <w:pPr>
        <w:pStyle w:val="NumberedList"/>
        <w:numPr>
          <w:ilvl w:val="0"/>
          <w:numId w:val="5"/>
        </w:numPr>
      </w:pPr>
      <w:r>
        <w:t>Continue development of the admitted subacute and non-acute care classification using reported data and</w:t>
      </w:r>
      <w:r w:rsidR="00C56BB8">
        <w:t> </w:t>
      </w:r>
      <w:r>
        <w:t>clinical advice.</w:t>
      </w:r>
    </w:p>
    <w:p w14:paraId="2001A845" w14:textId="4B2F633F" w:rsidR="00D97D2E" w:rsidRDefault="00D97D2E" w:rsidP="00D97D2E">
      <w:pPr>
        <w:pStyle w:val="NumberedList"/>
        <w:numPr>
          <w:ilvl w:val="0"/>
          <w:numId w:val="5"/>
        </w:numPr>
      </w:pPr>
      <w:r>
        <w:t>Continue development work on the new classification for non-admitted care by preparing for a nationwide costing study.</w:t>
      </w:r>
    </w:p>
    <w:p w14:paraId="7AA118AF" w14:textId="6E595A7B" w:rsidR="00D97D2E" w:rsidRDefault="00D97D2E" w:rsidP="00D97D2E">
      <w:pPr>
        <w:pStyle w:val="NumberedList"/>
        <w:numPr>
          <w:ilvl w:val="0"/>
          <w:numId w:val="5"/>
        </w:numPr>
      </w:pPr>
      <w:r>
        <w:t>Continue development work on the International Statistical Classification of Diseases and Related Health Problems, Tenth Revision, Australian Modification, Australian Classification of Health</w:t>
      </w:r>
      <w:r w:rsidR="00C56BB8">
        <w:t> </w:t>
      </w:r>
      <w:r>
        <w:t>Interventions, Australian Coding</w:t>
      </w:r>
      <w:r w:rsidR="00C56BB8">
        <w:t> </w:t>
      </w:r>
      <w:r>
        <w:t>Standards, Twelfth Edition, for</w:t>
      </w:r>
      <w:r w:rsidR="00C56BB8">
        <w:t> </w:t>
      </w:r>
      <w:r>
        <w:t xml:space="preserve">implementation on 1 July 2022. Collectively this classification system is known as ICD-10-AM/ACHI/ACS. </w:t>
      </w:r>
    </w:p>
    <w:p w14:paraId="113CE591" w14:textId="0F4FEBC8" w:rsidR="00D97D2E" w:rsidRDefault="00D97D2E" w:rsidP="00D97D2E">
      <w:pPr>
        <w:pStyle w:val="NumberedList"/>
        <w:numPr>
          <w:ilvl w:val="0"/>
          <w:numId w:val="5"/>
        </w:numPr>
      </w:pPr>
      <w:r>
        <w:t xml:space="preserve">Continue development work on the Australian Refined Diagnosis </w:t>
      </w:r>
      <w:r>
        <w:t>Related Groups Version 11.0 (AR-DRG V11.0) for release mid-2022 and implementation 1 July 2023.</w:t>
      </w:r>
    </w:p>
    <w:p w14:paraId="683FA60B" w14:textId="3F94EC49" w:rsidR="00D97D2E" w:rsidRDefault="00D97D2E" w:rsidP="00D97D2E">
      <w:pPr>
        <w:pStyle w:val="H4"/>
      </w:pPr>
      <w:r>
        <w:br w:type="column"/>
      </w:r>
      <w:r>
        <w:lastRenderedPageBreak/>
        <w:t>Source</w:t>
      </w:r>
    </w:p>
    <w:p w14:paraId="6CD1E0F0" w14:textId="048BBF49" w:rsidR="00D97D2E" w:rsidRDefault="00D97D2E" w:rsidP="00D97D2E">
      <w:pPr>
        <w:pStyle w:val="Bullets"/>
      </w:pPr>
      <w:r>
        <w:t>2019–20 Corporate Plan — Strategy 2</w:t>
      </w:r>
    </w:p>
    <w:p w14:paraId="2EC0FF63" w14:textId="43BADDC6" w:rsidR="00D97D2E" w:rsidRDefault="00D97D2E" w:rsidP="00D97D2E">
      <w:pPr>
        <w:pStyle w:val="Bulletslast"/>
      </w:pPr>
      <w:r>
        <w:t>2019–20 Portfolio Budget Statement Program 1.1</w:t>
      </w:r>
    </w:p>
    <w:p w14:paraId="1EADB19D" w14:textId="5DE4201D" w:rsidR="008912E6" w:rsidRDefault="008912E6" w:rsidP="009914B5">
      <w:pPr>
        <w:pStyle w:val="H4"/>
      </w:pPr>
      <w:r>
        <w:t>Results against performance</w:t>
      </w:r>
      <w:r w:rsidR="00C56BB8">
        <w:t> </w:t>
      </w:r>
      <w:r>
        <w:t>criteria</w:t>
      </w:r>
    </w:p>
    <w:p w14:paraId="08839560" w14:textId="6CBB3A25" w:rsidR="008912E6" w:rsidRDefault="008912E6" w:rsidP="009914B5">
      <w:pPr>
        <w:pStyle w:val="NumberedList"/>
        <w:numPr>
          <w:ilvl w:val="0"/>
          <w:numId w:val="6"/>
        </w:numPr>
      </w:pPr>
      <w:r>
        <w:t>In 2019–20, the Mental Health Phase of</w:t>
      </w:r>
      <w:r w:rsidR="00C56BB8">
        <w:t> </w:t>
      </w:r>
      <w:r>
        <w:t>Care Clinical Refinement project final report was published. The report captured clinical evidence and initial recommendations of proposed mental health phase of care options. IHPA</w:t>
      </w:r>
      <w:r w:rsidR="00C56BB8">
        <w:t> </w:t>
      </w:r>
      <w:r>
        <w:t>continues to work with jurisdictions to refine the Australian Mental Health Care</w:t>
      </w:r>
      <w:r w:rsidR="00C56BB8">
        <w:t> </w:t>
      </w:r>
      <w:r>
        <w:t>Classification</w:t>
      </w:r>
      <w:r w:rsidR="00916E4C">
        <w:t>.</w:t>
      </w:r>
    </w:p>
    <w:p w14:paraId="3B064656" w14:textId="79C284A5" w:rsidR="008912E6" w:rsidRDefault="008912E6" w:rsidP="009914B5">
      <w:pPr>
        <w:pStyle w:val="NumberedList"/>
        <w:numPr>
          <w:ilvl w:val="0"/>
          <w:numId w:val="6"/>
        </w:numPr>
      </w:pPr>
      <w:r>
        <w:t>IHPA released the Australian Teaching and Training Classification Version 1.0 in</w:t>
      </w:r>
      <w:r w:rsidR="00C56BB8">
        <w:t> </w:t>
      </w:r>
      <w:r>
        <w:t>2018–19. During 2019–20, IHPA</w:t>
      </w:r>
      <w:r w:rsidR="00C56BB8">
        <w:t> </w:t>
      </w:r>
      <w:r>
        <w:t>continued to build the reporting systems to collect teaching and training activity and cost data to support the implementation of the classification.</w:t>
      </w:r>
    </w:p>
    <w:p w14:paraId="7AC52F80" w14:textId="59746815" w:rsidR="008912E6" w:rsidRDefault="008912E6" w:rsidP="009914B5">
      <w:pPr>
        <w:pStyle w:val="NumberedList"/>
        <w:numPr>
          <w:ilvl w:val="0"/>
          <w:numId w:val="6"/>
        </w:numPr>
      </w:pPr>
      <w:r>
        <w:t>The development of the new Australian Emergency Care Classification was completed in 2018–19, based on analysis of the emergency care costing study data and feedback from public</w:t>
      </w:r>
      <w:r w:rsidR="00C56BB8">
        <w:t> </w:t>
      </w:r>
      <w:r>
        <w:t xml:space="preserve">consultation. This classification places greater emphasis on patient factors such as diagnosis and complexity. It </w:t>
      </w:r>
      <w:r w:rsidR="00916E4C">
        <w:t xml:space="preserve">also </w:t>
      </w:r>
      <w:r>
        <w:t>has greater capacity to incorporate additional factors that drive patient complexity and cost The</w:t>
      </w:r>
      <w:r w:rsidR="00C56BB8">
        <w:t> </w:t>
      </w:r>
      <w:r>
        <w:t xml:space="preserve">Australian Emergency Care Classification </w:t>
      </w:r>
      <w:r w:rsidR="00916E4C">
        <w:t xml:space="preserve">is </w:t>
      </w:r>
      <w:r w:rsidR="00916E4C">
        <w:t>being</w:t>
      </w:r>
      <w:r>
        <w:t xml:space="preserve"> shadow price</w:t>
      </w:r>
      <w:r w:rsidR="00916E4C">
        <w:t xml:space="preserve">d </w:t>
      </w:r>
      <w:r>
        <w:t>for</w:t>
      </w:r>
      <w:r w:rsidR="00C56BB8">
        <w:t> </w:t>
      </w:r>
      <w:r>
        <w:t>2020</w:t>
      </w:r>
      <w:r w:rsidR="00681EE1">
        <w:t>–</w:t>
      </w:r>
      <w:r>
        <w:t>21.</w:t>
      </w:r>
    </w:p>
    <w:p w14:paraId="31A9F6CC" w14:textId="77777777" w:rsidR="00280437" w:rsidRDefault="001D1DA2" w:rsidP="009914B5">
      <w:pPr>
        <w:pStyle w:val="NumberedList"/>
        <w:numPr>
          <w:ilvl w:val="0"/>
          <w:numId w:val="6"/>
        </w:numPr>
      </w:pPr>
      <w:r>
        <w:br w:type="column"/>
      </w:r>
      <w:r w:rsidR="008912E6">
        <w:lastRenderedPageBreak/>
        <w:t>Development of a new version of the admitted Australian National Subacute and Non-Acute Patient classification continued in 2019–20 using reported data and clinical advice.</w:t>
      </w:r>
    </w:p>
    <w:p w14:paraId="79BC2EAB" w14:textId="71BB188E" w:rsidR="008912E6" w:rsidRDefault="008912E6" w:rsidP="00280437">
      <w:pPr>
        <w:pStyle w:val="NumberedList"/>
        <w:numPr>
          <w:ilvl w:val="0"/>
          <w:numId w:val="0"/>
        </w:numPr>
        <w:ind w:left="360"/>
      </w:pPr>
      <w:r>
        <w:t>The</w:t>
      </w:r>
      <w:r w:rsidR="00280437">
        <w:t xml:space="preserve"> </w:t>
      </w:r>
      <w:r>
        <w:t>development</w:t>
      </w:r>
      <w:r w:rsidR="00280437">
        <w:t xml:space="preserve"> </w:t>
      </w:r>
      <w:r>
        <w:t xml:space="preserve">project involves a thorough review of all current variables and thresholds, as well as assessments of potential new variables to make the end classes more clinically relevant and resource homogenous. </w:t>
      </w:r>
    </w:p>
    <w:p w14:paraId="435748FC" w14:textId="67375E97" w:rsidR="008912E6" w:rsidRDefault="008912E6" w:rsidP="009914B5">
      <w:pPr>
        <w:pStyle w:val="NumberedList"/>
        <w:numPr>
          <w:ilvl w:val="0"/>
          <w:numId w:val="6"/>
        </w:numPr>
      </w:pPr>
      <w:r>
        <w:t>Work on the development of the new</w:t>
      </w:r>
      <w:r w:rsidR="00C56BB8">
        <w:t> </w:t>
      </w:r>
      <w:r>
        <w:t>Australian Non‑Admitted Care</w:t>
      </w:r>
      <w:r w:rsidR="00C56BB8">
        <w:t> </w:t>
      </w:r>
      <w:r>
        <w:t>Classification continued. During</w:t>
      </w:r>
      <w:r w:rsidR="00C56BB8">
        <w:t> </w:t>
      </w:r>
      <w:r>
        <w:t>2019–</w:t>
      </w:r>
      <w:r w:rsidR="00C56BB8">
        <w:rPr>
          <w:rFonts w:ascii="Arial" w:hAnsi="Arial" w:cs="Arial" w:hint="cs"/>
          <w:rtl/>
        </w:rPr>
        <w:t>‍</w:t>
      </w:r>
      <w:r>
        <w:t xml:space="preserve">20, IHPA </w:t>
      </w:r>
      <w:r w:rsidR="00014ADE">
        <w:t>finalised</w:t>
      </w:r>
      <w:r>
        <w:t xml:space="preserve"> project</w:t>
      </w:r>
      <w:r w:rsidR="00C56BB8">
        <w:t> </w:t>
      </w:r>
      <w:r>
        <w:t>set-up and site selection, and</w:t>
      </w:r>
      <w:r w:rsidR="00C56BB8">
        <w:t> </w:t>
      </w:r>
      <w:r>
        <w:t>commenced data collection for a</w:t>
      </w:r>
      <w:r w:rsidR="00C56BB8">
        <w:t> </w:t>
      </w:r>
      <w:r>
        <w:t>national non-admitted costing study</w:t>
      </w:r>
      <w:r w:rsidR="00C56BB8">
        <w:t> </w:t>
      </w:r>
      <w:r>
        <w:t>to</w:t>
      </w:r>
      <w:r w:rsidR="00C56BB8">
        <w:t> </w:t>
      </w:r>
      <w:r>
        <w:t>inform the development of the</w:t>
      </w:r>
      <w:r w:rsidR="00C56BB8">
        <w:t> </w:t>
      </w:r>
      <w:r>
        <w:t xml:space="preserve">classification. </w:t>
      </w:r>
      <w:r w:rsidR="00526F8F" w:rsidRPr="00526F8F">
        <w:t>Data collection for the</w:t>
      </w:r>
      <w:r w:rsidR="00526F8F">
        <w:t> </w:t>
      </w:r>
      <w:r w:rsidR="00526F8F" w:rsidRPr="00526F8F">
        <w:t xml:space="preserve">main costing study commenced in October 2019 but has been suspended due to the need for hospitals to focus on the response to the </w:t>
      </w:r>
      <w:r w:rsidR="00E747BF">
        <w:t>COVID-19</w:t>
      </w:r>
      <w:r w:rsidR="00526F8F" w:rsidRPr="00526F8F">
        <w:t xml:space="preserve"> outbreak. It is anticipated that the data collection will recommence when activity undertaken by hospital non-admitted services has normalised and refined service delivery models have been</w:t>
      </w:r>
      <w:r w:rsidR="00526F8F">
        <w:t> </w:t>
      </w:r>
      <w:r w:rsidR="00526F8F" w:rsidRPr="00526F8F">
        <w:t>established.</w:t>
      </w:r>
    </w:p>
    <w:p w14:paraId="0697D6EC" w14:textId="240DA824" w:rsidR="008912E6" w:rsidRDefault="009914B5" w:rsidP="009914B5">
      <w:pPr>
        <w:pStyle w:val="NumberedList"/>
        <w:numPr>
          <w:ilvl w:val="0"/>
          <w:numId w:val="6"/>
        </w:numPr>
      </w:pPr>
      <w:r>
        <w:br w:type="column"/>
      </w:r>
      <w:r w:rsidR="008912E6">
        <w:t>The ICD‑10‑AM/ACHI/ACS Eleventh</w:t>
      </w:r>
      <w:r w:rsidR="00C56BB8">
        <w:t> </w:t>
      </w:r>
      <w:r w:rsidR="008912E6">
        <w:t>Edition was implemented on</w:t>
      </w:r>
      <w:r w:rsidR="00C56BB8">
        <w:t> </w:t>
      </w:r>
      <w:r w:rsidR="008912E6">
        <w:t>1</w:t>
      </w:r>
      <w:r w:rsidR="00C56BB8">
        <w:t> </w:t>
      </w:r>
      <w:r w:rsidR="008912E6">
        <w:t>July</w:t>
      </w:r>
      <w:r w:rsidR="00C56BB8">
        <w:t> </w:t>
      </w:r>
      <w:r w:rsidR="008912E6">
        <w:t>2019.</w:t>
      </w:r>
      <w:r w:rsidR="00C56BB8">
        <w:t> </w:t>
      </w:r>
      <w:r w:rsidR="008912E6">
        <w:t>Development of ICD</w:t>
      </w:r>
      <w:r w:rsidR="00C56BB8">
        <w:noBreakHyphen/>
      </w:r>
      <w:r w:rsidR="008912E6">
        <w:t>10</w:t>
      </w:r>
      <w:r w:rsidR="00C56BB8">
        <w:noBreakHyphen/>
      </w:r>
      <w:r w:rsidR="008912E6">
        <w:t>AM/ACHI/ACS Twelfth Edition</w:t>
      </w:r>
      <w:r w:rsidR="00C56BB8">
        <w:t> </w:t>
      </w:r>
      <w:r w:rsidR="008912E6">
        <w:t>commenced in July 2019, for</w:t>
      </w:r>
      <w:r w:rsidR="00C56BB8">
        <w:t> </w:t>
      </w:r>
      <w:r w:rsidR="008912E6">
        <w:t xml:space="preserve">implementation on 1 July 2022. </w:t>
      </w:r>
    </w:p>
    <w:p w14:paraId="0A1CDA61" w14:textId="5C9E1267" w:rsidR="008912E6" w:rsidRDefault="008912E6" w:rsidP="009914B5">
      <w:pPr>
        <w:pStyle w:val="NumberedList"/>
        <w:numPr>
          <w:ilvl w:val="0"/>
          <w:numId w:val="0"/>
        </w:numPr>
        <w:ind w:left="360"/>
      </w:pPr>
      <w:r>
        <w:t>AR-DRG V10.0 was released in 2019 and used to price admitted acute episodes of care from 1 July 2020. Development of AR-DRG V11.0 commenced in 2019 for release in</w:t>
      </w:r>
      <w:r w:rsidR="00C56BB8">
        <w:t> </w:t>
      </w:r>
      <w:r>
        <w:t xml:space="preserve">2022. </w:t>
      </w:r>
    </w:p>
    <w:p w14:paraId="58699641" w14:textId="6794A7D4" w:rsidR="00851861" w:rsidRDefault="008912E6" w:rsidP="009914B5">
      <w:pPr>
        <w:pStyle w:val="NumberedList"/>
        <w:numPr>
          <w:ilvl w:val="0"/>
          <w:numId w:val="0"/>
        </w:numPr>
        <w:ind w:left="360"/>
        <w:sectPr w:rsidR="00851861" w:rsidSect="00233B6F">
          <w:type w:val="continuous"/>
          <w:pgSz w:w="9979" w:h="14175" w:code="13"/>
          <w:pgMar w:top="1134" w:right="1418" w:bottom="1276" w:left="1418" w:header="709" w:footer="709" w:gutter="0"/>
          <w:cols w:num="2" w:space="623"/>
          <w:docGrid w:linePitch="360"/>
        </w:sectPr>
      </w:pPr>
      <w:r>
        <w:t>Refinements to the ICD-10-AM/ACHI/ACS and AR-DRG classifications were undertaken following</w:t>
      </w:r>
      <w:r w:rsidR="00C56BB8">
        <w:t> </w:t>
      </w:r>
      <w:r>
        <w:t>clinical and statistical analysis</w:t>
      </w:r>
      <w:r w:rsidR="00C56BB8">
        <w:t> </w:t>
      </w:r>
      <w:r>
        <w:t>and consultation with clinicians, jurisdictions</w:t>
      </w:r>
      <w:r w:rsidR="00C56BB8">
        <w:t> </w:t>
      </w:r>
      <w:r>
        <w:t>and other stakeholders to</w:t>
      </w:r>
      <w:r w:rsidR="000C2529">
        <w:t> </w:t>
      </w:r>
      <w:r>
        <w:t>ensure that the classifications remain</w:t>
      </w:r>
      <w:r w:rsidR="000C2529">
        <w:t> </w:t>
      </w:r>
      <w:r>
        <w:t>current, clinically relevant, and</w:t>
      </w:r>
      <w:r w:rsidR="000C2529">
        <w:t> </w:t>
      </w:r>
      <w:r>
        <w:t>adequately explain the costs of providing</w:t>
      </w:r>
      <w:r w:rsidR="00C56BB8">
        <w:t> </w:t>
      </w:r>
      <w:r>
        <w:t>admitted acute hospital</w:t>
      </w:r>
      <w:r w:rsidR="00C4041D">
        <w:t> </w:t>
      </w:r>
      <w:r>
        <w:t>care.</w:t>
      </w:r>
    </w:p>
    <w:p w14:paraId="27CD628C" w14:textId="77777777" w:rsidR="00851861" w:rsidRPr="00851861" w:rsidRDefault="00851861" w:rsidP="00851861">
      <w:pPr>
        <w:pStyle w:val="H3"/>
        <w:rPr>
          <w:color w:val="5E2F7E" w:themeColor="accent5"/>
        </w:rPr>
      </w:pPr>
      <w:r w:rsidRPr="00851861">
        <w:rPr>
          <w:color w:val="5E2F7E" w:themeColor="accent5"/>
        </w:rPr>
        <w:lastRenderedPageBreak/>
        <w:t>Activity 3: Refine and improve hospital costing</w:t>
      </w:r>
    </w:p>
    <w:p w14:paraId="0D4A6B1B" w14:textId="420A71F9" w:rsidR="00851861" w:rsidRDefault="00851861" w:rsidP="00851861">
      <w:pPr>
        <w:pStyle w:val="Body"/>
      </w:pPr>
      <w:r>
        <w:t>Hospital costing focuses on the cost and mix of resources used to deliver patient care, and</w:t>
      </w:r>
      <w:r w:rsidR="00C56BB8">
        <w:t> </w:t>
      </w:r>
      <w:r>
        <w:t>plays a vital role in activity based funding. Costing informs the development of classification systems and provides valuable information for pricing purposes.</w:t>
      </w:r>
    </w:p>
    <w:p w14:paraId="7AFBA0E7" w14:textId="4B248D21" w:rsidR="00851861" w:rsidRDefault="00851861" w:rsidP="00851861">
      <w:pPr>
        <w:pStyle w:val="Body"/>
      </w:pPr>
      <w:r>
        <w:t>A key output for IHPA is to coordinate the</w:t>
      </w:r>
      <w:r w:rsidR="00C56BB8">
        <w:t> </w:t>
      </w:r>
      <w:r>
        <w:t>annual National Hospital Cost Data Collection, which is the primary input into the</w:t>
      </w:r>
      <w:r w:rsidR="00C56BB8">
        <w:t> </w:t>
      </w:r>
      <w:r>
        <w:t>National Efficient Price. This includes the development of national costing standards, collection, validation, quality assurance, analysis and reporting, and benchmarking. The cost collection is undertaken in conjunction</w:t>
      </w:r>
      <w:r w:rsidR="00C56BB8">
        <w:t> </w:t>
      </w:r>
      <w:r>
        <w:t>with states and territories, and</w:t>
      </w:r>
      <w:r w:rsidR="00C56BB8">
        <w:t> </w:t>
      </w:r>
      <w:r>
        <w:t>private</w:t>
      </w:r>
      <w:r w:rsidR="00C56BB8">
        <w:t> </w:t>
      </w:r>
      <w:r>
        <w:t>hospitals.</w:t>
      </w:r>
    </w:p>
    <w:p w14:paraId="2258C3AB" w14:textId="77777777" w:rsidR="00851861" w:rsidRDefault="00851861" w:rsidP="00851861">
      <w:pPr>
        <w:pStyle w:val="H4"/>
      </w:pPr>
      <w:r>
        <w:t>Performance criteria</w:t>
      </w:r>
    </w:p>
    <w:p w14:paraId="42573370" w14:textId="3D80D4C7" w:rsidR="00851861" w:rsidRDefault="00851861" w:rsidP="00851861">
      <w:pPr>
        <w:pStyle w:val="NumberedList"/>
        <w:numPr>
          <w:ilvl w:val="0"/>
          <w:numId w:val="7"/>
        </w:numPr>
      </w:pPr>
      <w:r>
        <w:t xml:space="preserve">Continue to maintain the Australian Hospital Patient Costing Standards </w:t>
      </w:r>
      <w:r w:rsidR="009C1313">
        <w:t xml:space="preserve">(AHPCS) </w:t>
      </w:r>
      <w:r>
        <w:t>Version 4.0.</w:t>
      </w:r>
    </w:p>
    <w:p w14:paraId="265D31FF" w14:textId="6680FB4A" w:rsidR="00851861" w:rsidRDefault="00851861" w:rsidP="00851861">
      <w:pPr>
        <w:pStyle w:val="NumberedList"/>
        <w:numPr>
          <w:ilvl w:val="0"/>
          <w:numId w:val="7"/>
        </w:numPr>
      </w:pPr>
      <w:r>
        <w:t>Ensure effective collection and processing of costing information to support activity based funding outcomes</w:t>
      </w:r>
      <w:r w:rsidR="00610C6A">
        <w:t>.</w:t>
      </w:r>
      <w:r>
        <w:t xml:space="preserve"> </w:t>
      </w:r>
    </w:p>
    <w:p w14:paraId="6053C319" w14:textId="32027274" w:rsidR="00851861" w:rsidRDefault="00851861" w:rsidP="00851861">
      <w:pPr>
        <w:pStyle w:val="NumberedList"/>
        <w:numPr>
          <w:ilvl w:val="0"/>
          <w:numId w:val="7"/>
        </w:numPr>
      </w:pPr>
      <w:r>
        <w:t>Produce informative and authoritative information of hospital costs.</w:t>
      </w:r>
    </w:p>
    <w:p w14:paraId="08709085" w14:textId="3A898F3F" w:rsidR="00851861" w:rsidRDefault="00851861" w:rsidP="00851861">
      <w:pPr>
        <w:pStyle w:val="NumberedList"/>
        <w:numPr>
          <w:ilvl w:val="0"/>
          <w:numId w:val="7"/>
        </w:numPr>
      </w:pPr>
      <w:r>
        <w:t>Evaluate compliance with new aspects incorporated in the AHPCS Version 4.0.</w:t>
      </w:r>
    </w:p>
    <w:p w14:paraId="6164EA26" w14:textId="2664E67C" w:rsidR="00851861" w:rsidRDefault="00851861" w:rsidP="00851861">
      <w:pPr>
        <w:pStyle w:val="H4"/>
      </w:pPr>
      <w:r>
        <w:br w:type="column"/>
      </w:r>
      <w:r>
        <w:t>Source</w:t>
      </w:r>
    </w:p>
    <w:p w14:paraId="7777979B" w14:textId="0F2898A0" w:rsidR="00851861" w:rsidRDefault="00851861" w:rsidP="00851861">
      <w:pPr>
        <w:pStyle w:val="Bullets"/>
      </w:pPr>
      <w:r>
        <w:t>2019–20 Corporate Plan — Strategy 3</w:t>
      </w:r>
    </w:p>
    <w:p w14:paraId="4200136A" w14:textId="31A08695" w:rsidR="00851861" w:rsidRDefault="00851861" w:rsidP="00851861">
      <w:pPr>
        <w:pStyle w:val="Bulletslast"/>
      </w:pPr>
      <w:r>
        <w:t>2019–20 IHPA Work Program — Activity 5(a)</w:t>
      </w:r>
    </w:p>
    <w:p w14:paraId="17F597F6" w14:textId="4446228A" w:rsidR="00851861" w:rsidRDefault="00851861" w:rsidP="00851861">
      <w:pPr>
        <w:pStyle w:val="H4"/>
      </w:pPr>
      <w:r>
        <w:t>Result against performance</w:t>
      </w:r>
      <w:r w:rsidR="00C56BB8">
        <w:t> </w:t>
      </w:r>
      <w:r>
        <w:t>criteria</w:t>
      </w:r>
    </w:p>
    <w:p w14:paraId="43D372A9" w14:textId="0471FAAD" w:rsidR="00851861" w:rsidRDefault="00851861" w:rsidP="00851861">
      <w:pPr>
        <w:pStyle w:val="NumberedList"/>
        <w:numPr>
          <w:ilvl w:val="0"/>
          <w:numId w:val="8"/>
        </w:numPr>
      </w:pPr>
      <w:r>
        <w:t>Worked with jurisdictions to implement the Australian Hospital Patient Costing Standards Version 4.0.</w:t>
      </w:r>
    </w:p>
    <w:p w14:paraId="21E2A360" w14:textId="77E9945F" w:rsidR="00851861" w:rsidRDefault="00851861" w:rsidP="00851861">
      <w:pPr>
        <w:pStyle w:val="NumberedList"/>
        <w:numPr>
          <w:ilvl w:val="0"/>
          <w:numId w:val="8"/>
        </w:numPr>
      </w:pPr>
      <w:r>
        <w:t>The National Hospital Cost Data Collection (NHCDC) Round 23 (financial</w:t>
      </w:r>
      <w:r w:rsidR="00C56BB8">
        <w:t> </w:t>
      </w:r>
      <w:r>
        <w:t>year 2019–20) data set was</w:t>
      </w:r>
      <w:r w:rsidR="00C56BB8">
        <w:t> </w:t>
      </w:r>
      <w:r>
        <w:t>collected.</w:t>
      </w:r>
    </w:p>
    <w:p w14:paraId="0EA25585" w14:textId="2B1C90CE" w:rsidR="00851861" w:rsidRDefault="00851861" w:rsidP="00851861">
      <w:pPr>
        <w:pStyle w:val="NumberedList"/>
        <w:numPr>
          <w:ilvl w:val="0"/>
          <w:numId w:val="8"/>
        </w:numPr>
      </w:pPr>
      <w:r>
        <w:t>In 2019–20, IHPA adapted the N</w:t>
      </w:r>
      <w:r w:rsidR="00280437">
        <w:t>HC</w:t>
      </w:r>
      <w:r>
        <w:t>DC</w:t>
      </w:r>
      <w:r w:rsidR="000F6A78">
        <w:t> </w:t>
      </w:r>
      <w:r>
        <w:t>report into a set of accessible infographics and thematic articles designed to reach a wider audience.</w:t>
      </w:r>
    </w:p>
    <w:p w14:paraId="11D958EC" w14:textId="051C8CF5" w:rsidR="00076841" w:rsidRDefault="00851861" w:rsidP="00851861">
      <w:pPr>
        <w:pStyle w:val="NumberedList"/>
        <w:numPr>
          <w:ilvl w:val="0"/>
          <w:numId w:val="8"/>
        </w:numPr>
        <w:sectPr w:rsidR="00076841" w:rsidSect="00851861">
          <w:pgSz w:w="9979" w:h="14175" w:code="13"/>
          <w:pgMar w:top="1134" w:right="1418" w:bottom="1276" w:left="1418" w:header="709" w:footer="709" w:gutter="0"/>
          <w:cols w:num="2" w:space="623"/>
          <w:docGrid w:linePitch="360"/>
        </w:sectPr>
      </w:pPr>
      <w:r>
        <w:t>The annual NHCDC Independent Financial Review evaluated jurisdictions’ compliance with new aspects of the</w:t>
      </w:r>
      <w:r w:rsidR="00C56BB8">
        <w:t> </w:t>
      </w:r>
      <w:r>
        <w:t>AHPCS.</w:t>
      </w:r>
    </w:p>
    <w:p w14:paraId="3D946EB5" w14:textId="77777777" w:rsidR="00F6036E" w:rsidRPr="00E97DC9" w:rsidRDefault="00F6036E" w:rsidP="00E97DC9">
      <w:pPr>
        <w:pStyle w:val="H3"/>
        <w:rPr>
          <w:color w:val="5E2F7E" w:themeColor="accent5"/>
        </w:rPr>
      </w:pPr>
      <w:r w:rsidRPr="00E97DC9">
        <w:rPr>
          <w:color w:val="5E2F7E" w:themeColor="accent5"/>
        </w:rPr>
        <w:lastRenderedPageBreak/>
        <w:t>Activity 4: Develop hospital data requirements and collect data</w:t>
      </w:r>
    </w:p>
    <w:p w14:paraId="0267FAB0" w14:textId="137A8C04" w:rsidR="00F6036E" w:rsidRDefault="00F6036E" w:rsidP="00F6036E">
      <w:pPr>
        <w:pStyle w:val="Body"/>
      </w:pPr>
      <w:r>
        <w:t>Timely, accurate and reliable public hospital data is vital to both the development of classifications for hospital services, and to determining the National Efficient Price of those services. IHPA has developed a rolling Three Year Data Plan to communicate to the Australian Government and states and territories the data requirements, data</w:t>
      </w:r>
      <w:r w:rsidR="005E1718">
        <w:t> </w:t>
      </w:r>
      <w:r>
        <w:t>standards and timelines that IHPA will</w:t>
      </w:r>
      <w:r w:rsidR="005E1718">
        <w:t> </w:t>
      </w:r>
      <w:r>
        <w:t>use</w:t>
      </w:r>
      <w:r w:rsidR="005E1718">
        <w:t> </w:t>
      </w:r>
      <w:r>
        <w:t>to collect data over the coming three</w:t>
      </w:r>
      <w:r w:rsidR="005E1718">
        <w:t> </w:t>
      </w:r>
      <w:r>
        <w:t>years. To</w:t>
      </w:r>
      <w:r w:rsidR="00D71353">
        <w:t> </w:t>
      </w:r>
      <w:r>
        <w:t>ensure greater transparency, IHPA</w:t>
      </w:r>
      <w:r w:rsidR="005E1718">
        <w:t> </w:t>
      </w:r>
      <w:r>
        <w:t>publishes data compliance reports on a</w:t>
      </w:r>
      <w:r w:rsidR="005E1718">
        <w:t> </w:t>
      </w:r>
      <w:r>
        <w:t>quarterly basis that indicate jurisdictional compliance with the specifications in the rolling</w:t>
      </w:r>
      <w:r w:rsidR="00D71353">
        <w:t> </w:t>
      </w:r>
      <w:r>
        <w:t>Three Year Data Plan.</w:t>
      </w:r>
    </w:p>
    <w:p w14:paraId="6A08D8C0" w14:textId="77777777" w:rsidR="00F6036E" w:rsidRDefault="00F6036E" w:rsidP="00E97DC9">
      <w:pPr>
        <w:pStyle w:val="H4"/>
      </w:pPr>
      <w:r>
        <w:t>Performance criteria</w:t>
      </w:r>
    </w:p>
    <w:p w14:paraId="70701B09" w14:textId="4F63C3E1" w:rsidR="00F6036E" w:rsidRDefault="00F6036E" w:rsidP="00E97DC9">
      <w:pPr>
        <w:pStyle w:val="NumberedList"/>
        <w:numPr>
          <w:ilvl w:val="0"/>
          <w:numId w:val="9"/>
        </w:numPr>
      </w:pPr>
      <w:r>
        <w:t>Update rolling Three Year Data Plan and</w:t>
      </w:r>
      <w:r w:rsidR="00D71353">
        <w:t> </w:t>
      </w:r>
      <w:r>
        <w:t>publish on the IHPA website by June</w:t>
      </w:r>
      <w:r w:rsidR="00D71353">
        <w:t> </w:t>
      </w:r>
      <w:r>
        <w:t>2020.</w:t>
      </w:r>
    </w:p>
    <w:p w14:paraId="17CA1E96" w14:textId="29063AB9" w:rsidR="00F6036E" w:rsidRDefault="00F6036E" w:rsidP="00E97DC9">
      <w:pPr>
        <w:pStyle w:val="NumberedList"/>
        <w:numPr>
          <w:ilvl w:val="0"/>
          <w:numId w:val="9"/>
        </w:numPr>
      </w:pPr>
      <w:r>
        <w:t>Publish a report on a quarterly rolling</w:t>
      </w:r>
      <w:r w:rsidR="00D71353">
        <w:t> </w:t>
      </w:r>
      <w:r>
        <w:t>basis, outlining compliance with</w:t>
      </w:r>
      <w:r w:rsidR="00D71353">
        <w:t> </w:t>
      </w:r>
      <w:r>
        <w:t>the data requirements and data standards specified in the rolling Three</w:t>
      </w:r>
      <w:r w:rsidR="00D71353">
        <w:t> </w:t>
      </w:r>
      <w:r>
        <w:t>Year Data</w:t>
      </w:r>
      <w:r w:rsidR="00D71353">
        <w:t> </w:t>
      </w:r>
      <w:r>
        <w:t>Plan.</w:t>
      </w:r>
    </w:p>
    <w:p w14:paraId="40040CC6" w14:textId="73995B48" w:rsidR="00F6036E" w:rsidRDefault="00F6036E" w:rsidP="00E97DC9">
      <w:pPr>
        <w:pStyle w:val="NumberedList"/>
        <w:numPr>
          <w:ilvl w:val="0"/>
          <w:numId w:val="9"/>
        </w:numPr>
      </w:pPr>
      <w:r>
        <w:t>Develop appropriate data specifications, and ensure information provided for</w:t>
      </w:r>
      <w:r w:rsidR="00D71353">
        <w:t> </w:t>
      </w:r>
      <w:r>
        <w:t>decision making meets those</w:t>
      </w:r>
      <w:r w:rsidR="00D71353">
        <w:t> </w:t>
      </w:r>
      <w:r>
        <w:t>specifications.</w:t>
      </w:r>
    </w:p>
    <w:p w14:paraId="766AEF2E" w14:textId="6F595BF3" w:rsidR="00F6036E" w:rsidRDefault="00610C6A" w:rsidP="00E97DC9">
      <w:pPr>
        <w:pStyle w:val="NumberedList"/>
        <w:numPr>
          <w:ilvl w:val="0"/>
          <w:numId w:val="9"/>
        </w:numPr>
      </w:pPr>
      <w:r>
        <w:t>Maintain i</w:t>
      </w:r>
      <w:r w:rsidR="00F6036E">
        <w:t>nternal data assessment and</w:t>
      </w:r>
      <w:r w:rsidR="00D71353">
        <w:t> </w:t>
      </w:r>
      <w:r w:rsidR="00F6036E">
        <w:t>compliance.</w:t>
      </w:r>
    </w:p>
    <w:p w14:paraId="7F669D16" w14:textId="6A1CAC3F" w:rsidR="00F6036E" w:rsidRDefault="00F6036E" w:rsidP="00E97DC9">
      <w:pPr>
        <w:pStyle w:val="NumberedList"/>
        <w:numPr>
          <w:ilvl w:val="0"/>
          <w:numId w:val="9"/>
        </w:numPr>
      </w:pPr>
      <w:r>
        <w:t>Receive assurance from jurisdictions regarding data quality/accuracy.</w:t>
      </w:r>
    </w:p>
    <w:p w14:paraId="1EA54C0E" w14:textId="1A9C83E3" w:rsidR="00F6036E" w:rsidRDefault="00F6036E" w:rsidP="00E97DC9">
      <w:pPr>
        <w:pStyle w:val="NumberedList"/>
        <w:numPr>
          <w:ilvl w:val="0"/>
          <w:numId w:val="9"/>
        </w:numPr>
      </w:pPr>
      <w:r>
        <w:t xml:space="preserve">Protect privacy and ensure data security. </w:t>
      </w:r>
    </w:p>
    <w:p w14:paraId="466380B0" w14:textId="65DCD7E9" w:rsidR="00F6036E" w:rsidRDefault="00E97DC9" w:rsidP="00E97DC9">
      <w:pPr>
        <w:pStyle w:val="H4"/>
      </w:pPr>
      <w:r>
        <w:br w:type="column"/>
      </w:r>
      <w:r w:rsidR="00F6036E">
        <w:lastRenderedPageBreak/>
        <w:t>Source</w:t>
      </w:r>
    </w:p>
    <w:p w14:paraId="724CC457" w14:textId="3417A6D3" w:rsidR="00F6036E" w:rsidRDefault="00F6036E" w:rsidP="00E97DC9">
      <w:pPr>
        <w:pStyle w:val="Bullets"/>
      </w:pPr>
      <w:r>
        <w:t>2019–20 Corporate Plan — Strategy 4</w:t>
      </w:r>
    </w:p>
    <w:p w14:paraId="061526BC" w14:textId="481EA091" w:rsidR="00F6036E" w:rsidRDefault="00F6036E" w:rsidP="00E97DC9">
      <w:pPr>
        <w:pStyle w:val="Bulletslast"/>
      </w:pPr>
      <w:r>
        <w:t>2019–20 Portfolio Budget Statement Program 1.1</w:t>
      </w:r>
    </w:p>
    <w:p w14:paraId="747BA7C7" w14:textId="400EB8F8" w:rsidR="00F6036E" w:rsidRDefault="00F6036E" w:rsidP="00E97DC9">
      <w:pPr>
        <w:pStyle w:val="H4"/>
      </w:pPr>
      <w:r>
        <w:t>Result against performance</w:t>
      </w:r>
      <w:r w:rsidR="00D71353">
        <w:t> </w:t>
      </w:r>
      <w:r>
        <w:t>criteria</w:t>
      </w:r>
    </w:p>
    <w:p w14:paraId="46E060F3" w14:textId="2974B7DF" w:rsidR="00F6036E" w:rsidRDefault="00F6036E" w:rsidP="00E97DC9">
      <w:pPr>
        <w:pStyle w:val="NumberedList"/>
        <w:numPr>
          <w:ilvl w:val="0"/>
          <w:numId w:val="10"/>
        </w:numPr>
      </w:pPr>
      <w:r>
        <w:t>The updated Three Year Data Plan was</w:t>
      </w:r>
      <w:r w:rsidR="00D71353">
        <w:t> </w:t>
      </w:r>
      <w:r>
        <w:t>published on the IHPA website in</w:t>
      </w:r>
      <w:r w:rsidR="00D71353">
        <w:t> </w:t>
      </w:r>
      <w:r w:rsidR="00916E4C">
        <w:t>June</w:t>
      </w:r>
      <w:r w:rsidR="00D71353">
        <w:t> </w:t>
      </w:r>
      <w:r>
        <w:t>2020.</w:t>
      </w:r>
    </w:p>
    <w:p w14:paraId="28F4143C" w14:textId="165AA7D5" w:rsidR="00F6036E" w:rsidRDefault="00F6036E" w:rsidP="00E97DC9">
      <w:pPr>
        <w:pStyle w:val="NumberedList"/>
        <w:numPr>
          <w:ilvl w:val="0"/>
          <w:numId w:val="10"/>
        </w:numPr>
      </w:pPr>
      <w:r>
        <w:t>The quarterly data compliance reports were developed in consultation with jurisdictions and published on the IHPA</w:t>
      </w:r>
      <w:r w:rsidR="00D71353">
        <w:t> </w:t>
      </w:r>
      <w:r>
        <w:t>website.</w:t>
      </w:r>
    </w:p>
    <w:p w14:paraId="36B8FFFD" w14:textId="2E5D5C13" w:rsidR="00F6036E" w:rsidRDefault="00F6036E" w:rsidP="00E97DC9">
      <w:pPr>
        <w:pStyle w:val="NumberedList"/>
        <w:numPr>
          <w:ilvl w:val="0"/>
          <w:numId w:val="10"/>
        </w:numPr>
      </w:pPr>
      <w:r>
        <w:t>Activity based funding data submissions were assessed based on the published data standards, such as data set specifications and data request</w:t>
      </w:r>
      <w:r w:rsidR="00D71353">
        <w:t> </w:t>
      </w:r>
      <w:r>
        <w:t>specifications.</w:t>
      </w:r>
    </w:p>
    <w:p w14:paraId="72415D9B" w14:textId="0D44B9F6" w:rsidR="00F6036E" w:rsidRDefault="00F6036E" w:rsidP="00E97DC9">
      <w:pPr>
        <w:pStyle w:val="NumberedList"/>
        <w:numPr>
          <w:ilvl w:val="0"/>
          <w:numId w:val="10"/>
        </w:numPr>
      </w:pPr>
      <w:r>
        <w:t>The IHPA Data Compliance Policy was</w:t>
      </w:r>
      <w:r w:rsidR="00D71353">
        <w:t> </w:t>
      </w:r>
      <w:r>
        <w:t>used to assess jurisdictional compliance</w:t>
      </w:r>
      <w:r w:rsidR="00D71353">
        <w:t> </w:t>
      </w:r>
      <w:r>
        <w:t>ratings.</w:t>
      </w:r>
    </w:p>
    <w:p w14:paraId="50B0F533" w14:textId="2C1D6CD4" w:rsidR="00F6036E" w:rsidRDefault="00F6036E" w:rsidP="00E97DC9">
      <w:pPr>
        <w:pStyle w:val="NumberedList"/>
        <w:numPr>
          <w:ilvl w:val="0"/>
          <w:numId w:val="10"/>
        </w:numPr>
      </w:pPr>
      <w:r>
        <w:t>Jurisdictions were required to sign off their final data submission to IHPA, to</w:t>
      </w:r>
      <w:r w:rsidR="00D71353">
        <w:t> </w:t>
      </w:r>
      <w:r>
        <w:t>ensure that data conforms as closely as</w:t>
      </w:r>
      <w:r w:rsidR="00D71353">
        <w:t> </w:t>
      </w:r>
      <w:r>
        <w:t>is achievable in regard to its quality and</w:t>
      </w:r>
      <w:r w:rsidR="00D71353">
        <w:t> </w:t>
      </w:r>
      <w:r>
        <w:t>accuracy. A Statement of Assurance, which provides detailed information about data quality and limitation, accompanies final data submission.</w:t>
      </w:r>
    </w:p>
    <w:p w14:paraId="7A416611" w14:textId="6D1D0609" w:rsidR="00EC085D" w:rsidRDefault="00F6036E" w:rsidP="00E97DC9">
      <w:pPr>
        <w:pStyle w:val="NumberedList"/>
        <w:numPr>
          <w:ilvl w:val="0"/>
          <w:numId w:val="10"/>
        </w:numPr>
        <w:sectPr w:rsidR="00EC085D" w:rsidSect="00851861">
          <w:pgSz w:w="9979" w:h="14175" w:code="13"/>
          <w:pgMar w:top="1134" w:right="1418" w:bottom="1276" w:left="1418" w:header="709" w:footer="709" w:gutter="0"/>
          <w:cols w:num="2" w:space="623"/>
          <w:docGrid w:linePitch="360"/>
        </w:sectPr>
      </w:pPr>
      <w:r>
        <w:t>IHPA will continue to develop the secure data management system to support its core technical functions, whil</w:t>
      </w:r>
      <w:r w:rsidR="00610C6A">
        <w:t>e</w:t>
      </w:r>
      <w:r>
        <w:t xml:space="preserve"> ensuring the current high standards of data security are maintained.</w:t>
      </w:r>
    </w:p>
    <w:p w14:paraId="11F5DC0B" w14:textId="77777777" w:rsidR="00EC085D" w:rsidRPr="006C7F4E" w:rsidRDefault="00EC085D" w:rsidP="006C7F4E">
      <w:pPr>
        <w:pStyle w:val="H3"/>
        <w:rPr>
          <w:color w:val="5E2F7E" w:themeColor="accent5"/>
        </w:rPr>
      </w:pPr>
      <w:r w:rsidRPr="006C7F4E">
        <w:rPr>
          <w:color w:val="5E2F7E" w:themeColor="accent5"/>
        </w:rPr>
        <w:lastRenderedPageBreak/>
        <w:t>Activity 5: Resolve disputes on cost‑shifting and cross‑border issues</w:t>
      </w:r>
    </w:p>
    <w:p w14:paraId="200753C9" w14:textId="77777777" w:rsidR="00EC085D" w:rsidRDefault="00EC085D" w:rsidP="00EC085D">
      <w:pPr>
        <w:pStyle w:val="Body"/>
      </w:pPr>
      <w:r>
        <w:t>IHPA has a role to investigate and make recommendations concerning cross-border disputes between states and territories, and to make assessments of cost‑shifting disputes.</w:t>
      </w:r>
    </w:p>
    <w:p w14:paraId="54260BED" w14:textId="77777777" w:rsidR="00EC085D" w:rsidRDefault="00EC085D" w:rsidP="006C7F4E">
      <w:pPr>
        <w:pStyle w:val="H4"/>
      </w:pPr>
      <w:r>
        <w:t>Performance criteria</w:t>
      </w:r>
    </w:p>
    <w:p w14:paraId="52A46EFE" w14:textId="41DA0A94" w:rsidR="00EC085D" w:rsidRDefault="00EC085D" w:rsidP="006C7F4E">
      <w:pPr>
        <w:pStyle w:val="NumberedList"/>
        <w:numPr>
          <w:ilvl w:val="0"/>
          <w:numId w:val="11"/>
        </w:numPr>
      </w:pPr>
      <w:r>
        <w:t>Review and publication of updated Cost</w:t>
      </w:r>
      <w:r w:rsidR="00661408">
        <w:noBreakHyphen/>
      </w:r>
      <w:r>
        <w:t>shifting and Cross-border Dispute Resolution Framework.</w:t>
      </w:r>
    </w:p>
    <w:p w14:paraId="0942F5B2" w14:textId="4EE5A0AF" w:rsidR="00EC085D" w:rsidRDefault="00EC085D" w:rsidP="006C7F4E">
      <w:pPr>
        <w:pStyle w:val="NumberedList"/>
        <w:numPr>
          <w:ilvl w:val="0"/>
          <w:numId w:val="11"/>
        </w:numPr>
      </w:pPr>
      <w:r>
        <w:t>Investigation of cost-shifting or cross</w:t>
      </w:r>
      <w:r w:rsidR="00661408">
        <w:noBreakHyphen/>
      </w:r>
      <w:r>
        <w:t>border disputes and provision of recommendations or assessment within six months of receipt of the request.</w:t>
      </w:r>
    </w:p>
    <w:p w14:paraId="68D864F5" w14:textId="77777777" w:rsidR="00EC085D" w:rsidRDefault="00EC085D" w:rsidP="006C7F4E">
      <w:pPr>
        <w:pStyle w:val="H4"/>
      </w:pPr>
      <w:r>
        <w:t>Source</w:t>
      </w:r>
    </w:p>
    <w:p w14:paraId="50A60D27" w14:textId="3E43B351" w:rsidR="00EC085D" w:rsidRDefault="00EC085D" w:rsidP="006C7F4E">
      <w:pPr>
        <w:pStyle w:val="Bulletslast"/>
      </w:pPr>
      <w:r>
        <w:t>2019–20 Portfolio Budget Statement Program 1.1</w:t>
      </w:r>
    </w:p>
    <w:p w14:paraId="0D537E91" w14:textId="21261D2E" w:rsidR="00EC085D" w:rsidRDefault="00EC085D" w:rsidP="006C7F4E">
      <w:pPr>
        <w:pStyle w:val="H4"/>
      </w:pPr>
      <w:r>
        <w:t>Result against performance</w:t>
      </w:r>
      <w:r w:rsidR="00661408">
        <w:t> </w:t>
      </w:r>
      <w:r>
        <w:t>criteria</w:t>
      </w:r>
    </w:p>
    <w:p w14:paraId="572B3BA5" w14:textId="51F0086E" w:rsidR="00EC085D" w:rsidRDefault="00EC085D" w:rsidP="006C7F4E">
      <w:pPr>
        <w:pStyle w:val="NumberedList"/>
        <w:numPr>
          <w:ilvl w:val="0"/>
          <w:numId w:val="12"/>
        </w:numPr>
      </w:pPr>
      <w:r>
        <w:t>An updated Cost-shifting and Cross</w:t>
      </w:r>
      <w:r w:rsidR="00661408">
        <w:noBreakHyphen/>
      </w:r>
      <w:r>
        <w:t>border Dispute Resolution Framework (Version 3.3) was approved</w:t>
      </w:r>
      <w:r w:rsidR="00661408">
        <w:t> </w:t>
      </w:r>
      <w:r>
        <w:t>for publication in July</w:t>
      </w:r>
      <w:r w:rsidR="00681EE1">
        <w:t xml:space="preserve"> </w:t>
      </w:r>
      <w:r>
        <w:t>2019.</w:t>
      </w:r>
    </w:p>
    <w:p w14:paraId="72DADCB4" w14:textId="0DD41638" w:rsidR="008912E6" w:rsidRDefault="00EC085D" w:rsidP="006C7F4E">
      <w:pPr>
        <w:pStyle w:val="NumberedList"/>
        <w:numPr>
          <w:ilvl w:val="0"/>
          <w:numId w:val="12"/>
        </w:numPr>
      </w:pPr>
      <w:r>
        <w:t>In 2019–20, IHPA did not receive any requests relating to this function.</w:t>
      </w:r>
    </w:p>
    <w:p w14:paraId="726FFE69" w14:textId="55C0D143" w:rsidR="00B96500" w:rsidRPr="00B96500" w:rsidRDefault="00B96500" w:rsidP="00B96500">
      <w:pPr>
        <w:pStyle w:val="H3"/>
        <w:rPr>
          <w:color w:val="5E2F7E" w:themeColor="accent5"/>
        </w:rPr>
      </w:pPr>
      <w:r>
        <w:rPr>
          <w:color w:val="5E2F7E" w:themeColor="accent5"/>
        </w:rPr>
        <w:br w:type="column"/>
      </w:r>
      <w:r w:rsidRPr="00B96500">
        <w:rPr>
          <w:color w:val="5E2F7E" w:themeColor="accent5"/>
        </w:rPr>
        <w:t>Activity 6: Independent and transparent decision‑making and engagement with</w:t>
      </w:r>
      <w:r w:rsidR="00661408">
        <w:rPr>
          <w:color w:val="5E2F7E" w:themeColor="accent5"/>
        </w:rPr>
        <w:t> </w:t>
      </w:r>
      <w:r w:rsidRPr="00B96500">
        <w:rPr>
          <w:color w:val="5E2F7E" w:themeColor="accent5"/>
        </w:rPr>
        <w:t>stakeholders</w:t>
      </w:r>
    </w:p>
    <w:p w14:paraId="4D7FF47C" w14:textId="108B7AB4" w:rsidR="00B96500" w:rsidRDefault="00B96500" w:rsidP="00B96500">
      <w:pPr>
        <w:pStyle w:val="Body"/>
      </w:pPr>
      <w:r>
        <w:t>IHPA works in partnership with the Australian Government, state and territory governments and other stakeholders. IHPA conducts its work</w:t>
      </w:r>
      <w:r w:rsidR="00661408">
        <w:t> </w:t>
      </w:r>
      <w:r>
        <w:t>independently from governments, which</w:t>
      </w:r>
      <w:r w:rsidR="00661408">
        <w:t> </w:t>
      </w:r>
      <w:r>
        <w:t>allows the agency to deliver impartial, evidence‑based decisions. It is transparent in its decision‑making processes, and consults extensively across the health industry.</w:t>
      </w:r>
    </w:p>
    <w:p w14:paraId="40D31A14" w14:textId="67497D5B" w:rsidR="00B96500" w:rsidRDefault="00B96500" w:rsidP="00B96500">
      <w:pPr>
        <w:pStyle w:val="Body"/>
      </w:pPr>
      <w:r>
        <w:t>Extensive consultation with governments and</w:t>
      </w:r>
      <w:r w:rsidR="00661408">
        <w:t> </w:t>
      </w:r>
      <w:r>
        <w:t>stakeholders informs the methodology that</w:t>
      </w:r>
      <w:r w:rsidR="00661408">
        <w:t> </w:t>
      </w:r>
      <w:r>
        <w:t>underpins IHPA’s decisions and work</w:t>
      </w:r>
      <w:r w:rsidR="00661408">
        <w:t> </w:t>
      </w:r>
      <w:r>
        <w:t>program. IHPA has a formal consultation framework in place, to ensure that it draws on an extensive range of expertise in undertaking its functions. Input from stakeholders, through</w:t>
      </w:r>
      <w:r w:rsidR="00661408">
        <w:t> </w:t>
      </w:r>
      <w:r>
        <w:t>IHPA’s multiple committees and working groups, ensures that IHPA’s work is informed by expert clinical advice, which helps to establish and consolidate IHPA’s credibility throughout the industry.</w:t>
      </w:r>
    </w:p>
    <w:p w14:paraId="7D9C53B8" w14:textId="77777777" w:rsidR="00B96500" w:rsidRDefault="00B96500" w:rsidP="00B96500">
      <w:pPr>
        <w:pStyle w:val="H4"/>
      </w:pPr>
      <w:r>
        <w:t>Performance criteria</w:t>
      </w:r>
    </w:p>
    <w:p w14:paraId="7144AD9B" w14:textId="7F99F591" w:rsidR="00B96500" w:rsidRDefault="00B96500" w:rsidP="00B96500">
      <w:pPr>
        <w:pStyle w:val="NumberedList"/>
        <w:numPr>
          <w:ilvl w:val="0"/>
          <w:numId w:val="13"/>
        </w:numPr>
      </w:pPr>
      <w:r>
        <w:t>Appropriate committees and working groups maintained to support IHPA’s</w:t>
      </w:r>
      <w:r w:rsidR="00661408">
        <w:t> </w:t>
      </w:r>
      <w:r>
        <w:t>functions.</w:t>
      </w:r>
    </w:p>
    <w:p w14:paraId="72C50592" w14:textId="30F3AEEC" w:rsidR="00B96500" w:rsidRDefault="00B96500" w:rsidP="00B96500">
      <w:pPr>
        <w:pStyle w:val="NumberedList"/>
        <w:numPr>
          <w:ilvl w:val="0"/>
          <w:numId w:val="13"/>
        </w:numPr>
      </w:pPr>
      <w:r>
        <w:t>Public consultation processes conducted</w:t>
      </w:r>
      <w:r w:rsidR="00A67136">
        <w:t> </w:t>
      </w:r>
      <w:r>
        <w:t xml:space="preserve">in accordance with the </w:t>
      </w:r>
      <w:r w:rsidRPr="00A67136">
        <w:rPr>
          <w:i/>
          <w:iCs/>
        </w:rPr>
        <w:t>National Health</w:t>
      </w:r>
      <w:r w:rsidR="00661408" w:rsidRPr="00A67136">
        <w:rPr>
          <w:i/>
          <w:iCs/>
        </w:rPr>
        <w:t> </w:t>
      </w:r>
      <w:r w:rsidRPr="00A67136">
        <w:rPr>
          <w:i/>
          <w:iCs/>
        </w:rPr>
        <w:t>Reform Act 2011</w:t>
      </w:r>
      <w:r>
        <w:t>.</w:t>
      </w:r>
    </w:p>
    <w:p w14:paraId="0B73B265" w14:textId="43DCB078" w:rsidR="00B96500" w:rsidRDefault="00B96500" w:rsidP="00B96500">
      <w:pPr>
        <w:pStyle w:val="NumberedList"/>
        <w:numPr>
          <w:ilvl w:val="0"/>
          <w:numId w:val="13"/>
        </w:numPr>
      </w:pPr>
      <w:r>
        <w:t>All stakeholder input is appropriately</w:t>
      </w:r>
      <w:r w:rsidR="00661408">
        <w:t> </w:t>
      </w:r>
      <w:r>
        <w:t>considered.</w:t>
      </w:r>
    </w:p>
    <w:p w14:paraId="708F8602" w14:textId="092C2BE1" w:rsidR="00B96500" w:rsidRDefault="00B96500" w:rsidP="00B96500">
      <w:pPr>
        <w:pStyle w:val="NumberedList"/>
        <w:numPr>
          <w:ilvl w:val="0"/>
          <w:numId w:val="13"/>
        </w:numPr>
      </w:pPr>
      <w:r>
        <w:lastRenderedPageBreak/>
        <w:t>Inbox enquiries responded to within a</w:t>
      </w:r>
      <w:r w:rsidR="00661408">
        <w:t> </w:t>
      </w:r>
      <w:r>
        <w:t>two‑week timeframe.</w:t>
      </w:r>
    </w:p>
    <w:p w14:paraId="4D14F934" w14:textId="4163871F" w:rsidR="00B96500" w:rsidRDefault="00B96500" w:rsidP="00B96500">
      <w:pPr>
        <w:pStyle w:val="NumberedList"/>
        <w:numPr>
          <w:ilvl w:val="0"/>
          <w:numId w:val="13"/>
        </w:numPr>
      </w:pPr>
      <w:r>
        <w:t>Annual national conference hosted for a</w:t>
      </w:r>
      <w:r w:rsidR="00661408">
        <w:t> </w:t>
      </w:r>
      <w:r>
        <w:t>broad audience in the health industry.</w:t>
      </w:r>
    </w:p>
    <w:p w14:paraId="11D219E9" w14:textId="77777777" w:rsidR="00AB0FA0" w:rsidRDefault="00AB0FA0" w:rsidP="005A024E">
      <w:pPr>
        <w:pStyle w:val="H4"/>
        <w:sectPr w:rsidR="00AB0FA0" w:rsidSect="00851861">
          <w:pgSz w:w="9979" w:h="14175" w:code="13"/>
          <w:pgMar w:top="1134" w:right="1418" w:bottom="1276" w:left="1418" w:header="709" w:footer="709" w:gutter="0"/>
          <w:cols w:num="2" w:space="623"/>
          <w:docGrid w:linePitch="360"/>
        </w:sectPr>
      </w:pPr>
    </w:p>
    <w:p w14:paraId="7D71D617" w14:textId="47D3578A" w:rsidR="005A024E" w:rsidRDefault="005A024E" w:rsidP="005A024E">
      <w:pPr>
        <w:pStyle w:val="H4"/>
      </w:pPr>
      <w:r>
        <w:lastRenderedPageBreak/>
        <w:t>Source</w:t>
      </w:r>
    </w:p>
    <w:p w14:paraId="132F28EB" w14:textId="77777777" w:rsidR="005A024E" w:rsidRDefault="005A024E" w:rsidP="005A024E">
      <w:pPr>
        <w:pStyle w:val="Bullets"/>
      </w:pPr>
      <w:r>
        <w:t>2019–20 Corporate Plan</w:t>
      </w:r>
    </w:p>
    <w:p w14:paraId="13417CE4" w14:textId="77777777" w:rsidR="005A024E" w:rsidRDefault="005A024E" w:rsidP="005A024E">
      <w:pPr>
        <w:pStyle w:val="Bulletslast"/>
      </w:pPr>
      <w:r>
        <w:t>2019–20 Work Program</w:t>
      </w:r>
    </w:p>
    <w:p w14:paraId="5260EF2C" w14:textId="4BF2412E" w:rsidR="005A024E" w:rsidRDefault="005A024E" w:rsidP="005A024E">
      <w:pPr>
        <w:pStyle w:val="H4"/>
      </w:pPr>
      <w:r>
        <w:t>Results against performance</w:t>
      </w:r>
      <w:r w:rsidR="00AA1583">
        <w:t> </w:t>
      </w:r>
      <w:r>
        <w:t>criteria</w:t>
      </w:r>
    </w:p>
    <w:p w14:paraId="6BC45B99" w14:textId="5B63AE7E" w:rsidR="005A024E" w:rsidRDefault="005A024E" w:rsidP="005A024E">
      <w:pPr>
        <w:pStyle w:val="NumberedList"/>
        <w:numPr>
          <w:ilvl w:val="0"/>
          <w:numId w:val="14"/>
        </w:numPr>
      </w:pPr>
      <w:r>
        <w:t xml:space="preserve">In 2019–20 IHPA maintained up to </w:t>
      </w:r>
      <w:r w:rsidR="00E91900">
        <w:rPr>
          <w:spacing w:val="-20"/>
        </w:rPr>
        <w:t>18</w:t>
      </w:r>
      <w:r w:rsidR="008E5AB1">
        <w:t> </w:t>
      </w:r>
      <w:r>
        <w:t>committees and working groups, to</w:t>
      </w:r>
      <w:r w:rsidR="008E5AB1">
        <w:t> </w:t>
      </w:r>
      <w:r>
        <w:t xml:space="preserve">provide expert advice and to ensure the transparency and integrity of the </w:t>
      </w:r>
      <w:r w:rsidR="006978EA">
        <w:t>organisation</w:t>
      </w:r>
      <w:r>
        <w:t xml:space="preserve">. During the reporting period, IHPA held </w:t>
      </w:r>
      <w:r w:rsidR="00A64489">
        <w:t>78</w:t>
      </w:r>
      <w:r w:rsidRPr="004F46D6">
        <w:rPr>
          <w:color w:val="FF0000"/>
        </w:rPr>
        <w:t xml:space="preserve"> </w:t>
      </w:r>
      <w:r>
        <w:t>meetings with the various committees and working groups.</w:t>
      </w:r>
    </w:p>
    <w:p w14:paraId="66FAFD02" w14:textId="5A839524" w:rsidR="005A024E" w:rsidRDefault="005A024E" w:rsidP="005A024E">
      <w:pPr>
        <w:pStyle w:val="NumberedList"/>
        <w:numPr>
          <w:ilvl w:val="0"/>
          <w:numId w:val="14"/>
        </w:numPr>
      </w:pPr>
      <w:r>
        <w:t xml:space="preserve">IHPA conducted </w:t>
      </w:r>
      <w:r w:rsidR="00B50D5A">
        <w:t>two</w:t>
      </w:r>
      <w:r>
        <w:t xml:space="preserve"> public consultation processes in 2019–20, each in accordance with the </w:t>
      </w:r>
      <w:r w:rsidRPr="004F46D6">
        <w:rPr>
          <w:i/>
          <w:iCs/>
        </w:rPr>
        <w:t>National Health Reform Act 2011</w:t>
      </w:r>
      <w:r>
        <w:t>. These included:</w:t>
      </w:r>
    </w:p>
    <w:p w14:paraId="45C91C74" w14:textId="77777777" w:rsidR="005A024E" w:rsidRDefault="005A024E" w:rsidP="005A024E">
      <w:pPr>
        <w:pStyle w:val="AlphabetListL2"/>
      </w:pPr>
      <w:r>
        <w:t>Pricing Framework for Australian Public Hospital Services 2020–21 (July 2019)</w:t>
      </w:r>
    </w:p>
    <w:p w14:paraId="4F55691A" w14:textId="77777777" w:rsidR="005A024E" w:rsidRDefault="005A024E" w:rsidP="005A024E">
      <w:pPr>
        <w:pStyle w:val="AlphabetListL2"/>
      </w:pPr>
      <w:r>
        <w:t>IHPA Work Program 2020–21 (May 2020)</w:t>
      </w:r>
    </w:p>
    <w:p w14:paraId="1F0CB44F" w14:textId="77777777" w:rsidR="005A024E" w:rsidRDefault="005A024E" w:rsidP="005A024E">
      <w:pPr>
        <w:pStyle w:val="NumberedList"/>
      </w:pPr>
      <w:r>
        <w:t>All submissions received by IHPA, as part of consultation processes, were presented to the Pricing Authority for consideration and published on the IHPA website.</w:t>
      </w:r>
    </w:p>
    <w:p w14:paraId="456E0E8B" w14:textId="258B1565" w:rsidR="005A024E" w:rsidRDefault="005A024E" w:rsidP="00A64489">
      <w:pPr>
        <w:pStyle w:val="NumberedList"/>
        <w:ind w:right="-99"/>
        <w:rPr>
          <w:rStyle w:val="NumberedListChar"/>
        </w:rPr>
      </w:pPr>
      <w:r w:rsidRPr="004F46D6">
        <w:rPr>
          <w:rStyle w:val="NumberedListChar"/>
        </w:rPr>
        <w:t xml:space="preserve">IHPA received </w:t>
      </w:r>
      <w:r w:rsidR="00A64489">
        <w:t>194</w:t>
      </w:r>
      <w:r w:rsidRPr="004F46D6">
        <w:rPr>
          <w:rStyle w:val="NumberedListChar"/>
        </w:rPr>
        <w:t xml:space="preserve"> inbox enquiries during the reporting period. IHPA responded to </w:t>
      </w:r>
      <w:r w:rsidR="00A64489">
        <w:rPr>
          <w:rStyle w:val="NumberedListChar"/>
        </w:rPr>
        <w:t>51</w:t>
      </w:r>
      <w:r w:rsidRPr="004F46D6">
        <w:rPr>
          <w:rStyle w:val="NumberedListChar"/>
        </w:rPr>
        <w:t xml:space="preserve">% within two weeks and to </w:t>
      </w:r>
      <w:r w:rsidR="00A64489">
        <w:rPr>
          <w:rStyle w:val="NumberedListChar"/>
        </w:rPr>
        <w:t>37</w:t>
      </w:r>
      <w:r w:rsidRPr="004F46D6">
        <w:rPr>
          <w:rStyle w:val="NumberedListChar"/>
        </w:rPr>
        <w:t>% of those on the day of receipt.</w:t>
      </w:r>
    </w:p>
    <w:p w14:paraId="739A912A" w14:textId="0F3565E8" w:rsidR="009C1313" w:rsidRDefault="00AB0FA0" w:rsidP="007302F0">
      <w:pPr>
        <w:pStyle w:val="FigureHeading"/>
      </w:pPr>
      <w:r>
        <w:br w:type="column"/>
      </w:r>
      <w:bookmarkStart w:id="83" w:name="_Toc48830274"/>
      <w:r w:rsidR="009C1313" w:rsidRPr="00233B6F">
        <w:t xml:space="preserve">Table </w:t>
      </w:r>
      <w:r w:rsidR="009C1313">
        <w:t>6</w:t>
      </w:r>
      <w:r w:rsidR="009C1313" w:rsidRPr="00233B6F">
        <w:t xml:space="preserve">: </w:t>
      </w:r>
      <w:r w:rsidR="009C1313">
        <w:t>Response rate to enquiries 1 July 201</w:t>
      </w:r>
      <w:r w:rsidR="00A64489">
        <w:t>9</w:t>
      </w:r>
      <w:r w:rsidR="009C1313">
        <w:t xml:space="preserve"> – 30 June 20</w:t>
      </w:r>
      <w:r w:rsidR="00A64489">
        <w:t>20</w:t>
      </w:r>
      <w:bookmarkEnd w:id="83"/>
    </w:p>
    <w:tbl>
      <w:tblPr>
        <w:tblW w:w="3552" w:type="dxa"/>
        <w:tblInd w:w="-8" w:type="dxa"/>
        <w:tblLayout w:type="fixed"/>
        <w:tblCellMar>
          <w:left w:w="0" w:type="dxa"/>
          <w:right w:w="113" w:type="dxa"/>
        </w:tblCellMar>
        <w:tblLook w:val="0000" w:firstRow="0" w:lastRow="0" w:firstColumn="0" w:lastColumn="0" w:noHBand="0" w:noVBand="0"/>
      </w:tblPr>
      <w:tblGrid>
        <w:gridCol w:w="859"/>
        <w:gridCol w:w="992"/>
        <w:gridCol w:w="567"/>
        <w:gridCol w:w="567"/>
        <w:gridCol w:w="567"/>
      </w:tblGrid>
      <w:tr w:rsidR="009C1313" w:rsidRPr="00906A47" w14:paraId="7D73E2B6" w14:textId="77777777" w:rsidTr="00641A06">
        <w:trPr>
          <w:trHeight w:val="20"/>
        </w:trPr>
        <w:tc>
          <w:tcPr>
            <w:tcW w:w="859" w:type="dxa"/>
            <w:shd w:val="clear" w:color="auto" w:fill="5E2F7E" w:themeFill="accent5"/>
            <w:tcMar>
              <w:top w:w="113" w:type="dxa"/>
              <w:left w:w="113" w:type="dxa"/>
              <w:bottom w:w="113" w:type="dxa"/>
              <w:right w:w="113" w:type="dxa"/>
            </w:tcMar>
            <w:vAlign w:val="center"/>
          </w:tcPr>
          <w:p w14:paraId="0BBFEDF9" w14:textId="77777777" w:rsidR="009C1313" w:rsidRPr="00906A47" w:rsidRDefault="009C1313" w:rsidP="00641A06">
            <w:pPr>
              <w:pStyle w:val="Body"/>
              <w:spacing w:after="0"/>
              <w:rPr>
                <w:rFonts w:ascii="Futura PT Book" w:hAnsi="Futura PT Book" w:cs="Futura PT Book"/>
                <w:b/>
                <w:bCs/>
                <w:color w:val="FFFFFF" w:themeColor="background2"/>
                <w:lang w:val="en-US"/>
              </w:rPr>
            </w:pPr>
            <w:r>
              <w:rPr>
                <w:b/>
                <w:bCs/>
                <w:color w:val="FFFFFF" w:themeColor="background2"/>
                <w:lang w:val="en-US"/>
              </w:rPr>
              <w:t>Total request</w:t>
            </w:r>
          </w:p>
        </w:tc>
        <w:tc>
          <w:tcPr>
            <w:tcW w:w="992" w:type="dxa"/>
            <w:shd w:val="clear" w:color="auto" w:fill="5E2F7E" w:themeFill="accent5"/>
            <w:tcMar>
              <w:top w:w="113" w:type="dxa"/>
              <w:left w:w="113" w:type="dxa"/>
              <w:bottom w:w="113" w:type="dxa"/>
              <w:right w:w="113" w:type="dxa"/>
            </w:tcMar>
            <w:vAlign w:val="center"/>
          </w:tcPr>
          <w:p w14:paraId="5D192AB8" w14:textId="77777777" w:rsidR="009C1313" w:rsidRPr="00906A47" w:rsidRDefault="009C1313" w:rsidP="00641A06">
            <w:pPr>
              <w:pStyle w:val="Body"/>
              <w:spacing w:after="0"/>
              <w:rPr>
                <w:rFonts w:ascii="Futura PT Book" w:hAnsi="Futura PT Book" w:cs="Futura PT Book"/>
                <w:b/>
                <w:bCs/>
                <w:color w:val="FFFFFF" w:themeColor="background2"/>
                <w:lang w:val="en-US"/>
              </w:rPr>
            </w:pPr>
            <w:r>
              <w:rPr>
                <w:b/>
                <w:bCs/>
                <w:color w:val="FFFFFF" w:themeColor="background2"/>
                <w:lang w:val="en-US"/>
              </w:rPr>
              <w:t>Same day response</w:t>
            </w:r>
          </w:p>
        </w:tc>
        <w:tc>
          <w:tcPr>
            <w:tcW w:w="567" w:type="dxa"/>
            <w:shd w:val="clear" w:color="auto" w:fill="5E2F7E" w:themeFill="accent5"/>
            <w:vAlign w:val="center"/>
          </w:tcPr>
          <w:p w14:paraId="2988B6B4" w14:textId="77777777" w:rsidR="009C1313" w:rsidRDefault="009C1313" w:rsidP="00641A06">
            <w:pPr>
              <w:pStyle w:val="Body"/>
              <w:spacing w:after="0"/>
              <w:rPr>
                <w:b/>
                <w:bCs/>
                <w:color w:val="FFFFFF" w:themeColor="background2"/>
                <w:lang w:val="en-US"/>
              </w:rPr>
            </w:pPr>
            <w:r>
              <w:rPr>
                <w:b/>
                <w:bCs/>
                <w:color w:val="FFFFFF" w:themeColor="background2"/>
                <w:lang w:val="en-US"/>
              </w:rPr>
              <w:t>1–7 days</w:t>
            </w:r>
          </w:p>
        </w:tc>
        <w:tc>
          <w:tcPr>
            <w:tcW w:w="567" w:type="dxa"/>
            <w:shd w:val="clear" w:color="auto" w:fill="5E2F7E" w:themeFill="accent5"/>
            <w:vAlign w:val="center"/>
          </w:tcPr>
          <w:p w14:paraId="7CD5D368" w14:textId="77777777" w:rsidR="009C1313" w:rsidRDefault="009C1313" w:rsidP="00641A06">
            <w:pPr>
              <w:pStyle w:val="Body"/>
              <w:spacing w:after="0"/>
              <w:rPr>
                <w:b/>
                <w:bCs/>
                <w:color w:val="FFFFFF" w:themeColor="background2"/>
                <w:lang w:val="en-US"/>
              </w:rPr>
            </w:pPr>
            <w:r>
              <w:rPr>
                <w:b/>
                <w:bCs/>
                <w:color w:val="FFFFFF" w:themeColor="background2"/>
                <w:lang w:val="en-US"/>
              </w:rPr>
              <w:t>7–14 days</w:t>
            </w:r>
          </w:p>
        </w:tc>
        <w:tc>
          <w:tcPr>
            <w:tcW w:w="567" w:type="dxa"/>
            <w:shd w:val="clear" w:color="auto" w:fill="5E2F7E" w:themeFill="accent5"/>
            <w:vAlign w:val="center"/>
          </w:tcPr>
          <w:p w14:paraId="321C2994" w14:textId="77777777" w:rsidR="009C1313" w:rsidRDefault="009C1313" w:rsidP="00641A06">
            <w:pPr>
              <w:pStyle w:val="Body"/>
              <w:spacing w:after="0"/>
              <w:rPr>
                <w:b/>
                <w:bCs/>
                <w:color w:val="FFFFFF" w:themeColor="background2"/>
                <w:lang w:val="en-US"/>
              </w:rPr>
            </w:pPr>
            <w:r>
              <w:rPr>
                <w:b/>
                <w:bCs/>
                <w:color w:val="FFFFFF" w:themeColor="background2"/>
                <w:lang w:val="en-US"/>
              </w:rPr>
              <w:t>15+ days</w:t>
            </w:r>
          </w:p>
        </w:tc>
      </w:tr>
      <w:tr w:rsidR="009C1313" w:rsidRPr="00906A47" w14:paraId="237B8D9B" w14:textId="77777777" w:rsidTr="00641A06">
        <w:trPr>
          <w:trHeight w:val="20"/>
        </w:trPr>
        <w:tc>
          <w:tcPr>
            <w:tcW w:w="859" w:type="dxa"/>
            <w:tcBorders>
              <w:bottom w:val="single" w:sz="4" w:space="0" w:color="A6A6A6" w:themeColor="background2" w:themeShade="A6"/>
            </w:tcBorders>
            <w:tcMar>
              <w:top w:w="113" w:type="dxa"/>
              <w:left w:w="113" w:type="dxa"/>
              <w:bottom w:w="113" w:type="dxa"/>
              <w:right w:w="113" w:type="dxa"/>
            </w:tcMar>
            <w:vAlign w:val="center"/>
          </w:tcPr>
          <w:p w14:paraId="61CD590D" w14:textId="5B70B857" w:rsidR="009C1313" w:rsidRPr="00906A47" w:rsidRDefault="00A64489" w:rsidP="00641A06">
            <w:pPr>
              <w:pStyle w:val="Body"/>
              <w:spacing w:after="0"/>
              <w:rPr>
                <w:rFonts w:ascii="Futura PT Book" w:hAnsi="Futura PT Book" w:cs="Futura PT Book"/>
                <w:color w:val="000000"/>
                <w:sz w:val="16"/>
                <w:szCs w:val="16"/>
                <w:lang w:val="en-US"/>
              </w:rPr>
            </w:pPr>
            <w:r>
              <w:t>194</w:t>
            </w:r>
          </w:p>
        </w:tc>
        <w:tc>
          <w:tcPr>
            <w:tcW w:w="992" w:type="dxa"/>
            <w:tcBorders>
              <w:bottom w:val="single" w:sz="4" w:space="0" w:color="A6A6A6" w:themeColor="background2" w:themeShade="A6"/>
            </w:tcBorders>
            <w:tcMar>
              <w:top w:w="113" w:type="dxa"/>
              <w:left w:w="113" w:type="dxa"/>
              <w:bottom w:w="113" w:type="dxa"/>
              <w:right w:w="113" w:type="dxa"/>
            </w:tcMar>
            <w:vAlign w:val="center"/>
          </w:tcPr>
          <w:p w14:paraId="1DDE2828" w14:textId="46BA4779" w:rsidR="009C1313" w:rsidRPr="00906A47" w:rsidRDefault="00A64489" w:rsidP="00641A06">
            <w:pPr>
              <w:pStyle w:val="Body"/>
              <w:spacing w:after="0"/>
              <w:rPr>
                <w:rFonts w:ascii="Futura PT Book" w:hAnsi="Futura PT Book" w:cs="Futura PT Book"/>
                <w:color w:val="000000"/>
                <w:sz w:val="16"/>
                <w:szCs w:val="16"/>
                <w:lang w:val="en-US"/>
              </w:rPr>
            </w:pPr>
            <w:r>
              <w:t>72</w:t>
            </w:r>
          </w:p>
        </w:tc>
        <w:tc>
          <w:tcPr>
            <w:tcW w:w="567" w:type="dxa"/>
            <w:tcBorders>
              <w:bottom w:val="single" w:sz="4" w:space="0" w:color="A6A6A6" w:themeColor="background2" w:themeShade="A6"/>
            </w:tcBorders>
            <w:vAlign w:val="center"/>
          </w:tcPr>
          <w:p w14:paraId="6EB7579A" w14:textId="2EC9DE8B" w:rsidR="009C1313" w:rsidRPr="00B71399" w:rsidRDefault="00A64489" w:rsidP="00641A06">
            <w:pPr>
              <w:pStyle w:val="Body"/>
              <w:spacing w:after="0"/>
            </w:pPr>
            <w:r>
              <w:t>82</w:t>
            </w:r>
          </w:p>
        </w:tc>
        <w:tc>
          <w:tcPr>
            <w:tcW w:w="567" w:type="dxa"/>
            <w:tcBorders>
              <w:bottom w:val="single" w:sz="4" w:space="0" w:color="A6A6A6" w:themeColor="background2" w:themeShade="A6"/>
            </w:tcBorders>
            <w:vAlign w:val="center"/>
          </w:tcPr>
          <w:p w14:paraId="0AA89D51" w14:textId="2598BA49" w:rsidR="009C1313" w:rsidRPr="00B71399" w:rsidRDefault="00A64489" w:rsidP="00641A06">
            <w:pPr>
              <w:pStyle w:val="Body"/>
              <w:spacing w:after="0"/>
            </w:pPr>
            <w:r>
              <w:t>17</w:t>
            </w:r>
          </w:p>
        </w:tc>
        <w:tc>
          <w:tcPr>
            <w:tcW w:w="567" w:type="dxa"/>
            <w:tcBorders>
              <w:bottom w:val="single" w:sz="4" w:space="0" w:color="A6A6A6" w:themeColor="background2" w:themeShade="A6"/>
            </w:tcBorders>
            <w:vAlign w:val="center"/>
          </w:tcPr>
          <w:p w14:paraId="01A7F556" w14:textId="0D60FF82" w:rsidR="009C1313" w:rsidRPr="00B71399" w:rsidRDefault="00A64489" w:rsidP="00641A06">
            <w:pPr>
              <w:pStyle w:val="Body"/>
              <w:spacing w:after="0"/>
            </w:pPr>
            <w:r>
              <w:t>23</w:t>
            </w:r>
          </w:p>
        </w:tc>
      </w:tr>
    </w:tbl>
    <w:p w14:paraId="684E5744" w14:textId="77777777" w:rsidR="009C1313" w:rsidRDefault="009C1313" w:rsidP="00AB0FA0">
      <w:pPr>
        <w:pStyle w:val="NumberedList"/>
        <w:numPr>
          <w:ilvl w:val="0"/>
          <w:numId w:val="0"/>
        </w:numPr>
        <w:ind w:left="360"/>
        <w:rPr>
          <w:rStyle w:val="NumberedListChar"/>
        </w:rPr>
      </w:pPr>
    </w:p>
    <w:p w14:paraId="76840F20" w14:textId="70D980A2" w:rsidR="009C1313" w:rsidRPr="00F25311" w:rsidRDefault="009C1313" w:rsidP="00F25311">
      <w:pPr>
        <w:pStyle w:val="NumberedList"/>
        <w:rPr>
          <w:rStyle w:val="NumberedListChar"/>
        </w:rPr>
      </w:pPr>
      <w:r w:rsidRPr="00F25311">
        <w:rPr>
          <w:rStyle w:val="NumberedListChar"/>
        </w:rPr>
        <w:t xml:space="preserve">Delegates at the Activity Funding Conference in 2019 indicated a biennial rather than annual conference would be better suited with their personal and </w:t>
      </w:r>
      <w:r w:rsidR="008A2BF1">
        <w:rPr>
          <w:rStyle w:val="NumberedListChar"/>
        </w:rPr>
        <w:t>organisational</w:t>
      </w:r>
      <w:r w:rsidRPr="00F25311">
        <w:rPr>
          <w:rStyle w:val="NumberedListChar"/>
        </w:rPr>
        <w:t xml:space="preserve"> needs. IHPA has taken their feedback on</w:t>
      </w:r>
      <w:r w:rsidR="00280437">
        <w:rPr>
          <w:rStyle w:val="NumberedListChar"/>
        </w:rPr>
        <w:t xml:space="preserve"> </w:t>
      </w:r>
      <w:r w:rsidRPr="00F25311">
        <w:rPr>
          <w:rStyle w:val="NumberedListChar"/>
        </w:rPr>
        <w:t>board and decided to hold the event biennially. The next conference will be held in May 2021.</w:t>
      </w:r>
    </w:p>
    <w:p w14:paraId="75989061" w14:textId="77777777" w:rsidR="00C74A78" w:rsidRDefault="00C74A78" w:rsidP="00FB4D61">
      <w:pPr>
        <w:pStyle w:val="Body"/>
        <w:sectPr w:rsidR="00C74A78" w:rsidSect="004F46D6">
          <w:headerReference w:type="even" r:id="rId80"/>
          <w:pgSz w:w="9979" w:h="14175" w:code="13"/>
          <w:pgMar w:top="1134" w:right="1332" w:bottom="1276" w:left="1418" w:header="709" w:footer="709" w:gutter="0"/>
          <w:cols w:num="2" w:space="623"/>
          <w:docGrid w:linePitch="360"/>
        </w:sectPr>
      </w:pPr>
    </w:p>
    <w:p w14:paraId="566D9CF7" w14:textId="4BDD3645" w:rsidR="00B96500" w:rsidRDefault="003E1689" w:rsidP="005666A7">
      <w:pPr>
        <w:pStyle w:val="Heading1"/>
        <w:rPr>
          <w:color w:val="5E2F7E" w:themeColor="accent5"/>
        </w:rPr>
      </w:pPr>
      <w:bookmarkStart w:id="84" w:name="_Toc44350186"/>
      <w:bookmarkStart w:id="85" w:name="_Toc50378081"/>
      <w:r w:rsidRPr="003E1689">
        <w:rPr>
          <w:color w:val="5E2F7E" w:themeColor="accent5"/>
        </w:rPr>
        <w:lastRenderedPageBreak/>
        <w:t>Analysis</w:t>
      </w:r>
      <w:bookmarkEnd w:id="84"/>
      <w:bookmarkEnd w:id="85"/>
    </w:p>
    <w:p w14:paraId="10C39654" w14:textId="77777777" w:rsidR="00020D27" w:rsidRDefault="00020D27" w:rsidP="00020D27">
      <w:pPr>
        <w:sectPr w:rsidR="00020D27" w:rsidSect="00020D27">
          <w:pgSz w:w="9979" w:h="14175" w:code="13"/>
          <w:pgMar w:top="1134" w:right="1332" w:bottom="1276" w:left="1418" w:header="709" w:footer="709" w:gutter="0"/>
          <w:cols w:space="623"/>
          <w:docGrid w:linePitch="360"/>
        </w:sectPr>
      </w:pPr>
    </w:p>
    <w:p w14:paraId="2A246F2C" w14:textId="435CB4A3" w:rsidR="005F1D44" w:rsidRPr="005F1D44" w:rsidRDefault="005F1D44" w:rsidP="005F1D44">
      <w:pPr>
        <w:pStyle w:val="Body"/>
        <w:rPr>
          <w:b/>
          <w:bCs/>
        </w:rPr>
      </w:pPr>
      <w:r w:rsidRPr="005F1D44">
        <w:rPr>
          <w:b/>
          <w:bCs/>
        </w:rPr>
        <w:t>IHPA has had another productive year, meeting its performance criteria and deliverables in IHPA’s corporate plan and work program for 2019–20</w:t>
      </w:r>
      <w:r w:rsidR="00262A12">
        <w:rPr>
          <w:b/>
          <w:bCs/>
        </w:rPr>
        <w:t>,</w:t>
      </w:r>
      <w:r w:rsidR="009C1313">
        <w:rPr>
          <w:b/>
          <w:bCs/>
        </w:rPr>
        <w:t xml:space="preserve"> as well as meeting the requirement</w:t>
      </w:r>
      <w:r w:rsidR="00262A12">
        <w:rPr>
          <w:b/>
          <w:bCs/>
        </w:rPr>
        <w:t>s</w:t>
      </w:r>
      <w:r w:rsidR="009C1313">
        <w:rPr>
          <w:b/>
          <w:bCs/>
        </w:rPr>
        <w:t xml:space="preserve"> as </w:t>
      </w:r>
      <w:r w:rsidR="009C1313" w:rsidRPr="009C1313">
        <w:rPr>
          <w:b/>
          <w:bCs/>
        </w:rPr>
        <w:t>part of the</w:t>
      </w:r>
      <w:r w:rsidR="00AA1583">
        <w:rPr>
          <w:b/>
          <w:bCs/>
        </w:rPr>
        <w:t> </w:t>
      </w:r>
      <w:r w:rsidR="009C1313" w:rsidRPr="009C1313">
        <w:rPr>
          <w:b/>
          <w:bCs/>
        </w:rPr>
        <w:t xml:space="preserve">National Partnership on </w:t>
      </w:r>
      <w:r w:rsidR="00E747BF">
        <w:rPr>
          <w:b/>
          <w:bCs/>
        </w:rPr>
        <w:t>COVID-</w:t>
      </w:r>
      <w:r w:rsidR="00A732FA">
        <w:rPr>
          <w:rFonts w:ascii="Arial" w:hAnsi="Arial" w:cs="Arial" w:hint="cs"/>
          <w:b/>
          <w:bCs/>
          <w:rtl/>
        </w:rPr>
        <w:t>‍</w:t>
      </w:r>
      <w:r w:rsidR="00E747BF">
        <w:rPr>
          <w:b/>
          <w:bCs/>
        </w:rPr>
        <w:t>19</w:t>
      </w:r>
      <w:r w:rsidR="00AA1583">
        <w:rPr>
          <w:b/>
          <w:bCs/>
        </w:rPr>
        <w:t> </w:t>
      </w:r>
      <w:r w:rsidR="009C1313" w:rsidRPr="009C1313">
        <w:rPr>
          <w:b/>
          <w:bCs/>
        </w:rPr>
        <w:t>Response</w:t>
      </w:r>
      <w:r w:rsidRPr="005F1D44">
        <w:rPr>
          <w:b/>
          <w:bCs/>
        </w:rPr>
        <w:t>.</w:t>
      </w:r>
      <w:r w:rsidR="009C1313">
        <w:rPr>
          <w:b/>
          <w:bCs/>
        </w:rPr>
        <w:t xml:space="preserve"> </w:t>
      </w:r>
    </w:p>
    <w:p w14:paraId="52C9B8E9" w14:textId="110FF1CA" w:rsidR="005F1D44" w:rsidRDefault="005F1D44" w:rsidP="005F1D44">
      <w:pPr>
        <w:pStyle w:val="Body"/>
      </w:pPr>
      <w:r>
        <w:t>The IHPA Work Program 2019–20 provides a</w:t>
      </w:r>
      <w:r w:rsidR="00713218">
        <w:t> </w:t>
      </w:r>
      <w:r>
        <w:t xml:space="preserve">more detailed set of goals and deliverables than those included in the Portfolio Budget Statements and IHPA’s Corporate Plan. It is developed each year through a consultative process with government and health sector stakeholders, and is published on the IHPA website (see </w:t>
      </w:r>
      <w:hyperlink r:id="rId81" w:history="1">
        <w:r w:rsidRPr="005F1D44">
          <w:rPr>
            <w:rStyle w:val="Hyperlink"/>
          </w:rPr>
          <w:t>www.ihpa.gov.au/publications</w:t>
        </w:r>
      </w:hyperlink>
      <w:r>
        <w:t>).</w:t>
      </w:r>
    </w:p>
    <w:p w14:paraId="1FC798E4" w14:textId="4F14BC8E" w:rsidR="005F1D44" w:rsidRDefault="005F1D44" w:rsidP="005F1D44">
      <w:pPr>
        <w:pStyle w:val="Body"/>
      </w:pPr>
      <w:r>
        <w:t xml:space="preserve">Work priorities identified through our stakeholder committees and working groups have been achieved, or significant progress has been demonstrated. A major focus last year has been </w:t>
      </w:r>
      <w:r w:rsidR="00280437">
        <w:t>the</w:t>
      </w:r>
      <w:r>
        <w:t xml:space="preserve"> staged roll</w:t>
      </w:r>
      <w:r w:rsidR="00A2634E">
        <w:noBreakHyphen/>
      </w:r>
      <w:r>
        <w:t>out of our new approach to pricing and funding for safety and</w:t>
      </w:r>
      <w:r w:rsidR="00AA1583">
        <w:t> </w:t>
      </w:r>
      <w:r>
        <w:t xml:space="preserve">quality. </w:t>
      </w:r>
    </w:p>
    <w:p w14:paraId="2D633D7D" w14:textId="579B7B46" w:rsidR="009C1313" w:rsidRDefault="009C1313" w:rsidP="009C1313">
      <w:pPr>
        <w:pStyle w:val="Body"/>
      </w:pPr>
      <w:r>
        <w:t xml:space="preserve">IHPA’s work towards pricing and funding for safety and quality, as per the </w:t>
      </w:r>
      <w:r w:rsidR="005A40D1">
        <w:t xml:space="preserve">2017 </w:t>
      </w:r>
      <w:r>
        <w:t>Addendum</w:t>
      </w:r>
      <w:r w:rsidR="002550CF">
        <w:t>,</w:t>
      </w:r>
      <w:r w:rsidR="005A40D1">
        <w:t xml:space="preserve"> </w:t>
      </w:r>
      <w:r>
        <w:t xml:space="preserve">continued </w:t>
      </w:r>
      <w:r w:rsidR="005A40D1">
        <w:t xml:space="preserve">in </w:t>
      </w:r>
      <w:r>
        <w:t xml:space="preserve">2019–20. </w:t>
      </w:r>
    </w:p>
    <w:p w14:paraId="533AA526" w14:textId="56789F93" w:rsidR="009C1313" w:rsidRDefault="009C1313" w:rsidP="009C1313">
      <w:pPr>
        <w:pStyle w:val="Body"/>
      </w:pPr>
      <w:r>
        <w:t>As outlined in the Pricing Framework 2019–</w:t>
      </w:r>
      <w:r w:rsidR="00AA1583">
        <w:rPr>
          <w:rFonts w:ascii="Arial" w:hAnsi="Arial" w:cs="Arial" w:hint="cs"/>
          <w:rtl/>
        </w:rPr>
        <w:t>‍</w:t>
      </w:r>
      <w:r>
        <w:t>20, IHPA commenced a 24-month shadow period, on 1 July 2019, to analyse three funding options, based on an approved list of conditions from the Australian Commission on Safety and Quality in Health</w:t>
      </w:r>
      <w:r w:rsidR="00AA1583">
        <w:t> </w:t>
      </w:r>
      <w:r>
        <w:t>Care, to assist in reducing avoidable hospital</w:t>
      </w:r>
      <w:r w:rsidR="00AA1583">
        <w:t> </w:t>
      </w:r>
      <w:r>
        <w:t xml:space="preserve">readmissions. </w:t>
      </w:r>
    </w:p>
    <w:p w14:paraId="7C13C934" w14:textId="70286151" w:rsidR="009C1313" w:rsidRDefault="009C1313" w:rsidP="009C1313">
      <w:pPr>
        <w:pStyle w:val="Body"/>
      </w:pPr>
      <w:r>
        <w:t>IHPA worked closely with a team of clinicians on the three proposed funding options for reducing avoidable hospital readmissions, which contributes to improving hospital</w:t>
      </w:r>
      <w:r w:rsidR="00AA1583">
        <w:t> </w:t>
      </w:r>
      <w:r>
        <w:t>systems, rather than applying penalties</w:t>
      </w:r>
      <w:r w:rsidR="00AA1583">
        <w:t> </w:t>
      </w:r>
      <w:r>
        <w:t>related to certain patients or patient</w:t>
      </w:r>
      <w:r w:rsidR="00AA1583">
        <w:t> </w:t>
      </w:r>
      <w:r>
        <w:t>groups who fall into specific risk factor</w:t>
      </w:r>
      <w:r w:rsidR="00AA1583">
        <w:t> </w:t>
      </w:r>
      <w:r>
        <w:t>categories. IHPA will continue to develop a risk adjustment model for each</w:t>
      </w:r>
      <w:r w:rsidR="00AA1583">
        <w:t> </w:t>
      </w:r>
      <w:r>
        <w:t>readmission condition, such as pressure</w:t>
      </w:r>
      <w:r w:rsidR="00AA1583">
        <w:t> </w:t>
      </w:r>
      <w:r>
        <w:t>injuries, infections, and surgical complications, based on identified risk factors.</w:t>
      </w:r>
    </w:p>
    <w:p w14:paraId="6D01B1AD" w14:textId="5A79107D" w:rsidR="009C1313" w:rsidRDefault="009C1313" w:rsidP="009C1313">
      <w:pPr>
        <w:pStyle w:val="Body"/>
      </w:pPr>
      <w:r>
        <w:t>IHPA worked closely with the Administrator of</w:t>
      </w:r>
      <w:r w:rsidR="00AA1583">
        <w:t> </w:t>
      </w:r>
      <w:r>
        <w:t>the National Health Funding Pool to provide</w:t>
      </w:r>
      <w:r w:rsidR="00AA1583">
        <w:t> </w:t>
      </w:r>
      <w:r>
        <w:t>assistance in implementation of the National</w:t>
      </w:r>
      <w:r w:rsidR="00AA1583">
        <w:t> </w:t>
      </w:r>
      <w:r>
        <w:t xml:space="preserve">Partnership Agreement for </w:t>
      </w:r>
      <w:r w:rsidR="00E747BF">
        <w:t>COVID-</w:t>
      </w:r>
      <w:r w:rsidR="00C155BC">
        <w:rPr>
          <w:rFonts w:ascii="Arial" w:hAnsi="Arial" w:cs="Arial" w:hint="cs"/>
          <w:rtl/>
        </w:rPr>
        <w:t>‍</w:t>
      </w:r>
      <w:r w:rsidR="00E747BF">
        <w:t>19</w:t>
      </w:r>
      <w:r w:rsidR="00AA1583">
        <w:t> </w:t>
      </w:r>
      <w:r>
        <w:t>response.</w:t>
      </w:r>
    </w:p>
    <w:p w14:paraId="6C804427" w14:textId="12938895" w:rsidR="009C1313" w:rsidRDefault="009C1313" w:rsidP="009C1313">
      <w:pPr>
        <w:pStyle w:val="Body"/>
      </w:pPr>
      <w:r>
        <w:t>A key part of this has been the drafting of the</w:t>
      </w:r>
      <w:r w:rsidR="00AA1583">
        <w:t> </w:t>
      </w:r>
      <w:r>
        <w:t>national costing and pricing guidelines for</w:t>
      </w:r>
      <w:r w:rsidR="00AA1583">
        <w:t> </w:t>
      </w:r>
      <w:r w:rsidR="00E747BF">
        <w:t>COVID-19</w:t>
      </w:r>
      <w:r>
        <w:t>, to ensure that the costs of responding to the pandemic are consistently captured across the country.</w:t>
      </w:r>
    </w:p>
    <w:p w14:paraId="474118ED" w14:textId="5245F115" w:rsidR="005F1D44" w:rsidRDefault="009C1313" w:rsidP="009C1313">
      <w:pPr>
        <w:pStyle w:val="Body"/>
      </w:pPr>
      <w:r w:rsidRPr="009C1313">
        <w:t>IHPA updated classification systems for the Australian hospital system to ensure accurate data on the number of patients being treated in the hospital system, including the details of their diagnosis and treatments</w:t>
      </w:r>
      <w:r w:rsidR="00AA1583">
        <w:t> </w:t>
      </w:r>
      <w:r w:rsidRPr="009C1313">
        <w:t>received.</w:t>
      </w:r>
    </w:p>
    <w:p w14:paraId="71B1B745" w14:textId="241C93DC" w:rsidR="005A024E" w:rsidRDefault="009C1313" w:rsidP="005A024E">
      <w:pPr>
        <w:pStyle w:val="Body"/>
      </w:pPr>
      <w:r w:rsidRPr="009C1313">
        <w:t xml:space="preserve">IHPA also </w:t>
      </w:r>
      <w:r>
        <w:t>modified</w:t>
      </w:r>
      <w:r w:rsidRPr="009C1313">
        <w:t xml:space="preserve"> the national pricing model for activity based funding to ensure that the possible costs of treating patients diagnosed with </w:t>
      </w:r>
      <w:r w:rsidR="00E747BF">
        <w:t>COVID-19</w:t>
      </w:r>
      <w:r w:rsidRPr="009C1313">
        <w:t xml:space="preserve"> were </w:t>
      </w:r>
      <w:r w:rsidR="00CD1F72">
        <w:t>recognised</w:t>
      </w:r>
      <w:r w:rsidR="00A2634E">
        <w:t>.</w:t>
      </w:r>
    </w:p>
    <w:p w14:paraId="27661B7C" w14:textId="706B1F75" w:rsidR="005F1D44" w:rsidRDefault="005A024E" w:rsidP="005A40D1">
      <w:pPr>
        <w:pStyle w:val="Body"/>
      </w:pPr>
      <w:r>
        <w:lastRenderedPageBreak/>
        <w:t>The National Efficient Price and National Efficient Cost Determinations for 2019–20 continue to demonstrate the benefits of activity</w:t>
      </w:r>
      <w:r w:rsidR="00AA1583">
        <w:t> </w:t>
      </w:r>
      <w:r>
        <w:t xml:space="preserve">based funding in reducing costs. </w:t>
      </w:r>
      <w:r w:rsidR="005A40D1">
        <w:t>IHPA</w:t>
      </w:r>
      <w:r w:rsidR="00AA1583">
        <w:t> </w:t>
      </w:r>
      <w:r w:rsidR="005A40D1">
        <w:t>c</w:t>
      </w:r>
      <w:r w:rsidR="00593D63">
        <w:t xml:space="preserve">ompleted the </w:t>
      </w:r>
      <w:r w:rsidR="005A40D1">
        <w:t xml:space="preserve">independent </w:t>
      </w:r>
      <w:r w:rsidR="00593D63">
        <w:t>fundamental review of the national efficient price</w:t>
      </w:r>
      <w:r w:rsidR="005A40D1" w:rsidRPr="005A40D1">
        <w:t xml:space="preserve"> </w:t>
      </w:r>
      <w:r w:rsidR="005A40D1">
        <w:t>in 2019</w:t>
      </w:r>
      <w:r w:rsidR="00593D63" w:rsidRPr="00593D63">
        <w:t>, recommend</w:t>
      </w:r>
      <w:r w:rsidR="00593D63">
        <w:t>ing</w:t>
      </w:r>
      <w:r w:rsidR="00593D63" w:rsidRPr="00593D63">
        <w:t xml:space="preserve"> that no significant changes were required to the national pricing model</w:t>
      </w:r>
      <w:r w:rsidR="005A40D1">
        <w:t xml:space="preserve"> and that it was found to be fit-for-purpose. </w:t>
      </w:r>
    </w:p>
    <w:p w14:paraId="6068630B" w14:textId="02D85422" w:rsidR="00B77F07" w:rsidRDefault="00B77F07" w:rsidP="005F1D44">
      <w:pPr>
        <w:pStyle w:val="Body"/>
        <w:sectPr w:rsidR="00B77F07" w:rsidSect="00020D27">
          <w:type w:val="continuous"/>
          <w:pgSz w:w="9979" w:h="14175" w:code="13"/>
          <w:pgMar w:top="1134" w:right="1332" w:bottom="1276" w:left="1418" w:header="709" w:footer="709" w:gutter="0"/>
          <w:cols w:num="2" w:space="623"/>
          <w:docGrid w:linePitch="360"/>
        </w:sectPr>
      </w:pPr>
    </w:p>
    <w:tbl>
      <w:tblPr>
        <w:tblStyle w:val="TableGrid"/>
        <w:tblW w:w="49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87"/>
      </w:tblGrid>
      <w:tr w:rsidR="00B77F07" w14:paraId="6CA00EA8" w14:textId="77777777" w:rsidTr="00B77F07">
        <w:trPr>
          <w:trHeight w:val="9490"/>
        </w:trPr>
        <w:tc>
          <w:tcPr>
            <w:tcW w:w="5000" w:type="pct"/>
          </w:tcPr>
          <w:p w14:paraId="52178D99" w14:textId="38166183" w:rsidR="00B77F07" w:rsidRPr="008C1BF9" w:rsidRDefault="008C1BF9" w:rsidP="000D4B5C">
            <w:pPr>
              <w:pStyle w:val="Heading10"/>
              <w:rPr>
                <w:b w:val="0"/>
                <w:bCs w:val="0"/>
              </w:rPr>
            </w:pPr>
            <w:bookmarkStart w:id="86" w:name="_Toc50378082"/>
            <w:r w:rsidRPr="008C1BF9">
              <w:rPr>
                <w:b w:val="0"/>
                <w:bCs w:val="0"/>
              </w:rPr>
              <w:lastRenderedPageBreak/>
              <w:t>Management</w:t>
            </w:r>
            <w:r w:rsidR="00B77F07" w:rsidRPr="008C1BF9">
              <w:rPr>
                <w:b w:val="0"/>
                <w:bCs w:val="0"/>
              </w:rPr>
              <w:br/>
            </w:r>
            <w:r w:rsidRPr="008C1BF9">
              <w:rPr>
                <w:b w:val="0"/>
                <w:bCs w:val="0"/>
              </w:rPr>
              <w:t>and</w:t>
            </w:r>
            <w:r>
              <w:rPr>
                <w:b w:val="0"/>
                <w:bCs w:val="0"/>
              </w:rPr>
              <w:t xml:space="preserve"> </w:t>
            </w:r>
            <w:r w:rsidRPr="008C1BF9">
              <w:rPr>
                <w:b w:val="0"/>
                <w:bCs w:val="0"/>
              </w:rPr>
              <w:t>Accountability</w:t>
            </w:r>
            <w:bookmarkEnd w:id="86"/>
          </w:p>
        </w:tc>
      </w:tr>
      <w:tr w:rsidR="00B77F07" w14:paraId="049B34E7" w14:textId="77777777" w:rsidTr="00B77F07">
        <w:trPr>
          <w:trHeight w:val="1569"/>
        </w:trPr>
        <w:tc>
          <w:tcPr>
            <w:tcW w:w="5000" w:type="pct"/>
            <w:vAlign w:val="bottom"/>
          </w:tcPr>
          <w:p w14:paraId="535F2855" w14:textId="158641AD" w:rsidR="00B77F07" w:rsidRDefault="00B77F07" w:rsidP="00512548">
            <w:pPr>
              <w:pStyle w:val="SectionBreakNumber"/>
            </w:pPr>
            <w:r w:rsidRPr="003C6AC0">
              <w:t>0</w:t>
            </w:r>
            <w:r w:rsidR="008C1BF9">
              <w:t>6</w:t>
            </w:r>
          </w:p>
        </w:tc>
      </w:tr>
    </w:tbl>
    <w:p w14:paraId="1DE0B892" w14:textId="77777777" w:rsidR="005B5B9C" w:rsidRDefault="005B5B9C" w:rsidP="005F1D44">
      <w:pPr>
        <w:pStyle w:val="Body"/>
        <w:sectPr w:rsidR="005B5B9C" w:rsidSect="000F03F4">
          <w:headerReference w:type="even" r:id="rId82"/>
          <w:headerReference w:type="default" r:id="rId83"/>
          <w:footerReference w:type="default" r:id="rId84"/>
          <w:pgSz w:w="9979" w:h="14175" w:code="13"/>
          <w:pgMar w:top="1134" w:right="1332" w:bottom="1276" w:left="1418" w:header="709" w:footer="709" w:gutter="0"/>
          <w:cols w:space="623"/>
          <w:docGrid w:linePitch="360"/>
        </w:sectPr>
      </w:pPr>
    </w:p>
    <w:p w14:paraId="0077D581" w14:textId="53E3FD9C" w:rsidR="00020D27" w:rsidRPr="005C0F04" w:rsidRDefault="005B5B9C" w:rsidP="005B5B9C">
      <w:pPr>
        <w:pStyle w:val="Heading1"/>
        <w:rPr>
          <w:color w:val="C40B46" w:themeColor="accent6"/>
        </w:rPr>
      </w:pPr>
      <w:bookmarkStart w:id="87" w:name="_Key_corporate_governance"/>
      <w:bookmarkStart w:id="88" w:name="_Toc44350187"/>
      <w:bookmarkStart w:id="89" w:name="_Toc50378083"/>
      <w:bookmarkEnd w:id="87"/>
      <w:r w:rsidRPr="005C0F04">
        <w:rPr>
          <w:color w:val="C40B46" w:themeColor="accent6"/>
        </w:rPr>
        <w:lastRenderedPageBreak/>
        <w:t>Key corporate governance</w:t>
      </w:r>
      <w:r w:rsidR="00C608C2">
        <w:rPr>
          <w:color w:val="C40B46" w:themeColor="accent6"/>
        </w:rPr>
        <w:t> </w:t>
      </w:r>
      <w:r w:rsidRPr="005C0F04">
        <w:rPr>
          <w:color w:val="C40B46" w:themeColor="accent6"/>
        </w:rPr>
        <w:t>practices</w:t>
      </w:r>
      <w:bookmarkEnd w:id="88"/>
      <w:bookmarkEnd w:id="89"/>
    </w:p>
    <w:p w14:paraId="567B1758" w14:textId="77777777" w:rsidR="000A0D37" w:rsidRDefault="000A0D37" w:rsidP="005B5B9C">
      <w:pPr>
        <w:pStyle w:val="Body"/>
        <w:sectPr w:rsidR="000A0D37" w:rsidSect="000F03F4">
          <w:headerReference w:type="default" r:id="rId85"/>
          <w:pgSz w:w="9979" w:h="14175" w:code="13"/>
          <w:pgMar w:top="1134" w:right="1332" w:bottom="1276" w:left="1418" w:header="709" w:footer="709" w:gutter="0"/>
          <w:cols w:space="623"/>
          <w:docGrid w:linePitch="360"/>
        </w:sectPr>
      </w:pPr>
    </w:p>
    <w:p w14:paraId="1FF88317" w14:textId="4BBB7E3C" w:rsidR="00A67487" w:rsidRPr="00A67487" w:rsidRDefault="00A67487" w:rsidP="00A67487">
      <w:pPr>
        <w:pStyle w:val="Body"/>
        <w:rPr>
          <w:b/>
          <w:bCs/>
        </w:rPr>
      </w:pPr>
      <w:r w:rsidRPr="00A67487">
        <w:rPr>
          <w:b/>
          <w:bCs/>
        </w:rPr>
        <w:t>Since the agency’s formation in 2011, IHPA’s accountable authority has established a robust system of risk management and controls to assist in the governance of the</w:t>
      </w:r>
      <w:r w:rsidR="00C608C2">
        <w:rPr>
          <w:b/>
          <w:bCs/>
        </w:rPr>
        <w:t> </w:t>
      </w:r>
      <w:r w:rsidRPr="00A67487">
        <w:rPr>
          <w:b/>
          <w:bCs/>
        </w:rPr>
        <w:t>agency.</w:t>
      </w:r>
    </w:p>
    <w:p w14:paraId="1BC9D4E3" w14:textId="61B20CB4" w:rsidR="00A67487" w:rsidRDefault="00A67487" w:rsidP="00A2634E">
      <w:pPr>
        <w:pStyle w:val="Body"/>
        <w:ind w:right="-99"/>
      </w:pPr>
      <w:r>
        <w:t xml:space="preserve">The Pricing Authority delivers the functions defined in the </w:t>
      </w:r>
      <w:r w:rsidRPr="00A67487">
        <w:rPr>
          <w:i/>
          <w:iCs/>
        </w:rPr>
        <w:t>National Health Reform Act</w:t>
      </w:r>
      <w:r w:rsidR="00C608C2">
        <w:rPr>
          <w:i/>
          <w:iCs/>
        </w:rPr>
        <w:t> </w:t>
      </w:r>
      <w:r w:rsidRPr="00A67487">
        <w:rPr>
          <w:i/>
          <w:iCs/>
        </w:rPr>
        <w:t>2011</w:t>
      </w:r>
      <w:r>
        <w:t>. The Pricing Authority approves IHPA’s core business activities—determination</w:t>
      </w:r>
      <w:r w:rsidR="00C608C2">
        <w:t> </w:t>
      </w:r>
      <w:r>
        <w:t xml:space="preserve">of the </w:t>
      </w:r>
      <w:r w:rsidR="00EE2F53">
        <w:t>n</w:t>
      </w:r>
      <w:r>
        <w:t xml:space="preserve">ational </w:t>
      </w:r>
      <w:r w:rsidR="00EE2F53">
        <w:t>e</w:t>
      </w:r>
      <w:r>
        <w:t xml:space="preserve">fficient </w:t>
      </w:r>
      <w:r w:rsidR="00EE2F53">
        <w:t>p</w:t>
      </w:r>
      <w:r>
        <w:t xml:space="preserve">rice and the </w:t>
      </w:r>
      <w:r w:rsidR="00EE2F53">
        <w:t>n</w:t>
      </w:r>
      <w:r>
        <w:t>ational</w:t>
      </w:r>
      <w:r w:rsidR="00C608C2">
        <w:t> </w:t>
      </w:r>
      <w:r w:rsidR="00EE2F53">
        <w:t>e</w:t>
      </w:r>
      <w:r>
        <w:t xml:space="preserve">fficient </w:t>
      </w:r>
      <w:r w:rsidR="00EE2F53">
        <w:t>c</w:t>
      </w:r>
      <w:r>
        <w:t>ost for public hospital services annually, and</w:t>
      </w:r>
      <w:r w:rsidR="00A2634E">
        <w:t> </w:t>
      </w:r>
      <w:r>
        <w:t>building national classification systems for</w:t>
      </w:r>
      <w:r w:rsidR="00A2634E">
        <w:t> </w:t>
      </w:r>
      <w:r>
        <w:t>all hospital</w:t>
      </w:r>
      <w:r w:rsidR="00C608C2">
        <w:t> </w:t>
      </w:r>
      <w:r>
        <w:t>services. The Chief Executive Officer</w:t>
      </w:r>
      <w:r w:rsidR="00C608C2">
        <w:t> </w:t>
      </w:r>
      <w:r>
        <w:t>is</w:t>
      </w:r>
      <w:r w:rsidR="00C608C2">
        <w:t> </w:t>
      </w:r>
      <w:r>
        <w:t>responsible for IHPA’s day</w:t>
      </w:r>
      <w:r w:rsidR="00C608C2">
        <w:noBreakHyphen/>
      </w:r>
      <w:r>
        <w:t>to</w:t>
      </w:r>
      <w:r w:rsidR="00C608C2">
        <w:noBreakHyphen/>
      </w:r>
      <w:r>
        <w:t>day</w:t>
      </w:r>
      <w:r w:rsidR="00C608C2">
        <w:t> </w:t>
      </w:r>
      <w:r>
        <w:t>administration.</w:t>
      </w:r>
    </w:p>
    <w:p w14:paraId="28F8BF8A" w14:textId="77777777" w:rsidR="00A67487" w:rsidRPr="005C0F04" w:rsidRDefault="00A67487" w:rsidP="00A67487">
      <w:pPr>
        <w:pStyle w:val="H3"/>
        <w:rPr>
          <w:color w:val="C40B46" w:themeColor="accent6"/>
        </w:rPr>
      </w:pPr>
      <w:r w:rsidRPr="005C0F04">
        <w:rPr>
          <w:color w:val="C40B46" w:themeColor="accent6"/>
        </w:rPr>
        <w:t>Risk management</w:t>
      </w:r>
    </w:p>
    <w:p w14:paraId="69D8D803" w14:textId="01B3E822" w:rsidR="00A67487" w:rsidRDefault="00A67487" w:rsidP="00A67487">
      <w:pPr>
        <w:pStyle w:val="Body"/>
      </w:pPr>
      <w:r>
        <w:t xml:space="preserve">IHPA’s enterprise approach to risk management remains </w:t>
      </w:r>
      <w:r w:rsidR="00E12B46">
        <w:t xml:space="preserve">with </w:t>
      </w:r>
      <w:r>
        <w:t>the administration of</w:t>
      </w:r>
      <w:r w:rsidR="00C608C2">
        <w:t> </w:t>
      </w:r>
      <w:r>
        <w:t>risk</w:t>
      </w:r>
      <w:r w:rsidR="00054A1D">
        <w:t>,</w:t>
      </w:r>
      <w:r w:rsidR="00C608C2">
        <w:t> </w:t>
      </w:r>
      <w:r>
        <w:t>using tools that address the strategic and</w:t>
      </w:r>
      <w:r w:rsidR="00C608C2">
        <w:t> </w:t>
      </w:r>
      <w:r>
        <w:t>tactical risks of all significant decisions. IHPA</w:t>
      </w:r>
      <w:r w:rsidR="00C608C2">
        <w:t> </w:t>
      </w:r>
      <w:r>
        <w:t>updated its risk management framework</w:t>
      </w:r>
      <w:r w:rsidR="00C608C2">
        <w:t> </w:t>
      </w:r>
      <w:r>
        <w:t>and developed a detailed risk appetite</w:t>
      </w:r>
      <w:r w:rsidR="00C608C2">
        <w:t> </w:t>
      </w:r>
      <w:r>
        <w:t>statement, which is reviewed annually.</w:t>
      </w:r>
    </w:p>
    <w:p w14:paraId="3EE3E4D9" w14:textId="0774CB8B" w:rsidR="00A67487" w:rsidRDefault="00A67487" w:rsidP="00A67487">
      <w:pPr>
        <w:pStyle w:val="Body"/>
      </w:pPr>
      <w:r>
        <w:t>Strategic risks are identified with reference to</w:t>
      </w:r>
      <w:r w:rsidR="00B61CD4">
        <w:t> </w:t>
      </w:r>
      <w:r>
        <w:t>current business and environmental issues facing IHPA. These risks fall into three major risk categories:</w:t>
      </w:r>
    </w:p>
    <w:p w14:paraId="47CF390A" w14:textId="5AC0AD64" w:rsidR="00A67487" w:rsidRDefault="00A67487" w:rsidP="00A67487">
      <w:pPr>
        <w:pStyle w:val="Bullets"/>
      </w:pPr>
      <w:r>
        <w:t>reputational risks</w:t>
      </w:r>
    </w:p>
    <w:p w14:paraId="73CC1729" w14:textId="2A1FF45B" w:rsidR="00A67487" w:rsidRDefault="00A67487" w:rsidP="00A67487">
      <w:pPr>
        <w:pStyle w:val="Bullets"/>
      </w:pPr>
      <w:r>
        <w:t>data and information governance risks</w:t>
      </w:r>
    </w:p>
    <w:p w14:paraId="77A17AA0" w14:textId="14DBF27C" w:rsidR="00A67487" w:rsidRDefault="00A67487" w:rsidP="00A67487">
      <w:pPr>
        <w:pStyle w:val="Bulletslast"/>
      </w:pPr>
      <w:r>
        <w:t>corporate risks.</w:t>
      </w:r>
    </w:p>
    <w:p w14:paraId="08EA3A59" w14:textId="43C32BA4" w:rsidR="00A67487" w:rsidRDefault="00A67487" w:rsidP="00A67487">
      <w:pPr>
        <w:pStyle w:val="Body"/>
      </w:pPr>
      <w:r>
        <w:br w:type="column"/>
      </w:r>
      <w:r>
        <w:lastRenderedPageBreak/>
        <w:t>Additionally, IHPA developed a shared Strategic Risk Register with the National Health Funding Body, which identified two risks that both agencies have agreed to manage jointly:</w:t>
      </w:r>
    </w:p>
    <w:p w14:paraId="1CCD234E" w14:textId="52DFF2C7" w:rsidR="00A67487" w:rsidRDefault="00A67487" w:rsidP="00A67487">
      <w:pPr>
        <w:pStyle w:val="Bullets"/>
      </w:pPr>
      <w:r>
        <w:t>incorrect calculation of Commonwealth funding entitlements</w:t>
      </w:r>
    </w:p>
    <w:p w14:paraId="04D018F1" w14:textId="651A0F6F" w:rsidR="00A67487" w:rsidRDefault="00A67487" w:rsidP="00280437">
      <w:pPr>
        <w:pStyle w:val="Bulletslast"/>
        <w:spacing w:after="240"/>
      </w:pPr>
      <w:r>
        <w:t>changes to models that have not</w:t>
      </w:r>
      <w:r w:rsidR="00C608C2">
        <w:t> </w:t>
      </w:r>
      <w:r>
        <w:t>been</w:t>
      </w:r>
      <w:r w:rsidR="00C608C2">
        <w:t> </w:t>
      </w:r>
      <w:r>
        <w:t>effectively modelled and/</w:t>
      </w:r>
      <w:r w:rsidR="00C608C2">
        <w:rPr>
          <w:rFonts w:ascii="Arial" w:hAnsi="Arial" w:cs="Arial" w:hint="cs"/>
          <w:rtl/>
        </w:rPr>
        <w:t>‍</w:t>
      </w:r>
      <w:r>
        <w:t>or</w:t>
      </w:r>
      <w:r w:rsidR="00C608C2">
        <w:t> </w:t>
      </w:r>
      <w:r>
        <w:t>implemented.</w:t>
      </w:r>
    </w:p>
    <w:p w14:paraId="3E599278" w14:textId="74CE1CAD" w:rsidR="00A67487" w:rsidRDefault="00A67487" w:rsidP="00A67487">
      <w:pPr>
        <w:pStyle w:val="Body"/>
      </w:pPr>
      <w:r>
        <w:t>IHPA’s strategic risks are actively managed</w:t>
      </w:r>
      <w:r w:rsidR="00C608C2">
        <w:t> </w:t>
      </w:r>
      <w:r>
        <w:t>through audits, assurance, and</w:t>
      </w:r>
      <w:r w:rsidR="00B61CD4">
        <w:t> </w:t>
      </w:r>
      <w:r w:rsidR="00E12B46">
        <w:t xml:space="preserve">internal </w:t>
      </w:r>
      <w:r>
        <w:t>control</w:t>
      </w:r>
      <w:r w:rsidR="00C608C2">
        <w:t> </w:t>
      </w:r>
      <w:r>
        <w:t>processes. Where new risks</w:t>
      </w:r>
      <w:r w:rsidR="00B61CD4">
        <w:t> </w:t>
      </w:r>
      <w:r>
        <w:t>emerge, resources are assigned to understand and manage those risks. They</w:t>
      </w:r>
      <w:r w:rsidR="00B61CD4">
        <w:t> </w:t>
      </w:r>
      <w:r>
        <w:t>are</w:t>
      </w:r>
      <w:r w:rsidR="00B61CD4">
        <w:t> </w:t>
      </w:r>
      <w:r>
        <w:t>reviewed bi</w:t>
      </w:r>
      <w:r w:rsidR="00C608C2">
        <w:noBreakHyphen/>
      </w:r>
      <w:r>
        <w:t>annually or as required.</w:t>
      </w:r>
    </w:p>
    <w:p w14:paraId="0D54D2EC" w14:textId="01A9A63A" w:rsidR="00A67487" w:rsidRDefault="00A67487" w:rsidP="00A67487">
      <w:pPr>
        <w:pStyle w:val="Body"/>
      </w:pPr>
      <w:r>
        <w:t>Tactical risks are managed through a decision</w:t>
      </w:r>
      <w:r w:rsidR="00C608C2">
        <w:noBreakHyphen/>
      </w:r>
      <w:r>
        <w:t>based risk management tool, which</w:t>
      </w:r>
      <w:r w:rsidR="00C608C2">
        <w:t> </w:t>
      </w:r>
      <w:r>
        <w:t xml:space="preserve">requires recording of the risk and a formal decision on the managed likelihood and consequence of the risk. The assessment tool forms part of any major decision, ensuring that the final decision maker is fully informed and </w:t>
      </w:r>
      <w:r w:rsidR="009D13A7">
        <w:t>cognisant</w:t>
      </w:r>
      <w:r>
        <w:t xml:space="preserve"> of managed risk outcomes during the</w:t>
      </w:r>
      <w:r w:rsidR="00B61CD4">
        <w:t> </w:t>
      </w:r>
      <w:r>
        <w:t>decision‑making process.</w:t>
      </w:r>
    </w:p>
    <w:p w14:paraId="13134C0C" w14:textId="79E001DF" w:rsidR="005B5B9C" w:rsidRDefault="00A67487" w:rsidP="00A67487">
      <w:pPr>
        <w:pStyle w:val="Body"/>
      </w:pPr>
      <w:r>
        <w:t xml:space="preserve">IHPA has a mature enterprise risk management framework in place, and risk management is considered a </w:t>
      </w:r>
      <w:r w:rsidRPr="00187A69">
        <w:t>business‑as‑usual</w:t>
      </w:r>
      <w:r>
        <w:t xml:space="preserve"> activity for all IHPA staff.</w:t>
      </w:r>
    </w:p>
    <w:p w14:paraId="21B4CB5D" w14:textId="4A2A36C2" w:rsidR="00E1624A" w:rsidRDefault="00E1624A" w:rsidP="00A67487">
      <w:pPr>
        <w:pStyle w:val="Body"/>
      </w:pPr>
      <w:r w:rsidRPr="00E1624A">
        <w:t>During the period of this annual report, IHPA</w:t>
      </w:r>
      <w:r w:rsidR="00B61CD4">
        <w:t> </w:t>
      </w:r>
      <w:r w:rsidRPr="00E1624A">
        <w:t>closely monitored and managed the operational and technical risks associated with</w:t>
      </w:r>
      <w:r w:rsidR="00B61CD4">
        <w:t> </w:t>
      </w:r>
      <w:r w:rsidRPr="00E1624A">
        <w:t>the COVID-19 pandemic.</w:t>
      </w:r>
    </w:p>
    <w:p w14:paraId="6CC9B6E4" w14:textId="031AF476" w:rsidR="003532C0" w:rsidRPr="00D96247" w:rsidRDefault="003532C0" w:rsidP="003532C0">
      <w:pPr>
        <w:pStyle w:val="H3"/>
        <w:rPr>
          <w:color w:val="C40B46" w:themeColor="accent6"/>
        </w:rPr>
      </w:pPr>
      <w:r>
        <w:rPr>
          <w:color w:val="F47920" w:themeColor="accent4"/>
        </w:rPr>
        <w:br w:type="column"/>
      </w:r>
      <w:r w:rsidRPr="005C0F04">
        <w:rPr>
          <w:color w:val="C40B46" w:themeColor="accent6"/>
        </w:rPr>
        <w:t>Compliance</w:t>
      </w:r>
    </w:p>
    <w:p w14:paraId="117A3E05" w14:textId="77777777" w:rsidR="003532C0" w:rsidRDefault="003532C0" w:rsidP="003532C0">
      <w:pPr>
        <w:pStyle w:val="Body"/>
      </w:pPr>
      <w:r>
        <w:t xml:space="preserve">IHPA has a broad range of compliance obligations, including key statutory obligations set out in the </w:t>
      </w:r>
      <w:r w:rsidRPr="003532C0">
        <w:rPr>
          <w:i/>
          <w:iCs/>
        </w:rPr>
        <w:t>National Health Reform Act 2011</w:t>
      </w:r>
      <w:r>
        <w:t xml:space="preserve"> and the National Health Reform Agreement, the </w:t>
      </w:r>
      <w:r w:rsidRPr="003532C0">
        <w:rPr>
          <w:i/>
          <w:iCs/>
        </w:rPr>
        <w:t>Public Governance Performance and Accountability Act 2013</w:t>
      </w:r>
      <w:r>
        <w:t>, and the Public Governance Performance and Accountability Rule 2014.</w:t>
      </w:r>
    </w:p>
    <w:p w14:paraId="19A9FC97" w14:textId="77777777" w:rsidR="003532C0" w:rsidRDefault="003532C0" w:rsidP="003532C0">
      <w:pPr>
        <w:pStyle w:val="Body"/>
      </w:pPr>
      <w:r>
        <w:t>Other legal and compliance obligations include, work health and safety, privacy, freedom of information, intellectual property, the Protective Security Policy Framework, website accessibility and records management.</w:t>
      </w:r>
    </w:p>
    <w:p w14:paraId="294BFE3B" w14:textId="1403B638" w:rsidR="003532C0" w:rsidRDefault="003532C0" w:rsidP="003532C0">
      <w:pPr>
        <w:pStyle w:val="Body"/>
      </w:pPr>
      <w:r>
        <w:t>The Chief Executive Officer as the accountable authority receives management assurances on</w:t>
      </w:r>
      <w:r w:rsidR="008F5A65">
        <w:t> </w:t>
      </w:r>
      <w:r>
        <w:t>IHPA’s compliance obligations through an</w:t>
      </w:r>
      <w:r w:rsidR="00AE6772">
        <w:t> </w:t>
      </w:r>
      <w:r w:rsidR="00B567AE">
        <w:t>organised</w:t>
      </w:r>
      <w:r>
        <w:t xml:space="preserve"> system of controls and special</w:t>
      </w:r>
      <w:r w:rsidR="00AE6772">
        <w:t> </w:t>
      </w:r>
      <w:r>
        <w:t>exercises, including substantive testing, monthly reports, exception notifications, and</w:t>
      </w:r>
      <w:r w:rsidR="00AE6772">
        <w:t> </w:t>
      </w:r>
      <w:r>
        <w:t>compliance audits undertaken by an</w:t>
      </w:r>
      <w:r w:rsidR="00AE6772">
        <w:t> </w:t>
      </w:r>
      <w:r>
        <w:t>independent internal auditor.</w:t>
      </w:r>
    </w:p>
    <w:p w14:paraId="6364DAF3" w14:textId="77777777" w:rsidR="003532C0" w:rsidRDefault="003532C0" w:rsidP="003532C0">
      <w:pPr>
        <w:pStyle w:val="H4"/>
      </w:pPr>
      <w:r>
        <w:t>Compliance achievements during the year include:</w:t>
      </w:r>
    </w:p>
    <w:p w14:paraId="2F307AFD" w14:textId="31EA98D3" w:rsidR="003532C0" w:rsidRDefault="003532C0" w:rsidP="003532C0">
      <w:pPr>
        <w:pStyle w:val="Bullets"/>
      </w:pPr>
      <w:r>
        <w:t>IHPA’s internal compliance audits continue to show that information and communications technology systems were assessed as appropriately addressing the top risks defined by the</w:t>
      </w:r>
      <w:r w:rsidR="0079332B">
        <w:t> </w:t>
      </w:r>
      <w:r>
        <w:t>Australian Signals Directorate.</w:t>
      </w:r>
    </w:p>
    <w:p w14:paraId="71EB0629" w14:textId="6A7E6B37" w:rsidR="003532C0" w:rsidRDefault="003532C0" w:rsidP="003532C0">
      <w:pPr>
        <w:pStyle w:val="Bullets"/>
      </w:pPr>
      <w:r>
        <w:t xml:space="preserve">No compliance issues arising from IHPA’s administration of relevant sections of the </w:t>
      </w:r>
      <w:r w:rsidRPr="00B23F8A">
        <w:rPr>
          <w:i/>
          <w:iCs/>
        </w:rPr>
        <w:t>National Health Reform</w:t>
      </w:r>
      <w:r w:rsidR="00AE6772">
        <w:rPr>
          <w:i/>
          <w:iCs/>
        </w:rPr>
        <w:t> </w:t>
      </w:r>
      <w:r w:rsidRPr="00B23F8A">
        <w:rPr>
          <w:i/>
          <w:iCs/>
        </w:rPr>
        <w:t>Act 2011</w:t>
      </w:r>
      <w:r>
        <w:t>.</w:t>
      </w:r>
    </w:p>
    <w:p w14:paraId="60585352" w14:textId="3C950577" w:rsidR="003532C0" w:rsidRDefault="003532C0" w:rsidP="00526F8F">
      <w:pPr>
        <w:pStyle w:val="Bulletslast"/>
        <w:ind w:right="-99"/>
      </w:pPr>
      <w:r>
        <w:lastRenderedPageBreak/>
        <w:t xml:space="preserve">No material compliance issues emanating from the </w:t>
      </w:r>
      <w:r w:rsidRPr="00B23F8A">
        <w:rPr>
          <w:i/>
          <w:iCs/>
        </w:rPr>
        <w:t>Public Governance Performance and Accountability Act</w:t>
      </w:r>
      <w:r w:rsidR="00E66ED6">
        <w:rPr>
          <w:i/>
          <w:iCs/>
        </w:rPr>
        <w:t> </w:t>
      </w:r>
      <w:r w:rsidRPr="00B23F8A">
        <w:rPr>
          <w:i/>
          <w:iCs/>
        </w:rPr>
        <w:t>2013</w:t>
      </w:r>
      <w:r>
        <w:t>.</w:t>
      </w:r>
    </w:p>
    <w:p w14:paraId="37815784" w14:textId="1D3CDB9D" w:rsidR="003532C0" w:rsidRPr="005C0F04" w:rsidRDefault="003532C0" w:rsidP="003532C0">
      <w:pPr>
        <w:pStyle w:val="H3"/>
        <w:rPr>
          <w:color w:val="C40B46" w:themeColor="accent6"/>
        </w:rPr>
      </w:pPr>
      <w:r w:rsidRPr="005C0F04">
        <w:rPr>
          <w:color w:val="C40B46" w:themeColor="accent6"/>
        </w:rPr>
        <w:t xml:space="preserve">Financial </w:t>
      </w:r>
      <w:r w:rsidR="00B567AE">
        <w:rPr>
          <w:color w:val="C40B46" w:themeColor="accent6"/>
        </w:rPr>
        <w:t>authorization</w:t>
      </w:r>
    </w:p>
    <w:p w14:paraId="78073DEA" w14:textId="5408F13D" w:rsidR="003532C0" w:rsidRDefault="003532C0" w:rsidP="003532C0">
      <w:pPr>
        <w:pStyle w:val="Body"/>
      </w:pPr>
      <w:r>
        <w:t>As a corporate Commonwealth Agency, IHPA</w:t>
      </w:r>
      <w:r w:rsidR="00AE6772">
        <w:t> </w:t>
      </w:r>
      <w:r>
        <w:t>is not required to adhere to the Commonwealth Procurement Rules, but</w:t>
      </w:r>
      <w:r w:rsidR="00AE6772">
        <w:t> </w:t>
      </w:r>
      <w:r>
        <w:t>chooses to do so as a matter of best</w:t>
      </w:r>
      <w:r w:rsidR="00AE6772">
        <w:t> </w:t>
      </w:r>
      <w:r>
        <w:t>practice. All IHPA’s procurement decisions</w:t>
      </w:r>
      <w:r w:rsidR="00AE6772">
        <w:t> </w:t>
      </w:r>
      <w:r>
        <w:t>are made in accordance with the</w:t>
      </w:r>
      <w:r w:rsidR="00AE6772">
        <w:t> </w:t>
      </w:r>
      <w:r>
        <w:t xml:space="preserve">Commonwealth Procurement </w:t>
      </w:r>
      <w:r w:rsidR="002A59D5">
        <w:t>R</w:t>
      </w:r>
      <w:r>
        <w:t>ules. Line</w:t>
      </w:r>
      <w:r w:rsidR="00AE6772">
        <w:t> </w:t>
      </w:r>
      <w:r>
        <w:t>managers have value and purchase class</w:t>
      </w:r>
      <w:r w:rsidR="00AE6772">
        <w:t> </w:t>
      </w:r>
      <w:r>
        <w:t>limits in accordance with the delegation</w:t>
      </w:r>
      <w:r w:rsidR="00AE6772">
        <w:t> </w:t>
      </w:r>
      <w:r>
        <w:t>of financial authorities that is</w:t>
      </w:r>
      <w:r w:rsidR="00F40D48">
        <w:t> </w:t>
      </w:r>
      <w:r>
        <w:t>approved</w:t>
      </w:r>
      <w:r w:rsidR="00AE6772">
        <w:t> </w:t>
      </w:r>
      <w:r>
        <w:t>and</w:t>
      </w:r>
      <w:r w:rsidR="00AE6772">
        <w:t> </w:t>
      </w:r>
      <w:r>
        <w:t>reviewed regularly by</w:t>
      </w:r>
      <w:r w:rsidR="00F40D48">
        <w:t> </w:t>
      </w:r>
      <w:r>
        <w:t>the</w:t>
      </w:r>
      <w:r w:rsidR="00AE6772">
        <w:t> </w:t>
      </w:r>
      <w:r>
        <w:t>Chief</w:t>
      </w:r>
      <w:r w:rsidR="00AE6772">
        <w:t> </w:t>
      </w:r>
      <w:r>
        <w:t>Executive</w:t>
      </w:r>
      <w:r w:rsidR="00AE6772">
        <w:t> </w:t>
      </w:r>
      <w:r>
        <w:t>Officer, as the accountable</w:t>
      </w:r>
      <w:r w:rsidR="00AE6772">
        <w:t> </w:t>
      </w:r>
      <w:r>
        <w:t>authority.</w:t>
      </w:r>
    </w:p>
    <w:p w14:paraId="48DF277A" w14:textId="09D6F42F" w:rsidR="003532C0" w:rsidRPr="005C0F04" w:rsidRDefault="003532C0" w:rsidP="003532C0">
      <w:pPr>
        <w:pStyle w:val="H3"/>
        <w:rPr>
          <w:color w:val="C40B46" w:themeColor="accent6"/>
        </w:rPr>
      </w:pPr>
      <w:r w:rsidRPr="005C0F04">
        <w:rPr>
          <w:color w:val="C40B46" w:themeColor="accent6"/>
        </w:rPr>
        <w:t>Audit, Risk and Compliance</w:t>
      </w:r>
      <w:r w:rsidR="00AE6772">
        <w:rPr>
          <w:color w:val="C40B46" w:themeColor="accent6"/>
        </w:rPr>
        <w:t> </w:t>
      </w:r>
      <w:r w:rsidRPr="005C0F04">
        <w:rPr>
          <w:color w:val="C40B46" w:themeColor="accent6"/>
        </w:rPr>
        <w:t>Committee</w:t>
      </w:r>
    </w:p>
    <w:p w14:paraId="33FA5BB2" w14:textId="0EF045AE" w:rsidR="003532C0" w:rsidRDefault="003532C0" w:rsidP="003532C0">
      <w:pPr>
        <w:pStyle w:val="Body"/>
      </w:pPr>
      <w:r>
        <w:t>The IHPA Audit, Risk and Compliance Committee provides independent advice to</w:t>
      </w:r>
      <w:r w:rsidR="00141001">
        <w:t> </w:t>
      </w:r>
      <w:r>
        <w:t>the</w:t>
      </w:r>
      <w:r w:rsidR="00F9308F">
        <w:t> </w:t>
      </w:r>
      <w:r>
        <w:t>Chief Executive Officer on managing IHPA’s financial and business risk.</w:t>
      </w:r>
    </w:p>
    <w:p w14:paraId="269C967B" w14:textId="14F4E4C5" w:rsidR="003532C0" w:rsidRDefault="00310C25" w:rsidP="003532C0">
      <w:pPr>
        <w:pStyle w:val="Body"/>
      </w:pPr>
      <w:r>
        <w:t>During the reporting period</w:t>
      </w:r>
      <w:r w:rsidR="003532C0">
        <w:t>, members of the</w:t>
      </w:r>
      <w:r>
        <w:t> </w:t>
      </w:r>
      <w:r w:rsidR="003532C0">
        <w:t>Audit, Risk</w:t>
      </w:r>
      <w:r w:rsidR="00AE6772">
        <w:t> </w:t>
      </w:r>
      <w:r w:rsidR="003532C0">
        <w:t>and Compliance Committee</w:t>
      </w:r>
      <w:r>
        <w:t> </w:t>
      </w:r>
      <w:r w:rsidR="003532C0">
        <w:t>comprised:</w:t>
      </w:r>
    </w:p>
    <w:p w14:paraId="6045A5DA" w14:textId="2D8F6E2B" w:rsidR="003532C0" w:rsidRDefault="00310C25" w:rsidP="00B23F8A">
      <w:pPr>
        <w:pStyle w:val="Bullets"/>
      </w:pPr>
      <w:r>
        <w:t xml:space="preserve">Mr </w:t>
      </w:r>
      <w:r w:rsidR="003532C0">
        <w:t xml:space="preserve">Robert Butterworth, Chair and Independent member </w:t>
      </w:r>
      <w:r w:rsidR="00DD6F7D">
        <w:rPr>
          <w:rStyle w:val="FootnoteReference"/>
        </w:rPr>
        <w:footnoteReference w:id="1"/>
      </w:r>
    </w:p>
    <w:p w14:paraId="6AF88CBC" w14:textId="5C958AD3" w:rsidR="003532C0" w:rsidRDefault="00310C25" w:rsidP="00B23F8A">
      <w:pPr>
        <w:pStyle w:val="Bullets"/>
      </w:pPr>
      <w:r>
        <w:t xml:space="preserve">Ms </w:t>
      </w:r>
      <w:r w:rsidR="003532C0">
        <w:t xml:space="preserve">Angela Diamond, Chair and Independent member </w:t>
      </w:r>
      <w:r w:rsidR="00DD6F7D">
        <w:rPr>
          <w:rStyle w:val="FootnoteReference"/>
        </w:rPr>
        <w:footnoteReference w:id="2"/>
      </w:r>
    </w:p>
    <w:p w14:paraId="5C3C01C1" w14:textId="3CEAFCCE" w:rsidR="003532C0" w:rsidRDefault="00310C25" w:rsidP="00B23F8A">
      <w:pPr>
        <w:pStyle w:val="Bullets"/>
      </w:pPr>
      <w:r>
        <w:t xml:space="preserve">Mr </w:t>
      </w:r>
      <w:r w:rsidR="003532C0">
        <w:t>Alan Bansemer, Independent</w:t>
      </w:r>
      <w:r>
        <w:t> </w:t>
      </w:r>
      <w:r w:rsidR="003532C0">
        <w:t>member</w:t>
      </w:r>
    </w:p>
    <w:p w14:paraId="2BB767CF" w14:textId="77777777" w:rsidR="003D59EA" w:rsidRDefault="00310C25" w:rsidP="00DD6F7D">
      <w:pPr>
        <w:pStyle w:val="Bulletslast"/>
      </w:pPr>
      <w:r>
        <w:t xml:space="preserve">Mr </w:t>
      </w:r>
      <w:r w:rsidR="003532C0">
        <w:t>Glenn Appleyard, Member of the</w:t>
      </w:r>
      <w:r>
        <w:t> </w:t>
      </w:r>
      <w:r w:rsidR="003532C0">
        <w:t>Pricing Authority.</w:t>
      </w:r>
    </w:p>
    <w:p w14:paraId="59C72B0B" w14:textId="77777777" w:rsidR="00D2051C" w:rsidRDefault="00D2051C" w:rsidP="00D2051C">
      <w:pPr>
        <w:pStyle w:val="Bulletslast"/>
        <w:numPr>
          <w:ilvl w:val="0"/>
          <w:numId w:val="0"/>
        </w:numPr>
        <w:ind w:left="473" w:hanging="360"/>
        <w:sectPr w:rsidR="00D2051C" w:rsidSect="00DD6F7D">
          <w:headerReference w:type="even" r:id="rId86"/>
          <w:headerReference w:type="default" r:id="rId87"/>
          <w:type w:val="continuous"/>
          <w:pgSz w:w="9979" w:h="14175" w:code="13"/>
          <w:pgMar w:top="1134" w:right="1332" w:bottom="993" w:left="1418" w:header="709" w:footer="709" w:gutter="0"/>
          <w:cols w:num="2" w:space="623"/>
          <w:docGrid w:linePitch="360"/>
        </w:sectPr>
      </w:pPr>
    </w:p>
    <w:p w14:paraId="2978B206" w14:textId="77777777" w:rsidR="00D2051C" w:rsidRDefault="00D2051C" w:rsidP="00D2051C">
      <w:pPr>
        <w:pStyle w:val="FigureHeading"/>
      </w:pPr>
      <w:bookmarkStart w:id="90" w:name="_Toc48830275"/>
      <w:r>
        <w:lastRenderedPageBreak/>
        <w:t xml:space="preserve">Table 7: </w:t>
      </w:r>
      <w:r w:rsidRPr="00012CA6">
        <w:t>Details of Audit, Risk and Compliance Committee during the reporting period (2019–2020)</w:t>
      </w:r>
      <w:bookmarkEnd w:id="90"/>
    </w:p>
    <w:p w14:paraId="1652477B" w14:textId="59EB4CB3" w:rsidR="00D2051C" w:rsidRDefault="00D2051C" w:rsidP="00D2051C">
      <w:pPr>
        <w:pStyle w:val="Body"/>
      </w:pPr>
      <w:r w:rsidRPr="007F5B33">
        <w:t>The IHPA Audit, Risk and Compliance Committee met on three occasions between</w:t>
      </w:r>
      <w:r>
        <w:t> </w:t>
      </w:r>
      <w:r w:rsidRPr="007F5B33">
        <w:t>1</w:t>
      </w:r>
      <w:r>
        <w:t> </w:t>
      </w:r>
      <w:r w:rsidRPr="007F5B33">
        <w:t>July 2019 and 30</w:t>
      </w:r>
      <w:r>
        <w:t> </w:t>
      </w:r>
      <w:r w:rsidRPr="007F5B33">
        <w:t>June 2020. The</w:t>
      </w:r>
      <w:r>
        <w:t> </w:t>
      </w:r>
      <w:r w:rsidRPr="007F5B33">
        <w:t>Chief</w:t>
      </w:r>
      <w:r>
        <w:t> </w:t>
      </w:r>
      <w:r w:rsidRPr="007F5B33">
        <w:t>Executive Officer, James Downie, as</w:t>
      </w:r>
      <w:r>
        <w:t> </w:t>
      </w:r>
      <w:r w:rsidRPr="007F5B33">
        <w:t>the accountable authority, attended all three</w:t>
      </w:r>
      <w:r>
        <w:t> </w:t>
      </w:r>
      <w:r w:rsidRPr="007F5B33">
        <w:t>meetings.</w:t>
      </w:r>
    </w:p>
    <w:tbl>
      <w:tblPr>
        <w:tblW w:w="7797" w:type="dxa"/>
        <w:tblLayout w:type="fixed"/>
        <w:tblCellMar>
          <w:left w:w="113" w:type="dxa"/>
          <w:right w:w="57" w:type="dxa"/>
        </w:tblCellMar>
        <w:tblLook w:val="0020" w:firstRow="1" w:lastRow="0" w:firstColumn="0" w:lastColumn="0" w:noHBand="0" w:noVBand="0"/>
      </w:tblPr>
      <w:tblGrid>
        <w:gridCol w:w="993"/>
        <w:gridCol w:w="4536"/>
        <w:gridCol w:w="1134"/>
        <w:gridCol w:w="1134"/>
      </w:tblGrid>
      <w:tr w:rsidR="00D2051C" w:rsidRPr="00884997" w14:paraId="0463BD1B" w14:textId="77777777" w:rsidTr="004C2D52">
        <w:trPr>
          <w:trHeight w:val="20"/>
          <w:tblHeader/>
        </w:trPr>
        <w:tc>
          <w:tcPr>
            <w:tcW w:w="993" w:type="dxa"/>
            <w:tcBorders>
              <w:bottom w:val="single" w:sz="4" w:space="0" w:color="A6A6A6" w:themeColor="background2" w:themeShade="A6"/>
              <w:right w:val="single" w:sz="4" w:space="0" w:color="FFFFFF" w:themeColor="background2"/>
            </w:tcBorders>
            <w:shd w:val="clear" w:color="auto" w:fill="C40B46" w:themeFill="accent6"/>
            <w:tcMar>
              <w:top w:w="113" w:type="dxa"/>
              <w:left w:w="113" w:type="dxa"/>
              <w:bottom w:w="113" w:type="dxa"/>
              <w:right w:w="113" w:type="dxa"/>
            </w:tcMar>
          </w:tcPr>
          <w:p w14:paraId="599A4101" w14:textId="77777777" w:rsidR="00D2051C" w:rsidRPr="00884997" w:rsidRDefault="00D2051C" w:rsidP="00D2051C">
            <w:pPr>
              <w:pStyle w:val="Body"/>
              <w:spacing w:after="0" w:line="240" w:lineRule="auto"/>
              <w:rPr>
                <w:rFonts w:ascii="Futura PT Book" w:hAnsi="Futura PT Book" w:cs="Futura PT Book"/>
                <w:b/>
                <w:bCs/>
                <w:color w:val="FFFFFF" w:themeColor="background2"/>
                <w:sz w:val="16"/>
                <w:szCs w:val="16"/>
                <w:lang w:val="en-US"/>
              </w:rPr>
            </w:pPr>
            <w:r>
              <w:rPr>
                <w:rFonts w:ascii="Futura PT Book" w:hAnsi="Futura PT Book" w:cs="Futura PT Book"/>
                <w:b/>
                <w:bCs/>
                <w:color w:val="FFFFFF" w:themeColor="background2"/>
                <w:sz w:val="16"/>
                <w:szCs w:val="16"/>
                <w:lang w:val="en-US"/>
              </w:rPr>
              <w:t>Member Name</w:t>
            </w:r>
          </w:p>
        </w:tc>
        <w:tc>
          <w:tcPr>
            <w:tcW w:w="4536" w:type="dxa"/>
            <w:tcBorders>
              <w:left w:val="single" w:sz="4" w:space="0" w:color="FFFFFF" w:themeColor="background2"/>
              <w:bottom w:val="single" w:sz="4" w:space="0" w:color="A6A6A6" w:themeColor="background2" w:themeShade="A6"/>
              <w:right w:val="single" w:sz="4" w:space="0" w:color="FFFFFF" w:themeColor="background2"/>
            </w:tcBorders>
            <w:shd w:val="clear" w:color="auto" w:fill="C40B46" w:themeFill="accent6"/>
          </w:tcPr>
          <w:p w14:paraId="0DBCBA94" w14:textId="77777777" w:rsidR="00D2051C" w:rsidRPr="00884997" w:rsidRDefault="00D2051C" w:rsidP="00D2051C">
            <w:pPr>
              <w:pStyle w:val="Body"/>
              <w:spacing w:after="0" w:line="240" w:lineRule="auto"/>
              <w:rPr>
                <w:rFonts w:ascii="Futura PT Book" w:hAnsi="Futura PT Book" w:cs="Futura PT Book"/>
                <w:b/>
                <w:bCs/>
                <w:color w:val="FFFFFF" w:themeColor="background2"/>
                <w:sz w:val="16"/>
                <w:szCs w:val="16"/>
                <w:lang w:val="en-US"/>
              </w:rPr>
            </w:pPr>
            <w:r>
              <w:rPr>
                <w:rFonts w:ascii="Futura PT Book" w:hAnsi="Futura PT Book" w:cs="Futura PT Book"/>
                <w:b/>
                <w:bCs/>
                <w:color w:val="FFFFFF" w:themeColor="background2"/>
                <w:sz w:val="16"/>
                <w:szCs w:val="16"/>
                <w:lang w:val="en-US"/>
              </w:rPr>
              <w:t>Qualifications, knowledge, skills and experience</w:t>
            </w:r>
          </w:p>
        </w:tc>
        <w:tc>
          <w:tcPr>
            <w:tcW w:w="1134" w:type="dxa"/>
            <w:tcBorders>
              <w:left w:val="single" w:sz="4" w:space="0" w:color="FFFFFF" w:themeColor="background2"/>
              <w:bottom w:val="single" w:sz="4" w:space="0" w:color="A6A6A6" w:themeColor="background2" w:themeShade="A6"/>
              <w:right w:val="single" w:sz="4" w:space="0" w:color="FFFFFF" w:themeColor="background2"/>
            </w:tcBorders>
            <w:shd w:val="clear" w:color="auto" w:fill="C40B46" w:themeFill="accent6"/>
          </w:tcPr>
          <w:p w14:paraId="1C4E72DF" w14:textId="1C690340" w:rsidR="00D2051C" w:rsidRPr="00884997" w:rsidRDefault="00D2051C" w:rsidP="00D2051C">
            <w:pPr>
              <w:pStyle w:val="Body"/>
              <w:spacing w:after="0" w:line="240" w:lineRule="auto"/>
              <w:rPr>
                <w:rFonts w:ascii="Futura PT Book" w:hAnsi="Futura PT Book" w:cs="Futura PT Book"/>
                <w:b/>
                <w:bCs/>
                <w:color w:val="FFFFFF" w:themeColor="background2"/>
                <w:sz w:val="16"/>
                <w:szCs w:val="16"/>
                <w:lang w:val="en-US"/>
              </w:rPr>
            </w:pPr>
            <w:r>
              <w:rPr>
                <w:rFonts w:ascii="Futura PT Book" w:hAnsi="Futura PT Book" w:cs="Futura PT Book"/>
                <w:b/>
                <w:bCs/>
                <w:color w:val="FFFFFF" w:themeColor="background2"/>
                <w:sz w:val="16"/>
                <w:szCs w:val="16"/>
                <w:lang w:val="en-US"/>
              </w:rPr>
              <w:t>Number of meetings attended/</w:t>
            </w:r>
            <w:r w:rsidR="00E12B46">
              <w:rPr>
                <w:rFonts w:ascii="Futura PT Book" w:hAnsi="Futura PT Book" w:cs="Futura PT Book"/>
                <w:b/>
                <w:bCs/>
                <w:color w:val="FFFFFF" w:themeColor="background2"/>
                <w:sz w:val="16"/>
                <w:szCs w:val="16"/>
                <w:lang w:val="en-US"/>
              </w:rPr>
              <w:br/>
            </w:r>
            <w:r>
              <w:rPr>
                <w:rFonts w:ascii="Futura PT Book" w:hAnsi="Futura PT Book" w:cs="Futura PT Book"/>
                <w:b/>
                <w:bCs/>
                <w:color w:val="FFFFFF" w:themeColor="background2"/>
                <w:sz w:val="16"/>
                <w:szCs w:val="16"/>
                <w:lang w:val="en-US"/>
              </w:rPr>
              <w:t>total number of meetings</w:t>
            </w:r>
          </w:p>
        </w:tc>
        <w:tc>
          <w:tcPr>
            <w:tcW w:w="1134" w:type="dxa"/>
            <w:tcBorders>
              <w:left w:val="single" w:sz="4" w:space="0" w:color="FFFFFF" w:themeColor="background2"/>
              <w:bottom w:val="single" w:sz="4" w:space="0" w:color="A6A6A6" w:themeColor="background2" w:themeShade="A6"/>
            </w:tcBorders>
            <w:shd w:val="clear" w:color="auto" w:fill="C40B46" w:themeFill="accent6"/>
          </w:tcPr>
          <w:p w14:paraId="089983D8" w14:textId="77777777" w:rsidR="00D2051C" w:rsidRPr="00884997" w:rsidRDefault="00D2051C" w:rsidP="00D2051C">
            <w:pPr>
              <w:pStyle w:val="Body"/>
              <w:spacing w:after="0" w:line="240" w:lineRule="auto"/>
              <w:rPr>
                <w:rFonts w:ascii="Futura PT Book" w:hAnsi="Futura PT Book" w:cs="Futura PT Book"/>
                <w:b/>
                <w:bCs/>
                <w:color w:val="FFFFFF" w:themeColor="background2"/>
                <w:sz w:val="16"/>
                <w:szCs w:val="16"/>
                <w:lang w:val="en-US"/>
              </w:rPr>
            </w:pPr>
            <w:r>
              <w:rPr>
                <w:rFonts w:ascii="Futura PT Book" w:hAnsi="Futura PT Book" w:cs="Futura PT Book"/>
                <w:b/>
                <w:bCs/>
                <w:color w:val="FFFFFF" w:themeColor="background2"/>
                <w:sz w:val="16"/>
                <w:szCs w:val="16"/>
                <w:lang w:val="en-US"/>
              </w:rPr>
              <w:t>Total annual remuneration</w:t>
            </w:r>
          </w:p>
        </w:tc>
      </w:tr>
      <w:tr w:rsidR="00D2051C" w:rsidRPr="00884997" w14:paraId="795A880E" w14:textId="77777777" w:rsidTr="004C2D52">
        <w:trPr>
          <w:trHeight w:val="20"/>
        </w:trPr>
        <w:tc>
          <w:tcPr>
            <w:tcW w:w="993" w:type="dxa"/>
            <w:tcBorders>
              <w:top w:val="single" w:sz="4" w:space="0" w:color="A6A6A6" w:themeColor="background2" w:themeShade="A6"/>
              <w:bottom w:val="single" w:sz="4" w:space="0" w:color="A6A6A6" w:themeColor="background2" w:themeShade="A6"/>
              <w:right w:val="single" w:sz="4" w:space="0" w:color="D9D9D9" w:themeColor="background2" w:themeShade="D9"/>
            </w:tcBorders>
            <w:shd w:val="clear" w:color="auto" w:fill="FFFFFF" w:themeFill="background2"/>
            <w:tcMar>
              <w:top w:w="113" w:type="dxa"/>
              <w:left w:w="113" w:type="dxa"/>
              <w:bottom w:w="113" w:type="dxa"/>
              <w:right w:w="113" w:type="dxa"/>
            </w:tcMar>
          </w:tcPr>
          <w:p w14:paraId="015A5ACD" w14:textId="6BE94A50" w:rsidR="00D2051C" w:rsidRPr="00CA6671" w:rsidRDefault="00D2051C" w:rsidP="00D2051C">
            <w:pPr>
              <w:pStyle w:val="Body"/>
              <w:spacing w:after="0" w:line="240" w:lineRule="auto"/>
              <w:rPr>
                <w:b/>
                <w:bCs/>
                <w:sz w:val="15"/>
                <w:szCs w:val="15"/>
              </w:rPr>
            </w:pPr>
            <w:r w:rsidRPr="00CA6671">
              <w:rPr>
                <w:b/>
                <w:bCs/>
                <w:sz w:val="15"/>
                <w:szCs w:val="15"/>
              </w:rPr>
              <w:t>Robert Butterworth</w:t>
            </w:r>
            <w:r w:rsidR="004C2D52">
              <w:rPr>
                <w:rStyle w:val="FootnoteReference"/>
                <w:b/>
                <w:bCs/>
                <w:sz w:val="15"/>
                <w:szCs w:val="15"/>
              </w:rPr>
              <w:footnoteReference w:id="3"/>
            </w:r>
          </w:p>
        </w:tc>
        <w:tc>
          <w:tcPr>
            <w:tcW w:w="4536"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5DDD3A72" w14:textId="6604EF57" w:rsidR="00E12B46" w:rsidRPr="00E12B46" w:rsidRDefault="00E12B46" w:rsidP="00E12B46">
            <w:pPr>
              <w:pStyle w:val="Body"/>
              <w:spacing w:after="80"/>
              <w:rPr>
                <w:sz w:val="15"/>
                <w:szCs w:val="15"/>
              </w:rPr>
            </w:pPr>
            <w:r w:rsidRPr="00E12B46">
              <w:rPr>
                <w:sz w:val="15"/>
                <w:szCs w:val="15"/>
              </w:rPr>
              <w:t>Robert Butterworth is a retired Australian Public Service (APS) officer. His</w:t>
            </w:r>
            <w:r w:rsidR="0038580D">
              <w:rPr>
                <w:sz w:val="15"/>
                <w:szCs w:val="15"/>
              </w:rPr>
              <w:t> </w:t>
            </w:r>
            <w:r w:rsidRPr="00E12B46">
              <w:rPr>
                <w:sz w:val="15"/>
                <w:szCs w:val="15"/>
              </w:rPr>
              <w:t>career in the APS spanned 32 years including 23 years at Senior Executive Service (SES) level and 17 years as a Band 2. Robert has held SES positions in the three central agencies of Finance, Prime Minister and Cabinet and the Treasury, and in the Environment Department. He has also worked in the Canadian and Papua New Guinea civil services. His most recent position was Division Manager of the Asset Sales and Shareholder Division in the Department of Finance and Deregulation.</w:t>
            </w:r>
          </w:p>
          <w:p w14:paraId="0B17FCD6" w14:textId="77777777" w:rsidR="00E12B46" w:rsidRPr="00E12B46" w:rsidRDefault="00E12B46" w:rsidP="00E12B46">
            <w:pPr>
              <w:pStyle w:val="Body"/>
              <w:spacing w:after="80"/>
              <w:rPr>
                <w:sz w:val="15"/>
                <w:szCs w:val="15"/>
              </w:rPr>
            </w:pPr>
            <w:r w:rsidRPr="00E12B46">
              <w:rPr>
                <w:sz w:val="15"/>
                <w:szCs w:val="15"/>
              </w:rPr>
              <w:t xml:space="preserve">Robert was Chair of the Comcover Advisory Board and Chair of the Audit and Risk Management Committee of the Migration Review and Refugee Review Tribunals. In addition, he has also been a member of the Building and Construction Code Monitoring Group and the Sydney Harbour Federation Trust Audit and Risk Management Committee. </w:t>
            </w:r>
          </w:p>
          <w:p w14:paraId="324B53EB" w14:textId="097730C6" w:rsidR="00E12B46" w:rsidRPr="00E12B46" w:rsidRDefault="00E12B46" w:rsidP="00E12B46">
            <w:pPr>
              <w:pStyle w:val="Body"/>
              <w:spacing w:after="80"/>
              <w:rPr>
                <w:sz w:val="15"/>
                <w:szCs w:val="15"/>
              </w:rPr>
            </w:pPr>
            <w:r w:rsidRPr="00E12B46">
              <w:rPr>
                <w:sz w:val="15"/>
                <w:szCs w:val="15"/>
              </w:rPr>
              <w:t>Robert also undertakes short</w:t>
            </w:r>
            <w:r w:rsidR="006F7A7F">
              <w:rPr>
                <w:sz w:val="15"/>
                <w:szCs w:val="15"/>
              </w:rPr>
              <w:t>-</w:t>
            </w:r>
            <w:r w:rsidRPr="00E12B46">
              <w:rPr>
                <w:sz w:val="15"/>
                <w:szCs w:val="15"/>
              </w:rPr>
              <w:t>term contract work assignments in the APS, including assurance reviews for the Department of Finance.</w:t>
            </w:r>
          </w:p>
          <w:p w14:paraId="025A2179" w14:textId="36565486" w:rsidR="00D2051C" w:rsidRPr="00E12B46" w:rsidRDefault="00E12B46" w:rsidP="00E12B46">
            <w:pPr>
              <w:pStyle w:val="Body"/>
              <w:spacing w:after="0"/>
              <w:rPr>
                <w:sz w:val="15"/>
                <w:szCs w:val="15"/>
              </w:rPr>
            </w:pPr>
            <w:r w:rsidRPr="00E12B46">
              <w:rPr>
                <w:sz w:val="15"/>
                <w:szCs w:val="15"/>
              </w:rPr>
              <w:t>Robert has an Honours degree in Economics from the University of Sydney and a Graduate Diploma in Economics from the Australian National</w:t>
            </w:r>
            <w:r>
              <w:rPr>
                <w:sz w:val="15"/>
                <w:szCs w:val="15"/>
              </w:rPr>
              <w:t> </w:t>
            </w:r>
            <w:r w:rsidRPr="00E12B46">
              <w:rPr>
                <w:sz w:val="15"/>
                <w:szCs w:val="15"/>
              </w:rPr>
              <w:t>University.</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56C2DEDF" w14:textId="77777777" w:rsidR="00D2051C" w:rsidRPr="00CA6671" w:rsidRDefault="00D2051C" w:rsidP="00D2051C">
            <w:pPr>
              <w:pStyle w:val="Body"/>
              <w:spacing w:after="0" w:line="240" w:lineRule="auto"/>
              <w:rPr>
                <w:sz w:val="15"/>
                <w:szCs w:val="15"/>
              </w:rPr>
            </w:pPr>
            <w:r w:rsidRPr="00CA6671">
              <w:rPr>
                <w:sz w:val="15"/>
                <w:szCs w:val="15"/>
              </w:rPr>
              <w:t>1/1</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tcBorders>
            <w:shd w:val="clear" w:color="auto" w:fill="FFFFFF" w:themeFill="background2"/>
            <w:tcMar>
              <w:top w:w="113" w:type="dxa"/>
              <w:left w:w="113" w:type="dxa"/>
              <w:bottom w:w="113" w:type="dxa"/>
              <w:right w:w="113" w:type="dxa"/>
            </w:tcMar>
          </w:tcPr>
          <w:p w14:paraId="0CECF408" w14:textId="77777777" w:rsidR="00D2051C" w:rsidRPr="00CA6671" w:rsidRDefault="00D2051C" w:rsidP="00D2051C">
            <w:pPr>
              <w:pStyle w:val="Body"/>
              <w:spacing w:after="0" w:line="240" w:lineRule="auto"/>
              <w:rPr>
                <w:sz w:val="15"/>
                <w:szCs w:val="15"/>
              </w:rPr>
            </w:pPr>
            <w:r w:rsidRPr="00CA6671">
              <w:rPr>
                <w:sz w:val="15"/>
                <w:szCs w:val="15"/>
              </w:rPr>
              <w:t>$2,000</w:t>
            </w:r>
          </w:p>
        </w:tc>
      </w:tr>
      <w:tr w:rsidR="00D2051C" w:rsidRPr="00884997" w14:paraId="3221BE66" w14:textId="77777777" w:rsidTr="004C2D52">
        <w:trPr>
          <w:trHeight w:val="20"/>
        </w:trPr>
        <w:tc>
          <w:tcPr>
            <w:tcW w:w="993" w:type="dxa"/>
            <w:tcBorders>
              <w:top w:val="single" w:sz="4" w:space="0" w:color="A6A6A6" w:themeColor="background2" w:themeShade="A6"/>
              <w:bottom w:val="single" w:sz="4" w:space="0" w:color="A6A6A6" w:themeColor="background2" w:themeShade="A6"/>
              <w:right w:val="single" w:sz="4" w:space="0" w:color="D9D9D9" w:themeColor="background2" w:themeShade="D9"/>
            </w:tcBorders>
            <w:shd w:val="clear" w:color="auto" w:fill="FFFFFF" w:themeFill="background2"/>
            <w:tcMar>
              <w:top w:w="113" w:type="dxa"/>
              <w:left w:w="113" w:type="dxa"/>
              <w:bottom w:w="113" w:type="dxa"/>
              <w:right w:w="113" w:type="dxa"/>
            </w:tcMar>
          </w:tcPr>
          <w:p w14:paraId="21228749" w14:textId="6E34D7BC" w:rsidR="00D2051C" w:rsidRPr="00CA6671" w:rsidRDefault="00D2051C" w:rsidP="00D2051C">
            <w:pPr>
              <w:pStyle w:val="Body"/>
              <w:spacing w:after="0" w:line="240" w:lineRule="auto"/>
              <w:rPr>
                <w:b/>
                <w:bCs/>
                <w:sz w:val="15"/>
                <w:szCs w:val="15"/>
              </w:rPr>
            </w:pPr>
            <w:r w:rsidRPr="00CA6671">
              <w:rPr>
                <w:b/>
                <w:bCs/>
                <w:sz w:val="15"/>
                <w:szCs w:val="15"/>
              </w:rPr>
              <w:t>Angela Diamond</w:t>
            </w:r>
            <w:r w:rsidR="004C2D52">
              <w:rPr>
                <w:rStyle w:val="FootnoteReference"/>
                <w:b/>
                <w:bCs/>
                <w:sz w:val="15"/>
                <w:szCs w:val="15"/>
              </w:rPr>
              <w:footnoteReference w:id="4"/>
            </w:r>
          </w:p>
        </w:tc>
        <w:tc>
          <w:tcPr>
            <w:tcW w:w="4536"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1828665E" w14:textId="77777777" w:rsidR="00E74E69" w:rsidRPr="00E74E69" w:rsidRDefault="00E74E69" w:rsidP="00E74E69">
            <w:pPr>
              <w:pStyle w:val="Body"/>
              <w:spacing w:after="80" w:line="240" w:lineRule="auto"/>
              <w:rPr>
                <w:sz w:val="15"/>
                <w:szCs w:val="15"/>
              </w:rPr>
            </w:pPr>
            <w:r w:rsidRPr="00E74E69">
              <w:rPr>
                <w:sz w:val="15"/>
                <w:szCs w:val="15"/>
              </w:rPr>
              <w:t>Angela Diamond has held several senior finance positions within the public service including First Assistant Secretary Financial Performance and Management at the Department of Defence and is currently the Chief Financial Officer for Services Australia.</w:t>
            </w:r>
          </w:p>
          <w:p w14:paraId="3199A91A" w14:textId="572E3395" w:rsidR="00D2051C" w:rsidRPr="00CA6671" w:rsidRDefault="00E74E69" w:rsidP="00E74E69">
            <w:pPr>
              <w:pStyle w:val="Body"/>
              <w:spacing w:after="0" w:line="240" w:lineRule="auto"/>
              <w:rPr>
                <w:sz w:val="15"/>
                <w:szCs w:val="15"/>
              </w:rPr>
            </w:pPr>
            <w:r w:rsidRPr="00E74E69">
              <w:rPr>
                <w:sz w:val="15"/>
                <w:szCs w:val="15"/>
              </w:rPr>
              <w:t>Angela has a Bachelor of Commerce from the Australian National University and is a Certified Practising Accountant (CPA).</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6EF90C28" w14:textId="77777777" w:rsidR="00D2051C" w:rsidRPr="00CA6671" w:rsidRDefault="00D2051C" w:rsidP="00D2051C">
            <w:pPr>
              <w:pStyle w:val="Body"/>
              <w:spacing w:after="0" w:line="240" w:lineRule="auto"/>
              <w:rPr>
                <w:sz w:val="15"/>
                <w:szCs w:val="15"/>
              </w:rPr>
            </w:pPr>
            <w:r w:rsidRPr="00CA6671">
              <w:rPr>
                <w:sz w:val="15"/>
                <w:szCs w:val="15"/>
              </w:rPr>
              <w:t>3/3</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tcBorders>
            <w:shd w:val="clear" w:color="auto" w:fill="FFFFFF" w:themeFill="background2"/>
            <w:tcMar>
              <w:top w:w="113" w:type="dxa"/>
              <w:left w:w="113" w:type="dxa"/>
              <w:bottom w:w="113" w:type="dxa"/>
              <w:right w:w="113" w:type="dxa"/>
            </w:tcMar>
          </w:tcPr>
          <w:p w14:paraId="63543FD5" w14:textId="77777777" w:rsidR="00D2051C" w:rsidRPr="00CA6671" w:rsidRDefault="00D2051C" w:rsidP="00D2051C">
            <w:pPr>
              <w:pStyle w:val="Body"/>
              <w:spacing w:after="0" w:line="240" w:lineRule="auto"/>
              <w:rPr>
                <w:sz w:val="15"/>
                <w:szCs w:val="15"/>
              </w:rPr>
            </w:pPr>
            <w:r w:rsidRPr="00CA6671">
              <w:rPr>
                <w:sz w:val="15"/>
                <w:szCs w:val="15"/>
              </w:rPr>
              <w:t>Nil</w:t>
            </w:r>
          </w:p>
        </w:tc>
      </w:tr>
      <w:tr w:rsidR="00D2051C" w:rsidRPr="00884997" w14:paraId="76FB24BD" w14:textId="77777777" w:rsidTr="004C2D52">
        <w:trPr>
          <w:trHeight w:val="20"/>
        </w:trPr>
        <w:tc>
          <w:tcPr>
            <w:tcW w:w="993" w:type="dxa"/>
            <w:tcBorders>
              <w:top w:val="single" w:sz="4" w:space="0" w:color="A6A6A6" w:themeColor="background2" w:themeShade="A6"/>
              <w:bottom w:val="single" w:sz="4" w:space="0" w:color="A6A6A6" w:themeColor="background2" w:themeShade="A6"/>
              <w:right w:val="single" w:sz="4" w:space="0" w:color="D9D9D9" w:themeColor="background2" w:themeShade="D9"/>
            </w:tcBorders>
            <w:shd w:val="clear" w:color="auto" w:fill="FFFFFF" w:themeFill="background2"/>
            <w:tcMar>
              <w:top w:w="113" w:type="dxa"/>
              <w:left w:w="113" w:type="dxa"/>
              <w:bottom w:w="113" w:type="dxa"/>
              <w:right w:w="113" w:type="dxa"/>
            </w:tcMar>
          </w:tcPr>
          <w:p w14:paraId="539217BC" w14:textId="77777777" w:rsidR="00D2051C" w:rsidRPr="00CA6671" w:rsidRDefault="00D2051C" w:rsidP="00D2051C">
            <w:pPr>
              <w:pStyle w:val="Body"/>
              <w:spacing w:after="0" w:line="240" w:lineRule="auto"/>
              <w:rPr>
                <w:b/>
                <w:bCs/>
                <w:sz w:val="15"/>
                <w:szCs w:val="15"/>
              </w:rPr>
            </w:pPr>
            <w:r w:rsidRPr="00CA6671">
              <w:rPr>
                <w:b/>
                <w:bCs/>
                <w:sz w:val="15"/>
                <w:szCs w:val="15"/>
              </w:rPr>
              <w:lastRenderedPageBreak/>
              <w:t>Glenn Appleyard</w:t>
            </w:r>
          </w:p>
        </w:tc>
        <w:tc>
          <w:tcPr>
            <w:tcW w:w="4536"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26A5687B" w14:textId="77777777" w:rsidR="00D2051C" w:rsidRPr="00CA6671" w:rsidRDefault="00D2051C" w:rsidP="00D2051C">
            <w:pPr>
              <w:pStyle w:val="Body"/>
              <w:spacing w:after="80" w:line="240" w:lineRule="auto"/>
              <w:rPr>
                <w:sz w:val="15"/>
                <w:szCs w:val="15"/>
              </w:rPr>
            </w:pPr>
            <w:r w:rsidRPr="00CA6671">
              <w:rPr>
                <w:sz w:val="15"/>
                <w:szCs w:val="15"/>
              </w:rPr>
              <w:t>Glenn Appleyard was a member of the Australian Accounting Standards Board from 1 January 2003 to 31 December 2011.</w:t>
            </w:r>
          </w:p>
          <w:p w14:paraId="32A600B7" w14:textId="7EC79817" w:rsidR="00D2051C" w:rsidRPr="00CA6671" w:rsidRDefault="00D2051C" w:rsidP="00D2051C">
            <w:pPr>
              <w:pStyle w:val="Body"/>
              <w:spacing w:after="80" w:line="240" w:lineRule="auto"/>
              <w:rPr>
                <w:sz w:val="15"/>
                <w:szCs w:val="15"/>
              </w:rPr>
            </w:pPr>
            <w:r w:rsidRPr="00CA6671">
              <w:rPr>
                <w:sz w:val="15"/>
                <w:szCs w:val="15"/>
              </w:rPr>
              <w:t>Glenn has held several senior positions within the public service including Deputy Secretary in the Tasmanian and Victorian Departments of Treasury and Finance, Regional Director for the Australian Bureau of Statistics in</w:t>
            </w:r>
            <w:r w:rsidR="00837BAE">
              <w:rPr>
                <w:sz w:val="15"/>
                <w:szCs w:val="15"/>
              </w:rPr>
              <w:t> </w:t>
            </w:r>
            <w:r w:rsidRPr="00CA6671">
              <w:rPr>
                <w:sz w:val="15"/>
                <w:szCs w:val="15"/>
              </w:rPr>
              <w:t>Tasmania.</w:t>
            </w:r>
          </w:p>
          <w:p w14:paraId="257631A4" w14:textId="0EB518E6" w:rsidR="00D2051C" w:rsidRPr="00CA6671" w:rsidRDefault="00D2051C" w:rsidP="00D2051C">
            <w:pPr>
              <w:pStyle w:val="Body"/>
              <w:spacing w:after="80" w:line="240" w:lineRule="auto"/>
              <w:rPr>
                <w:sz w:val="15"/>
                <w:szCs w:val="15"/>
              </w:rPr>
            </w:pPr>
            <w:r w:rsidRPr="00CA6671">
              <w:rPr>
                <w:sz w:val="15"/>
                <w:szCs w:val="15"/>
              </w:rPr>
              <w:t>He was a member of the Commonwealth Grants Commission for</w:t>
            </w:r>
            <w:r>
              <w:rPr>
                <w:sz w:val="15"/>
                <w:szCs w:val="15"/>
              </w:rPr>
              <w:t> </w:t>
            </w:r>
            <w:r w:rsidRPr="00CA6671">
              <w:rPr>
                <w:sz w:val="15"/>
                <w:szCs w:val="15"/>
              </w:rPr>
              <w:t>11 years and was the Chair of the Tasmanian Economic</w:t>
            </w:r>
            <w:r>
              <w:rPr>
                <w:sz w:val="15"/>
                <w:szCs w:val="15"/>
              </w:rPr>
              <w:t> </w:t>
            </w:r>
            <w:r w:rsidRPr="00CA6671">
              <w:rPr>
                <w:sz w:val="15"/>
                <w:szCs w:val="15"/>
              </w:rPr>
              <w:t xml:space="preserve">Regulator. </w:t>
            </w:r>
          </w:p>
          <w:p w14:paraId="425B2D28" w14:textId="6DDD01FE" w:rsidR="00D2051C" w:rsidRPr="00CA6671" w:rsidRDefault="00D2051C" w:rsidP="00D2051C">
            <w:pPr>
              <w:pStyle w:val="Body"/>
              <w:spacing w:after="80" w:line="240" w:lineRule="auto"/>
              <w:rPr>
                <w:sz w:val="15"/>
                <w:szCs w:val="15"/>
              </w:rPr>
            </w:pPr>
            <w:r w:rsidRPr="00CA6671">
              <w:rPr>
                <w:sz w:val="15"/>
                <w:szCs w:val="15"/>
              </w:rPr>
              <w:t>Glenn has been a member of the Independent Hospital Pricing</w:t>
            </w:r>
            <w:r>
              <w:rPr>
                <w:sz w:val="15"/>
                <w:szCs w:val="15"/>
              </w:rPr>
              <w:t> </w:t>
            </w:r>
            <w:r w:rsidRPr="00CA6671">
              <w:rPr>
                <w:sz w:val="15"/>
                <w:szCs w:val="15"/>
              </w:rPr>
              <w:t>Authority since 2012.</w:t>
            </w:r>
          </w:p>
          <w:p w14:paraId="3EE0236F" w14:textId="77777777" w:rsidR="00D2051C" w:rsidRPr="00CA6671" w:rsidRDefault="00D2051C" w:rsidP="00D2051C">
            <w:pPr>
              <w:pStyle w:val="Body"/>
              <w:spacing w:after="0" w:line="240" w:lineRule="auto"/>
              <w:rPr>
                <w:sz w:val="15"/>
                <w:szCs w:val="15"/>
              </w:rPr>
            </w:pPr>
            <w:r w:rsidRPr="00CA6671">
              <w:rPr>
                <w:sz w:val="15"/>
                <w:szCs w:val="15"/>
              </w:rPr>
              <w:t>Glenn has a Bachelor of Economics from the University of Tasmania and is a Graduate Member of the Australian Institute of Company Directors.</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37BC333D" w14:textId="77777777" w:rsidR="00D2051C" w:rsidRPr="00CA6671" w:rsidRDefault="00D2051C" w:rsidP="00D2051C">
            <w:pPr>
              <w:pStyle w:val="Body"/>
              <w:spacing w:after="0" w:line="240" w:lineRule="auto"/>
              <w:rPr>
                <w:sz w:val="15"/>
                <w:szCs w:val="15"/>
              </w:rPr>
            </w:pPr>
            <w:r w:rsidRPr="00CA6671">
              <w:rPr>
                <w:sz w:val="15"/>
                <w:szCs w:val="15"/>
              </w:rPr>
              <w:t>2/3</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tcBorders>
            <w:shd w:val="clear" w:color="auto" w:fill="FFFFFF" w:themeFill="background2"/>
            <w:tcMar>
              <w:top w:w="113" w:type="dxa"/>
              <w:left w:w="113" w:type="dxa"/>
              <w:bottom w:w="113" w:type="dxa"/>
              <w:right w:w="113" w:type="dxa"/>
            </w:tcMar>
          </w:tcPr>
          <w:p w14:paraId="4A0683CD" w14:textId="77777777" w:rsidR="00D2051C" w:rsidRPr="00CA6671" w:rsidRDefault="00D2051C" w:rsidP="00D2051C">
            <w:pPr>
              <w:pStyle w:val="Body"/>
              <w:spacing w:after="0" w:line="240" w:lineRule="auto"/>
              <w:rPr>
                <w:sz w:val="15"/>
                <w:szCs w:val="15"/>
              </w:rPr>
            </w:pPr>
            <w:r w:rsidRPr="00CA6671">
              <w:rPr>
                <w:sz w:val="15"/>
                <w:szCs w:val="15"/>
              </w:rPr>
              <w:t>$4,000</w:t>
            </w:r>
          </w:p>
        </w:tc>
      </w:tr>
      <w:tr w:rsidR="00D2051C" w:rsidRPr="00884997" w14:paraId="7BFA0F4E" w14:textId="77777777" w:rsidTr="004C2D52">
        <w:trPr>
          <w:trHeight w:val="1815"/>
        </w:trPr>
        <w:tc>
          <w:tcPr>
            <w:tcW w:w="993" w:type="dxa"/>
            <w:tcBorders>
              <w:top w:val="single" w:sz="4" w:space="0" w:color="A6A6A6" w:themeColor="background2" w:themeShade="A6"/>
              <w:bottom w:val="single" w:sz="4" w:space="0" w:color="A6A6A6" w:themeColor="background2" w:themeShade="A6"/>
              <w:right w:val="single" w:sz="2" w:space="0" w:color="D9D9D9" w:themeColor="background2" w:themeShade="D9"/>
            </w:tcBorders>
            <w:shd w:val="clear" w:color="auto" w:fill="FFFFFF" w:themeFill="background2"/>
            <w:tcMar>
              <w:top w:w="113" w:type="dxa"/>
              <w:left w:w="113" w:type="dxa"/>
              <w:bottom w:w="113" w:type="dxa"/>
              <w:right w:w="113" w:type="dxa"/>
            </w:tcMar>
          </w:tcPr>
          <w:p w14:paraId="1BBD5BA0" w14:textId="77777777" w:rsidR="00D2051C" w:rsidRPr="00CA6671" w:rsidRDefault="00D2051C" w:rsidP="00D2051C">
            <w:pPr>
              <w:pStyle w:val="Body"/>
              <w:spacing w:after="120" w:line="240" w:lineRule="auto"/>
              <w:rPr>
                <w:b/>
                <w:bCs/>
                <w:sz w:val="15"/>
                <w:szCs w:val="15"/>
              </w:rPr>
            </w:pPr>
            <w:r w:rsidRPr="00CA6671">
              <w:rPr>
                <w:b/>
                <w:bCs/>
                <w:sz w:val="15"/>
                <w:szCs w:val="15"/>
              </w:rPr>
              <w:t>Alan Bansemer</w:t>
            </w:r>
          </w:p>
        </w:tc>
        <w:tc>
          <w:tcPr>
            <w:tcW w:w="4536" w:type="dxa"/>
            <w:tcBorders>
              <w:top w:val="single" w:sz="4" w:space="0" w:color="A6A6A6" w:themeColor="background2" w:themeShade="A6"/>
              <w:left w:val="single" w:sz="2"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4A70D16E" w14:textId="296DDE72" w:rsidR="00D2051C" w:rsidRPr="00CA6671" w:rsidRDefault="00D2051C" w:rsidP="00D2051C">
            <w:pPr>
              <w:pStyle w:val="Body"/>
              <w:spacing w:after="80" w:line="240" w:lineRule="auto"/>
              <w:rPr>
                <w:sz w:val="15"/>
                <w:szCs w:val="15"/>
              </w:rPr>
            </w:pPr>
            <w:r w:rsidRPr="00CA6671">
              <w:rPr>
                <w:sz w:val="15"/>
                <w:szCs w:val="15"/>
              </w:rPr>
              <w:t>Alan Bansemer has over 35 years</w:t>
            </w:r>
            <w:r>
              <w:rPr>
                <w:sz w:val="15"/>
                <w:szCs w:val="15"/>
              </w:rPr>
              <w:t>’</w:t>
            </w:r>
            <w:r w:rsidRPr="00CA6671">
              <w:rPr>
                <w:sz w:val="15"/>
                <w:szCs w:val="15"/>
              </w:rPr>
              <w:t xml:space="preserve"> experience in the health</w:t>
            </w:r>
            <w:r>
              <w:rPr>
                <w:sz w:val="15"/>
                <w:szCs w:val="15"/>
              </w:rPr>
              <w:t> </w:t>
            </w:r>
            <w:r w:rsidRPr="00CA6671">
              <w:rPr>
                <w:sz w:val="15"/>
                <w:szCs w:val="15"/>
              </w:rPr>
              <w:t>sector, including six years as the West Australian Health Commissioner and eight years as the Deputy Secretary to the Commonwealth Department of Human Services and Health (as</w:t>
            </w:r>
            <w:r>
              <w:rPr>
                <w:sz w:val="15"/>
                <w:szCs w:val="15"/>
              </w:rPr>
              <w:t> </w:t>
            </w:r>
            <w:r w:rsidRPr="00CA6671">
              <w:rPr>
                <w:sz w:val="15"/>
                <w:szCs w:val="15"/>
              </w:rPr>
              <w:t>it</w:t>
            </w:r>
            <w:r>
              <w:rPr>
                <w:sz w:val="15"/>
                <w:szCs w:val="15"/>
              </w:rPr>
              <w:t> </w:t>
            </w:r>
            <w:r w:rsidRPr="00CA6671">
              <w:rPr>
                <w:sz w:val="15"/>
                <w:szCs w:val="15"/>
              </w:rPr>
              <w:t>then</w:t>
            </w:r>
            <w:r>
              <w:rPr>
                <w:sz w:val="15"/>
                <w:szCs w:val="15"/>
              </w:rPr>
              <w:t> </w:t>
            </w:r>
            <w:r w:rsidRPr="00CA6671">
              <w:rPr>
                <w:sz w:val="15"/>
                <w:szCs w:val="15"/>
              </w:rPr>
              <w:t>was).</w:t>
            </w:r>
          </w:p>
          <w:p w14:paraId="651F4DAA" w14:textId="77777777" w:rsidR="00D2051C" w:rsidRPr="00CA6671" w:rsidRDefault="00D2051C" w:rsidP="00D2051C">
            <w:pPr>
              <w:pStyle w:val="Body"/>
              <w:spacing w:after="80" w:line="240" w:lineRule="auto"/>
              <w:rPr>
                <w:sz w:val="15"/>
                <w:szCs w:val="15"/>
              </w:rPr>
            </w:pPr>
            <w:r w:rsidRPr="00CA6671">
              <w:rPr>
                <w:sz w:val="15"/>
                <w:szCs w:val="15"/>
              </w:rPr>
              <w:t>Alan has chaired a number of committees including the Medicare Schedule Review Board and General Practice Consultative</w:t>
            </w:r>
            <w:r>
              <w:rPr>
                <w:sz w:val="15"/>
                <w:szCs w:val="15"/>
              </w:rPr>
              <w:t> </w:t>
            </w:r>
            <w:r w:rsidRPr="00CA6671">
              <w:rPr>
                <w:sz w:val="15"/>
                <w:szCs w:val="15"/>
              </w:rPr>
              <w:t>Committee. In addition, he has served as a member of numerous health advisory committees including the Australian</w:t>
            </w:r>
            <w:r>
              <w:rPr>
                <w:sz w:val="15"/>
                <w:szCs w:val="15"/>
              </w:rPr>
              <w:t> </w:t>
            </w:r>
            <w:r w:rsidRPr="00CA6671">
              <w:rPr>
                <w:sz w:val="15"/>
                <w:szCs w:val="15"/>
              </w:rPr>
              <w:t>Health Ministers’ Advisory Council, Health Insurance Commission (now Medicare Australia) and the Australian Institute</w:t>
            </w:r>
            <w:r>
              <w:rPr>
                <w:sz w:val="15"/>
                <w:szCs w:val="15"/>
              </w:rPr>
              <w:t> </w:t>
            </w:r>
            <w:r w:rsidRPr="00CA6671">
              <w:rPr>
                <w:sz w:val="15"/>
                <w:szCs w:val="15"/>
              </w:rPr>
              <w:t>of</w:t>
            </w:r>
            <w:r>
              <w:rPr>
                <w:sz w:val="15"/>
                <w:szCs w:val="15"/>
              </w:rPr>
              <w:t> </w:t>
            </w:r>
            <w:r w:rsidRPr="00CA6671">
              <w:rPr>
                <w:sz w:val="15"/>
                <w:szCs w:val="15"/>
              </w:rPr>
              <w:t>Health</w:t>
            </w:r>
            <w:r>
              <w:rPr>
                <w:sz w:val="15"/>
                <w:szCs w:val="15"/>
              </w:rPr>
              <w:t> </w:t>
            </w:r>
            <w:r w:rsidRPr="00CA6671">
              <w:rPr>
                <w:sz w:val="15"/>
                <w:szCs w:val="15"/>
              </w:rPr>
              <w:t>and</w:t>
            </w:r>
            <w:r>
              <w:rPr>
                <w:sz w:val="15"/>
                <w:szCs w:val="15"/>
              </w:rPr>
              <w:t> </w:t>
            </w:r>
            <w:r w:rsidRPr="00CA6671">
              <w:rPr>
                <w:sz w:val="15"/>
                <w:szCs w:val="15"/>
              </w:rPr>
              <w:t>Welfare.</w:t>
            </w:r>
          </w:p>
          <w:p w14:paraId="7CF35164" w14:textId="39C2476E" w:rsidR="00D2051C" w:rsidRPr="00CA6671" w:rsidRDefault="00D2051C" w:rsidP="00D2051C">
            <w:pPr>
              <w:pStyle w:val="Body"/>
              <w:spacing w:after="0" w:line="240" w:lineRule="auto"/>
              <w:rPr>
                <w:sz w:val="15"/>
                <w:szCs w:val="15"/>
              </w:rPr>
            </w:pPr>
            <w:r w:rsidRPr="00CA6671">
              <w:rPr>
                <w:sz w:val="15"/>
                <w:szCs w:val="15"/>
              </w:rPr>
              <w:t xml:space="preserve">Alan has a bachelor’s degree in </w:t>
            </w:r>
            <w:r w:rsidR="00054A1D">
              <w:rPr>
                <w:sz w:val="15"/>
                <w:szCs w:val="15"/>
              </w:rPr>
              <w:t>e</w:t>
            </w:r>
            <w:r w:rsidRPr="00CA6671">
              <w:rPr>
                <w:sz w:val="15"/>
                <w:szCs w:val="15"/>
              </w:rPr>
              <w:t>conomics from the University of Adelaide and postgraduate diploma in business administration from the South Australian Institute of Technology.</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right w:val="single" w:sz="4" w:space="0" w:color="D9D9D9" w:themeColor="background2" w:themeShade="D9"/>
            </w:tcBorders>
            <w:shd w:val="clear" w:color="auto" w:fill="FFFFFF" w:themeFill="background2"/>
          </w:tcPr>
          <w:p w14:paraId="1D8652FB" w14:textId="77777777" w:rsidR="00D2051C" w:rsidRPr="00CA6671" w:rsidRDefault="00D2051C" w:rsidP="00D2051C">
            <w:pPr>
              <w:pStyle w:val="Body"/>
              <w:spacing w:after="120" w:line="240" w:lineRule="auto"/>
              <w:rPr>
                <w:sz w:val="15"/>
                <w:szCs w:val="15"/>
              </w:rPr>
            </w:pPr>
            <w:r w:rsidRPr="00CA6671">
              <w:rPr>
                <w:sz w:val="15"/>
                <w:szCs w:val="15"/>
              </w:rPr>
              <w:t>2/3</w:t>
            </w:r>
          </w:p>
        </w:tc>
        <w:tc>
          <w:tcPr>
            <w:tcW w:w="1134" w:type="dxa"/>
            <w:tcBorders>
              <w:top w:val="single" w:sz="4" w:space="0" w:color="A6A6A6" w:themeColor="background2" w:themeShade="A6"/>
              <w:left w:val="single" w:sz="4" w:space="0" w:color="D9D9D9" w:themeColor="background2" w:themeShade="D9"/>
              <w:bottom w:val="single" w:sz="4" w:space="0" w:color="A6A6A6" w:themeColor="background2" w:themeShade="A6"/>
            </w:tcBorders>
            <w:shd w:val="clear" w:color="auto" w:fill="FFFFFF" w:themeFill="background2"/>
            <w:tcMar>
              <w:top w:w="113" w:type="dxa"/>
              <w:left w:w="113" w:type="dxa"/>
              <w:bottom w:w="113" w:type="dxa"/>
              <w:right w:w="113" w:type="dxa"/>
            </w:tcMar>
          </w:tcPr>
          <w:p w14:paraId="452A1F28" w14:textId="77777777" w:rsidR="00D2051C" w:rsidRPr="00CA6671" w:rsidRDefault="00D2051C" w:rsidP="00D2051C">
            <w:pPr>
              <w:pStyle w:val="Body"/>
              <w:spacing w:after="120" w:line="240" w:lineRule="auto"/>
              <w:rPr>
                <w:sz w:val="15"/>
                <w:szCs w:val="15"/>
              </w:rPr>
            </w:pPr>
            <w:r w:rsidRPr="00CA6671">
              <w:rPr>
                <w:sz w:val="15"/>
                <w:szCs w:val="15"/>
              </w:rPr>
              <w:t>$4,000</w:t>
            </w:r>
          </w:p>
        </w:tc>
      </w:tr>
    </w:tbl>
    <w:p w14:paraId="3C752185" w14:textId="77777777" w:rsidR="00D2051C" w:rsidRDefault="00D2051C" w:rsidP="00D2051C">
      <w:pPr>
        <w:pStyle w:val="Body"/>
      </w:pPr>
    </w:p>
    <w:p w14:paraId="3302C245" w14:textId="77777777" w:rsidR="00D2051C" w:rsidRDefault="00D2051C" w:rsidP="00D2051C">
      <w:pPr>
        <w:pStyle w:val="Body"/>
        <w:sectPr w:rsidR="00D2051C" w:rsidSect="00D2051C">
          <w:pgSz w:w="9979" w:h="14175" w:code="13"/>
          <w:pgMar w:top="1134" w:right="1332" w:bottom="993" w:left="1418" w:header="709" w:footer="709" w:gutter="0"/>
          <w:cols w:space="623"/>
          <w:docGrid w:linePitch="360"/>
        </w:sectPr>
      </w:pPr>
    </w:p>
    <w:p w14:paraId="148016A1" w14:textId="77777777" w:rsidR="00D2051C" w:rsidRPr="005C0F04" w:rsidRDefault="00D2051C" w:rsidP="00D2051C">
      <w:pPr>
        <w:pStyle w:val="H3"/>
        <w:rPr>
          <w:color w:val="C40B46" w:themeColor="accent6"/>
        </w:rPr>
      </w:pPr>
      <w:r w:rsidRPr="005C0F04">
        <w:rPr>
          <w:color w:val="C40B46" w:themeColor="accent6"/>
        </w:rPr>
        <w:t>Fraud control plan</w:t>
      </w:r>
    </w:p>
    <w:p w14:paraId="10F0DEC8" w14:textId="77777777" w:rsidR="00D2051C" w:rsidRDefault="00D2051C" w:rsidP="00D2051C">
      <w:pPr>
        <w:pStyle w:val="Body"/>
      </w:pPr>
      <w:r>
        <w:t xml:space="preserve">IHPA’s fraud control plan is recognised as a critical internal tool used to mitigate the act and consequences of authorised use of IHPA data and financial resources. It was updated in October 2018 to incorporate changes to the Commonwealth Fraud Control Framework. The plan encourages ethical behaviour through use of business processes designed to prevent deceptive activities, </w:t>
      </w:r>
      <w:r>
        <w:t>supported by monitoring controls to detect fraud and deter offending behaviour, and is reviewed annually or as required.</w:t>
      </w:r>
    </w:p>
    <w:p w14:paraId="039F4C4B" w14:textId="77777777" w:rsidR="00D2051C" w:rsidRPr="005C0F04" w:rsidRDefault="00D2051C" w:rsidP="00D2051C">
      <w:pPr>
        <w:pStyle w:val="H3"/>
        <w:spacing w:before="0"/>
        <w:rPr>
          <w:color w:val="C40B46" w:themeColor="accent6"/>
        </w:rPr>
      </w:pPr>
      <w:r>
        <w:rPr>
          <w:color w:val="C40B46" w:themeColor="accent6"/>
        </w:rPr>
        <w:br w:type="column"/>
      </w:r>
      <w:r w:rsidRPr="005C0F04">
        <w:rPr>
          <w:color w:val="C40B46" w:themeColor="accent6"/>
        </w:rPr>
        <w:lastRenderedPageBreak/>
        <w:t>Inter-agency financial</w:t>
      </w:r>
      <w:r>
        <w:rPr>
          <w:color w:val="C40B46" w:themeColor="accent6"/>
        </w:rPr>
        <w:t> </w:t>
      </w:r>
      <w:r w:rsidRPr="005C0F04">
        <w:rPr>
          <w:color w:val="C40B46" w:themeColor="accent6"/>
        </w:rPr>
        <w:t>activity</w:t>
      </w:r>
    </w:p>
    <w:p w14:paraId="113E7E1D" w14:textId="77777777" w:rsidR="00D2051C" w:rsidRDefault="00D2051C" w:rsidP="00D2051C">
      <w:pPr>
        <w:pStyle w:val="Body"/>
      </w:pPr>
      <w:r>
        <w:t>During the 2019–20 financial year, IHPA received shared services resourcing from the Department of Health.</w:t>
      </w:r>
    </w:p>
    <w:p w14:paraId="2578E019" w14:textId="77777777" w:rsidR="00D2051C" w:rsidRDefault="00D2051C" w:rsidP="00D2051C">
      <w:pPr>
        <w:pStyle w:val="Body"/>
      </w:pPr>
      <w:r>
        <w:t xml:space="preserve">The Department of Health charged IHPA </w:t>
      </w:r>
      <w:r w:rsidRPr="00D46233">
        <w:t xml:space="preserve">$374,000 </w:t>
      </w:r>
      <w:r>
        <w:t>to provide these services covering treasury, processing of financial transactions, information and communication desktop services, and parliamentary support.</w:t>
      </w:r>
    </w:p>
    <w:p w14:paraId="2939F673" w14:textId="77777777" w:rsidR="00D2051C" w:rsidRPr="00455D30" w:rsidRDefault="00D2051C" w:rsidP="00D2051C">
      <w:pPr>
        <w:pStyle w:val="H3"/>
        <w:rPr>
          <w:color w:val="C40B46" w:themeColor="accent6"/>
        </w:rPr>
      </w:pPr>
      <w:r w:rsidRPr="005C0F04">
        <w:rPr>
          <w:color w:val="C40B46" w:themeColor="accent6"/>
        </w:rPr>
        <w:t>Ecologically sustainable development and environmental performance</w:t>
      </w:r>
    </w:p>
    <w:p w14:paraId="2FB06BAD" w14:textId="77777777" w:rsidR="00D2051C" w:rsidRDefault="00D2051C" w:rsidP="00D2051C">
      <w:pPr>
        <w:pStyle w:val="Body"/>
      </w:pPr>
      <w:r>
        <w:t xml:space="preserve">IHPA does not undertake any substantive work that is covered by s. 516A of the </w:t>
      </w:r>
      <w:r w:rsidRPr="00061CCE">
        <w:rPr>
          <w:i/>
          <w:iCs/>
        </w:rPr>
        <w:t>Environment Protection Act 1999</w:t>
      </w:r>
      <w:r>
        <w:t>.</w:t>
      </w:r>
    </w:p>
    <w:p w14:paraId="6A43857E" w14:textId="3B6529D6" w:rsidR="00D2051C" w:rsidRDefault="00D2051C" w:rsidP="00D2051C">
      <w:pPr>
        <w:pStyle w:val="Body"/>
      </w:pPr>
    </w:p>
    <w:p w14:paraId="122A30B7" w14:textId="77777777" w:rsidR="00D2051C" w:rsidRDefault="00D2051C" w:rsidP="00D2051C">
      <w:pPr>
        <w:pStyle w:val="Body"/>
      </w:pPr>
    </w:p>
    <w:p w14:paraId="47040571" w14:textId="5DDD69A1" w:rsidR="00D2051C" w:rsidRDefault="00D2051C" w:rsidP="00D2051C">
      <w:pPr>
        <w:pStyle w:val="Bulletslast"/>
        <w:numPr>
          <w:ilvl w:val="0"/>
          <w:numId w:val="0"/>
        </w:numPr>
        <w:ind w:left="473" w:hanging="360"/>
        <w:sectPr w:rsidR="00D2051C" w:rsidSect="00D2051C">
          <w:type w:val="continuous"/>
          <w:pgSz w:w="9979" w:h="14175" w:code="13"/>
          <w:pgMar w:top="1134" w:right="1332" w:bottom="993" w:left="1418" w:header="709" w:footer="709" w:gutter="0"/>
          <w:cols w:num="2" w:space="623"/>
          <w:docGrid w:linePitch="360"/>
        </w:sectPr>
      </w:pPr>
    </w:p>
    <w:p w14:paraId="33C0604B" w14:textId="0654062D" w:rsidR="00681D9E" w:rsidRPr="005C0F04" w:rsidRDefault="00C74F49" w:rsidP="00D2051C">
      <w:pPr>
        <w:pStyle w:val="Heading1"/>
        <w:rPr>
          <w:color w:val="C40B46" w:themeColor="accent6"/>
        </w:rPr>
      </w:pPr>
      <w:bookmarkStart w:id="91" w:name="_Management_of_human"/>
      <w:bookmarkStart w:id="92" w:name="_Toc44350188"/>
      <w:bookmarkStart w:id="93" w:name="_Toc50378084"/>
      <w:bookmarkEnd w:id="91"/>
      <w:r w:rsidRPr="005C0F04">
        <w:rPr>
          <w:color w:val="C40B46" w:themeColor="accent6"/>
        </w:rPr>
        <w:lastRenderedPageBreak/>
        <w:t>Management of human</w:t>
      </w:r>
      <w:r w:rsidR="00AE6772">
        <w:rPr>
          <w:color w:val="C40B46" w:themeColor="accent6"/>
        </w:rPr>
        <w:t> </w:t>
      </w:r>
      <w:r w:rsidRPr="005C0F04">
        <w:rPr>
          <w:color w:val="C40B46" w:themeColor="accent6"/>
        </w:rPr>
        <w:t>resources</w:t>
      </w:r>
      <w:bookmarkEnd w:id="92"/>
      <w:bookmarkEnd w:id="93"/>
    </w:p>
    <w:p w14:paraId="37C79FEF" w14:textId="77777777" w:rsidR="00744AC3" w:rsidRDefault="00744AC3" w:rsidP="00744AC3">
      <w:pPr>
        <w:pStyle w:val="Body"/>
        <w:sectPr w:rsidR="00744AC3" w:rsidSect="00681D9E">
          <w:headerReference w:type="even" r:id="rId88"/>
          <w:footerReference w:type="even" r:id="rId89"/>
          <w:pgSz w:w="9979" w:h="14175" w:code="13"/>
          <w:pgMar w:top="1134" w:right="1332" w:bottom="993" w:left="1418" w:header="709" w:footer="709" w:gutter="0"/>
          <w:cols w:space="623"/>
          <w:docGrid w:linePitch="360"/>
        </w:sectPr>
      </w:pPr>
    </w:p>
    <w:p w14:paraId="17F6532F" w14:textId="66A2B7DC" w:rsidR="00744AC3" w:rsidRPr="00744AC3" w:rsidRDefault="00744AC3" w:rsidP="00744AC3">
      <w:pPr>
        <w:pStyle w:val="Body"/>
        <w:rPr>
          <w:b/>
          <w:bCs/>
        </w:rPr>
      </w:pPr>
      <w:r w:rsidRPr="00744AC3">
        <w:rPr>
          <w:b/>
          <w:bCs/>
        </w:rPr>
        <w:t>The Chief Executive Officer is IHPA’s only employee and is based in Sydney NSW. All</w:t>
      </w:r>
      <w:r w:rsidR="00AE6772">
        <w:rPr>
          <w:b/>
          <w:bCs/>
        </w:rPr>
        <w:t> </w:t>
      </w:r>
      <w:r w:rsidRPr="00744AC3">
        <w:rPr>
          <w:b/>
          <w:bCs/>
        </w:rPr>
        <w:t>other staff are seconded from the Department of Health</w:t>
      </w:r>
      <w:r w:rsidR="00E74E69">
        <w:rPr>
          <w:b/>
          <w:bCs/>
        </w:rPr>
        <w:t xml:space="preserve"> </w:t>
      </w:r>
      <w:r w:rsidRPr="00744AC3">
        <w:rPr>
          <w:b/>
          <w:bCs/>
        </w:rPr>
        <w:t>to IHPA and report to</w:t>
      </w:r>
      <w:r w:rsidR="00E74E69">
        <w:rPr>
          <w:b/>
          <w:bCs/>
        </w:rPr>
        <w:t> </w:t>
      </w:r>
      <w:r w:rsidRPr="00744AC3">
        <w:rPr>
          <w:b/>
          <w:bCs/>
        </w:rPr>
        <w:t>the Chief Executive Officer.</w:t>
      </w:r>
    </w:p>
    <w:p w14:paraId="5FE1EE77" w14:textId="08C59A1A" w:rsidR="00744AC3" w:rsidRDefault="00744AC3" w:rsidP="00744AC3">
      <w:pPr>
        <w:pStyle w:val="Body"/>
      </w:pPr>
      <w:r>
        <w:t>IHPA continues to place great value in creating a more productive and inclusive workplace— primarily by attracting and retaining high</w:t>
      </w:r>
      <w:r w:rsidR="00AE6772">
        <w:noBreakHyphen/>
      </w:r>
      <w:r>
        <w:t>calibre, talented and engaged staff. The</w:t>
      </w:r>
      <w:r w:rsidR="00AE6772">
        <w:t> </w:t>
      </w:r>
      <w:r>
        <w:t>agency supports a flexible work</w:t>
      </w:r>
      <w:r w:rsidR="00AE6772">
        <w:t> </w:t>
      </w:r>
      <w:r>
        <w:t>environment, and will continue to support</w:t>
      </w:r>
      <w:r w:rsidR="00AE6772">
        <w:t> </w:t>
      </w:r>
      <w:r>
        <w:t xml:space="preserve">all staff to </w:t>
      </w:r>
      <w:r w:rsidR="00710D3E">
        <w:t>o</w:t>
      </w:r>
      <w:r w:rsidR="00592DB5">
        <w:t>ptimi</w:t>
      </w:r>
      <w:r w:rsidR="00E74E69">
        <w:t>s</w:t>
      </w:r>
      <w:r w:rsidR="00592DB5">
        <w:t>e</w:t>
      </w:r>
      <w:r>
        <w:t xml:space="preserve"> balance between their work and outside factors, as well as providing technological support critical to achieving their required work performance.</w:t>
      </w:r>
    </w:p>
    <w:p w14:paraId="79863480" w14:textId="6BA147A5" w:rsidR="00744AC3" w:rsidRDefault="00744AC3" w:rsidP="00744AC3">
      <w:pPr>
        <w:pStyle w:val="Body"/>
      </w:pPr>
      <w:r>
        <w:t>IHPA is committed to the recruitment and retention of a diverse (e.g. in gender, age, cultural and linguistic background, disability, Indigenous, and LGBTI+) workforce, and</w:t>
      </w:r>
      <w:r w:rsidR="00AE6772">
        <w:t> </w:t>
      </w:r>
      <w:r>
        <w:t>actively promotes an inclusive workplace</w:t>
      </w:r>
      <w:r w:rsidR="00E66ED6">
        <w:t> </w:t>
      </w:r>
      <w:r>
        <w:t>culture.</w:t>
      </w:r>
    </w:p>
    <w:p w14:paraId="2C991A92" w14:textId="21CC6177" w:rsidR="00744AC3" w:rsidRPr="00EC759C" w:rsidRDefault="00744AC3" w:rsidP="00EC759C">
      <w:pPr>
        <w:pStyle w:val="H3"/>
        <w:spacing w:before="0"/>
        <w:rPr>
          <w:color w:val="C40B46" w:themeColor="accent6"/>
        </w:rPr>
      </w:pPr>
      <w:r>
        <w:rPr>
          <w:color w:val="F47920" w:themeColor="accent4"/>
        </w:rPr>
        <w:br w:type="column"/>
      </w:r>
      <w:bookmarkStart w:id="94" w:name="OngoingAndNonongoingEmployees"/>
      <w:r w:rsidRPr="005C0F04">
        <w:rPr>
          <w:color w:val="C40B46" w:themeColor="accent6"/>
        </w:rPr>
        <w:t>Ongoing and Non</w:t>
      </w:r>
      <w:r w:rsidR="00AE6772">
        <w:rPr>
          <w:color w:val="C40B46" w:themeColor="accent6"/>
        </w:rPr>
        <w:noBreakHyphen/>
      </w:r>
      <w:r w:rsidRPr="005C0F04">
        <w:rPr>
          <w:color w:val="C40B46" w:themeColor="accent6"/>
        </w:rPr>
        <w:t>ongoing</w:t>
      </w:r>
      <w:r w:rsidR="00AE6772">
        <w:rPr>
          <w:color w:val="C40B46" w:themeColor="accent6"/>
        </w:rPr>
        <w:t> </w:t>
      </w:r>
      <w:r w:rsidRPr="005C0F04">
        <w:rPr>
          <w:color w:val="C40B46" w:themeColor="accent6"/>
        </w:rPr>
        <w:t>Employees</w:t>
      </w:r>
      <w:bookmarkEnd w:id="94"/>
    </w:p>
    <w:p w14:paraId="089D277D" w14:textId="4AC953D0" w:rsidR="00744AC3" w:rsidRDefault="00744AC3" w:rsidP="00744AC3">
      <w:pPr>
        <w:pStyle w:val="Body"/>
      </w:pPr>
      <w:r>
        <w:t>The Chief Executive Officer is IHPA’s only employee and is based in Sydney NSW (no</w:t>
      </w:r>
      <w:r w:rsidR="00AE6772">
        <w:t> </w:t>
      </w:r>
      <w:r>
        <w:t>change from prior year).</w:t>
      </w:r>
    </w:p>
    <w:p w14:paraId="7AF1817B" w14:textId="68E5BAA4" w:rsidR="0037181B" w:rsidRDefault="00744AC3" w:rsidP="00744AC3">
      <w:pPr>
        <w:pStyle w:val="Body"/>
      </w:pPr>
      <w:r>
        <w:t>All other staff are seconded from the Department of Health and report to</w:t>
      </w:r>
      <w:r w:rsidR="00AE6772">
        <w:t> </w:t>
      </w:r>
      <w:r>
        <w:t>the</w:t>
      </w:r>
      <w:r w:rsidR="00AE6772">
        <w:t> </w:t>
      </w:r>
      <w:r>
        <w:t>Chief Executive Officer. Although the Department of Health reports on seconded IHPA staff as part of its mandatory reporting</w:t>
      </w:r>
      <w:r w:rsidR="00AE6772">
        <w:t> </w:t>
      </w:r>
      <w:r>
        <w:t>requirements, to</w:t>
      </w:r>
      <w:r w:rsidR="00310C25">
        <w:t> </w:t>
      </w:r>
      <w:r>
        <w:t>ensure transparency IHPA has provided the</w:t>
      </w:r>
      <w:r w:rsidR="00310C25">
        <w:t> </w:t>
      </w:r>
      <w:r>
        <w:t>following staffing tables.</w:t>
      </w:r>
    </w:p>
    <w:p w14:paraId="32AF3674" w14:textId="77777777" w:rsidR="00B13A8F" w:rsidRDefault="00B13A8F" w:rsidP="00744AC3">
      <w:pPr>
        <w:pStyle w:val="Body"/>
      </w:pPr>
    </w:p>
    <w:p w14:paraId="5E7410FD" w14:textId="77777777" w:rsidR="00B13A8F" w:rsidRDefault="00B13A8F" w:rsidP="00744AC3">
      <w:pPr>
        <w:pStyle w:val="Body"/>
        <w:sectPr w:rsidR="00B13A8F" w:rsidSect="00744AC3">
          <w:type w:val="continuous"/>
          <w:pgSz w:w="9979" w:h="14175" w:code="13"/>
          <w:pgMar w:top="1134" w:right="1332" w:bottom="993" w:left="1418" w:header="709" w:footer="709" w:gutter="0"/>
          <w:cols w:num="2" w:space="623"/>
          <w:docGrid w:linePitch="360"/>
        </w:sectPr>
      </w:pPr>
    </w:p>
    <w:p w14:paraId="435A6D2B" w14:textId="291CD013" w:rsidR="00090482" w:rsidRDefault="00090482" w:rsidP="00090482">
      <w:pPr>
        <w:pStyle w:val="FigureHeading"/>
      </w:pPr>
      <w:bookmarkStart w:id="95" w:name="_Toc48830276"/>
      <w:r w:rsidRPr="00233B6F">
        <w:lastRenderedPageBreak/>
        <w:t xml:space="preserve">Table </w:t>
      </w:r>
      <w:r w:rsidR="0022233A">
        <w:t>8</w:t>
      </w:r>
      <w:r w:rsidRPr="00233B6F">
        <w:t xml:space="preserve">: </w:t>
      </w:r>
      <w:r>
        <w:t>Ongoing seconded employees 2020</w:t>
      </w:r>
      <w:bookmarkEnd w:id="95"/>
    </w:p>
    <w:tbl>
      <w:tblPr>
        <w:tblW w:w="7234" w:type="dxa"/>
        <w:tblInd w:w="-8" w:type="dxa"/>
        <w:tblLayout w:type="fixed"/>
        <w:tblCellMar>
          <w:left w:w="113" w:type="dxa"/>
          <w:right w:w="113" w:type="dxa"/>
        </w:tblCellMar>
        <w:tblLook w:val="0020" w:firstRow="1" w:lastRow="0" w:firstColumn="0" w:lastColumn="0" w:noHBand="0" w:noVBand="0"/>
      </w:tblPr>
      <w:tblGrid>
        <w:gridCol w:w="1284"/>
        <w:gridCol w:w="850"/>
        <w:gridCol w:w="850"/>
        <w:gridCol w:w="850"/>
        <w:gridCol w:w="850"/>
        <w:gridCol w:w="850"/>
        <w:gridCol w:w="850"/>
        <w:gridCol w:w="850"/>
      </w:tblGrid>
      <w:tr w:rsidR="00090482" w:rsidRPr="00906A47" w14:paraId="13F3CAD4" w14:textId="77777777" w:rsidTr="00F36F0E">
        <w:trPr>
          <w:trHeight w:val="20"/>
          <w:tblHeader/>
        </w:trPr>
        <w:tc>
          <w:tcPr>
            <w:tcW w:w="1284" w:type="dxa"/>
            <w:shd w:val="clear" w:color="auto" w:fill="C40B46" w:themeFill="accent6"/>
            <w:tcMar>
              <w:top w:w="113" w:type="dxa"/>
              <w:left w:w="113" w:type="dxa"/>
              <w:bottom w:w="113" w:type="dxa"/>
              <w:right w:w="113" w:type="dxa"/>
            </w:tcMar>
          </w:tcPr>
          <w:p w14:paraId="7F1AD7DE" w14:textId="77777777" w:rsidR="00090482" w:rsidRPr="00906A47" w:rsidRDefault="00090482" w:rsidP="00111A04">
            <w:pPr>
              <w:pStyle w:val="Body"/>
              <w:spacing w:after="0"/>
              <w:rPr>
                <w:rFonts w:ascii="Futura PT Book" w:hAnsi="Futura PT Book" w:cs="Futura PT Book"/>
                <w:b/>
                <w:bCs/>
                <w:color w:val="FFFFFF" w:themeColor="background2"/>
                <w:lang w:val="en-US"/>
              </w:rPr>
            </w:pPr>
          </w:p>
        </w:tc>
        <w:tc>
          <w:tcPr>
            <w:tcW w:w="2550" w:type="dxa"/>
            <w:gridSpan w:val="3"/>
            <w:tcBorders>
              <w:right w:val="single" w:sz="8" w:space="0" w:color="FFFFFF" w:themeColor="background2"/>
            </w:tcBorders>
            <w:shd w:val="clear" w:color="auto" w:fill="C40B46" w:themeFill="accent6"/>
            <w:vAlign w:val="center"/>
          </w:tcPr>
          <w:p w14:paraId="43D86A44" w14:textId="77777777" w:rsidR="00090482" w:rsidRPr="00906A47" w:rsidRDefault="00090482" w:rsidP="00F36F0E">
            <w:pPr>
              <w:pStyle w:val="Body"/>
              <w:spacing w:after="0"/>
              <w:jc w:val="center"/>
              <w:rPr>
                <w:rFonts w:ascii="Futura PT Book" w:hAnsi="Futura PT Book" w:cs="Futura PT Book"/>
                <w:b/>
                <w:bCs/>
                <w:color w:val="FFFFFF" w:themeColor="background2"/>
                <w:lang w:val="en-US"/>
              </w:rPr>
            </w:pPr>
            <w:r>
              <w:rPr>
                <w:b/>
                <w:bCs/>
                <w:color w:val="FFFFFF" w:themeColor="background2"/>
                <w:lang w:val="en-US"/>
              </w:rPr>
              <w:t>Male</w:t>
            </w:r>
          </w:p>
        </w:tc>
        <w:tc>
          <w:tcPr>
            <w:tcW w:w="2550" w:type="dxa"/>
            <w:gridSpan w:val="3"/>
            <w:tcBorders>
              <w:left w:val="single" w:sz="8" w:space="0" w:color="FFFFFF" w:themeColor="background2"/>
              <w:right w:val="single" w:sz="8" w:space="0" w:color="FFFFFF" w:themeColor="background2"/>
            </w:tcBorders>
            <w:shd w:val="clear" w:color="auto" w:fill="C40B46" w:themeFill="accent6"/>
            <w:vAlign w:val="center"/>
          </w:tcPr>
          <w:p w14:paraId="60718E0A" w14:textId="77777777" w:rsidR="00090482" w:rsidRDefault="00090482" w:rsidP="00F36F0E">
            <w:pPr>
              <w:pStyle w:val="Body"/>
              <w:spacing w:after="0"/>
              <w:jc w:val="center"/>
              <w:rPr>
                <w:b/>
                <w:bCs/>
                <w:color w:val="FFFFFF" w:themeColor="background2"/>
                <w:lang w:val="en-US"/>
              </w:rPr>
            </w:pPr>
            <w:r>
              <w:rPr>
                <w:b/>
                <w:bCs/>
                <w:color w:val="FFFFFF" w:themeColor="background2"/>
                <w:lang w:val="en-US"/>
              </w:rPr>
              <w:t>Female</w:t>
            </w:r>
          </w:p>
        </w:tc>
        <w:tc>
          <w:tcPr>
            <w:tcW w:w="850" w:type="dxa"/>
            <w:tcBorders>
              <w:left w:val="single" w:sz="8" w:space="0" w:color="FFFFFF" w:themeColor="background2"/>
            </w:tcBorders>
            <w:shd w:val="clear" w:color="auto" w:fill="C40B46" w:themeFill="accent6"/>
          </w:tcPr>
          <w:p w14:paraId="7F62FF94" w14:textId="77777777" w:rsidR="00090482" w:rsidRDefault="00090482" w:rsidP="00111A04">
            <w:pPr>
              <w:pStyle w:val="Body"/>
              <w:spacing w:after="0"/>
              <w:rPr>
                <w:b/>
                <w:bCs/>
                <w:color w:val="FFFFFF" w:themeColor="background2"/>
                <w:lang w:val="en-US"/>
              </w:rPr>
            </w:pPr>
          </w:p>
        </w:tc>
      </w:tr>
      <w:tr w:rsidR="00090482" w:rsidRPr="00906A47" w14:paraId="07E31EDD" w14:textId="77777777" w:rsidTr="00F36F0E">
        <w:trPr>
          <w:trHeight w:val="20"/>
        </w:trPr>
        <w:tc>
          <w:tcPr>
            <w:tcW w:w="1284" w:type="dxa"/>
            <w:tcBorders>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0AB8D673" w14:textId="77777777" w:rsidR="00090482" w:rsidRPr="005666A7" w:rsidRDefault="00090482" w:rsidP="00111A04">
            <w:pPr>
              <w:pStyle w:val="Body"/>
              <w:spacing w:after="0"/>
              <w:rPr>
                <w:rFonts w:ascii="Futura PT Book" w:hAnsi="Futura PT Book" w:cs="Futura PT Book"/>
                <w:b/>
                <w:bCs/>
                <w:color w:val="000000"/>
                <w:sz w:val="16"/>
                <w:szCs w:val="16"/>
                <w:lang w:val="en-US"/>
              </w:rPr>
            </w:pPr>
            <w:r>
              <w:rPr>
                <w:b/>
                <w:bCs/>
                <w:sz w:val="16"/>
                <w:szCs w:val="16"/>
              </w:rPr>
              <w:t>Classification</w:t>
            </w:r>
          </w:p>
        </w:tc>
        <w:tc>
          <w:tcPr>
            <w:tcW w:w="850" w:type="dxa"/>
            <w:tcBorders>
              <w:bottom w:val="single" w:sz="4" w:space="0" w:color="A6A6A6" w:themeColor="background2" w:themeShade="A6"/>
            </w:tcBorders>
            <w:shd w:val="clear" w:color="auto" w:fill="FBC5D6" w:themeFill="accent6" w:themeFillTint="33"/>
          </w:tcPr>
          <w:p w14:paraId="7007AC6D" w14:textId="77777777" w:rsidR="00090482" w:rsidRPr="005666A7" w:rsidRDefault="00090482" w:rsidP="00F36F0E">
            <w:pPr>
              <w:pStyle w:val="Body"/>
              <w:spacing w:after="0"/>
              <w:jc w:val="right"/>
              <w:rPr>
                <w:b/>
                <w:bCs/>
                <w:sz w:val="16"/>
                <w:szCs w:val="16"/>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716EC9B4" w14:textId="77777777" w:rsidR="00090482" w:rsidRPr="005666A7" w:rsidRDefault="00090482"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423D0530" w14:textId="77777777" w:rsidR="00090482" w:rsidRPr="005666A7" w:rsidRDefault="00090482" w:rsidP="00F36F0E">
            <w:pPr>
              <w:pStyle w:val="Body"/>
              <w:spacing w:after="0"/>
              <w:jc w:val="right"/>
              <w:rPr>
                <w:rFonts w:ascii="Futura PT Book" w:hAnsi="Futura PT Book" w:cs="Futura PT Book"/>
                <w:b/>
                <w:bCs/>
                <w:color w:val="000000"/>
                <w:sz w:val="16"/>
                <w:szCs w:val="16"/>
                <w:lang w:val="en-US"/>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39FCD396" w14:textId="77777777" w:rsidR="00090482" w:rsidRPr="005666A7" w:rsidRDefault="00090482" w:rsidP="00F36F0E">
            <w:pPr>
              <w:pStyle w:val="Body"/>
              <w:spacing w:after="0"/>
              <w:jc w:val="right"/>
              <w:rPr>
                <w:rFonts w:ascii="Futura PT Book" w:hAnsi="Futura PT Book" w:cs="Futura PT Book"/>
                <w:b/>
                <w:bCs/>
                <w:color w:val="000000"/>
                <w:sz w:val="16"/>
                <w:szCs w:val="16"/>
                <w:lang w:val="en-US"/>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334DF078" w14:textId="77777777" w:rsidR="00090482" w:rsidRPr="005666A7" w:rsidRDefault="00090482"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Pr>
          <w:p w14:paraId="500EF04D" w14:textId="77777777" w:rsidR="00090482" w:rsidRPr="005666A7" w:rsidRDefault="00090482" w:rsidP="00F36F0E">
            <w:pPr>
              <w:pStyle w:val="Body"/>
              <w:spacing w:after="0"/>
              <w:jc w:val="right"/>
              <w:rPr>
                <w:b/>
                <w:bCs/>
                <w:sz w:val="16"/>
                <w:szCs w:val="16"/>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6825A977" w14:textId="77777777" w:rsidR="00090482" w:rsidRPr="005666A7" w:rsidRDefault="00090482" w:rsidP="00F36F0E">
            <w:pPr>
              <w:pStyle w:val="Body"/>
              <w:spacing w:after="0"/>
              <w:jc w:val="right"/>
              <w:rPr>
                <w:b/>
                <w:bCs/>
                <w:sz w:val="16"/>
                <w:szCs w:val="16"/>
              </w:rPr>
            </w:pPr>
            <w:r>
              <w:rPr>
                <w:b/>
                <w:bCs/>
                <w:sz w:val="16"/>
                <w:szCs w:val="16"/>
              </w:rPr>
              <w:t>Total</w:t>
            </w:r>
          </w:p>
        </w:tc>
      </w:tr>
      <w:tr w:rsidR="00090482" w:rsidRPr="00906A47" w14:paraId="73D2D5EC"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F23B597" w14:textId="77777777" w:rsidR="00090482" w:rsidRPr="00380ECA" w:rsidRDefault="00090482" w:rsidP="00111A04">
            <w:pPr>
              <w:pStyle w:val="Body"/>
              <w:spacing w:after="0"/>
              <w:rPr>
                <w:rFonts w:ascii="Futura PT Book" w:hAnsi="Futura PT Book" w:cs="Futura PT Book"/>
                <w:color w:val="000000"/>
                <w:sz w:val="16"/>
                <w:szCs w:val="16"/>
                <w:lang w:val="en-US"/>
              </w:rPr>
            </w:pPr>
            <w:r>
              <w:rPr>
                <w:sz w:val="16"/>
                <w:szCs w:val="16"/>
              </w:rPr>
              <w:t>SES</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7FA2944"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30DCD27"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63841487"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5D146432"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254B43E"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3693A5CF" w14:textId="77777777" w:rsidR="00090482" w:rsidRPr="00E60847" w:rsidRDefault="00090482" w:rsidP="00F36F0E">
            <w:pPr>
              <w:pStyle w:val="Body"/>
              <w:spacing w:after="0"/>
              <w:jc w:val="right"/>
              <w:rPr>
                <w:sz w:val="16"/>
                <w:szCs w:val="16"/>
              </w:rPr>
            </w:pPr>
            <w:r w:rsidRPr="00E60847">
              <w:rPr>
                <w:sz w:val="16"/>
                <w:szCs w:val="16"/>
              </w:rPr>
              <w:t>2</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594CD6A1" w14:textId="77777777" w:rsidR="00090482" w:rsidRPr="00E60847" w:rsidRDefault="00090482" w:rsidP="00F36F0E">
            <w:pPr>
              <w:pStyle w:val="Body"/>
              <w:spacing w:after="0"/>
              <w:jc w:val="right"/>
              <w:rPr>
                <w:sz w:val="16"/>
                <w:szCs w:val="16"/>
              </w:rPr>
            </w:pPr>
            <w:r w:rsidRPr="00E60847">
              <w:rPr>
                <w:sz w:val="16"/>
                <w:szCs w:val="16"/>
              </w:rPr>
              <w:t>2</w:t>
            </w:r>
          </w:p>
        </w:tc>
      </w:tr>
      <w:tr w:rsidR="00090482" w:rsidRPr="00906A47" w14:paraId="5259228E"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A65AD1A" w14:textId="77777777" w:rsidR="00090482" w:rsidRPr="00380ECA" w:rsidRDefault="00090482" w:rsidP="00111A04">
            <w:pPr>
              <w:pStyle w:val="Body"/>
              <w:spacing w:after="0"/>
              <w:rPr>
                <w:rFonts w:ascii="Futura PT Book" w:hAnsi="Futura PT Book" w:cs="Futura PT Book"/>
                <w:color w:val="000000"/>
                <w:sz w:val="16"/>
                <w:szCs w:val="16"/>
                <w:lang w:val="en-US"/>
              </w:rPr>
            </w:pPr>
            <w:r>
              <w:rPr>
                <w:sz w:val="16"/>
                <w:szCs w:val="16"/>
              </w:rPr>
              <w:t>EL2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9AEADB7" w14:textId="0F658F5F" w:rsidR="00090482" w:rsidRPr="00E60847" w:rsidRDefault="00090482" w:rsidP="00F36F0E">
            <w:pPr>
              <w:pStyle w:val="Body"/>
              <w:spacing w:after="0"/>
              <w:jc w:val="right"/>
              <w:rPr>
                <w:sz w:val="16"/>
                <w:szCs w:val="16"/>
              </w:rPr>
            </w:pPr>
            <w:r>
              <w:rPr>
                <w:sz w:val="16"/>
                <w:szCs w:val="16"/>
              </w:rPr>
              <w:t>7</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D4B1548"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347C2FCB" w14:textId="55A4B429" w:rsidR="00090482" w:rsidRPr="00E60847" w:rsidRDefault="00090482" w:rsidP="00F36F0E">
            <w:pPr>
              <w:pStyle w:val="Body"/>
              <w:spacing w:after="0"/>
              <w:jc w:val="right"/>
              <w:rPr>
                <w:rFonts w:ascii="Futura PT Book" w:hAnsi="Futura PT Book" w:cs="Futura PT Book"/>
                <w:color w:val="000000"/>
                <w:sz w:val="16"/>
                <w:szCs w:val="16"/>
                <w:lang w:val="en-US"/>
              </w:rPr>
            </w:pPr>
            <w:r>
              <w:rPr>
                <w:sz w:val="16"/>
                <w:szCs w:val="16"/>
              </w:rPr>
              <w:t>7</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1B4240E9"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7C0ED08" w14:textId="71EABFDE" w:rsidR="00090482" w:rsidRPr="00E60847" w:rsidRDefault="00090482" w:rsidP="00F36F0E">
            <w:pPr>
              <w:pStyle w:val="Body"/>
              <w:spacing w:after="0"/>
              <w:jc w:val="right"/>
              <w:rPr>
                <w:sz w:val="16"/>
                <w:szCs w:val="16"/>
              </w:rPr>
            </w:pPr>
            <w:r>
              <w:rPr>
                <w:sz w:val="16"/>
                <w:szCs w:val="16"/>
              </w:rPr>
              <w:t>2</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1F522333" w14:textId="455685A2" w:rsidR="00090482" w:rsidRPr="00E60847" w:rsidRDefault="00090482" w:rsidP="00F36F0E">
            <w:pPr>
              <w:pStyle w:val="Body"/>
              <w:spacing w:after="0"/>
              <w:jc w:val="right"/>
              <w:rPr>
                <w:sz w:val="16"/>
                <w:szCs w:val="16"/>
              </w:rPr>
            </w:pPr>
            <w:r>
              <w:rPr>
                <w:sz w:val="16"/>
                <w:szCs w:val="16"/>
              </w:rPr>
              <w:t>7</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2D1D2675" w14:textId="0CF7DE41" w:rsidR="00090482" w:rsidRPr="00E60847" w:rsidRDefault="00090482" w:rsidP="00F36F0E">
            <w:pPr>
              <w:pStyle w:val="Body"/>
              <w:spacing w:after="0"/>
              <w:jc w:val="right"/>
              <w:rPr>
                <w:sz w:val="16"/>
                <w:szCs w:val="16"/>
              </w:rPr>
            </w:pPr>
            <w:r w:rsidRPr="00E60847">
              <w:rPr>
                <w:sz w:val="16"/>
                <w:szCs w:val="16"/>
              </w:rPr>
              <w:t>1</w:t>
            </w:r>
            <w:r>
              <w:rPr>
                <w:sz w:val="16"/>
                <w:szCs w:val="16"/>
              </w:rPr>
              <w:t>4</w:t>
            </w:r>
          </w:p>
        </w:tc>
      </w:tr>
      <w:tr w:rsidR="00090482" w:rsidRPr="00906A47" w14:paraId="06CA9865"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08F8970" w14:textId="77777777" w:rsidR="00090482" w:rsidRPr="00380ECA" w:rsidRDefault="00090482" w:rsidP="00111A04">
            <w:pPr>
              <w:pStyle w:val="Body"/>
              <w:spacing w:after="0"/>
              <w:rPr>
                <w:rFonts w:ascii="Futura PT Book" w:hAnsi="Futura PT Book" w:cs="Futura PT Book"/>
                <w:color w:val="000000"/>
                <w:sz w:val="16"/>
                <w:szCs w:val="16"/>
                <w:lang w:val="en-US"/>
              </w:rPr>
            </w:pPr>
            <w:r>
              <w:rPr>
                <w:sz w:val="16"/>
                <w:szCs w:val="16"/>
              </w:rPr>
              <w:t>EL1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D985E16" w14:textId="77777777" w:rsidR="00090482" w:rsidRPr="00E60847" w:rsidRDefault="00090482" w:rsidP="00F36F0E">
            <w:pPr>
              <w:pStyle w:val="Body"/>
              <w:spacing w:after="0"/>
              <w:jc w:val="right"/>
              <w:rPr>
                <w:sz w:val="16"/>
                <w:szCs w:val="16"/>
              </w:rPr>
            </w:pPr>
            <w:r w:rsidRPr="00E60847">
              <w:rPr>
                <w:sz w:val="16"/>
                <w:szCs w:val="16"/>
              </w:rPr>
              <w:t>8</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95E4803"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70FD62A5"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8</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3BE3FB0"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8</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49E2491" w14:textId="191F76B0" w:rsidR="00090482" w:rsidRPr="00E60847" w:rsidRDefault="00090482" w:rsidP="00F36F0E">
            <w:pPr>
              <w:pStyle w:val="Body"/>
              <w:spacing w:after="0"/>
              <w:jc w:val="right"/>
              <w:rPr>
                <w:sz w:val="16"/>
                <w:szCs w:val="16"/>
              </w:rPr>
            </w:pPr>
            <w:r>
              <w:rPr>
                <w:sz w:val="16"/>
                <w:szCs w:val="16"/>
              </w:rPr>
              <w:t>2</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71EDC283" w14:textId="07217DDD" w:rsidR="00090482" w:rsidRPr="00E60847" w:rsidRDefault="00090482" w:rsidP="00F36F0E">
            <w:pPr>
              <w:pStyle w:val="Body"/>
              <w:spacing w:after="0"/>
              <w:jc w:val="right"/>
              <w:rPr>
                <w:sz w:val="16"/>
                <w:szCs w:val="16"/>
              </w:rPr>
            </w:pPr>
            <w:r w:rsidRPr="00E60847">
              <w:rPr>
                <w:sz w:val="16"/>
                <w:szCs w:val="16"/>
              </w:rPr>
              <w:t>1</w:t>
            </w: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494C14E6" w14:textId="0ED9BF12" w:rsidR="00090482" w:rsidRPr="00E60847" w:rsidRDefault="00090482" w:rsidP="00F36F0E">
            <w:pPr>
              <w:pStyle w:val="Body"/>
              <w:spacing w:after="0"/>
              <w:jc w:val="right"/>
              <w:rPr>
                <w:sz w:val="16"/>
                <w:szCs w:val="16"/>
              </w:rPr>
            </w:pPr>
            <w:r>
              <w:rPr>
                <w:sz w:val="16"/>
                <w:szCs w:val="16"/>
              </w:rPr>
              <w:t>18</w:t>
            </w:r>
          </w:p>
        </w:tc>
      </w:tr>
      <w:tr w:rsidR="00090482" w:rsidRPr="00906A47" w14:paraId="44729BE6"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5451031" w14:textId="77777777" w:rsidR="00090482" w:rsidRPr="00380ECA" w:rsidRDefault="00090482" w:rsidP="00111A04">
            <w:pPr>
              <w:pStyle w:val="Body"/>
              <w:spacing w:after="0"/>
              <w:rPr>
                <w:rFonts w:ascii="Futura PT Book" w:hAnsi="Futura PT Book" w:cs="Futura PT Book"/>
                <w:color w:val="000000"/>
                <w:sz w:val="16"/>
                <w:szCs w:val="16"/>
                <w:lang w:val="en-US"/>
              </w:rPr>
            </w:pPr>
            <w:r>
              <w:rPr>
                <w:sz w:val="16"/>
                <w:szCs w:val="16"/>
              </w:rPr>
              <w:t>APS Level 6</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58AF5CD" w14:textId="77777777" w:rsidR="00090482" w:rsidRPr="00E60847" w:rsidRDefault="00090482" w:rsidP="00F36F0E">
            <w:pPr>
              <w:pStyle w:val="Body"/>
              <w:spacing w:after="0"/>
              <w:jc w:val="right"/>
              <w:rPr>
                <w:sz w:val="16"/>
                <w:szCs w:val="16"/>
              </w:rPr>
            </w:pPr>
            <w:r w:rsidRPr="00E60847">
              <w:rPr>
                <w:sz w:val="16"/>
                <w:szCs w:val="16"/>
              </w:rPr>
              <w:t>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1F0496B0"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0E158FEB" w14:textId="77777777" w:rsidR="00090482" w:rsidRPr="00E60847" w:rsidRDefault="00090482" w:rsidP="00F36F0E">
            <w:pPr>
              <w:pStyle w:val="Body"/>
              <w:spacing w:after="0"/>
              <w:jc w:val="right"/>
              <w:rPr>
                <w:rFonts w:ascii="Futura PT Book" w:hAnsi="Futura PT Book" w:cs="Futura PT Book"/>
                <w:color w:val="000000"/>
                <w:sz w:val="16"/>
                <w:szCs w:val="16"/>
                <w:lang w:val="en-US"/>
              </w:rPr>
            </w:pPr>
            <w:r w:rsidRPr="00E60847">
              <w:rPr>
                <w:sz w:val="16"/>
                <w:szCs w:val="16"/>
              </w:rPr>
              <w:t>5</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6C3EE3C4" w14:textId="0C58D677" w:rsidR="00090482" w:rsidRPr="00E60847" w:rsidRDefault="00090482" w:rsidP="00F36F0E">
            <w:pPr>
              <w:pStyle w:val="Body"/>
              <w:spacing w:after="0"/>
              <w:jc w:val="right"/>
              <w:rPr>
                <w:rFonts w:ascii="Futura PT Book" w:hAnsi="Futura PT Book" w:cs="Futura PT Book"/>
                <w:color w:val="000000"/>
                <w:sz w:val="16"/>
                <w:szCs w:val="16"/>
                <w:lang w:val="en-US"/>
              </w:rPr>
            </w:pPr>
            <w:r>
              <w:rPr>
                <w:sz w:val="16"/>
                <w:szCs w:val="16"/>
              </w:rPr>
              <w:t>7</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3B4B54A" w14:textId="77777777" w:rsidR="00090482" w:rsidRPr="00E60847" w:rsidRDefault="00090482" w:rsidP="00F36F0E">
            <w:pPr>
              <w:pStyle w:val="Body"/>
              <w:spacing w:after="0"/>
              <w:jc w:val="right"/>
              <w:rPr>
                <w:sz w:val="16"/>
                <w:szCs w:val="16"/>
              </w:rPr>
            </w:pPr>
            <w:r w:rsidRPr="00E60847">
              <w:rPr>
                <w:sz w:val="16"/>
                <w:szCs w:val="16"/>
              </w:rPr>
              <w:t>2</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69B9EB2" w14:textId="5DDEF735" w:rsidR="00090482" w:rsidRPr="00E60847" w:rsidRDefault="00090482" w:rsidP="00F36F0E">
            <w:pPr>
              <w:pStyle w:val="Body"/>
              <w:spacing w:after="0"/>
              <w:jc w:val="right"/>
              <w:rPr>
                <w:sz w:val="16"/>
                <w:szCs w:val="16"/>
              </w:rPr>
            </w:pPr>
            <w:r>
              <w:rPr>
                <w:sz w:val="16"/>
                <w:szCs w:val="16"/>
              </w:rPr>
              <w:t>9</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1B23B8BB" w14:textId="284A0785" w:rsidR="00090482" w:rsidRPr="00E60847" w:rsidRDefault="00090482" w:rsidP="00F36F0E">
            <w:pPr>
              <w:pStyle w:val="Body"/>
              <w:spacing w:after="0"/>
              <w:jc w:val="right"/>
              <w:rPr>
                <w:sz w:val="16"/>
                <w:szCs w:val="16"/>
              </w:rPr>
            </w:pPr>
            <w:r w:rsidRPr="00E60847">
              <w:rPr>
                <w:sz w:val="16"/>
                <w:szCs w:val="16"/>
              </w:rPr>
              <w:t>1</w:t>
            </w:r>
            <w:r>
              <w:rPr>
                <w:sz w:val="16"/>
                <w:szCs w:val="16"/>
              </w:rPr>
              <w:t>4</w:t>
            </w:r>
          </w:p>
        </w:tc>
      </w:tr>
      <w:tr w:rsidR="00090482" w:rsidRPr="00906A47" w14:paraId="6071E616"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BD3A8B5" w14:textId="77777777" w:rsidR="00090482" w:rsidRPr="00380ECA" w:rsidRDefault="00090482" w:rsidP="00111A04">
            <w:pPr>
              <w:pStyle w:val="Body"/>
              <w:spacing w:after="0"/>
              <w:rPr>
                <w:sz w:val="16"/>
                <w:szCs w:val="16"/>
              </w:rPr>
            </w:pPr>
            <w:r>
              <w:rPr>
                <w:sz w:val="16"/>
                <w:szCs w:val="16"/>
              </w:rPr>
              <w:t>APS Level 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1FC2603"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14AF71D"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73F6EBF3"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62C6C701" w14:textId="77777777" w:rsidR="00090482" w:rsidRPr="00E60847" w:rsidRDefault="00090482"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ECD69C5" w14:textId="77777777" w:rsidR="00090482" w:rsidRPr="00E60847" w:rsidRDefault="00090482"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295FA6CD" w14:textId="77777777" w:rsidR="00090482" w:rsidRPr="00E60847" w:rsidRDefault="00090482"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558EC03E" w14:textId="77777777" w:rsidR="00090482" w:rsidRPr="00E60847" w:rsidRDefault="00090482" w:rsidP="00F36F0E">
            <w:pPr>
              <w:pStyle w:val="Body"/>
              <w:spacing w:after="0"/>
              <w:jc w:val="right"/>
              <w:rPr>
                <w:sz w:val="16"/>
                <w:szCs w:val="16"/>
              </w:rPr>
            </w:pPr>
            <w:r w:rsidRPr="00E60847">
              <w:rPr>
                <w:sz w:val="16"/>
                <w:szCs w:val="16"/>
              </w:rPr>
              <w:t>1</w:t>
            </w:r>
          </w:p>
        </w:tc>
      </w:tr>
      <w:tr w:rsidR="00090482" w:rsidRPr="00906A47" w14:paraId="68D34CE4" w14:textId="77777777" w:rsidTr="00F36F0E">
        <w:trPr>
          <w:trHeight w:val="20"/>
        </w:trPr>
        <w:tc>
          <w:tcPr>
            <w:tcW w:w="1284" w:type="dxa"/>
            <w:tcBorders>
              <w:top w:val="single" w:sz="4" w:space="0" w:color="A6A6A6" w:themeColor="background2" w:themeShade="A6"/>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0C94B27C" w14:textId="77777777" w:rsidR="00090482" w:rsidRPr="00E60847" w:rsidRDefault="00090482" w:rsidP="00111A04">
            <w:pPr>
              <w:pStyle w:val="Body"/>
              <w:spacing w:after="0"/>
              <w:rPr>
                <w:b/>
                <w:bCs/>
                <w:sz w:val="16"/>
                <w:szCs w:val="16"/>
              </w:rPr>
            </w:pPr>
            <w:r w:rsidRPr="00E60847">
              <w:rPr>
                <w:b/>
                <w:bCs/>
                <w:sz w:val="16"/>
                <w:szCs w:val="16"/>
              </w:rPr>
              <w:t>Total</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3F900661" w14:textId="3C61DFEE" w:rsidR="00090482" w:rsidRPr="00E60847" w:rsidRDefault="00090482" w:rsidP="00F36F0E">
            <w:pPr>
              <w:pStyle w:val="Body"/>
              <w:spacing w:after="0"/>
              <w:jc w:val="right"/>
              <w:rPr>
                <w:b/>
                <w:bCs/>
                <w:sz w:val="16"/>
                <w:szCs w:val="16"/>
              </w:rPr>
            </w:pPr>
            <w:r>
              <w:rPr>
                <w:b/>
                <w:bCs/>
                <w:sz w:val="16"/>
                <w:szCs w:val="16"/>
              </w:rPr>
              <w:t>20</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13518E15" w14:textId="77777777" w:rsidR="00090482" w:rsidRPr="00E60847" w:rsidRDefault="00090482" w:rsidP="00F36F0E">
            <w:pPr>
              <w:pStyle w:val="Body"/>
              <w:spacing w:after="0"/>
              <w:jc w:val="right"/>
              <w:rPr>
                <w:b/>
                <w:bCs/>
                <w:sz w:val="16"/>
                <w:szCs w:val="16"/>
              </w:rPr>
            </w:pPr>
            <w:r w:rsidRPr="00E60847">
              <w:rPr>
                <w:b/>
                <w:bCs/>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3AC4831C" w14:textId="7C835352" w:rsidR="00090482" w:rsidRPr="00E60847" w:rsidRDefault="00090482" w:rsidP="00F36F0E">
            <w:pPr>
              <w:pStyle w:val="Body"/>
              <w:spacing w:after="0"/>
              <w:jc w:val="right"/>
              <w:rPr>
                <w:b/>
                <w:bCs/>
                <w:sz w:val="16"/>
                <w:szCs w:val="16"/>
              </w:rPr>
            </w:pPr>
            <w:r>
              <w:rPr>
                <w:b/>
                <w:bCs/>
                <w:sz w:val="16"/>
                <w:szCs w:val="16"/>
              </w:rPr>
              <w:t>20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1FE6ADF4" w14:textId="4EC28B2E" w:rsidR="00090482" w:rsidRPr="00E60847" w:rsidRDefault="00090482" w:rsidP="00F36F0E">
            <w:pPr>
              <w:pStyle w:val="Body"/>
              <w:spacing w:after="0"/>
              <w:jc w:val="right"/>
              <w:rPr>
                <w:b/>
                <w:bCs/>
                <w:sz w:val="16"/>
                <w:szCs w:val="16"/>
              </w:rPr>
            </w:pPr>
            <w:r w:rsidRPr="00E60847">
              <w:rPr>
                <w:b/>
                <w:bCs/>
                <w:sz w:val="16"/>
                <w:szCs w:val="16"/>
              </w:rPr>
              <w:t>2</w:t>
            </w:r>
            <w:r>
              <w:rPr>
                <w:b/>
                <w:bCs/>
                <w:sz w:val="16"/>
                <w:szCs w:val="16"/>
              </w:rPr>
              <w:t>3</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6FAC28E1" w14:textId="77777777" w:rsidR="00090482" w:rsidRPr="00E60847" w:rsidRDefault="00090482" w:rsidP="00F36F0E">
            <w:pPr>
              <w:pStyle w:val="Body"/>
              <w:spacing w:after="0"/>
              <w:jc w:val="right"/>
              <w:rPr>
                <w:b/>
                <w:bCs/>
                <w:sz w:val="16"/>
                <w:szCs w:val="16"/>
              </w:rPr>
            </w:pPr>
            <w:r w:rsidRPr="00E60847">
              <w:rPr>
                <w:b/>
                <w:bCs/>
                <w:sz w:val="16"/>
                <w:szCs w:val="16"/>
              </w:rPr>
              <w:t>6</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Pr>
          <w:p w14:paraId="3AA92544" w14:textId="248691B9" w:rsidR="00090482" w:rsidRPr="00E60847" w:rsidRDefault="00090482" w:rsidP="00F36F0E">
            <w:pPr>
              <w:pStyle w:val="Body"/>
              <w:spacing w:after="0"/>
              <w:jc w:val="right"/>
              <w:rPr>
                <w:b/>
                <w:bCs/>
                <w:sz w:val="16"/>
                <w:szCs w:val="16"/>
              </w:rPr>
            </w:pPr>
            <w:r w:rsidRPr="00E60847">
              <w:rPr>
                <w:b/>
                <w:bCs/>
                <w:sz w:val="16"/>
                <w:szCs w:val="16"/>
              </w:rPr>
              <w:t>2</w:t>
            </w:r>
            <w:r>
              <w:rPr>
                <w:b/>
                <w:bCs/>
                <w:sz w:val="16"/>
                <w:szCs w:val="16"/>
              </w:rPr>
              <w:t>9</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06078057" w14:textId="51B1A859" w:rsidR="00090482" w:rsidRPr="00E60847" w:rsidRDefault="00090482" w:rsidP="00F36F0E">
            <w:pPr>
              <w:pStyle w:val="Body"/>
              <w:spacing w:after="0"/>
              <w:jc w:val="right"/>
              <w:rPr>
                <w:b/>
                <w:bCs/>
                <w:sz w:val="16"/>
                <w:szCs w:val="16"/>
              </w:rPr>
            </w:pPr>
            <w:r w:rsidRPr="00E60847">
              <w:rPr>
                <w:b/>
                <w:bCs/>
                <w:sz w:val="16"/>
                <w:szCs w:val="16"/>
              </w:rPr>
              <w:t>4</w:t>
            </w:r>
            <w:r>
              <w:rPr>
                <w:b/>
                <w:bCs/>
                <w:sz w:val="16"/>
                <w:szCs w:val="16"/>
              </w:rPr>
              <w:t>9</w:t>
            </w:r>
          </w:p>
        </w:tc>
      </w:tr>
    </w:tbl>
    <w:p w14:paraId="7A52BB34" w14:textId="77777777" w:rsidR="00A440F3" w:rsidRDefault="00A440F3" w:rsidP="00A440F3">
      <w:pPr>
        <w:pStyle w:val="Body"/>
      </w:pPr>
    </w:p>
    <w:p w14:paraId="75EE1A1A" w14:textId="7E92A60F" w:rsidR="00744AC3" w:rsidRDefault="005666A7" w:rsidP="005666A7">
      <w:pPr>
        <w:pStyle w:val="FigureHeading"/>
      </w:pPr>
      <w:bookmarkStart w:id="96" w:name="_Toc48830277"/>
      <w:r w:rsidRPr="00233B6F">
        <w:t xml:space="preserve">Table </w:t>
      </w:r>
      <w:r w:rsidR="0022233A">
        <w:t>9</w:t>
      </w:r>
      <w:r w:rsidRPr="00233B6F">
        <w:t xml:space="preserve">: </w:t>
      </w:r>
      <w:r>
        <w:t>Ongoing seconded employees 2019</w:t>
      </w:r>
      <w:bookmarkEnd w:id="96"/>
    </w:p>
    <w:tbl>
      <w:tblPr>
        <w:tblW w:w="7234" w:type="dxa"/>
        <w:tblInd w:w="-8" w:type="dxa"/>
        <w:tblLayout w:type="fixed"/>
        <w:tblCellMar>
          <w:left w:w="113" w:type="dxa"/>
          <w:right w:w="113" w:type="dxa"/>
        </w:tblCellMar>
        <w:tblLook w:val="0020" w:firstRow="1" w:lastRow="0" w:firstColumn="0" w:lastColumn="0" w:noHBand="0" w:noVBand="0"/>
      </w:tblPr>
      <w:tblGrid>
        <w:gridCol w:w="1284"/>
        <w:gridCol w:w="850"/>
        <w:gridCol w:w="850"/>
        <w:gridCol w:w="850"/>
        <w:gridCol w:w="850"/>
        <w:gridCol w:w="850"/>
        <w:gridCol w:w="850"/>
        <w:gridCol w:w="850"/>
      </w:tblGrid>
      <w:tr w:rsidR="00ED3C8E" w:rsidRPr="00906A47" w14:paraId="1D400BF3" w14:textId="37A81F69" w:rsidTr="00F36F0E">
        <w:trPr>
          <w:trHeight w:val="20"/>
          <w:tblHeader/>
        </w:trPr>
        <w:tc>
          <w:tcPr>
            <w:tcW w:w="1284" w:type="dxa"/>
            <w:shd w:val="clear" w:color="auto" w:fill="C40B46" w:themeFill="accent6"/>
            <w:tcMar>
              <w:top w:w="113" w:type="dxa"/>
              <w:left w:w="113" w:type="dxa"/>
              <w:bottom w:w="113" w:type="dxa"/>
              <w:right w:w="113" w:type="dxa"/>
            </w:tcMar>
          </w:tcPr>
          <w:p w14:paraId="68E04C07" w14:textId="168B56B7" w:rsidR="00ED3C8E" w:rsidRPr="00906A47" w:rsidRDefault="00ED3C8E" w:rsidP="005666A7">
            <w:pPr>
              <w:pStyle w:val="Body"/>
              <w:spacing w:after="0"/>
              <w:rPr>
                <w:rFonts w:ascii="Futura PT Book" w:hAnsi="Futura PT Book" w:cs="Futura PT Book"/>
                <w:b/>
                <w:bCs/>
                <w:color w:val="FFFFFF" w:themeColor="background2"/>
                <w:lang w:val="en-US"/>
              </w:rPr>
            </w:pPr>
          </w:p>
        </w:tc>
        <w:tc>
          <w:tcPr>
            <w:tcW w:w="2550" w:type="dxa"/>
            <w:gridSpan w:val="3"/>
            <w:tcBorders>
              <w:right w:val="single" w:sz="8" w:space="0" w:color="FFFFFF" w:themeColor="background2"/>
            </w:tcBorders>
            <w:shd w:val="clear" w:color="auto" w:fill="C40B46" w:themeFill="accent6"/>
          </w:tcPr>
          <w:p w14:paraId="0538E8CC" w14:textId="1C3560B8" w:rsidR="00ED3C8E" w:rsidRPr="00906A47" w:rsidRDefault="00ED3C8E" w:rsidP="00F36F0E">
            <w:pPr>
              <w:pStyle w:val="Body"/>
              <w:spacing w:after="0"/>
              <w:jc w:val="center"/>
              <w:rPr>
                <w:rFonts w:ascii="Futura PT Book" w:hAnsi="Futura PT Book" w:cs="Futura PT Book"/>
                <w:b/>
                <w:bCs/>
                <w:color w:val="FFFFFF" w:themeColor="background2"/>
                <w:lang w:val="en-US"/>
              </w:rPr>
            </w:pPr>
            <w:r>
              <w:rPr>
                <w:b/>
                <w:bCs/>
                <w:color w:val="FFFFFF" w:themeColor="background2"/>
                <w:lang w:val="en-US"/>
              </w:rPr>
              <w:t>Male</w:t>
            </w:r>
          </w:p>
        </w:tc>
        <w:tc>
          <w:tcPr>
            <w:tcW w:w="2550" w:type="dxa"/>
            <w:gridSpan w:val="3"/>
            <w:tcBorders>
              <w:left w:val="single" w:sz="8" w:space="0" w:color="FFFFFF" w:themeColor="background2"/>
              <w:right w:val="single" w:sz="8" w:space="0" w:color="FFFFFF" w:themeColor="background2"/>
            </w:tcBorders>
            <w:shd w:val="clear" w:color="auto" w:fill="C40B46" w:themeFill="accent6"/>
          </w:tcPr>
          <w:p w14:paraId="5DC70438" w14:textId="370CFBD7" w:rsidR="00ED3C8E" w:rsidRDefault="00ED3C8E" w:rsidP="00F36F0E">
            <w:pPr>
              <w:pStyle w:val="Body"/>
              <w:spacing w:after="0"/>
              <w:jc w:val="center"/>
              <w:rPr>
                <w:b/>
                <w:bCs/>
                <w:color w:val="FFFFFF" w:themeColor="background2"/>
                <w:lang w:val="en-US"/>
              </w:rPr>
            </w:pPr>
            <w:r>
              <w:rPr>
                <w:b/>
                <w:bCs/>
                <w:color w:val="FFFFFF" w:themeColor="background2"/>
                <w:lang w:val="en-US"/>
              </w:rPr>
              <w:t>Female</w:t>
            </w:r>
          </w:p>
        </w:tc>
        <w:tc>
          <w:tcPr>
            <w:tcW w:w="850" w:type="dxa"/>
            <w:tcBorders>
              <w:left w:val="single" w:sz="8" w:space="0" w:color="FFFFFF" w:themeColor="background2"/>
            </w:tcBorders>
            <w:shd w:val="clear" w:color="auto" w:fill="C40B46" w:themeFill="accent6"/>
          </w:tcPr>
          <w:p w14:paraId="47C9D670" w14:textId="77777777" w:rsidR="00ED3C8E" w:rsidRDefault="00ED3C8E" w:rsidP="005666A7">
            <w:pPr>
              <w:pStyle w:val="Body"/>
              <w:spacing w:after="0"/>
              <w:rPr>
                <w:b/>
                <w:bCs/>
                <w:color w:val="FFFFFF" w:themeColor="background2"/>
                <w:lang w:val="en-US"/>
              </w:rPr>
            </w:pPr>
          </w:p>
        </w:tc>
      </w:tr>
      <w:tr w:rsidR="005666A7" w:rsidRPr="00906A47" w14:paraId="29D70FA0" w14:textId="2534519E" w:rsidTr="00F36F0E">
        <w:trPr>
          <w:trHeight w:val="20"/>
        </w:trPr>
        <w:tc>
          <w:tcPr>
            <w:tcW w:w="1284" w:type="dxa"/>
            <w:tcBorders>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3D171E67" w14:textId="5E7F385B" w:rsidR="005666A7" w:rsidRPr="005666A7" w:rsidRDefault="005666A7" w:rsidP="005666A7">
            <w:pPr>
              <w:pStyle w:val="Body"/>
              <w:spacing w:after="0"/>
              <w:rPr>
                <w:rFonts w:ascii="Futura PT Book" w:hAnsi="Futura PT Book" w:cs="Futura PT Book"/>
                <w:b/>
                <w:bCs/>
                <w:color w:val="000000"/>
                <w:sz w:val="16"/>
                <w:szCs w:val="16"/>
                <w:lang w:val="en-US"/>
              </w:rPr>
            </w:pPr>
            <w:r>
              <w:rPr>
                <w:b/>
                <w:bCs/>
                <w:sz w:val="16"/>
                <w:szCs w:val="16"/>
              </w:rPr>
              <w:t>Classification</w:t>
            </w:r>
          </w:p>
        </w:tc>
        <w:tc>
          <w:tcPr>
            <w:tcW w:w="850" w:type="dxa"/>
            <w:tcBorders>
              <w:bottom w:val="single" w:sz="4" w:space="0" w:color="A6A6A6" w:themeColor="background2" w:themeShade="A6"/>
            </w:tcBorders>
            <w:shd w:val="clear" w:color="auto" w:fill="FBC5D6" w:themeFill="accent6" w:themeFillTint="33"/>
          </w:tcPr>
          <w:p w14:paraId="3AF626F1" w14:textId="18B60B93" w:rsidR="005666A7" w:rsidRPr="005666A7" w:rsidRDefault="005666A7" w:rsidP="00F36F0E">
            <w:pPr>
              <w:pStyle w:val="Body"/>
              <w:spacing w:after="0"/>
              <w:jc w:val="right"/>
              <w:rPr>
                <w:b/>
                <w:bCs/>
                <w:sz w:val="16"/>
                <w:szCs w:val="16"/>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1040B702" w14:textId="0DD5EB96" w:rsidR="005666A7" w:rsidRPr="005666A7" w:rsidRDefault="005666A7"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1DB977D5" w14:textId="31E2E249" w:rsidR="005666A7" w:rsidRPr="005666A7" w:rsidRDefault="005666A7" w:rsidP="00F36F0E">
            <w:pPr>
              <w:pStyle w:val="Body"/>
              <w:spacing w:after="0"/>
              <w:jc w:val="right"/>
              <w:rPr>
                <w:rFonts w:ascii="Futura PT Book" w:hAnsi="Futura PT Book" w:cs="Futura PT Book"/>
                <w:b/>
                <w:bCs/>
                <w:color w:val="000000"/>
                <w:sz w:val="16"/>
                <w:szCs w:val="16"/>
                <w:lang w:val="en-US"/>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6F36F161" w14:textId="6FCA9004" w:rsidR="005666A7" w:rsidRPr="005666A7" w:rsidRDefault="005666A7" w:rsidP="00F36F0E">
            <w:pPr>
              <w:pStyle w:val="Body"/>
              <w:spacing w:after="0"/>
              <w:jc w:val="right"/>
              <w:rPr>
                <w:rFonts w:ascii="Futura PT Book" w:hAnsi="Futura PT Book" w:cs="Futura PT Book"/>
                <w:b/>
                <w:bCs/>
                <w:color w:val="000000"/>
                <w:sz w:val="16"/>
                <w:szCs w:val="16"/>
                <w:lang w:val="en-US"/>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52B5CD40" w14:textId="47FAD9BD" w:rsidR="005666A7" w:rsidRPr="005666A7" w:rsidRDefault="005666A7"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Pr>
          <w:p w14:paraId="2803FAE8" w14:textId="3A246118" w:rsidR="005666A7" w:rsidRPr="005666A7" w:rsidRDefault="005666A7" w:rsidP="00F36F0E">
            <w:pPr>
              <w:pStyle w:val="Body"/>
              <w:spacing w:after="0"/>
              <w:jc w:val="right"/>
              <w:rPr>
                <w:b/>
                <w:bCs/>
                <w:sz w:val="16"/>
                <w:szCs w:val="16"/>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632BE673" w14:textId="7748FF11" w:rsidR="005666A7" w:rsidRPr="005666A7" w:rsidRDefault="005666A7" w:rsidP="00F36F0E">
            <w:pPr>
              <w:pStyle w:val="Body"/>
              <w:spacing w:after="0"/>
              <w:jc w:val="right"/>
              <w:rPr>
                <w:b/>
                <w:bCs/>
                <w:sz w:val="16"/>
                <w:szCs w:val="16"/>
              </w:rPr>
            </w:pPr>
            <w:r>
              <w:rPr>
                <w:b/>
                <w:bCs/>
                <w:sz w:val="16"/>
                <w:szCs w:val="16"/>
              </w:rPr>
              <w:t>Total</w:t>
            </w:r>
          </w:p>
        </w:tc>
      </w:tr>
      <w:tr w:rsidR="005666A7" w:rsidRPr="00906A47" w14:paraId="7864BB39" w14:textId="2634B1A1"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3A7F2A7E" w14:textId="3582C078" w:rsidR="005666A7" w:rsidRPr="00380ECA" w:rsidRDefault="005666A7" w:rsidP="005666A7">
            <w:pPr>
              <w:pStyle w:val="Body"/>
              <w:spacing w:after="0"/>
              <w:rPr>
                <w:rFonts w:ascii="Futura PT Book" w:hAnsi="Futura PT Book" w:cs="Futura PT Book"/>
                <w:color w:val="000000"/>
                <w:sz w:val="16"/>
                <w:szCs w:val="16"/>
                <w:lang w:val="en-US"/>
              </w:rPr>
            </w:pPr>
            <w:r>
              <w:rPr>
                <w:sz w:val="16"/>
                <w:szCs w:val="16"/>
              </w:rPr>
              <w:t>SES</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B8DF48C" w14:textId="0D5F5E78"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FEB715B" w14:textId="0E9B1806"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16688960" w14:textId="547869A2"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36AEF22" w14:textId="24DFA3D0"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57E4A38" w14:textId="329C1DD5"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6B0DA341" w14:textId="2A3141DB" w:rsidR="005666A7" w:rsidRPr="00E60847" w:rsidRDefault="005666A7" w:rsidP="00F36F0E">
            <w:pPr>
              <w:pStyle w:val="Body"/>
              <w:spacing w:after="0"/>
              <w:jc w:val="right"/>
              <w:rPr>
                <w:sz w:val="16"/>
                <w:szCs w:val="16"/>
              </w:rPr>
            </w:pPr>
            <w:r w:rsidRPr="00E60847">
              <w:rPr>
                <w:sz w:val="16"/>
                <w:szCs w:val="16"/>
              </w:rPr>
              <w:t>2</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4E8F3DE3" w14:textId="404C55D3" w:rsidR="005666A7" w:rsidRPr="00E60847" w:rsidRDefault="005666A7" w:rsidP="00F36F0E">
            <w:pPr>
              <w:pStyle w:val="Body"/>
              <w:spacing w:after="0"/>
              <w:jc w:val="right"/>
              <w:rPr>
                <w:sz w:val="16"/>
                <w:szCs w:val="16"/>
              </w:rPr>
            </w:pPr>
            <w:r w:rsidRPr="00E60847">
              <w:rPr>
                <w:sz w:val="16"/>
                <w:szCs w:val="16"/>
              </w:rPr>
              <w:t>2</w:t>
            </w:r>
          </w:p>
        </w:tc>
      </w:tr>
      <w:tr w:rsidR="005666A7" w:rsidRPr="00906A47" w14:paraId="61301CDB" w14:textId="6846037B"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B6F6BAC" w14:textId="2206E315" w:rsidR="005666A7" w:rsidRPr="00380ECA" w:rsidRDefault="005666A7" w:rsidP="005666A7">
            <w:pPr>
              <w:pStyle w:val="Body"/>
              <w:spacing w:after="0"/>
              <w:rPr>
                <w:rFonts w:ascii="Futura PT Book" w:hAnsi="Futura PT Book" w:cs="Futura PT Book"/>
                <w:color w:val="000000"/>
                <w:sz w:val="16"/>
                <w:szCs w:val="16"/>
                <w:lang w:val="en-US"/>
              </w:rPr>
            </w:pPr>
            <w:r>
              <w:rPr>
                <w:sz w:val="16"/>
                <w:szCs w:val="16"/>
              </w:rPr>
              <w:t>EL2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C8289F7" w14:textId="0B05D6DF" w:rsidR="005666A7" w:rsidRPr="00E60847" w:rsidRDefault="005666A7" w:rsidP="00F36F0E">
            <w:pPr>
              <w:pStyle w:val="Body"/>
              <w:spacing w:after="0"/>
              <w:jc w:val="right"/>
              <w:rPr>
                <w:sz w:val="16"/>
                <w:szCs w:val="16"/>
              </w:rPr>
            </w:pPr>
            <w:r w:rsidRPr="00E60847">
              <w:rPr>
                <w:sz w:val="16"/>
                <w:szCs w:val="16"/>
              </w:rPr>
              <w:t>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6F39277" w14:textId="739CBC71"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49468884" w14:textId="260A0CD9"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5</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31F00D04" w14:textId="3DB00EE2"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0EB21A5" w14:textId="2637D13D"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BBD07F4" w14:textId="4662E288"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6100739A" w14:textId="4B855884" w:rsidR="005666A7" w:rsidRPr="00E60847" w:rsidRDefault="005666A7" w:rsidP="00F36F0E">
            <w:pPr>
              <w:pStyle w:val="Body"/>
              <w:spacing w:after="0"/>
              <w:jc w:val="right"/>
              <w:rPr>
                <w:sz w:val="16"/>
                <w:szCs w:val="16"/>
              </w:rPr>
            </w:pPr>
            <w:r w:rsidRPr="00E60847">
              <w:rPr>
                <w:sz w:val="16"/>
                <w:szCs w:val="16"/>
              </w:rPr>
              <w:t>10</w:t>
            </w:r>
          </w:p>
        </w:tc>
      </w:tr>
      <w:tr w:rsidR="005666A7" w:rsidRPr="00906A47" w14:paraId="66557F88" w14:textId="695FC6B1"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DCFE590" w14:textId="60FE329E" w:rsidR="005666A7" w:rsidRPr="00380ECA" w:rsidRDefault="005666A7" w:rsidP="005666A7">
            <w:pPr>
              <w:pStyle w:val="Body"/>
              <w:spacing w:after="0"/>
              <w:rPr>
                <w:rFonts w:ascii="Futura PT Book" w:hAnsi="Futura PT Book" w:cs="Futura PT Book"/>
                <w:color w:val="000000"/>
                <w:sz w:val="16"/>
                <w:szCs w:val="16"/>
                <w:lang w:val="en-US"/>
              </w:rPr>
            </w:pPr>
            <w:r>
              <w:rPr>
                <w:sz w:val="16"/>
                <w:szCs w:val="16"/>
              </w:rPr>
              <w:t>EL1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BA67D48" w14:textId="6EBD7F0C" w:rsidR="005666A7" w:rsidRPr="00E60847" w:rsidRDefault="005666A7" w:rsidP="00F36F0E">
            <w:pPr>
              <w:pStyle w:val="Body"/>
              <w:spacing w:after="0"/>
              <w:jc w:val="right"/>
              <w:rPr>
                <w:sz w:val="16"/>
                <w:szCs w:val="16"/>
              </w:rPr>
            </w:pPr>
            <w:r w:rsidRPr="00E60847">
              <w:rPr>
                <w:sz w:val="16"/>
                <w:szCs w:val="16"/>
              </w:rPr>
              <w:t>8</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D21274C" w14:textId="3BE61E07"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3BED5711" w14:textId="4E281160"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8</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1B31F375" w14:textId="48E9523B"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8</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A04C12F" w14:textId="3A046BB0" w:rsidR="005666A7" w:rsidRPr="00E60847" w:rsidRDefault="005666A7" w:rsidP="00F36F0E">
            <w:pPr>
              <w:pStyle w:val="Body"/>
              <w:spacing w:after="0"/>
              <w:jc w:val="right"/>
              <w:rPr>
                <w:sz w:val="16"/>
                <w:szCs w:val="16"/>
              </w:rPr>
            </w:pPr>
            <w:r w:rsidRPr="00E60847">
              <w:rPr>
                <w:sz w:val="16"/>
                <w:szCs w:val="16"/>
              </w:rPr>
              <w:t>4</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4B371CF9" w14:textId="56A41900" w:rsidR="005666A7" w:rsidRPr="00E60847" w:rsidRDefault="005666A7" w:rsidP="00F36F0E">
            <w:pPr>
              <w:pStyle w:val="Body"/>
              <w:spacing w:after="0"/>
              <w:jc w:val="right"/>
              <w:rPr>
                <w:sz w:val="16"/>
                <w:szCs w:val="16"/>
              </w:rPr>
            </w:pPr>
            <w:r w:rsidRPr="00E60847">
              <w:rPr>
                <w:sz w:val="16"/>
                <w:szCs w:val="16"/>
              </w:rPr>
              <w:t>12</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1A5655C9" w14:textId="55A1AA20" w:rsidR="005666A7" w:rsidRPr="00E60847" w:rsidRDefault="005666A7" w:rsidP="00F36F0E">
            <w:pPr>
              <w:pStyle w:val="Body"/>
              <w:spacing w:after="0"/>
              <w:jc w:val="right"/>
              <w:rPr>
                <w:sz w:val="16"/>
                <w:szCs w:val="16"/>
              </w:rPr>
            </w:pPr>
            <w:r w:rsidRPr="00E60847">
              <w:rPr>
                <w:sz w:val="16"/>
                <w:szCs w:val="16"/>
              </w:rPr>
              <w:t>20</w:t>
            </w:r>
          </w:p>
        </w:tc>
      </w:tr>
      <w:tr w:rsidR="005666A7" w:rsidRPr="00906A47" w14:paraId="1A918BDC" w14:textId="7D25BF8E"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90A6ECD" w14:textId="415ECE62" w:rsidR="005666A7" w:rsidRPr="00380ECA" w:rsidRDefault="005666A7" w:rsidP="005666A7">
            <w:pPr>
              <w:pStyle w:val="Body"/>
              <w:spacing w:after="0"/>
              <w:rPr>
                <w:rFonts w:ascii="Futura PT Book" w:hAnsi="Futura PT Book" w:cs="Futura PT Book"/>
                <w:color w:val="000000"/>
                <w:sz w:val="16"/>
                <w:szCs w:val="16"/>
                <w:lang w:val="en-US"/>
              </w:rPr>
            </w:pPr>
            <w:r>
              <w:rPr>
                <w:sz w:val="16"/>
                <w:szCs w:val="16"/>
              </w:rPr>
              <w:t>APS Level 6</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049ABFB" w14:textId="20929C2C" w:rsidR="005666A7" w:rsidRPr="00E60847" w:rsidRDefault="005666A7" w:rsidP="00F36F0E">
            <w:pPr>
              <w:pStyle w:val="Body"/>
              <w:spacing w:after="0"/>
              <w:jc w:val="right"/>
              <w:rPr>
                <w:sz w:val="16"/>
                <w:szCs w:val="16"/>
              </w:rPr>
            </w:pPr>
            <w:r w:rsidRPr="00E60847">
              <w:rPr>
                <w:sz w:val="16"/>
                <w:szCs w:val="16"/>
              </w:rPr>
              <w:t>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5577940" w14:textId="039F2F21"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47D36783" w14:textId="7BD7545E"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5</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1436EF93" w14:textId="2D4329CB" w:rsidR="005666A7" w:rsidRPr="00E60847" w:rsidRDefault="005666A7" w:rsidP="00F36F0E">
            <w:pPr>
              <w:pStyle w:val="Body"/>
              <w:spacing w:after="0"/>
              <w:jc w:val="right"/>
              <w:rPr>
                <w:rFonts w:ascii="Futura PT Book" w:hAnsi="Futura PT Book" w:cs="Futura PT Book"/>
                <w:color w:val="000000"/>
                <w:sz w:val="16"/>
                <w:szCs w:val="16"/>
                <w:lang w:val="en-US"/>
              </w:rPr>
            </w:pPr>
            <w:r w:rsidRPr="00E60847">
              <w:rPr>
                <w:sz w:val="16"/>
                <w:szCs w:val="16"/>
              </w:rPr>
              <w:t>6</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2A5B4C2" w14:textId="04A72019" w:rsidR="005666A7" w:rsidRPr="00E60847" w:rsidRDefault="005666A7" w:rsidP="00F36F0E">
            <w:pPr>
              <w:pStyle w:val="Body"/>
              <w:spacing w:after="0"/>
              <w:jc w:val="right"/>
              <w:rPr>
                <w:sz w:val="16"/>
                <w:szCs w:val="16"/>
              </w:rPr>
            </w:pPr>
            <w:r w:rsidRPr="00E60847">
              <w:rPr>
                <w:sz w:val="16"/>
                <w:szCs w:val="16"/>
              </w:rPr>
              <w:t>2</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136F9167" w14:textId="1A872046" w:rsidR="005666A7" w:rsidRPr="00E60847" w:rsidRDefault="005666A7" w:rsidP="00F36F0E">
            <w:pPr>
              <w:pStyle w:val="Body"/>
              <w:spacing w:after="0"/>
              <w:jc w:val="right"/>
              <w:rPr>
                <w:sz w:val="16"/>
                <w:szCs w:val="16"/>
              </w:rPr>
            </w:pPr>
            <w:r w:rsidRPr="00E60847">
              <w:rPr>
                <w:sz w:val="16"/>
                <w:szCs w:val="16"/>
              </w:rPr>
              <w:t>8</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2C32ABFD" w14:textId="3608763A" w:rsidR="005666A7" w:rsidRPr="00E60847" w:rsidRDefault="005666A7" w:rsidP="00F36F0E">
            <w:pPr>
              <w:pStyle w:val="Body"/>
              <w:spacing w:after="0"/>
              <w:jc w:val="right"/>
              <w:rPr>
                <w:sz w:val="16"/>
                <w:szCs w:val="16"/>
              </w:rPr>
            </w:pPr>
            <w:r w:rsidRPr="00E60847">
              <w:rPr>
                <w:sz w:val="16"/>
                <w:szCs w:val="16"/>
              </w:rPr>
              <w:t>13</w:t>
            </w:r>
          </w:p>
        </w:tc>
      </w:tr>
      <w:tr w:rsidR="005666A7" w:rsidRPr="00906A47" w14:paraId="0E056F20" w14:textId="2EFCD710"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CAF25E7" w14:textId="28D2C202" w:rsidR="005666A7" w:rsidRPr="00380ECA" w:rsidRDefault="005666A7" w:rsidP="005666A7">
            <w:pPr>
              <w:pStyle w:val="Body"/>
              <w:spacing w:after="0"/>
              <w:rPr>
                <w:sz w:val="16"/>
                <w:szCs w:val="16"/>
              </w:rPr>
            </w:pPr>
            <w:r>
              <w:rPr>
                <w:sz w:val="16"/>
                <w:szCs w:val="16"/>
              </w:rPr>
              <w:t>APS Level 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64DE47C" w14:textId="5941CC57"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5435385" w14:textId="27CA2699"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72E7F36C" w14:textId="172DBE4E"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7727BD5" w14:textId="5A9C6424" w:rsidR="005666A7" w:rsidRPr="00E60847" w:rsidRDefault="005666A7"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B370445" w14:textId="3CBAA580" w:rsidR="005666A7" w:rsidRPr="00E60847" w:rsidRDefault="005666A7"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70336035" w14:textId="5F6BF2F8" w:rsidR="005666A7" w:rsidRPr="00E60847" w:rsidRDefault="005666A7"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34D34599" w14:textId="7DAC586C" w:rsidR="005666A7" w:rsidRPr="00E60847" w:rsidRDefault="005666A7" w:rsidP="00F36F0E">
            <w:pPr>
              <w:pStyle w:val="Body"/>
              <w:spacing w:after="0"/>
              <w:jc w:val="right"/>
              <w:rPr>
                <w:sz w:val="16"/>
                <w:szCs w:val="16"/>
              </w:rPr>
            </w:pPr>
            <w:r w:rsidRPr="00E60847">
              <w:rPr>
                <w:sz w:val="16"/>
                <w:szCs w:val="16"/>
              </w:rPr>
              <w:t>1</w:t>
            </w:r>
          </w:p>
        </w:tc>
      </w:tr>
      <w:tr w:rsidR="00040EE4" w:rsidRPr="00906A47" w14:paraId="3073207C" w14:textId="2821CEAF" w:rsidTr="00F36F0E">
        <w:trPr>
          <w:trHeight w:val="20"/>
        </w:trPr>
        <w:tc>
          <w:tcPr>
            <w:tcW w:w="1284" w:type="dxa"/>
            <w:tcBorders>
              <w:top w:val="single" w:sz="4" w:space="0" w:color="A6A6A6" w:themeColor="background2" w:themeShade="A6"/>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0184E2D0" w14:textId="7370DA43" w:rsidR="005666A7" w:rsidRPr="00E60847" w:rsidRDefault="005666A7" w:rsidP="005666A7">
            <w:pPr>
              <w:pStyle w:val="Body"/>
              <w:spacing w:after="0"/>
              <w:rPr>
                <w:b/>
                <w:bCs/>
                <w:sz w:val="16"/>
                <w:szCs w:val="16"/>
              </w:rPr>
            </w:pPr>
            <w:r w:rsidRPr="00E60847">
              <w:rPr>
                <w:b/>
                <w:bCs/>
                <w:sz w:val="16"/>
                <w:szCs w:val="16"/>
              </w:rPr>
              <w:t>Total</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61FE0447" w14:textId="4CCD3804" w:rsidR="005666A7" w:rsidRPr="00E60847" w:rsidRDefault="005666A7" w:rsidP="00F36F0E">
            <w:pPr>
              <w:pStyle w:val="Body"/>
              <w:spacing w:after="0"/>
              <w:jc w:val="right"/>
              <w:rPr>
                <w:b/>
                <w:bCs/>
                <w:sz w:val="16"/>
                <w:szCs w:val="16"/>
              </w:rPr>
            </w:pPr>
            <w:r w:rsidRPr="00E60847">
              <w:rPr>
                <w:b/>
                <w:bCs/>
                <w:sz w:val="16"/>
                <w:szCs w:val="16"/>
              </w:rPr>
              <w:t>18</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68F6F2E8" w14:textId="08688CAF" w:rsidR="005666A7" w:rsidRPr="00E60847" w:rsidRDefault="005666A7" w:rsidP="00F36F0E">
            <w:pPr>
              <w:pStyle w:val="Body"/>
              <w:spacing w:after="0"/>
              <w:jc w:val="right"/>
              <w:rPr>
                <w:b/>
                <w:bCs/>
                <w:sz w:val="16"/>
                <w:szCs w:val="16"/>
              </w:rPr>
            </w:pPr>
            <w:r w:rsidRPr="00E60847">
              <w:rPr>
                <w:b/>
                <w:bCs/>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64D18EC9" w14:textId="7F06300B" w:rsidR="005666A7" w:rsidRPr="00E60847" w:rsidRDefault="005666A7" w:rsidP="00F36F0E">
            <w:pPr>
              <w:pStyle w:val="Body"/>
              <w:spacing w:after="0"/>
              <w:jc w:val="right"/>
              <w:rPr>
                <w:b/>
                <w:bCs/>
                <w:sz w:val="16"/>
                <w:szCs w:val="16"/>
              </w:rPr>
            </w:pPr>
            <w:r w:rsidRPr="00E60847">
              <w:rPr>
                <w:b/>
                <w:bCs/>
                <w:sz w:val="16"/>
                <w:szCs w:val="16"/>
              </w:rPr>
              <w:t>18</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565FB36C" w14:textId="1638647B" w:rsidR="005666A7" w:rsidRPr="00E60847" w:rsidRDefault="005666A7" w:rsidP="00F36F0E">
            <w:pPr>
              <w:pStyle w:val="Body"/>
              <w:spacing w:after="0"/>
              <w:jc w:val="right"/>
              <w:rPr>
                <w:b/>
                <w:bCs/>
                <w:sz w:val="16"/>
                <w:szCs w:val="16"/>
              </w:rPr>
            </w:pPr>
            <w:r w:rsidRPr="00E60847">
              <w:rPr>
                <w:b/>
                <w:bCs/>
                <w:sz w:val="16"/>
                <w:szCs w:val="16"/>
              </w:rPr>
              <w:t>22</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1BA5CCAC" w14:textId="0C737111" w:rsidR="005666A7" w:rsidRPr="00E60847" w:rsidRDefault="005666A7" w:rsidP="00F36F0E">
            <w:pPr>
              <w:pStyle w:val="Body"/>
              <w:spacing w:after="0"/>
              <w:jc w:val="right"/>
              <w:rPr>
                <w:b/>
                <w:bCs/>
                <w:sz w:val="16"/>
                <w:szCs w:val="16"/>
              </w:rPr>
            </w:pPr>
            <w:r w:rsidRPr="00E60847">
              <w:rPr>
                <w:b/>
                <w:bCs/>
                <w:sz w:val="16"/>
                <w:szCs w:val="16"/>
              </w:rPr>
              <w:t>6</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Pr>
          <w:p w14:paraId="314F22ED" w14:textId="43C55D5C" w:rsidR="005666A7" w:rsidRPr="00E60847" w:rsidRDefault="005666A7" w:rsidP="00F36F0E">
            <w:pPr>
              <w:pStyle w:val="Body"/>
              <w:spacing w:after="0"/>
              <w:jc w:val="right"/>
              <w:rPr>
                <w:b/>
                <w:bCs/>
                <w:sz w:val="16"/>
                <w:szCs w:val="16"/>
              </w:rPr>
            </w:pPr>
            <w:r w:rsidRPr="00E60847">
              <w:rPr>
                <w:b/>
                <w:bCs/>
                <w:sz w:val="16"/>
                <w:szCs w:val="16"/>
              </w:rPr>
              <w:t>28</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3402C9B8" w14:textId="57C920C4" w:rsidR="005666A7" w:rsidRPr="00E60847" w:rsidRDefault="005666A7" w:rsidP="00F36F0E">
            <w:pPr>
              <w:pStyle w:val="Body"/>
              <w:spacing w:after="0"/>
              <w:jc w:val="right"/>
              <w:rPr>
                <w:b/>
                <w:bCs/>
                <w:sz w:val="16"/>
                <w:szCs w:val="16"/>
              </w:rPr>
            </w:pPr>
            <w:r w:rsidRPr="00E60847">
              <w:rPr>
                <w:b/>
                <w:bCs/>
                <w:sz w:val="16"/>
                <w:szCs w:val="16"/>
              </w:rPr>
              <w:t>46</w:t>
            </w:r>
          </w:p>
        </w:tc>
      </w:tr>
    </w:tbl>
    <w:p w14:paraId="4D1BC216" w14:textId="55F45582" w:rsidR="005666A7" w:rsidRDefault="005666A7" w:rsidP="005666A7">
      <w:pPr>
        <w:pStyle w:val="Body"/>
      </w:pPr>
    </w:p>
    <w:p w14:paraId="4E0E22C6" w14:textId="77777777" w:rsidR="00090482" w:rsidRDefault="00090482" w:rsidP="00ED3C8E">
      <w:pPr>
        <w:pStyle w:val="FigureHeading"/>
        <w:sectPr w:rsidR="00090482" w:rsidSect="0037181B">
          <w:headerReference w:type="even" r:id="rId90"/>
          <w:footerReference w:type="even" r:id="rId91"/>
          <w:pgSz w:w="9979" w:h="14175" w:code="13"/>
          <w:pgMar w:top="1134" w:right="1332" w:bottom="993" w:left="1418" w:header="709" w:footer="709" w:gutter="0"/>
          <w:cols w:space="623"/>
          <w:docGrid w:linePitch="360"/>
        </w:sectPr>
      </w:pPr>
    </w:p>
    <w:p w14:paraId="6907A1EB" w14:textId="3A8955F5" w:rsidR="00A440F3" w:rsidRDefault="00A440F3" w:rsidP="00A440F3">
      <w:pPr>
        <w:pStyle w:val="FigureHeading"/>
      </w:pPr>
      <w:bookmarkStart w:id="97" w:name="_Toc48830278"/>
      <w:r w:rsidRPr="00233B6F">
        <w:lastRenderedPageBreak/>
        <w:t xml:space="preserve">Table </w:t>
      </w:r>
      <w:r>
        <w:t>1</w:t>
      </w:r>
      <w:r w:rsidR="00751958">
        <w:t>0</w:t>
      </w:r>
      <w:r w:rsidRPr="00233B6F">
        <w:t xml:space="preserve">: </w:t>
      </w:r>
      <w:r w:rsidR="00310C25">
        <w:t>Non-o</w:t>
      </w:r>
      <w:r>
        <w:t>ngoing seconded employees 2020</w:t>
      </w:r>
      <w:bookmarkEnd w:id="97"/>
    </w:p>
    <w:tbl>
      <w:tblPr>
        <w:tblW w:w="7234" w:type="dxa"/>
        <w:tblInd w:w="-8" w:type="dxa"/>
        <w:tblLayout w:type="fixed"/>
        <w:tblCellMar>
          <w:left w:w="113" w:type="dxa"/>
          <w:right w:w="113" w:type="dxa"/>
        </w:tblCellMar>
        <w:tblLook w:val="0020" w:firstRow="1" w:lastRow="0" w:firstColumn="0" w:lastColumn="0" w:noHBand="0" w:noVBand="0"/>
      </w:tblPr>
      <w:tblGrid>
        <w:gridCol w:w="1284"/>
        <w:gridCol w:w="850"/>
        <w:gridCol w:w="850"/>
        <w:gridCol w:w="850"/>
        <w:gridCol w:w="850"/>
        <w:gridCol w:w="850"/>
        <w:gridCol w:w="850"/>
        <w:gridCol w:w="850"/>
      </w:tblGrid>
      <w:tr w:rsidR="00A440F3" w:rsidRPr="00906A47" w14:paraId="6CE68E33" w14:textId="77777777" w:rsidTr="00F36F0E">
        <w:trPr>
          <w:trHeight w:val="20"/>
          <w:tblHeader/>
        </w:trPr>
        <w:tc>
          <w:tcPr>
            <w:tcW w:w="1284" w:type="dxa"/>
            <w:shd w:val="clear" w:color="auto" w:fill="C40B46" w:themeFill="accent6"/>
            <w:tcMar>
              <w:top w:w="113" w:type="dxa"/>
              <w:left w:w="113" w:type="dxa"/>
              <w:bottom w:w="113" w:type="dxa"/>
              <w:right w:w="113" w:type="dxa"/>
            </w:tcMar>
          </w:tcPr>
          <w:p w14:paraId="64DBB000" w14:textId="77777777" w:rsidR="00A440F3" w:rsidRPr="00906A47" w:rsidRDefault="00A440F3" w:rsidP="00111A04">
            <w:pPr>
              <w:pStyle w:val="Body"/>
              <w:spacing w:after="0"/>
              <w:rPr>
                <w:rFonts w:ascii="Futura PT Book" w:hAnsi="Futura PT Book" w:cs="Futura PT Book"/>
                <w:b/>
                <w:bCs/>
                <w:color w:val="FFFFFF" w:themeColor="background2"/>
                <w:lang w:val="en-US"/>
              </w:rPr>
            </w:pPr>
          </w:p>
        </w:tc>
        <w:tc>
          <w:tcPr>
            <w:tcW w:w="2550" w:type="dxa"/>
            <w:gridSpan w:val="3"/>
            <w:tcBorders>
              <w:right w:val="single" w:sz="8" w:space="0" w:color="FFFFFF" w:themeColor="background2"/>
            </w:tcBorders>
            <w:shd w:val="clear" w:color="auto" w:fill="C40B46" w:themeFill="accent6"/>
          </w:tcPr>
          <w:p w14:paraId="5AFBE4F6" w14:textId="77777777" w:rsidR="00A440F3" w:rsidRPr="00906A47" w:rsidRDefault="00A440F3" w:rsidP="00F36F0E">
            <w:pPr>
              <w:pStyle w:val="Body"/>
              <w:spacing w:after="0"/>
              <w:jc w:val="center"/>
              <w:rPr>
                <w:rFonts w:ascii="Futura PT Book" w:hAnsi="Futura PT Book" w:cs="Futura PT Book"/>
                <w:b/>
                <w:bCs/>
                <w:color w:val="FFFFFF" w:themeColor="background2"/>
                <w:lang w:val="en-US"/>
              </w:rPr>
            </w:pPr>
            <w:r>
              <w:rPr>
                <w:b/>
                <w:bCs/>
                <w:color w:val="FFFFFF" w:themeColor="background2"/>
                <w:lang w:val="en-US"/>
              </w:rPr>
              <w:t>Male</w:t>
            </w:r>
          </w:p>
        </w:tc>
        <w:tc>
          <w:tcPr>
            <w:tcW w:w="2550" w:type="dxa"/>
            <w:gridSpan w:val="3"/>
            <w:tcBorders>
              <w:left w:val="single" w:sz="8" w:space="0" w:color="FFFFFF" w:themeColor="background2"/>
              <w:right w:val="single" w:sz="8" w:space="0" w:color="FFFFFF" w:themeColor="background2"/>
            </w:tcBorders>
            <w:shd w:val="clear" w:color="auto" w:fill="C40B46" w:themeFill="accent6"/>
          </w:tcPr>
          <w:p w14:paraId="0C8B9FF7" w14:textId="77777777" w:rsidR="00A440F3" w:rsidRDefault="00A440F3" w:rsidP="00F36F0E">
            <w:pPr>
              <w:pStyle w:val="Body"/>
              <w:spacing w:after="0"/>
              <w:jc w:val="center"/>
              <w:rPr>
                <w:b/>
                <w:bCs/>
                <w:color w:val="FFFFFF" w:themeColor="background2"/>
                <w:lang w:val="en-US"/>
              </w:rPr>
            </w:pPr>
            <w:r>
              <w:rPr>
                <w:b/>
                <w:bCs/>
                <w:color w:val="FFFFFF" w:themeColor="background2"/>
                <w:lang w:val="en-US"/>
              </w:rPr>
              <w:t>Female</w:t>
            </w:r>
          </w:p>
        </w:tc>
        <w:tc>
          <w:tcPr>
            <w:tcW w:w="850" w:type="dxa"/>
            <w:tcBorders>
              <w:left w:val="single" w:sz="8" w:space="0" w:color="FFFFFF" w:themeColor="background2"/>
            </w:tcBorders>
            <w:shd w:val="clear" w:color="auto" w:fill="C40B46" w:themeFill="accent6"/>
          </w:tcPr>
          <w:p w14:paraId="63847E1A" w14:textId="77777777" w:rsidR="00A440F3" w:rsidRDefault="00A440F3" w:rsidP="00111A04">
            <w:pPr>
              <w:pStyle w:val="Body"/>
              <w:spacing w:after="0"/>
              <w:rPr>
                <w:b/>
                <w:bCs/>
                <w:color w:val="FFFFFF" w:themeColor="background2"/>
                <w:lang w:val="en-US"/>
              </w:rPr>
            </w:pPr>
          </w:p>
        </w:tc>
      </w:tr>
      <w:tr w:rsidR="00A440F3" w:rsidRPr="00906A47" w14:paraId="28881B4D" w14:textId="77777777" w:rsidTr="00F36F0E">
        <w:trPr>
          <w:trHeight w:val="20"/>
        </w:trPr>
        <w:tc>
          <w:tcPr>
            <w:tcW w:w="1284" w:type="dxa"/>
            <w:tcBorders>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63EA23CD" w14:textId="77777777" w:rsidR="00A440F3" w:rsidRPr="005666A7" w:rsidRDefault="00A440F3" w:rsidP="00111A04">
            <w:pPr>
              <w:pStyle w:val="Body"/>
              <w:spacing w:after="0"/>
              <w:rPr>
                <w:rFonts w:ascii="Futura PT Book" w:hAnsi="Futura PT Book" w:cs="Futura PT Book"/>
                <w:b/>
                <w:bCs/>
                <w:color w:val="000000"/>
                <w:sz w:val="16"/>
                <w:szCs w:val="16"/>
                <w:lang w:val="en-US"/>
              </w:rPr>
            </w:pPr>
            <w:r>
              <w:rPr>
                <w:b/>
                <w:bCs/>
                <w:sz w:val="16"/>
                <w:szCs w:val="16"/>
              </w:rPr>
              <w:t>Classification</w:t>
            </w:r>
          </w:p>
        </w:tc>
        <w:tc>
          <w:tcPr>
            <w:tcW w:w="850" w:type="dxa"/>
            <w:tcBorders>
              <w:bottom w:val="single" w:sz="4" w:space="0" w:color="A6A6A6" w:themeColor="background2" w:themeShade="A6"/>
            </w:tcBorders>
            <w:shd w:val="clear" w:color="auto" w:fill="FBC5D6" w:themeFill="accent6" w:themeFillTint="33"/>
          </w:tcPr>
          <w:p w14:paraId="286C5141" w14:textId="77777777" w:rsidR="00A440F3" w:rsidRPr="005666A7" w:rsidRDefault="00A440F3" w:rsidP="00F36F0E">
            <w:pPr>
              <w:pStyle w:val="Body"/>
              <w:spacing w:after="0"/>
              <w:jc w:val="right"/>
              <w:rPr>
                <w:b/>
                <w:bCs/>
                <w:sz w:val="16"/>
                <w:szCs w:val="16"/>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5E760606" w14:textId="77777777" w:rsidR="00A440F3" w:rsidRPr="005666A7" w:rsidRDefault="00A440F3"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70D20518" w14:textId="77777777" w:rsidR="00A440F3" w:rsidRPr="005666A7" w:rsidRDefault="00A440F3" w:rsidP="00F36F0E">
            <w:pPr>
              <w:pStyle w:val="Body"/>
              <w:spacing w:after="0"/>
              <w:jc w:val="right"/>
              <w:rPr>
                <w:rFonts w:ascii="Futura PT Book" w:hAnsi="Futura PT Book" w:cs="Futura PT Book"/>
                <w:b/>
                <w:bCs/>
                <w:color w:val="000000"/>
                <w:sz w:val="16"/>
                <w:szCs w:val="16"/>
                <w:lang w:val="en-US"/>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441A5FA8" w14:textId="77777777" w:rsidR="00A440F3" w:rsidRPr="005666A7" w:rsidRDefault="00A440F3" w:rsidP="00F36F0E">
            <w:pPr>
              <w:pStyle w:val="Body"/>
              <w:spacing w:after="0"/>
              <w:jc w:val="right"/>
              <w:rPr>
                <w:rFonts w:ascii="Futura PT Book" w:hAnsi="Futura PT Book" w:cs="Futura PT Book"/>
                <w:b/>
                <w:bCs/>
                <w:color w:val="000000"/>
                <w:sz w:val="16"/>
                <w:szCs w:val="16"/>
                <w:lang w:val="en-US"/>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42D48646" w14:textId="77777777" w:rsidR="00A440F3" w:rsidRPr="005666A7" w:rsidRDefault="00A440F3"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Pr>
          <w:p w14:paraId="6E3007E4" w14:textId="77777777" w:rsidR="00A440F3" w:rsidRPr="005666A7" w:rsidRDefault="00A440F3" w:rsidP="00F36F0E">
            <w:pPr>
              <w:pStyle w:val="Body"/>
              <w:spacing w:after="0"/>
              <w:jc w:val="right"/>
              <w:rPr>
                <w:b/>
                <w:bCs/>
                <w:sz w:val="16"/>
                <w:szCs w:val="16"/>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43AB9536" w14:textId="77777777" w:rsidR="00A440F3" w:rsidRPr="005666A7" w:rsidRDefault="00A440F3" w:rsidP="00F36F0E">
            <w:pPr>
              <w:pStyle w:val="Body"/>
              <w:spacing w:after="0"/>
              <w:jc w:val="right"/>
              <w:rPr>
                <w:b/>
                <w:bCs/>
                <w:sz w:val="16"/>
                <w:szCs w:val="16"/>
              </w:rPr>
            </w:pPr>
            <w:r>
              <w:rPr>
                <w:b/>
                <w:bCs/>
                <w:sz w:val="16"/>
                <w:szCs w:val="16"/>
              </w:rPr>
              <w:t>Total</w:t>
            </w:r>
          </w:p>
        </w:tc>
      </w:tr>
      <w:tr w:rsidR="00A440F3" w:rsidRPr="00906A47" w14:paraId="1976D1E2"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88C14EB" w14:textId="77777777" w:rsidR="00A440F3" w:rsidRPr="00380ECA" w:rsidRDefault="00A440F3" w:rsidP="00111A04">
            <w:pPr>
              <w:pStyle w:val="Body"/>
              <w:spacing w:after="0"/>
              <w:rPr>
                <w:rFonts w:ascii="Futura PT Book" w:hAnsi="Futura PT Book" w:cs="Futura PT Book"/>
                <w:color w:val="000000"/>
                <w:sz w:val="16"/>
                <w:szCs w:val="16"/>
                <w:lang w:val="en-US"/>
              </w:rPr>
            </w:pPr>
            <w:r>
              <w:rPr>
                <w:sz w:val="16"/>
                <w:szCs w:val="16"/>
              </w:rPr>
              <w:t>SES</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10B3AD7"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6DCF7D0"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061BB8C4" w14:textId="77777777" w:rsidR="00A440F3" w:rsidRPr="00E60847" w:rsidRDefault="00A440F3"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708BD9C8" w14:textId="5FDCF53D"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02EB40C"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5ABDFF42" w14:textId="5377EC78"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45F66B15" w14:textId="4F7F6E70" w:rsidR="00A440F3" w:rsidRPr="00E60847" w:rsidRDefault="00A440F3" w:rsidP="00F36F0E">
            <w:pPr>
              <w:pStyle w:val="Body"/>
              <w:spacing w:after="0"/>
              <w:jc w:val="right"/>
              <w:rPr>
                <w:sz w:val="16"/>
                <w:szCs w:val="16"/>
              </w:rPr>
            </w:pPr>
            <w:r>
              <w:rPr>
                <w:sz w:val="16"/>
                <w:szCs w:val="16"/>
              </w:rPr>
              <w:t>0</w:t>
            </w:r>
          </w:p>
        </w:tc>
      </w:tr>
      <w:tr w:rsidR="00A440F3" w:rsidRPr="00906A47" w14:paraId="453EC58E"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7E5E88FD" w14:textId="77777777" w:rsidR="00A440F3" w:rsidRPr="00380ECA" w:rsidRDefault="00A440F3" w:rsidP="00111A04">
            <w:pPr>
              <w:pStyle w:val="Body"/>
              <w:spacing w:after="0"/>
              <w:rPr>
                <w:rFonts w:ascii="Futura PT Book" w:hAnsi="Futura PT Book" w:cs="Futura PT Book"/>
                <w:color w:val="000000"/>
                <w:sz w:val="16"/>
                <w:szCs w:val="16"/>
                <w:lang w:val="en-US"/>
              </w:rPr>
            </w:pPr>
            <w:r>
              <w:rPr>
                <w:sz w:val="16"/>
                <w:szCs w:val="16"/>
              </w:rPr>
              <w:t>EL2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BBA5377" w14:textId="1AE5CB69"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620B1F5"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2F57C08C" w14:textId="3EE2CE5A"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54828BB5" w14:textId="666ED0EB"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F367838"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57AED189"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68A962C3" w14:textId="6FCEFB33" w:rsidR="00A440F3" w:rsidRPr="00E60847" w:rsidRDefault="00A440F3" w:rsidP="00F36F0E">
            <w:pPr>
              <w:pStyle w:val="Body"/>
              <w:spacing w:after="0"/>
              <w:jc w:val="right"/>
              <w:rPr>
                <w:sz w:val="16"/>
                <w:szCs w:val="16"/>
              </w:rPr>
            </w:pPr>
            <w:r>
              <w:rPr>
                <w:sz w:val="16"/>
                <w:szCs w:val="16"/>
              </w:rPr>
              <w:t>0</w:t>
            </w:r>
          </w:p>
        </w:tc>
      </w:tr>
      <w:tr w:rsidR="00A440F3" w:rsidRPr="00906A47" w14:paraId="4F8D8D5D"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142DB5F3" w14:textId="77777777" w:rsidR="00A440F3" w:rsidRPr="00380ECA" w:rsidRDefault="00A440F3" w:rsidP="00111A04">
            <w:pPr>
              <w:pStyle w:val="Body"/>
              <w:spacing w:after="0"/>
              <w:rPr>
                <w:rFonts w:ascii="Futura PT Book" w:hAnsi="Futura PT Book" w:cs="Futura PT Book"/>
                <w:color w:val="000000"/>
                <w:sz w:val="16"/>
                <w:szCs w:val="16"/>
                <w:lang w:val="en-US"/>
              </w:rPr>
            </w:pPr>
            <w:r>
              <w:rPr>
                <w:sz w:val="16"/>
                <w:szCs w:val="16"/>
              </w:rPr>
              <w:t>EL1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38A9EB31" w14:textId="68BF8A1A"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9B08E51"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35509943" w14:textId="12527DD9"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70145F07" w14:textId="0FA74C7C"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88E7884" w14:textId="7A4E24B3"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6CB24C39" w14:textId="2EDD464D" w:rsidR="00A440F3" w:rsidRPr="00E60847" w:rsidRDefault="00A440F3" w:rsidP="00F36F0E">
            <w:pPr>
              <w:pStyle w:val="Body"/>
              <w:spacing w:after="0"/>
              <w:jc w:val="right"/>
              <w:rPr>
                <w:sz w:val="16"/>
                <w:szCs w:val="16"/>
              </w:rPr>
            </w:pPr>
            <w:r>
              <w:rPr>
                <w:sz w:val="16"/>
                <w:szCs w:val="16"/>
              </w:rPr>
              <w:t>2</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0F23129B" w14:textId="5CFB3F79" w:rsidR="00A440F3" w:rsidRPr="00E60847" w:rsidRDefault="00A440F3" w:rsidP="00F36F0E">
            <w:pPr>
              <w:pStyle w:val="Body"/>
              <w:spacing w:after="0"/>
              <w:jc w:val="right"/>
              <w:rPr>
                <w:sz w:val="16"/>
                <w:szCs w:val="16"/>
              </w:rPr>
            </w:pPr>
            <w:r>
              <w:rPr>
                <w:sz w:val="16"/>
                <w:szCs w:val="16"/>
              </w:rPr>
              <w:t>2</w:t>
            </w:r>
          </w:p>
        </w:tc>
      </w:tr>
      <w:tr w:rsidR="00A440F3" w:rsidRPr="00906A47" w14:paraId="19FA32BE"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04750673" w14:textId="77777777" w:rsidR="00A440F3" w:rsidRPr="00380ECA" w:rsidRDefault="00A440F3" w:rsidP="00111A04">
            <w:pPr>
              <w:pStyle w:val="Body"/>
              <w:spacing w:after="0"/>
              <w:rPr>
                <w:rFonts w:ascii="Futura PT Book" w:hAnsi="Futura PT Book" w:cs="Futura PT Book"/>
                <w:color w:val="000000"/>
                <w:sz w:val="16"/>
                <w:szCs w:val="16"/>
                <w:lang w:val="en-US"/>
              </w:rPr>
            </w:pPr>
            <w:r>
              <w:rPr>
                <w:sz w:val="16"/>
                <w:szCs w:val="16"/>
              </w:rPr>
              <w:t>APS Level 6</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18851F34" w14:textId="0D3657E1"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60AD4EC"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28974311" w14:textId="2C5A8805"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DF4BB24" w14:textId="1B799C4B" w:rsidR="00A440F3" w:rsidRPr="00E60847" w:rsidRDefault="00A440F3" w:rsidP="00F36F0E">
            <w:pPr>
              <w:pStyle w:val="Body"/>
              <w:spacing w:after="0"/>
              <w:jc w:val="right"/>
              <w:rPr>
                <w:rFonts w:ascii="Futura PT Book" w:hAnsi="Futura PT Book" w:cs="Futura PT Book"/>
                <w:color w:val="000000"/>
                <w:sz w:val="16"/>
                <w:szCs w:val="16"/>
                <w:lang w:val="en-US"/>
              </w:rPr>
            </w:pPr>
            <w:r>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40BC375C" w14:textId="732452E7"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FA491C0" w14:textId="70A5F274" w:rsidR="00A440F3" w:rsidRPr="00E60847" w:rsidRDefault="00A440F3" w:rsidP="00F36F0E">
            <w:pPr>
              <w:pStyle w:val="Body"/>
              <w:spacing w:after="0"/>
              <w:jc w:val="right"/>
              <w:rPr>
                <w:sz w:val="16"/>
                <w:szCs w:val="16"/>
              </w:rPr>
            </w:pPr>
            <w:r>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3778379C" w14:textId="1183E69C" w:rsidR="00A440F3" w:rsidRPr="00E60847" w:rsidRDefault="00A440F3" w:rsidP="00F36F0E">
            <w:pPr>
              <w:pStyle w:val="Body"/>
              <w:spacing w:after="0"/>
              <w:jc w:val="right"/>
              <w:rPr>
                <w:sz w:val="16"/>
                <w:szCs w:val="16"/>
              </w:rPr>
            </w:pPr>
            <w:r>
              <w:rPr>
                <w:sz w:val="16"/>
                <w:szCs w:val="16"/>
              </w:rPr>
              <w:t>1</w:t>
            </w:r>
          </w:p>
        </w:tc>
      </w:tr>
      <w:tr w:rsidR="00A440F3" w:rsidRPr="00906A47" w14:paraId="2FF9151B"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E79590C" w14:textId="77777777" w:rsidR="00A440F3" w:rsidRPr="00380ECA" w:rsidRDefault="00A440F3" w:rsidP="00111A04">
            <w:pPr>
              <w:pStyle w:val="Body"/>
              <w:spacing w:after="0"/>
              <w:rPr>
                <w:sz w:val="16"/>
                <w:szCs w:val="16"/>
              </w:rPr>
            </w:pPr>
            <w:r>
              <w:rPr>
                <w:sz w:val="16"/>
                <w:szCs w:val="16"/>
              </w:rPr>
              <w:t>APS Level 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059F9C7"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16D007A9"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45C292FF"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548E161C" w14:textId="4294AF2D"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9F31B8B" w14:textId="77777777" w:rsidR="00A440F3" w:rsidRPr="00E60847" w:rsidRDefault="00A440F3"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2E748880" w14:textId="782F458B" w:rsidR="00A440F3" w:rsidRPr="00E60847" w:rsidRDefault="00A440F3" w:rsidP="00F36F0E">
            <w:pPr>
              <w:pStyle w:val="Body"/>
              <w:spacing w:after="0"/>
              <w:jc w:val="right"/>
              <w:rPr>
                <w:sz w:val="16"/>
                <w:szCs w:val="16"/>
              </w:rPr>
            </w:pPr>
            <w:r>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47A56AA5" w14:textId="0C302CBE" w:rsidR="00A440F3" w:rsidRPr="00E60847" w:rsidRDefault="00A440F3" w:rsidP="00F36F0E">
            <w:pPr>
              <w:pStyle w:val="Body"/>
              <w:spacing w:after="0"/>
              <w:jc w:val="right"/>
              <w:rPr>
                <w:sz w:val="16"/>
                <w:szCs w:val="16"/>
              </w:rPr>
            </w:pPr>
            <w:r>
              <w:rPr>
                <w:sz w:val="16"/>
                <w:szCs w:val="16"/>
              </w:rPr>
              <w:t>0</w:t>
            </w:r>
          </w:p>
        </w:tc>
      </w:tr>
      <w:tr w:rsidR="00A440F3" w:rsidRPr="00906A47" w14:paraId="5D2CC354" w14:textId="77777777" w:rsidTr="00F36F0E">
        <w:trPr>
          <w:trHeight w:val="20"/>
        </w:trPr>
        <w:tc>
          <w:tcPr>
            <w:tcW w:w="1284" w:type="dxa"/>
            <w:tcBorders>
              <w:top w:val="single" w:sz="4" w:space="0" w:color="A6A6A6" w:themeColor="background2" w:themeShade="A6"/>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01AB8C7F" w14:textId="77777777" w:rsidR="00A440F3" w:rsidRPr="00E60847" w:rsidRDefault="00A440F3" w:rsidP="00111A04">
            <w:pPr>
              <w:pStyle w:val="Body"/>
              <w:spacing w:after="0"/>
              <w:rPr>
                <w:b/>
                <w:bCs/>
                <w:sz w:val="16"/>
                <w:szCs w:val="16"/>
              </w:rPr>
            </w:pPr>
            <w:r w:rsidRPr="00E60847">
              <w:rPr>
                <w:b/>
                <w:bCs/>
                <w:sz w:val="16"/>
                <w:szCs w:val="16"/>
              </w:rPr>
              <w:t>Total</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2D3995E4" w14:textId="47A1E7AB" w:rsidR="00A440F3" w:rsidRPr="00E60847" w:rsidRDefault="00A440F3" w:rsidP="00F36F0E">
            <w:pPr>
              <w:pStyle w:val="Body"/>
              <w:spacing w:after="0"/>
              <w:jc w:val="right"/>
              <w:rPr>
                <w:b/>
                <w:bCs/>
                <w:sz w:val="16"/>
                <w:szCs w:val="16"/>
              </w:rPr>
            </w:pPr>
            <w:r>
              <w:rPr>
                <w:b/>
                <w:bCs/>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153816B0" w14:textId="77777777" w:rsidR="00A440F3" w:rsidRPr="00E60847" w:rsidRDefault="00A440F3" w:rsidP="00F36F0E">
            <w:pPr>
              <w:pStyle w:val="Body"/>
              <w:spacing w:after="0"/>
              <w:jc w:val="right"/>
              <w:rPr>
                <w:b/>
                <w:bCs/>
                <w:sz w:val="16"/>
                <w:szCs w:val="16"/>
              </w:rPr>
            </w:pPr>
            <w:r w:rsidRPr="00E60847">
              <w:rPr>
                <w:b/>
                <w:bCs/>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23CB13AA" w14:textId="4B389525" w:rsidR="00A440F3" w:rsidRPr="00E60847" w:rsidRDefault="00A440F3" w:rsidP="00F36F0E">
            <w:pPr>
              <w:pStyle w:val="Body"/>
              <w:spacing w:after="0"/>
              <w:jc w:val="right"/>
              <w:rPr>
                <w:b/>
                <w:bCs/>
                <w:sz w:val="16"/>
                <w:szCs w:val="16"/>
              </w:rPr>
            </w:pPr>
            <w:r>
              <w:rPr>
                <w:b/>
                <w:bCs/>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40BE1D4D" w14:textId="76C10176" w:rsidR="00A440F3" w:rsidRPr="00E60847" w:rsidRDefault="00A440F3" w:rsidP="00F36F0E">
            <w:pPr>
              <w:pStyle w:val="Body"/>
              <w:spacing w:after="0"/>
              <w:jc w:val="right"/>
              <w:rPr>
                <w:b/>
                <w:bCs/>
                <w:sz w:val="16"/>
                <w:szCs w:val="16"/>
              </w:rPr>
            </w:pPr>
            <w:r>
              <w:rPr>
                <w:b/>
                <w:bCs/>
                <w:sz w:val="16"/>
                <w:szCs w:val="16"/>
              </w:rPr>
              <w:t>3</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5876E3D2" w14:textId="71C96BA0" w:rsidR="00A440F3" w:rsidRPr="00E60847" w:rsidRDefault="00A440F3" w:rsidP="00F36F0E">
            <w:pPr>
              <w:pStyle w:val="Body"/>
              <w:spacing w:after="0"/>
              <w:jc w:val="right"/>
              <w:rPr>
                <w:b/>
                <w:bCs/>
                <w:sz w:val="16"/>
                <w:szCs w:val="16"/>
              </w:rPr>
            </w:pPr>
            <w:r>
              <w:rPr>
                <w:b/>
                <w:bCs/>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Pr>
          <w:p w14:paraId="640EC8C0" w14:textId="3B7064E8" w:rsidR="00A440F3" w:rsidRPr="00E60847" w:rsidRDefault="00A440F3" w:rsidP="00F36F0E">
            <w:pPr>
              <w:pStyle w:val="Body"/>
              <w:spacing w:after="0"/>
              <w:jc w:val="right"/>
              <w:rPr>
                <w:b/>
                <w:bCs/>
                <w:sz w:val="16"/>
                <w:szCs w:val="16"/>
              </w:rPr>
            </w:pPr>
            <w:r>
              <w:rPr>
                <w:b/>
                <w:bCs/>
                <w:sz w:val="16"/>
                <w:szCs w:val="16"/>
              </w:rPr>
              <w:t>3</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2638694F" w14:textId="09FD1E6B" w:rsidR="00A440F3" w:rsidRPr="00E60847" w:rsidRDefault="00A440F3" w:rsidP="00F36F0E">
            <w:pPr>
              <w:pStyle w:val="Body"/>
              <w:spacing w:after="0"/>
              <w:jc w:val="right"/>
              <w:rPr>
                <w:b/>
                <w:bCs/>
                <w:sz w:val="16"/>
                <w:szCs w:val="16"/>
              </w:rPr>
            </w:pPr>
            <w:r>
              <w:rPr>
                <w:b/>
                <w:bCs/>
                <w:sz w:val="16"/>
                <w:szCs w:val="16"/>
              </w:rPr>
              <w:t>3</w:t>
            </w:r>
          </w:p>
        </w:tc>
      </w:tr>
    </w:tbl>
    <w:p w14:paraId="14641ADC" w14:textId="22A84608" w:rsidR="00A440F3" w:rsidRDefault="00A440F3" w:rsidP="005666A7">
      <w:pPr>
        <w:pStyle w:val="Body"/>
      </w:pPr>
    </w:p>
    <w:p w14:paraId="2D7789FD" w14:textId="77777777" w:rsidR="00751958" w:rsidRDefault="00751958" w:rsidP="00751958">
      <w:pPr>
        <w:pStyle w:val="FigureHeading"/>
      </w:pPr>
      <w:bookmarkStart w:id="98" w:name="_Toc48830279"/>
      <w:r w:rsidRPr="00233B6F">
        <w:t xml:space="preserve">Table </w:t>
      </w:r>
      <w:r>
        <w:t>11</w:t>
      </w:r>
      <w:r w:rsidRPr="00233B6F">
        <w:t xml:space="preserve">: </w:t>
      </w:r>
      <w:r>
        <w:t>Non-ongoing seconded employees 2019</w:t>
      </w:r>
      <w:bookmarkEnd w:id="98"/>
    </w:p>
    <w:tbl>
      <w:tblPr>
        <w:tblW w:w="7234" w:type="dxa"/>
        <w:tblInd w:w="-8" w:type="dxa"/>
        <w:tblLayout w:type="fixed"/>
        <w:tblCellMar>
          <w:left w:w="113" w:type="dxa"/>
          <w:right w:w="113" w:type="dxa"/>
        </w:tblCellMar>
        <w:tblLook w:val="0020" w:firstRow="1" w:lastRow="0" w:firstColumn="0" w:lastColumn="0" w:noHBand="0" w:noVBand="0"/>
      </w:tblPr>
      <w:tblGrid>
        <w:gridCol w:w="1284"/>
        <w:gridCol w:w="850"/>
        <w:gridCol w:w="850"/>
        <w:gridCol w:w="850"/>
        <w:gridCol w:w="850"/>
        <w:gridCol w:w="850"/>
        <w:gridCol w:w="850"/>
        <w:gridCol w:w="850"/>
      </w:tblGrid>
      <w:tr w:rsidR="00751958" w:rsidRPr="00906A47" w14:paraId="1BCA4669" w14:textId="77777777" w:rsidTr="00F36F0E">
        <w:trPr>
          <w:trHeight w:val="20"/>
          <w:tblHeader/>
        </w:trPr>
        <w:tc>
          <w:tcPr>
            <w:tcW w:w="1284" w:type="dxa"/>
            <w:shd w:val="clear" w:color="auto" w:fill="C40B46" w:themeFill="accent6"/>
            <w:tcMar>
              <w:top w:w="113" w:type="dxa"/>
              <w:left w:w="113" w:type="dxa"/>
              <w:bottom w:w="113" w:type="dxa"/>
              <w:right w:w="113" w:type="dxa"/>
            </w:tcMar>
          </w:tcPr>
          <w:p w14:paraId="5DF56EBF" w14:textId="77777777" w:rsidR="00751958" w:rsidRPr="00906A47" w:rsidRDefault="00751958" w:rsidP="00633EA7">
            <w:pPr>
              <w:pStyle w:val="Body"/>
              <w:spacing w:after="0"/>
              <w:rPr>
                <w:rFonts w:ascii="Futura PT Book" w:hAnsi="Futura PT Book" w:cs="Futura PT Book"/>
                <w:b/>
                <w:bCs/>
                <w:color w:val="FFFFFF" w:themeColor="background2"/>
                <w:lang w:val="en-US"/>
              </w:rPr>
            </w:pPr>
          </w:p>
        </w:tc>
        <w:tc>
          <w:tcPr>
            <w:tcW w:w="2550" w:type="dxa"/>
            <w:gridSpan w:val="3"/>
            <w:tcBorders>
              <w:right w:val="single" w:sz="8" w:space="0" w:color="FFFFFF" w:themeColor="background2"/>
            </w:tcBorders>
            <w:shd w:val="clear" w:color="auto" w:fill="C40B46" w:themeFill="accent6"/>
          </w:tcPr>
          <w:p w14:paraId="2BA68C4D" w14:textId="77777777" w:rsidR="00751958" w:rsidRPr="00906A47" w:rsidRDefault="00751958" w:rsidP="00F36F0E">
            <w:pPr>
              <w:pStyle w:val="Body"/>
              <w:spacing w:after="0"/>
              <w:jc w:val="center"/>
              <w:rPr>
                <w:rFonts w:ascii="Futura PT Book" w:hAnsi="Futura PT Book" w:cs="Futura PT Book"/>
                <w:b/>
                <w:bCs/>
                <w:color w:val="FFFFFF" w:themeColor="background2"/>
                <w:lang w:val="en-US"/>
              </w:rPr>
            </w:pPr>
            <w:r>
              <w:rPr>
                <w:b/>
                <w:bCs/>
                <w:color w:val="FFFFFF" w:themeColor="background2"/>
                <w:lang w:val="en-US"/>
              </w:rPr>
              <w:t>Male</w:t>
            </w:r>
          </w:p>
        </w:tc>
        <w:tc>
          <w:tcPr>
            <w:tcW w:w="2550" w:type="dxa"/>
            <w:gridSpan w:val="3"/>
            <w:tcBorders>
              <w:left w:val="single" w:sz="8" w:space="0" w:color="FFFFFF" w:themeColor="background2"/>
              <w:right w:val="single" w:sz="8" w:space="0" w:color="FFFFFF" w:themeColor="background2"/>
            </w:tcBorders>
            <w:shd w:val="clear" w:color="auto" w:fill="C40B46" w:themeFill="accent6"/>
          </w:tcPr>
          <w:p w14:paraId="2F612391" w14:textId="77777777" w:rsidR="00751958" w:rsidRDefault="00751958" w:rsidP="00F36F0E">
            <w:pPr>
              <w:pStyle w:val="Body"/>
              <w:spacing w:after="0"/>
              <w:jc w:val="center"/>
              <w:rPr>
                <w:b/>
                <w:bCs/>
                <w:color w:val="FFFFFF" w:themeColor="background2"/>
                <w:lang w:val="en-US"/>
              </w:rPr>
            </w:pPr>
            <w:r>
              <w:rPr>
                <w:b/>
                <w:bCs/>
                <w:color w:val="FFFFFF" w:themeColor="background2"/>
                <w:lang w:val="en-US"/>
              </w:rPr>
              <w:t>Female</w:t>
            </w:r>
          </w:p>
        </w:tc>
        <w:tc>
          <w:tcPr>
            <w:tcW w:w="850" w:type="dxa"/>
            <w:tcBorders>
              <w:left w:val="single" w:sz="8" w:space="0" w:color="FFFFFF" w:themeColor="background2"/>
            </w:tcBorders>
            <w:shd w:val="clear" w:color="auto" w:fill="C40B46" w:themeFill="accent6"/>
          </w:tcPr>
          <w:p w14:paraId="3C9E30FE" w14:textId="77777777" w:rsidR="00751958" w:rsidRDefault="00751958" w:rsidP="00633EA7">
            <w:pPr>
              <w:pStyle w:val="Body"/>
              <w:spacing w:after="0"/>
              <w:rPr>
                <w:b/>
                <w:bCs/>
                <w:color w:val="FFFFFF" w:themeColor="background2"/>
                <w:lang w:val="en-US"/>
              </w:rPr>
            </w:pPr>
          </w:p>
        </w:tc>
      </w:tr>
      <w:tr w:rsidR="00751958" w:rsidRPr="00906A47" w14:paraId="6A3035E5" w14:textId="77777777" w:rsidTr="00F36F0E">
        <w:trPr>
          <w:trHeight w:val="20"/>
        </w:trPr>
        <w:tc>
          <w:tcPr>
            <w:tcW w:w="1284" w:type="dxa"/>
            <w:tcBorders>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39FBDE38" w14:textId="77777777" w:rsidR="00751958" w:rsidRPr="005666A7" w:rsidRDefault="00751958" w:rsidP="00633EA7">
            <w:pPr>
              <w:pStyle w:val="Body"/>
              <w:spacing w:after="0"/>
              <w:rPr>
                <w:rFonts w:ascii="Futura PT Book" w:hAnsi="Futura PT Book" w:cs="Futura PT Book"/>
                <w:b/>
                <w:bCs/>
                <w:color w:val="000000"/>
                <w:sz w:val="16"/>
                <w:szCs w:val="16"/>
                <w:lang w:val="en-US"/>
              </w:rPr>
            </w:pPr>
            <w:r>
              <w:rPr>
                <w:b/>
                <w:bCs/>
                <w:sz w:val="16"/>
                <w:szCs w:val="16"/>
              </w:rPr>
              <w:t>Classification</w:t>
            </w:r>
          </w:p>
        </w:tc>
        <w:tc>
          <w:tcPr>
            <w:tcW w:w="850" w:type="dxa"/>
            <w:tcBorders>
              <w:bottom w:val="single" w:sz="4" w:space="0" w:color="A6A6A6" w:themeColor="background2" w:themeShade="A6"/>
            </w:tcBorders>
            <w:shd w:val="clear" w:color="auto" w:fill="FBC5D6" w:themeFill="accent6" w:themeFillTint="33"/>
          </w:tcPr>
          <w:p w14:paraId="0E88ED67" w14:textId="77777777" w:rsidR="00751958" w:rsidRPr="005666A7" w:rsidRDefault="00751958" w:rsidP="00F36F0E">
            <w:pPr>
              <w:pStyle w:val="Body"/>
              <w:spacing w:after="0"/>
              <w:jc w:val="right"/>
              <w:rPr>
                <w:b/>
                <w:bCs/>
                <w:sz w:val="16"/>
                <w:szCs w:val="16"/>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360840D7" w14:textId="77777777" w:rsidR="00751958" w:rsidRPr="005666A7" w:rsidRDefault="00751958"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75AC4953" w14:textId="77777777" w:rsidR="00751958" w:rsidRPr="005666A7" w:rsidRDefault="00751958" w:rsidP="00F36F0E">
            <w:pPr>
              <w:pStyle w:val="Body"/>
              <w:spacing w:after="0"/>
              <w:jc w:val="right"/>
              <w:rPr>
                <w:rFonts w:ascii="Futura PT Book" w:hAnsi="Futura PT Book" w:cs="Futura PT Book"/>
                <w:b/>
                <w:bCs/>
                <w:color w:val="000000"/>
                <w:sz w:val="16"/>
                <w:szCs w:val="16"/>
                <w:lang w:val="en-US"/>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6D85F175" w14:textId="77777777" w:rsidR="00751958" w:rsidRPr="005666A7" w:rsidRDefault="00751958" w:rsidP="00F36F0E">
            <w:pPr>
              <w:pStyle w:val="Body"/>
              <w:spacing w:after="0"/>
              <w:jc w:val="right"/>
              <w:rPr>
                <w:rFonts w:ascii="Futura PT Book" w:hAnsi="Futura PT Book" w:cs="Futura PT Book"/>
                <w:b/>
                <w:bCs/>
                <w:color w:val="000000"/>
                <w:sz w:val="16"/>
                <w:szCs w:val="16"/>
                <w:lang w:val="en-US"/>
              </w:rPr>
            </w:pPr>
            <w:r>
              <w:rPr>
                <w:b/>
                <w:bCs/>
                <w:sz w:val="16"/>
                <w:szCs w:val="16"/>
              </w:rPr>
              <w:t>Full-time</w:t>
            </w:r>
          </w:p>
        </w:tc>
        <w:tc>
          <w:tcPr>
            <w:tcW w:w="850" w:type="dxa"/>
            <w:tcBorders>
              <w:bottom w:val="single" w:sz="4" w:space="0" w:color="A6A6A6" w:themeColor="background2" w:themeShade="A6"/>
            </w:tcBorders>
            <w:shd w:val="clear" w:color="auto" w:fill="FBC5D6" w:themeFill="accent6" w:themeFillTint="33"/>
          </w:tcPr>
          <w:p w14:paraId="468CFC88" w14:textId="77777777" w:rsidR="00751958" w:rsidRPr="005666A7" w:rsidRDefault="00751958" w:rsidP="00F36F0E">
            <w:pPr>
              <w:pStyle w:val="Body"/>
              <w:spacing w:after="0"/>
              <w:jc w:val="right"/>
              <w:rPr>
                <w:b/>
                <w:bCs/>
                <w:sz w:val="16"/>
                <w:szCs w:val="16"/>
              </w:rPr>
            </w:pPr>
            <w:r>
              <w:rPr>
                <w:b/>
                <w:bCs/>
                <w:sz w:val="16"/>
                <w:szCs w:val="16"/>
              </w:rPr>
              <w:t>Part-time</w:t>
            </w:r>
          </w:p>
        </w:tc>
        <w:tc>
          <w:tcPr>
            <w:tcW w:w="850" w:type="dxa"/>
            <w:tcBorders>
              <w:bottom w:val="single" w:sz="4" w:space="0" w:color="A6A6A6" w:themeColor="background2" w:themeShade="A6"/>
              <w:right w:val="single" w:sz="8" w:space="0" w:color="FFFFFF" w:themeColor="background2"/>
            </w:tcBorders>
            <w:shd w:val="clear" w:color="auto" w:fill="FBC5D6" w:themeFill="accent6" w:themeFillTint="33"/>
          </w:tcPr>
          <w:p w14:paraId="29C0BDF5" w14:textId="77777777" w:rsidR="00751958" w:rsidRPr="005666A7" w:rsidRDefault="00751958" w:rsidP="00F36F0E">
            <w:pPr>
              <w:pStyle w:val="Body"/>
              <w:spacing w:after="0"/>
              <w:jc w:val="right"/>
              <w:rPr>
                <w:b/>
                <w:bCs/>
                <w:sz w:val="16"/>
                <w:szCs w:val="16"/>
              </w:rPr>
            </w:pPr>
            <w:r>
              <w:rPr>
                <w:b/>
                <w:bCs/>
                <w:sz w:val="16"/>
                <w:szCs w:val="16"/>
              </w:rPr>
              <w:t>Total</w:t>
            </w:r>
          </w:p>
        </w:tc>
        <w:tc>
          <w:tcPr>
            <w:tcW w:w="850" w:type="dxa"/>
            <w:tcBorders>
              <w:left w:val="single" w:sz="8" w:space="0" w:color="FFFFFF" w:themeColor="background2"/>
              <w:bottom w:val="single" w:sz="4" w:space="0" w:color="A6A6A6" w:themeColor="background2" w:themeShade="A6"/>
            </w:tcBorders>
            <w:shd w:val="clear" w:color="auto" w:fill="FBC5D6" w:themeFill="accent6" w:themeFillTint="33"/>
          </w:tcPr>
          <w:p w14:paraId="62441D98" w14:textId="77777777" w:rsidR="00751958" w:rsidRPr="005666A7" w:rsidRDefault="00751958" w:rsidP="00F36F0E">
            <w:pPr>
              <w:pStyle w:val="Body"/>
              <w:spacing w:after="0"/>
              <w:jc w:val="right"/>
              <w:rPr>
                <w:b/>
                <w:bCs/>
                <w:sz w:val="16"/>
                <w:szCs w:val="16"/>
              </w:rPr>
            </w:pPr>
            <w:r>
              <w:rPr>
                <w:b/>
                <w:bCs/>
                <w:sz w:val="16"/>
                <w:szCs w:val="16"/>
              </w:rPr>
              <w:t>Total</w:t>
            </w:r>
          </w:p>
        </w:tc>
      </w:tr>
      <w:tr w:rsidR="00751958" w:rsidRPr="00906A47" w14:paraId="75B7A788"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6907EB0" w14:textId="77777777" w:rsidR="00751958" w:rsidRPr="00380ECA" w:rsidRDefault="00751958" w:rsidP="00633EA7">
            <w:pPr>
              <w:pStyle w:val="Body"/>
              <w:spacing w:after="0"/>
              <w:rPr>
                <w:rFonts w:ascii="Futura PT Book" w:hAnsi="Futura PT Book" w:cs="Futura PT Book"/>
                <w:color w:val="000000"/>
                <w:sz w:val="16"/>
                <w:szCs w:val="16"/>
                <w:lang w:val="en-US"/>
              </w:rPr>
            </w:pPr>
            <w:r>
              <w:rPr>
                <w:sz w:val="16"/>
                <w:szCs w:val="16"/>
              </w:rPr>
              <w:t>SES</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0590061"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17045ED"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7B379A3E"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1F254293"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377B33A"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5223B041"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3E2D94F1" w14:textId="77777777" w:rsidR="00751958" w:rsidRPr="00E60847" w:rsidRDefault="00751958" w:rsidP="00F36F0E">
            <w:pPr>
              <w:pStyle w:val="Body"/>
              <w:spacing w:after="0"/>
              <w:jc w:val="right"/>
              <w:rPr>
                <w:sz w:val="16"/>
                <w:szCs w:val="16"/>
              </w:rPr>
            </w:pPr>
            <w:r w:rsidRPr="00E60847">
              <w:rPr>
                <w:sz w:val="16"/>
                <w:szCs w:val="16"/>
              </w:rPr>
              <w:t>0</w:t>
            </w:r>
          </w:p>
        </w:tc>
      </w:tr>
      <w:tr w:rsidR="00751958" w:rsidRPr="00906A47" w14:paraId="48ED3772"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21A2FF46" w14:textId="77777777" w:rsidR="00751958" w:rsidRPr="00380ECA" w:rsidRDefault="00751958" w:rsidP="00633EA7">
            <w:pPr>
              <w:pStyle w:val="Body"/>
              <w:spacing w:after="0"/>
              <w:rPr>
                <w:rFonts w:ascii="Futura PT Book" w:hAnsi="Futura PT Book" w:cs="Futura PT Book"/>
                <w:color w:val="000000"/>
                <w:sz w:val="16"/>
                <w:szCs w:val="16"/>
                <w:lang w:val="en-US"/>
              </w:rPr>
            </w:pPr>
            <w:r>
              <w:rPr>
                <w:sz w:val="16"/>
                <w:szCs w:val="16"/>
              </w:rPr>
              <w:t>EL2</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527E571"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699DEB0"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38010072"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197AEE95"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1C1F8374"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002AAE6"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0162DE0D" w14:textId="77777777" w:rsidR="00751958" w:rsidRPr="00E60847" w:rsidRDefault="00751958" w:rsidP="00F36F0E">
            <w:pPr>
              <w:pStyle w:val="Body"/>
              <w:spacing w:after="0"/>
              <w:jc w:val="right"/>
              <w:rPr>
                <w:sz w:val="16"/>
                <w:szCs w:val="16"/>
              </w:rPr>
            </w:pPr>
            <w:r w:rsidRPr="00E60847">
              <w:rPr>
                <w:sz w:val="16"/>
                <w:szCs w:val="16"/>
              </w:rPr>
              <w:t>1</w:t>
            </w:r>
          </w:p>
        </w:tc>
      </w:tr>
      <w:tr w:rsidR="00751958" w:rsidRPr="00906A47" w14:paraId="09E2DCDC"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4F74E3DB" w14:textId="77777777" w:rsidR="00751958" w:rsidRPr="00380ECA" w:rsidRDefault="00751958" w:rsidP="00633EA7">
            <w:pPr>
              <w:pStyle w:val="Body"/>
              <w:spacing w:after="0"/>
              <w:rPr>
                <w:rFonts w:ascii="Futura PT Book" w:hAnsi="Futura PT Book" w:cs="Futura PT Book"/>
                <w:color w:val="000000"/>
                <w:sz w:val="16"/>
                <w:szCs w:val="16"/>
                <w:lang w:val="en-US"/>
              </w:rPr>
            </w:pPr>
            <w:r>
              <w:rPr>
                <w:sz w:val="16"/>
                <w:szCs w:val="16"/>
              </w:rPr>
              <w:t>EL1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25633DB"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0103698"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190B3D7D"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5F4296D6"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18A172F3"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4C39AA4"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5F102832" w14:textId="77777777" w:rsidR="00751958" w:rsidRPr="00E60847" w:rsidRDefault="00751958" w:rsidP="00F36F0E">
            <w:pPr>
              <w:pStyle w:val="Body"/>
              <w:spacing w:after="0"/>
              <w:jc w:val="right"/>
              <w:rPr>
                <w:sz w:val="16"/>
                <w:szCs w:val="16"/>
              </w:rPr>
            </w:pPr>
            <w:r w:rsidRPr="00E60847">
              <w:rPr>
                <w:sz w:val="16"/>
                <w:szCs w:val="16"/>
              </w:rPr>
              <w:t>2</w:t>
            </w:r>
          </w:p>
        </w:tc>
      </w:tr>
      <w:tr w:rsidR="00751958" w:rsidRPr="00906A47" w14:paraId="2EA780F1"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5F3F9D77" w14:textId="77777777" w:rsidR="00751958" w:rsidRPr="00380ECA" w:rsidRDefault="00751958" w:rsidP="00633EA7">
            <w:pPr>
              <w:pStyle w:val="Body"/>
              <w:spacing w:after="0"/>
              <w:rPr>
                <w:rFonts w:ascii="Futura PT Book" w:hAnsi="Futura PT Book" w:cs="Futura PT Book"/>
                <w:color w:val="000000"/>
                <w:sz w:val="16"/>
                <w:szCs w:val="16"/>
                <w:lang w:val="en-US"/>
              </w:rPr>
            </w:pPr>
            <w:r>
              <w:rPr>
                <w:sz w:val="16"/>
                <w:szCs w:val="16"/>
              </w:rPr>
              <w:t>APS Level 6</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2688CB41"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68EA3B1A"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7CEA4103"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1CD17DC" w14:textId="77777777" w:rsidR="00751958" w:rsidRPr="00E60847" w:rsidRDefault="00751958" w:rsidP="00F36F0E">
            <w:pPr>
              <w:pStyle w:val="Body"/>
              <w:spacing w:after="0"/>
              <w:jc w:val="right"/>
              <w:rPr>
                <w:rFonts w:ascii="Futura PT Book" w:hAnsi="Futura PT Book" w:cs="Futura PT Book"/>
                <w:color w:val="000000"/>
                <w:sz w:val="16"/>
                <w:szCs w:val="16"/>
                <w:lang w:val="en-US"/>
              </w:rPr>
            </w:pPr>
            <w:r w:rsidRPr="00E60847">
              <w:rPr>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741931DA"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059A7DB9" w14:textId="77777777" w:rsidR="00751958" w:rsidRPr="00E60847" w:rsidRDefault="00751958" w:rsidP="00F36F0E">
            <w:pPr>
              <w:pStyle w:val="Body"/>
              <w:spacing w:after="0"/>
              <w:jc w:val="right"/>
              <w:rPr>
                <w:sz w:val="16"/>
                <w:szCs w:val="16"/>
              </w:rPr>
            </w:pPr>
            <w:r w:rsidRPr="00E60847">
              <w:rPr>
                <w:sz w:val="16"/>
                <w:szCs w:val="16"/>
              </w:rPr>
              <w:t>1</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12D5C9B3" w14:textId="77777777" w:rsidR="00751958" w:rsidRPr="00E60847" w:rsidRDefault="00751958" w:rsidP="00F36F0E">
            <w:pPr>
              <w:pStyle w:val="Body"/>
              <w:spacing w:after="0"/>
              <w:jc w:val="right"/>
              <w:rPr>
                <w:sz w:val="16"/>
                <w:szCs w:val="16"/>
              </w:rPr>
            </w:pPr>
            <w:r w:rsidRPr="00E60847">
              <w:rPr>
                <w:sz w:val="16"/>
                <w:szCs w:val="16"/>
              </w:rPr>
              <w:t>2</w:t>
            </w:r>
          </w:p>
        </w:tc>
      </w:tr>
      <w:tr w:rsidR="00751958" w:rsidRPr="00906A47" w14:paraId="08FD6BC9" w14:textId="77777777" w:rsidTr="00F36F0E">
        <w:trPr>
          <w:trHeight w:val="20"/>
        </w:trPr>
        <w:tc>
          <w:tcPr>
            <w:tcW w:w="1284" w:type="dxa"/>
            <w:tcBorders>
              <w:top w:val="single" w:sz="4" w:space="0" w:color="A6A6A6" w:themeColor="background2" w:themeShade="A6"/>
              <w:bottom w:val="single" w:sz="4" w:space="0" w:color="A6A6A6" w:themeColor="background2" w:themeShade="A6"/>
            </w:tcBorders>
            <w:tcMar>
              <w:top w:w="113" w:type="dxa"/>
              <w:left w:w="113" w:type="dxa"/>
              <w:bottom w:w="113" w:type="dxa"/>
              <w:right w:w="113" w:type="dxa"/>
            </w:tcMar>
          </w:tcPr>
          <w:p w14:paraId="6B0A57C5" w14:textId="77777777" w:rsidR="00751958" w:rsidRPr="00380ECA" w:rsidRDefault="00751958" w:rsidP="00633EA7">
            <w:pPr>
              <w:pStyle w:val="Body"/>
              <w:spacing w:after="0"/>
              <w:rPr>
                <w:sz w:val="16"/>
                <w:szCs w:val="16"/>
              </w:rPr>
            </w:pPr>
            <w:r>
              <w:rPr>
                <w:sz w:val="16"/>
                <w:szCs w:val="16"/>
              </w:rPr>
              <w:t>APS Level 5</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06D5FF94"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ABA9087"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Mar>
              <w:top w:w="113" w:type="dxa"/>
              <w:left w:w="113" w:type="dxa"/>
              <w:bottom w:w="113" w:type="dxa"/>
              <w:right w:w="113" w:type="dxa"/>
            </w:tcMar>
          </w:tcPr>
          <w:p w14:paraId="42477AFC"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2F2F2" w:themeFill="background2" w:themeFillShade="F2"/>
          </w:tcPr>
          <w:p w14:paraId="4B45FD9F"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71FA210"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73992FD4" w14:textId="77777777" w:rsidR="00751958" w:rsidRPr="00E60847" w:rsidRDefault="00751958" w:rsidP="00F36F0E">
            <w:pPr>
              <w:pStyle w:val="Body"/>
              <w:spacing w:after="0"/>
              <w:jc w:val="right"/>
              <w:rPr>
                <w:sz w:val="16"/>
                <w:szCs w:val="16"/>
              </w:rPr>
            </w:pPr>
            <w:r w:rsidRPr="00E60847">
              <w:rPr>
                <w:sz w:val="16"/>
                <w:szCs w:val="16"/>
              </w:rPr>
              <w:t>0</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tcPr>
          <w:p w14:paraId="56CCC70F" w14:textId="77777777" w:rsidR="00751958" w:rsidRPr="00E60847" w:rsidRDefault="00751958" w:rsidP="00F36F0E">
            <w:pPr>
              <w:pStyle w:val="Body"/>
              <w:spacing w:after="0"/>
              <w:jc w:val="right"/>
              <w:rPr>
                <w:sz w:val="16"/>
                <w:szCs w:val="16"/>
              </w:rPr>
            </w:pPr>
            <w:r w:rsidRPr="00E60847">
              <w:rPr>
                <w:sz w:val="16"/>
                <w:szCs w:val="16"/>
              </w:rPr>
              <w:t>0</w:t>
            </w:r>
          </w:p>
        </w:tc>
      </w:tr>
      <w:tr w:rsidR="00751958" w:rsidRPr="00906A47" w14:paraId="5F8FB049" w14:textId="77777777" w:rsidTr="00F36F0E">
        <w:trPr>
          <w:trHeight w:val="20"/>
        </w:trPr>
        <w:tc>
          <w:tcPr>
            <w:tcW w:w="1284" w:type="dxa"/>
            <w:tcBorders>
              <w:top w:val="single" w:sz="4" w:space="0" w:color="A6A6A6" w:themeColor="background2" w:themeShade="A6"/>
              <w:bottom w:val="single" w:sz="4" w:space="0" w:color="A6A6A6" w:themeColor="background2" w:themeShade="A6"/>
            </w:tcBorders>
            <w:shd w:val="clear" w:color="auto" w:fill="FBC5D6" w:themeFill="accent6" w:themeFillTint="33"/>
            <w:tcMar>
              <w:top w:w="113" w:type="dxa"/>
              <w:left w:w="113" w:type="dxa"/>
              <w:bottom w:w="113" w:type="dxa"/>
              <w:right w:w="113" w:type="dxa"/>
            </w:tcMar>
          </w:tcPr>
          <w:p w14:paraId="7D1CAF9E" w14:textId="77777777" w:rsidR="00751958" w:rsidRPr="00E60847" w:rsidRDefault="00751958" w:rsidP="00633EA7">
            <w:pPr>
              <w:pStyle w:val="Body"/>
              <w:spacing w:after="0"/>
              <w:rPr>
                <w:b/>
                <w:bCs/>
                <w:sz w:val="16"/>
                <w:szCs w:val="16"/>
              </w:rPr>
            </w:pPr>
            <w:r w:rsidRPr="00E60847">
              <w:rPr>
                <w:b/>
                <w:bCs/>
                <w:sz w:val="16"/>
                <w:szCs w:val="16"/>
              </w:rPr>
              <w:t>Total</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508A4A0B" w14:textId="77777777" w:rsidR="00751958" w:rsidRPr="00E60847" w:rsidRDefault="00751958" w:rsidP="00F36F0E">
            <w:pPr>
              <w:pStyle w:val="Body"/>
              <w:spacing w:after="0"/>
              <w:jc w:val="right"/>
              <w:rPr>
                <w:b/>
                <w:bCs/>
                <w:sz w:val="16"/>
                <w:szCs w:val="16"/>
              </w:rPr>
            </w:pPr>
            <w:r w:rsidRPr="00E60847">
              <w:rPr>
                <w:b/>
                <w:bCs/>
                <w:sz w:val="16"/>
                <w:szCs w:val="16"/>
              </w:rPr>
              <w:t>2</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64475565" w14:textId="77777777" w:rsidR="00751958" w:rsidRPr="00E60847" w:rsidRDefault="00751958" w:rsidP="00F36F0E">
            <w:pPr>
              <w:pStyle w:val="Body"/>
              <w:spacing w:after="0"/>
              <w:jc w:val="right"/>
              <w:rPr>
                <w:b/>
                <w:bCs/>
                <w:sz w:val="16"/>
                <w:szCs w:val="16"/>
              </w:rPr>
            </w:pPr>
            <w:r w:rsidRPr="00E60847">
              <w:rPr>
                <w:b/>
                <w:bCs/>
                <w:sz w:val="16"/>
                <w:szCs w:val="16"/>
              </w:rPr>
              <w:t>0</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Mar>
              <w:top w:w="113" w:type="dxa"/>
              <w:left w:w="113" w:type="dxa"/>
              <w:bottom w:w="113" w:type="dxa"/>
              <w:right w:w="113" w:type="dxa"/>
            </w:tcMar>
          </w:tcPr>
          <w:p w14:paraId="1FA3F5E2" w14:textId="77777777" w:rsidR="00751958" w:rsidRPr="00E60847" w:rsidRDefault="00751958" w:rsidP="00F36F0E">
            <w:pPr>
              <w:pStyle w:val="Body"/>
              <w:spacing w:after="0"/>
              <w:jc w:val="right"/>
              <w:rPr>
                <w:b/>
                <w:bCs/>
                <w:sz w:val="16"/>
                <w:szCs w:val="16"/>
              </w:rPr>
            </w:pPr>
            <w:r w:rsidRPr="00E60847">
              <w:rPr>
                <w:b/>
                <w:bCs/>
                <w:sz w:val="16"/>
                <w:szCs w:val="16"/>
              </w:rPr>
              <w:t>2</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701CB20B" w14:textId="77777777" w:rsidR="00751958" w:rsidRPr="00E60847" w:rsidRDefault="00751958" w:rsidP="00F36F0E">
            <w:pPr>
              <w:pStyle w:val="Body"/>
              <w:spacing w:after="0"/>
              <w:jc w:val="right"/>
              <w:rPr>
                <w:b/>
                <w:bCs/>
                <w:sz w:val="16"/>
                <w:szCs w:val="16"/>
              </w:rPr>
            </w:pPr>
            <w:r w:rsidRPr="00E60847">
              <w:rPr>
                <w:b/>
                <w:bCs/>
                <w:sz w:val="16"/>
                <w:szCs w:val="16"/>
              </w:rPr>
              <w:t>1</w:t>
            </w:r>
          </w:p>
        </w:tc>
        <w:tc>
          <w:tcPr>
            <w:tcW w:w="850" w:type="dxa"/>
            <w:tcBorders>
              <w:top w:val="single" w:sz="4" w:space="0" w:color="A6A6A6" w:themeColor="background2" w:themeShade="A6"/>
              <w:bottom w:val="single" w:sz="4" w:space="0" w:color="A6A6A6" w:themeColor="background2" w:themeShade="A6"/>
            </w:tcBorders>
            <w:shd w:val="clear" w:color="auto" w:fill="FBC5D6" w:themeFill="accent6" w:themeFillTint="33"/>
          </w:tcPr>
          <w:p w14:paraId="17E75320" w14:textId="77777777" w:rsidR="00751958" w:rsidRPr="00E60847" w:rsidRDefault="00751958" w:rsidP="00F36F0E">
            <w:pPr>
              <w:pStyle w:val="Body"/>
              <w:spacing w:after="0"/>
              <w:jc w:val="right"/>
              <w:rPr>
                <w:b/>
                <w:bCs/>
                <w:sz w:val="16"/>
                <w:szCs w:val="16"/>
              </w:rPr>
            </w:pPr>
            <w:r w:rsidRPr="00E60847">
              <w:rPr>
                <w:b/>
                <w:bCs/>
                <w:sz w:val="16"/>
                <w:szCs w:val="16"/>
              </w:rPr>
              <w:t>2</w:t>
            </w:r>
          </w:p>
        </w:tc>
        <w:tc>
          <w:tcPr>
            <w:tcW w:w="850"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BC5D6" w:themeFill="accent6" w:themeFillTint="33"/>
          </w:tcPr>
          <w:p w14:paraId="206CA14F" w14:textId="77777777" w:rsidR="00751958" w:rsidRPr="00E60847" w:rsidRDefault="00751958" w:rsidP="00F36F0E">
            <w:pPr>
              <w:pStyle w:val="Body"/>
              <w:spacing w:after="0"/>
              <w:jc w:val="right"/>
              <w:rPr>
                <w:b/>
                <w:bCs/>
                <w:sz w:val="16"/>
                <w:szCs w:val="16"/>
              </w:rPr>
            </w:pPr>
            <w:r w:rsidRPr="00E60847">
              <w:rPr>
                <w:b/>
                <w:bCs/>
                <w:sz w:val="16"/>
                <w:szCs w:val="16"/>
              </w:rPr>
              <w:t>3</w:t>
            </w:r>
          </w:p>
        </w:tc>
        <w:tc>
          <w:tcPr>
            <w:tcW w:w="850" w:type="dxa"/>
            <w:tcBorders>
              <w:top w:val="single" w:sz="4" w:space="0" w:color="A6A6A6" w:themeColor="background2" w:themeShade="A6"/>
              <w:left w:val="single" w:sz="8" w:space="0" w:color="FFFFFF" w:themeColor="background2"/>
              <w:bottom w:val="single" w:sz="4" w:space="0" w:color="A6A6A6" w:themeColor="background2" w:themeShade="A6"/>
            </w:tcBorders>
            <w:shd w:val="clear" w:color="auto" w:fill="FBC5D6" w:themeFill="accent6" w:themeFillTint="33"/>
          </w:tcPr>
          <w:p w14:paraId="02750D66" w14:textId="77777777" w:rsidR="00751958" w:rsidRPr="00E60847" w:rsidRDefault="00751958" w:rsidP="00F36F0E">
            <w:pPr>
              <w:pStyle w:val="Body"/>
              <w:spacing w:after="0"/>
              <w:jc w:val="right"/>
              <w:rPr>
                <w:b/>
                <w:bCs/>
                <w:sz w:val="16"/>
                <w:szCs w:val="16"/>
              </w:rPr>
            </w:pPr>
            <w:r w:rsidRPr="00E60847">
              <w:rPr>
                <w:b/>
                <w:bCs/>
                <w:sz w:val="16"/>
                <w:szCs w:val="16"/>
              </w:rPr>
              <w:t>5</w:t>
            </w:r>
          </w:p>
        </w:tc>
      </w:tr>
    </w:tbl>
    <w:p w14:paraId="266ABD23" w14:textId="77777777" w:rsidR="00751958" w:rsidRDefault="00751958" w:rsidP="00751958">
      <w:pPr>
        <w:pStyle w:val="Body"/>
      </w:pPr>
    </w:p>
    <w:p w14:paraId="6F64CF01" w14:textId="613F4B5C" w:rsidR="006E2C52" w:rsidRDefault="006E2C52" w:rsidP="005666A7">
      <w:pPr>
        <w:pStyle w:val="Body"/>
      </w:pPr>
    </w:p>
    <w:p w14:paraId="543AF717" w14:textId="1F523E62" w:rsidR="006E2C52" w:rsidRDefault="006E2C52" w:rsidP="005666A7">
      <w:pPr>
        <w:pStyle w:val="Body"/>
      </w:pPr>
    </w:p>
    <w:p w14:paraId="44D26308" w14:textId="77777777" w:rsidR="005D422B" w:rsidRDefault="005D422B" w:rsidP="005666A7">
      <w:pPr>
        <w:pStyle w:val="Body"/>
        <w:sectPr w:rsidR="005D422B" w:rsidSect="0037181B">
          <w:headerReference w:type="default" r:id="rId92"/>
          <w:footerReference w:type="default" r:id="rId93"/>
          <w:pgSz w:w="9979" w:h="14175" w:code="13"/>
          <w:pgMar w:top="1134" w:right="1332" w:bottom="993" w:left="1418" w:header="709" w:footer="709" w:gutter="0"/>
          <w:cols w:space="623"/>
          <w:docGrid w:linePitch="360"/>
        </w:sectPr>
      </w:pPr>
    </w:p>
    <w:p w14:paraId="4590FCC4" w14:textId="77777777" w:rsidR="00FC0C6D" w:rsidRPr="005C0F04" w:rsidRDefault="00FC0C6D" w:rsidP="00FC0C6D">
      <w:pPr>
        <w:pStyle w:val="H3"/>
        <w:spacing w:before="0"/>
        <w:rPr>
          <w:color w:val="C40B46" w:themeColor="accent6"/>
        </w:rPr>
      </w:pPr>
      <w:bookmarkStart w:id="99" w:name="KeyManagementPersonnel"/>
      <w:r w:rsidRPr="005C0F04">
        <w:rPr>
          <w:color w:val="C40B46" w:themeColor="accent6"/>
        </w:rPr>
        <w:lastRenderedPageBreak/>
        <w:t>Key management personnel</w:t>
      </w:r>
    </w:p>
    <w:p w14:paraId="2609C6F9" w14:textId="6A73406D" w:rsidR="00FC0C6D" w:rsidRDefault="00FC0C6D" w:rsidP="00FC0C6D">
      <w:pPr>
        <w:pStyle w:val="FigureHeading"/>
      </w:pPr>
      <w:bookmarkStart w:id="100" w:name="_Toc48830280"/>
      <w:bookmarkEnd w:id="99"/>
      <w:r w:rsidRPr="00233B6F">
        <w:t xml:space="preserve">Table </w:t>
      </w:r>
      <w:r>
        <w:t>1</w:t>
      </w:r>
      <w:r w:rsidR="007F21E0">
        <w:t>2</w:t>
      </w:r>
      <w:r w:rsidRPr="00233B6F">
        <w:t xml:space="preserve">: </w:t>
      </w:r>
      <w:r>
        <w:t>Information about remuneration for key management personnel (KMP)</w:t>
      </w:r>
      <w:bookmarkEnd w:id="100"/>
    </w:p>
    <w:tbl>
      <w:tblPr>
        <w:tblStyle w:val="TableGrid"/>
        <w:tblW w:w="494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40" w:type="dxa"/>
          <w:left w:w="57" w:type="dxa"/>
          <w:bottom w:w="40" w:type="dxa"/>
          <w:right w:w="57" w:type="dxa"/>
        </w:tblCellMar>
        <w:tblLook w:val="0620" w:firstRow="1" w:lastRow="0" w:firstColumn="0" w:lastColumn="0" w:noHBand="1" w:noVBand="1"/>
      </w:tblPr>
      <w:tblGrid>
        <w:gridCol w:w="1418"/>
        <w:gridCol w:w="2693"/>
        <w:gridCol w:w="945"/>
        <w:gridCol w:w="945"/>
        <w:gridCol w:w="945"/>
        <w:gridCol w:w="1276"/>
        <w:gridCol w:w="992"/>
        <w:gridCol w:w="992"/>
        <w:gridCol w:w="851"/>
        <w:gridCol w:w="990"/>
      </w:tblGrid>
      <w:tr w:rsidR="00AD1A12" w:rsidRPr="00FF1B12" w14:paraId="48302486" w14:textId="77777777" w:rsidTr="00C72E77">
        <w:tc>
          <w:tcPr>
            <w:tcW w:w="4111" w:type="dxa"/>
            <w:gridSpan w:val="2"/>
            <w:tcBorders>
              <w:right w:val="single" w:sz="4" w:space="0" w:color="FFFFFF" w:themeColor="background2"/>
            </w:tcBorders>
            <w:shd w:val="clear" w:color="auto" w:fill="C40B46" w:themeFill="accent6"/>
          </w:tcPr>
          <w:p w14:paraId="41A27B0C" w14:textId="77777777" w:rsidR="00AD1A12" w:rsidRPr="00FF1B12" w:rsidRDefault="00AD1A12" w:rsidP="00630AEE">
            <w:pPr>
              <w:pStyle w:val="Body"/>
              <w:rPr>
                <w:color w:val="FFFFFF" w:themeColor="background2"/>
                <w:sz w:val="16"/>
                <w:szCs w:val="16"/>
              </w:rPr>
            </w:pPr>
          </w:p>
        </w:tc>
        <w:tc>
          <w:tcPr>
            <w:tcW w:w="2835" w:type="dxa"/>
            <w:gridSpan w:val="3"/>
            <w:tcBorders>
              <w:left w:val="single" w:sz="4" w:space="0" w:color="FFFFFF" w:themeColor="background2"/>
              <w:right w:val="single" w:sz="2" w:space="0" w:color="FFFFFF" w:themeColor="background2"/>
            </w:tcBorders>
            <w:shd w:val="clear" w:color="auto" w:fill="C40B46" w:themeFill="accent6"/>
            <w:vAlign w:val="center"/>
          </w:tcPr>
          <w:p w14:paraId="115744CB" w14:textId="77777777" w:rsidR="00AD1A12" w:rsidRPr="00FF1B12" w:rsidRDefault="00AD1A12" w:rsidP="00751958">
            <w:pPr>
              <w:pStyle w:val="Body"/>
              <w:jc w:val="center"/>
              <w:rPr>
                <w:color w:val="FFFFFF" w:themeColor="background2"/>
                <w:sz w:val="16"/>
                <w:szCs w:val="16"/>
              </w:rPr>
            </w:pPr>
            <w:r w:rsidRPr="00FF1B12">
              <w:rPr>
                <w:b/>
                <w:color w:val="FFFFFF" w:themeColor="background2"/>
                <w:sz w:val="16"/>
                <w:szCs w:val="16"/>
              </w:rPr>
              <w:t>Short term benefits</w:t>
            </w:r>
          </w:p>
        </w:tc>
        <w:tc>
          <w:tcPr>
            <w:tcW w:w="1276" w:type="dxa"/>
            <w:tcBorders>
              <w:left w:val="single" w:sz="2" w:space="0" w:color="FFFFFF" w:themeColor="background2"/>
              <w:right w:val="single" w:sz="2" w:space="0" w:color="FFFFFF" w:themeColor="background2"/>
            </w:tcBorders>
            <w:shd w:val="clear" w:color="auto" w:fill="C40B46" w:themeFill="accent6"/>
            <w:vAlign w:val="center"/>
          </w:tcPr>
          <w:p w14:paraId="5BF6D385" w14:textId="77777777" w:rsidR="00AD1A12" w:rsidRPr="00FF1B12" w:rsidRDefault="00AD1A12" w:rsidP="00751958">
            <w:pPr>
              <w:pStyle w:val="Body"/>
              <w:jc w:val="center"/>
              <w:rPr>
                <w:color w:val="FFFFFF" w:themeColor="background2"/>
                <w:sz w:val="16"/>
                <w:szCs w:val="16"/>
              </w:rPr>
            </w:pPr>
            <w:r w:rsidRPr="00FF1B12">
              <w:rPr>
                <w:b/>
                <w:color w:val="FFFFFF" w:themeColor="background2"/>
                <w:sz w:val="16"/>
                <w:szCs w:val="16"/>
              </w:rPr>
              <w:t>Post-employment benefits</w:t>
            </w:r>
          </w:p>
        </w:tc>
        <w:tc>
          <w:tcPr>
            <w:tcW w:w="1984" w:type="dxa"/>
            <w:gridSpan w:val="2"/>
            <w:tcBorders>
              <w:left w:val="single" w:sz="2" w:space="0" w:color="FFFFFF" w:themeColor="background2"/>
              <w:right w:val="single" w:sz="2" w:space="0" w:color="FFFFFF" w:themeColor="background2"/>
            </w:tcBorders>
            <w:shd w:val="clear" w:color="auto" w:fill="C40B46" w:themeFill="accent6"/>
            <w:vAlign w:val="center"/>
          </w:tcPr>
          <w:p w14:paraId="271D82DD" w14:textId="77777777" w:rsidR="00AD1A12" w:rsidRPr="00FF1B12" w:rsidRDefault="00AD1A12" w:rsidP="00751958">
            <w:pPr>
              <w:pStyle w:val="Body"/>
              <w:jc w:val="center"/>
              <w:rPr>
                <w:color w:val="FFFFFF" w:themeColor="background2"/>
                <w:sz w:val="16"/>
                <w:szCs w:val="16"/>
              </w:rPr>
            </w:pPr>
            <w:r w:rsidRPr="00FF1B12">
              <w:rPr>
                <w:b/>
                <w:color w:val="FFFFFF" w:themeColor="background2"/>
                <w:sz w:val="16"/>
                <w:szCs w:val="16"/>
              </w:rPr>
              <w:t>Other long-term benefits</w:t>
            </w:r>
          </w:p>
        </w:tc>
        <w:tc>
          <w:tcPr>
            <w:tcW w:w="1841" w:type="dxa"/>
            <w:gridSpan w:val="2"/>
            <w:tcBorders>
              <w:left w:val="single" w:sz="2" w:space="0" w:color="FFFFFF" w:themeColor="background2"/>
            </w:tcBorders>
            <w:shd w:val="clear" w:color="auto" w:fill="C40B46" w:themeFill="accent6"/>
          </w:tcPr>
          <w:p w14:paraId="32322131" w14:textId="77777777" w:rsidR="00AD1A12" w:rsidRPr="00FF1B12" w:rsidRDefault="00AD1A12" w:rsidP="00630AEE">
            <w:pPr>
              <w:pStyle w:val="Body"/>
              <w:rPr>
                <w:color w:val="FFFFFF" w:themeColor="background2"/>
                <w:sz w:val="16"/>
                <w:szCs w:val="16"/>
              </w:rPr>
            </w:pPr>
          </w:p>
        </w:tc>
      </w:tr>
      <w:tr w:rsidR="00AD1A12" w:rsidRPr="00FF1B12" w14:paraId="2E94D6DC" w14:textId="77777777" w:rsidTr="00C72E77">
        <w:tc>
          <w:tcPr>
            <w:tcW w:w="1418" w:type="dxa"/>
            <w:tcBorders>
              <w:right w:val="single" w:sz="2" w:space="0" w:color="BFBFBF" w:themeColor="background2" w:themeShade="BF"/>
            </w:tcBorders>
            <w:shd w:val="clear" w:color="auto" w:fill="F2F2F2" w:themeFill="background2" w:themeFillShade="F2"/>
          </w:tcPr>
          <w:p w14:paraId="79F60CB5" w14:textId="77777777" w:rsidR="00AD1A12" w:rsidRPr="009C60C8" w:rsidRDefault="00AD1A12" w:rsidP="00630AEE">
            <w:pPr>
              <w:pStyle w:val="Body"/>
              <w:rPr>
                <w:sz w:val="15"/>
                <w:szCs w:val="15"/>
              </w:rPr>
            </w:pPr>
            <w:r w:rsidRPr="009C60C8">
              <w:rPr>
                <w:b/>
                <w:sz w:val="15"/>
                <w:szCs w:val="15"/>
              </w:rPr>
              <w:t>Name</w:t>
            </w:r>
          </w:p>
        </w:tc>
        <w:tc>
          <w:tcPr>
            <w:tcW w:w="2693"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6F526866" w14:textId="77777777" w:rsidR="00AD1A12" w:rsidRPr="009C60C8" w:rsidRDefault="00AD1A12" w:rsidP="00630AEE">
            <w:pPr>
              <w:pStyle w:val="Body"/>
              <w:rPr>
                <w:sz w:val="15"/>
                <w:szCs w:val="15"/>
              </w:rPr>
            </w:pPr>
            <w:r w:rsidRPr="009C60C8">
              <w:rPr>
                <w:b/>
                <w:sz w:val="15"/>
                <w:szCs w:val="15"/>
              </w:rPr>
              <w:t>Position title</w:t>
            </w:r>
          </w:p>
        </w:tc>
        <w:tc>
          <w:tcPr>
            <w:tcW w:w="945"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477BF994" w14:textId="77777777" w:rsidR="00AD1A12" w:rsidRPr="009C60C8" w:rsidRDefault="00AD1A12" w:rsidP="00630AEE">
            <w:pPr>
              <w:pStyle w:val="Body"/>
              <w:jc w:val="center"/>
              <w:rPr>
                <w:sz w:val="15"/>
                <w:szCs w:val="15"/>
              </w:rPr>
            </w:pPr>
            <w:r w:rsidRPr="009C60C8">
              <w:rPr>
                <w:b/>
                <w:sz w:val="15"/>
                <w:szCs w:val="15"/>
              </w:rPr>
              <w:t>Base salary</w:t>
            </w:r>
          </w:p>
          <w:p w14:paraId="7A228B96" w14:textId="77777777" w:rsidR="00AD1A12" w:rsidRPr="009C60C8" w:rsidRDefault="00AD1A12" w:rsidP="00630AEE">
            <w:pPr>
              <w:pStyle w:val="Body"/>
              <w:jc w:val="center"/>
              <w:rPr>
                <w:sz w:val="15"/>
                <w:szCs w:val="15"/>
              </w:rPr>
            </w:pPr>
            <w:r w:rsidRPr="009C60C8">
              <w:rPr>
                <w:b/>
                <w:sz w:val="15"/>
                <w:szCs w:val="15"/>
              </w:rPr>
              <w:t>$</w:t>
            </w:r>
          </w:p>
        </w:tc>
        <w:tc>
          <w:tcPr>
            <w:tcW w:w="945"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1A51FE1E" w14:textId="77777777" w:rsidR="00AD1A12" w:rsidRPr="009C60C8" w:rsidRDefault="00AD1A12" w:rsidP="00630AEE">
            <w:pPr>
              <w:pStyle w:val="Body"/>
              <w:jc w:val="center"/>
              <w:rPr>
                <w:sz w:val="15"/>
                <w:szCs w:val="15"/>
              </w:rPr>
            </w:pPr>
            <w:r w:rsidRPr="009C60C8">
              <w:rPr>
                <w:b/>
                <w:sz w:val="15"/>
                <w:szCs w:val="15"/>
              </w:rPr>
              <w:t>Bonuses</w:t>
            </w:r>
          </w:p>
          <w:p w14:paraId="568E8BDB" w14:textId="77777777" w:rsidR="00AD1A12" w:rsidRPr="009C60C8" w:rsidRDefault="00AD1A12" w:rsidP="00630AEE">
            <w:pPr>
              <w:pStyle w:val="Body"/>
              <w:jc w:val="center"/>
              <w:rPr>
                <w:sz w:val="15"/>
                <w:szCs w:val="15"/>
              </w:rPr>
            </w:pPr>
            <w:r w:rsidRPr="009C60C8">
              <w:rPr>
                <w:b/>
                <w:sz w:val="15"/>
                <w:szCs w:val="15"/>
              </w:rPr>
              <w:t>$</w:t>
            </w:r>
          </w:p>
        </w:tc>
        <w:tc>
          <w:tcPr>
            <w:tcW w:w="945"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35982AEC" w14:textId="77777777" w:rsidR="00AD1A12" w:rsidRPr="009C60C8" w:rsidRDefault="00AD1A12" w:rsidP="00630AEE">
            <w:pPr>
              <w:pStyle w:val="Body"/>
              <w:jc w:val="center"/>
              <w:rPr>
                <w:sz w:val="15"/>
                <w:szCs w:val="15"/>
              </w:rPr>
            </w:pPr>
            <w:r w:rsidRPr="009C60C8">
              <w:rPr>
                <w:b/>
                <w:sz w:val="15"/>
                <w:szCs w:val="15"/>
              </w:rPr>
              <w:t>Other benefits and allowances $</w:t>
            </w:r>
          </w:p>
        </w:tc>
        <w:tc>
          <w:tcPr>
            <w:tcW w:w="1276"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29B37BD3" w14:textId="77777777" w:rsidR="00AD1A12" w:rsidRPr="009C60C8" w:rsidRDefault="00AD1A12" w:rsidP="00630AEE">
            <w:pPr>
              <w:pStyle w:val="Body"/>
              <w:jc w:val="center"/>
              <w:rPr>
                <w:sz w:val="15"/>
                <w:szCs w:val="15"/>
              </w:rPr>
            </w:pPr>
            <w:r w:rsidRPr="009C60C8">
              <w:rPr>
                <w:b/>
                <w:sz w:val="15"/>
                <w:szCs w:val="15"/>
              </w:rPr>
              <w:t>Superannuation</w:t>
            </w:r>
          </w:p>
          <w:p w14:paraId="65A20A31" w14:textId="77777777" w:rsidR="00AD1A12" w:rsidRPr="009C60C8" w:rsidRDefault="00AD1A12" w:rsidP="00630AEE">
            <w:pPr>
              <w:pStyle w:val="Body"/>
              <w:jc w:val="center"/>
              <w:rPr>
                <w:sz w:val="15"/>
                <w:szCs w:val="15"/>
              </w:rPr>
            </w:pPr>
            <w:r w:rsidRPr="009C60C8">
              <w:rPr>
                <w:b/>
                <w:sz w:val="15"/>
                <w:szCs w:val="15"/>
              </w:rPr>
              <w:t>Contributions</w:t>
            </w:r>
          </w:p>
          <w:p w14:paraId="146DF104" w14:textId="77777777" w:rsidR="00AD1A12" w:rsidRPr="009C60C8" w:rsidRDefault="00AD1A12" w:rsidP="00630AEE">
            <w:pPr>
              <w:pStyle w:val="Body"/>
              <w:jc w:val="center"/>
              <w:rPr>
                <w:sz w:val="15"/>
                <w:szCs w:val="15"/>
              </w:rPr>
            </w:pPr>
            <w:r w:rsidRPr="009C60C8">
              <w:rPr>
                <w:b/>
                <w:sz w:val="15"/>
                <w:szCs w:val="15"/>
              </w:rPr>
              <w:t>$</w:t>
            </w:r>
          </w:p>
        </w:tc>
        <w:tc>
          <w:tcPr>
            <w:tcW w:w="992"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58C3D98E" w14:textId="77777777" w:rsidR="00AD1A12" w:rsidRPr="009C60C8" w:rsidRDefault="00AD1A12" w:rsidP="00630AEE">
            <w:pPr>
              <w:pStyle w:val="Body"/>
              <w:jc w:val="center"/>
              <w:rPr>
                <w:sz w:val="15"/>
                <w:szCs w:val="15"/>
              </w:rPr>
            </w:pPr>
            <w:r w:rsidRPr="009C60C8">
              <w:rPr>
                <w:b/>
                <w:sz w:val="15"/>
                <w:szCs w:val="15"/>
              </w:rPr>
              <w:t>Long service leave</w:t>
            </w:r>
          </w:p>
          <w:p w14:paraId="6C7DF1C7" w14:textId="77777777" w:rsidR="00AD1A12" w:rsidRPr="009C60C8" w:rsidRDefault="00AD1A12" w:rsidP="00630AEE">
            <w:pPr>
              <w:pStyle w:val="Body"/>
              <w:jc w:val="center"/>
              <w:rPr>
                <w:sz w:val="15"/>
                <w:szCs w:val="15"/>
              </w:rPr>
            </w:pPr>
            <w:r w:rsidRPr="009C60C8">
              <w:rPr>
                <w:b/>
                <w:sz w:val="15"/>
                <w:szCs w:val="15"/>
              </w:rPr>
              <w:t>$</w:t>
            </w:r>
          </w:p>
        </w:tc>
        <w:tc>
          <w:tcPr>
            <w:tcW w:w="992"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36B14D4A" w14:textId="77777777" w:rsidR="00AD1A12" w:rsidRPr="009C60C8" w:rsidRDefault="00AD1A12" w:rsidP="00630AEE">
            <w:pPr>
              <w:pStyle w:val="Body"/>
              <w:jc w:val="center"/>
              <w:rPr>
                <w:sz w:val="15"/>
                <w:szCs w:val="15"/>
              </w:rPr>
            </w:pPr>
            <w:r w:rsidRPr="009C60C8">
              <w:rPr>
                <w:b/>
                <w:sz w:val="15"/>
                <w:szCs w:val="15"/>
              </w:rPr>
              <w:t>Other long term benefits</w:t>
            </w:r>
          </w:p>
          <w:p w14:paraId="4AEEDC3C" w14:textId="77777777" w:rsidR="00AD1A12" w:rsidRPr="009C60C8" w:rsidRDefault="00AD1A12" w:rsidP="00630AEE">
            <w:pPr>
              <w:pStyle w:val="Body"/>
              <w:jc w:val="center"/>
              <w:rPr>
                <w:sz w:val="15"/>
                <w:szCs w:val="15"/>
              </w:rPr>
            </w:pPr>
            <w:r w:rsidRPr="009C60C8">
              <w:rPr>
                <w:b/>
                <w:sz w:val="15"/>
                <w:szCs w:val="15"/>
              </w:rPr>
              <w:t>$</w:t>
            </w:r>
          </w:p>
        </w:tc>
        <w:tc>
          <w:tcPr>
            <w:tcW w:w="851"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4883C728" w14:textId="77777777" w:rsidR="00AD1A12" w:rsidRPr="009C60C8" w:rsidRDefault="00AD1A12" w:rsidP="00630AEE">
            <w:pPr>
              <w:pStyle w:val="Body"/>
              <w:jc w:val="center"/>
              <w:rPr>
                <w:sz w:val="15"/>
                <w:szCs w:val="15"/>
              </w:rPr>
            </w:pPr>
            <w:r w:rsidRPr="009C60C8">
              <w:rPr>
                <w:b/>
                <w:sz w:val="15"/>
                <w:szCs w:val="15"/>
              </w:rPr>
              <w:t>Termination</w:t>
            </w:r>
          </w:p>
          <w:p w14:paraId="027C2FD0" w14:textId="77777777" w:rsidR="00AD1A12" w:rsidRPr="009C60C8" w:rsidRDefault="00AD1A12" w:rsidP="00630AEE">
            <w:pPr>
              <w:pStyle w:val="Body"/>
              <w:jc w:val="center"/>
              <w:rPr>
                <w:sz w:val="15"/>
                <w:szCs w:val="15"/>
              </w:rPr>
            </w:pPr>
            <w:r w:rsidRPr="009C60C8">
              <w:rPr>
                <w:b/>
                <w:sz w:val="15"/>
                <w:szCs w:val="15"/>
              </w:rPr>
              <w:t>benefits</w:t>
            </w:r>
          </w:p>
          <w:p w14:paraId="7142EFB6" w14:textId="77777777" w:rsidR="00AD1A12" w:rsidRPr="009C60C8" w:rsidRDefault="00AD1A12" w:rsidP="00630AEE">
            <w:pPr>
              <w:pStyle w:val="Body"/>
              <w:jc w:val="center"/>
              <w:rPr>
                <w:sz w:val="15"/>
                <w:szCs w:val="15"/>
              </w:rPr>
            </w:pPr>
            <w:r w:rsidRPr="009C60C8">
              <w:rPr>
                <w:b/>
                <w:sz w:val="15"/>
                <w:szCs w:val="15"/>
              </w:rPr>
              <w:t>$</w:t>
            </w:r>
          </w:p>
        </w:tc>
        <w:tc>
          <w:tcPr>
            <w:tcW w:w="990" w:type="dxa"/>
            <w:tcBorders>
              <w:left w:val="single" w:sz="2" w:space="0" w:color="BFBFBF" w:themeColor="background2" w:themeShade="BF"/>
            </w:tcBorders>
            <w:shd w:val="clear" w:color="auto" w:fill="F2F2F2" w:themeFill="background2" w:themeFillShade="F2"/>
          </w:tcPr>
          <w:p w14:paraId="2FF31F51" w14:textId="77777777" w:rsidR="00AD1A12" w:rsidRPr="009C60C8" w:rsidRDefault="00AD1A12" w:rsidP="00630AEE">
            <w:pPr>
              <w:pStyle w:val="Body"/>
              <w:jc w:val="center"/>
              <w:rPr>
                <w:sz w:val="15"/>
                <w:szCs w:val="15"/>
              </w:rPr>
            </w:pPr>
            <w:r w:rsidRPr="009C60C8">
              <w:rPr>
                <w:b/>
                <w:sz w:val="15"/>
                <w:szCs w:val="15"/>
              </w:rPr>
              <w:t>Total</w:t>
            </w:r>
          </w:p>
          <w:p w14:paraId="1D053D1F" w14:textId="77777777" w:rsidR="00AD1A12" w:rsidRPr="009C60C8" w:rsidRDefault="00AD1A12" w:rsidP="00630AEE">
            <w:pPr>
              <w:pStyle w:val="Body"/>
              <w:jc w:val="center"/>
              <w:rPr>
                <w:sz w:val="15"/>
                <w:szCs w:val="15"/>
              </w:rPr>
            </w:pPr>
            <w:r w:rsidRPr="009C60C8">
              <w:rPr>
                <w:b/>
                <w:sz w:val="15"/>
                <w:szCs w:val="15"/>
              </w:rPr>
              <w:t>remuneration</w:t>
            </w:r>
          </w:p>
          <w:p w14:paraId="6D0687CE" w14:textId="77777777" w:rsidR="00AD1A12" w:rsidRPr="009C60C8" w:rsidRDefault="00AD1A12" w:rsidP="00630AEE">
            <w:pPr>
              <w:pStyle w:val="Body"/>
              <w:jc w:val="center"/>
              <w:rPr>
                <w:sz w:val="15"/>
                <w:szCs w:val="15"/>
              </w:rPr>
            </w:pPr>
            <w:r w:rsidRPr="009C60C8">
              <w:rPr>
                <w:b/>
                <w:sz w:val="15"/>
                <w:szCs w:val="15"/>
              </w:rPr>
              <w:t>$</w:t>
            </w:r>
          </w:p>
        </w:tc>
      </w:tr>
      <w:tr w:rsidR="00DB5F78" w:rsidRPr="00FF1B12" w14:paraId="7DA11CC8" w14:textId="77777777" w:rsidTr="00C72E77">
        <w:tc>
          <w:tcPr>
            <w:tcW w:w="1418" w:type="dxa"/>
            <w:tcBorders>
              <w:bottom w:val="single" w:sz="2" w:space="0" w:color="D9D9D9" w:themeColor="background2" w:themeShade="D9"/>
              <w:right w:val="single" w:sz="2" w:space="0" w:color="D9D9D9" w:themeColor="background2" w:themeShade="D9"/>
            </w:tcBorders>
          </w:tcPr>
          <w:p w14:paraId="1F03747D" w14:textId="3533B82A" w:rsidR="00DB5F78" w:rsidRPr="009C60C8" w:rsidRDefault="00DB5F78" w:rsidP="00DB5F78">
            <w:pPr>
              <w:pStyle w:val="Body"/>
              <w:rPr>
                <w:sz w:val="15"/>
                <w:szCs w:val="15"/>
              </w:rPr>
            </w:pPr>
            <w:r w:rsidRPr="009C60C8">
              <w:rPr>
                <w:sz w:val="15"/>
                <w:szCs w:val="15"/>
              </w:rPr>
              <w:t>Glenn Appleyard</w:t>
            </w:r>
            <w:r>
              <w:rPr>
                <w:rStyle w:val="FootnoteReference"/>
                <w:sz w:val="15"/>
                <w:szCs w:val="15"/>
              </w:rPr>
              <w:footnoteReference w:id="5"/>
            </w:r>
          </w:p>
        </w:tc>
        <w:tc>
          <w:tcPr>
            <w:tcW w:w="2693"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6298AC96"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621D3C8" w14:textId="44F4B632" w:rsidR="00DB5F78" w:rsidRPr="00DB5F78" w:rsidRDefault="00DB5F78" w:rsidP="00DB5F78">
            <w:pPr>
              <w:pStyle w:val="Body"/>
              <w:jc w:val="center"/>
              <w:rPr>
                <w:sz w:val="15"/>
                <w:szCs w:val="15"/>
              </w:rPr>
            </w:pPr>
            <w:r w:rsidRPr="00DB5F78">
              <w:rPr>
                <w:sz w:val="15"/>
                <w:szCs w:val="15"/>
              </w:rPr>
              <w:t>37,741</w:t>
            </w:r>
          </w:p>
        </w:tc>
        <w:tc>
          <w:tcPr>
            <w:tcW w:w="945"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2AC6589A" w14:textId="77777777" w:rsidR="00DB5F78" w:rsidRPr="009C60C8" w:rsidRDefault="00DB5F78" w:rsidP="00DB5F78">
            <w:pPr>
              <w:pStyle w:val="Body"/>
              <w:jc w:val="center"/>
              <w:rPr>
                <w:sz w:val="15"/>
                <w:szCs w:val="15"/>
              </w:rPr>
            </w:pPr>
            <w:r w:rsidRPr="009C60C8">
              <w:rPr>
                <w:sz w:val="15"/>
                <w:szCs w:val="15"/>
              </w:rPr>
              <w:t>-</w:t>
            </w:r>
          </w:p>
        </w:tc>
        <w:tc>
          <w:tcPr>
            <w:tcW w:w="945"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1641E796" w14:textId="77777777" w:rsidR="00DB5F78" w:rsidRPr="009C60C8" w:rsidRDefault="00DB5F78" w:rsidP="00DB5F78">
            <w:pPr>
              <w:pStyle w:val="Body"/>
              <w:jc w:val="center"/>
              <w:rPr>
                <w:sz w:val="15"/>
                <w:szCs w:val="15"/>
              </w:rPr>
            </w:pPr>
            <w:r w:rsidRPr="009C60C8">
              <w:rPr>
                <w:sz w:val="15"/>
                <w:szCs w:val="15"/>
              </w:rPr>
              <w:t>-</w:t>
            </w:r>
          </w:p>
        </w:tc>
        <w:tc>
          <w:tcPr>
            <w:tcW w:w="1276" w:type="dxa"/>
            <w:tcBorders>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795E1E96" w14:textId="710C6AD3" w:rsidR="00DB5F78" w:rsidRPr="00DB5F78" w:rsidRDefault="00DB5F78" w:rsidP="00DB5F78">
            <w:pPr>
              <w:pStyle w:val="Body"/>
              <w:jc w:val="center"/>
              <w:rPr>
                <w:sz w:val="15"/>
                <w:szCs w:val="15"/>
              </w:rPr>
            </w:pPr>
            <w:r w:rsidRPr="00DB5F78">
              <w:rPr>
                <w:sz w:val="15"/>
                <w:szCs w:val="15"/>
              </w:rPr>
              <w:t>5,776</w:t>
            </w:r>
          </w:p>
        </w:tc>
        <w:tc>
          <w:tcPr>
            <w:tcW w:w="992"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2AC84A11" w14:textId="77777777" w:rsidR="00DB5F78" w:rsidRPr="009C60C8" w:rsidRDefault="00DB5F78" w:rsidP="00DB5F78">
            <w:pPr>
              <w:pStyle w:val="Body"/>
              <w:jc w:val="center"/>
              <w:rPr>
                <w:sz w:val="15"/>
                <w:szCs w:val="15"/>
              </w:rPr>
            </w:pPr>
            <w:r w:rsidRPr="009C60C8">
              <w:rPr>
                <w:sz w:val="15"/>
                <w:szCs w:val="15"/>
              </w:rPr>
              <w:t>-</w:t>
            </w:r>
          </w:p>
        </w:tc>
        <w:tc>
          <w:tcPr>
            <w:tcW w:w="992"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60CE4577" w14:textId="77777777" w:rsidR="00DB5F78" w:rsidRPr="009C60C8" w:rsidRDefault="00DB5F78" w:rsidP="00DB5F78">
            <w:pPr>
              <w:pStyle w:val="Body"/>
              <w:jc w:val="center"/>
              <w:rPr>
                <w:sz w:val="15"/>
                <w:szCs w:val="15"/>
              </w:rPr>
            </w:pPr>
            <w:r w:rsidRPr="009C60C8">
              <w:rPr>
                <w:sz w:val="15"/>
                <w:szCs w:val="15"/>
              </w:rPr>
              <w:t>-</w:t>
            </w:r>
          </w:p>
        </w:tc>
        <w:tc>
          <w:tcPr>
            <w:tcW w:w="851"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644BD785" w14:textId="77777777" w:rsidR="00DB5F78" w:rsidRPr="009C60C8" w:rsidRDefault="00DB5F78" w:rsidP="00DB5F78">
            <w:pPr>
              <w:pStyle w:val="Body"/>
              <w:jc w:val="center"/>
              <w:rPr>
                <w:sz w:val="15"/>
                <w:szCs w:val="15"/>
              </w:rPr>
            </w:pPr>
            <w:r w:rsidRPr="009C60C8">
              <w:rPr>
                <w:sz w:val="15"/>
                <w:szCs w:val="15"/>
              </w:rPr>
              <w:t>-</w:t>
            </w:r>
          </w:p>
        </w:tc>
        <w:tc>
          <w:tcPr>
            <w:tcW w:w="990" w:type="dxa"/>
            <w:tcBorders>
              <w:left w:val="single" w:sz="2" w:space="0" w:color="D9D9D9" w:themeColor="background2" w:themeShade="D9"/>
              <w:bottom w:val="single" w:sz="2" w:space="0" w:color="D9D9D9" w:themeColor="background2" w:themeShade="D9"/>
            </w:tcBorders>
            <w:vAlign w:val="center"/>
          </w:tcPr>
          <w:p w14:paraId="4C97FBBB" w14:textId="6B79673B" w:rsidR="00DB5F78" w:rsidRPr="00DB5F78" w:rsidRDefault="00DB5F78" w:rsidP="00DB5F78">
            <w:pPr>
              <w:pStyle w:val="Body"/>
              <w:jc w:val="center"/>
              <w:rPr>
                <w:sz w:val="15"/>
                <w:szCs w:val="15"/>
              </w:rPr>
            </w:pPr>
            <w:r w:rsidRPr="00DB5F78">
              <w:rPr>
                <w:sz w:val="15"/>
                <w:szCs w:val="15"/>
              </w:rPr>
              <w:t>43,517</w:t>
            </w:r>
          </w:p>
        </w:tc>
      </w:tr>
      <w:tr w:rsidR="00DB5F78" w:rsidRPr="00FF1B12" w14:paraId="5604C8DF"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7BA3FAD7" w14:textId="77777777" w:rsidR="00DB5F78" w:rsidRPr="009C60C8" w:rsidRDefault="00DB5F78" w:rsidP="00DB5F78">
            <w:pPr>
              <w:pStyle w:val="Body"/>
              <w:rPr>
                <w:sz w:val="15"/>
                <w:szCs w:val="15"/>
              </w:rPr>
            </w:pPr>
            <w:r w:rsidRPr="009C60C8">
              <w:rPr>
                <w:sz w:val="15"/>
                <w:szCs w:val="15"/>
              </w:rPr>
              <w:t>Bruce Chater</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CDAFC5F"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5810A280" w14:textId="0FA88E8A" w:rsidR="00DB5F78" w:rsidRPr="00DB5F78" w:rsidRDefault="00DB5F78" w:rsidP="00DB5F78">
            <w:pPr>
              <w:pStyle w:val="Body"/>
              <w:jc w:val="center"/>
              <w:rPr>
                <w:sz w:val="15"/>
                <w:szCs w:val="15"/>
              </w:rPr>
            </w:pPr>
            <w:r w:rsidRPr="00DB5F78">
              <w:rPr>
                <w:sz w:val="15"/>
                <w:szCs w:val="15"/>
              </w:rPr>
              <w:t>31,741</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136E81D"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2734B53"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C1D57C4" w14:textId="1BB8D03E" w:rsidR="00DB5F78" w:rsidRPr="00DB5F78" w:rsidRDefault="00DB5F78" w:rsidP="00DB5F78">
            <w:pPr>
              <w:pStyle w:val="Body"/>
              <w:jc w:val="center"/>
              <w:rPr>
                <w:sz w:val="15"/>
                <w:szCs w:val="15"/>
              </w:rPr>
            </w:pPr>
            <w:r w:rsidRPr="00DB5F78">
              <w:rPr>
                <w:sz w:val="15"/>
                <w:szCs w:val="15"/>
              </w:rPr>
              <w:t>3,015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CBCBEEB" w14:textId="77777777" w:rsidR="00DB5F78" w:rsidRPr="009C60C8" w:rsidRDefault="00DB5F78" w:rsidP="00DB5F78">
            <w:pPr>
              <w:pStyle w:val="Body"/>
              <w:jc w:val="center"/>
              <w:rPr>
                <w:sz w:val="15"/>
                <w:szCs w:val="15"/>
              </w:rPr>
            </w:pPr>
            <w:r w:rsidRPr="009C60C8">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FF4F724"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3B9FBA4"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20F79B12" w14:textId="07986FCD" w:rsidR="00DB5F78" w:rsidRPr="00DB5F78" w:rsidRDefault="00DB5F78" w:rsidP="00DB5F78">
            <w:pPr>
              <w:pStyle w:val="Body"/>
              <w:jc w:val="center"/>
              <w:rPr>
                <w:sz w:val="15"/>
                <w:szCs w:val="15"/>
              </w:rPr>
            </w:pPr>
            <w:r w:rsidRPr="00DB5F78">
              <w:rPr>
                <w:sz w:val="15"/>
                <w:szCs w:val="15"/>
              </w:rPr>
              <w:t>34,756</w:t>
            </w:r>
          </w:p>
        </w:tc>
      </w:tr>
      <w:tr w:rsidR="00DB5F78" w:rsidRPr="00FF1B12" w14:paraId="1FAD24BF"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109AE9DB" w14:textId="77777777" w:rsidR="00DB5F78" w:rsidRPr="009C60C8" w:rsidRDefault="00DB5F78" w:rsidP="00DB5F78">
            <w:pPr>
              <w:pStyle w:val="Body"/>
              <w:rPr>
                <w:sz w:val="15"/>
                <w:szCs w:val="15"/>
              </w:rPr>
            </w:pPr>
            <w:r w:rsidRPr="009C60C8">
              <w:rPr>
                <w:sz w:val="15"/>
                <w:szCs w:val="15"/>
              </w:rPr>
              <w:t>James Downie</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20A3E0B" w14:textId="77777777" w:rsidR="00DB5F78" w:rsidRPr="009C60C8" w:rsidRDefault="00DB5F78" w:rsidP="00DB5F78">
            <w:pPr>
              <w:pStyle w:val="Body"/>
              <w:rPr>
                <w:sz w:val="15"/>
                <w:szCs w:val="15"/>
              </w:rPr>
            </w:pPr>
            <w:r w:rsidRPr="009C60C8">
              <w:rPr>
                <w:sz w:val="15"/>
                <w:szCs w:val="15"/>
              </w:rPr>
              <w:t>Chief Executive Officer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7DFAEA68" w14:textId="17737D62" w:rsidR="00DB5F78" w:rsidRPr="00DB5F78" w:rsidRDefault="00DB5F78" w:rsidP="00DB5F78">
            <w:pPr>
              <w:pStyle w:val="Body"/>
              <w:jc w:val="center"/>
              <w:rPr>
                <w:sz w:val="15"/>
                <w:szCs w:val="15"/>
              </w:rPr>
            </w:pPr>
            <w:r w:rsidRPr="00DB5F78">
              <w:rPr>
                <w:sz w:val="15"/>
                <w:szCs w:val="15"/>
              </w:rPr>
              <w:t>455,225</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DFFA3C0"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339BBE9"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08EADE92" w14:textId="1AE80D7E" w:rsidR="00DB5F78" w:rsidRPr="00DB5F78" w:rsidRDefault="00DB5F78" w:rsidP="00DB5F78">
            <w:pPr>
              <w:pStyle w:val="Body"/>
              <w:jc w:val="center"/>
              <w:rPr>
                <w:sz w:val="15"/>
                <w:szCs w:val="15"/>
              </w:rPr>
            </w:pPr>
            <w:r w:rsidRPr="00DB5F78">
              <w:rPr>
                <w:sz w:val="15"/>
                <w:szCs w:val="15"/>
              </w:rPr>
              <w:t>20,935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5694382" w14:textId="05F2D8FD" w:rsidR="00DB5F78" w:rsidRPr="009C60C8" w:rsidRDefault="00DB5F78" w:rsidP="00DB5F78">
            <w:pPr>
              <w:pStyle w:val="Body"/>
              <w:jc w:val="center"/>
              <w:rPr>
                <w:sz w:val="15"/>
                <w:szCs w:val="15"/>
              </w:rPr>
            </w:pPr>
            <w:r>
              <w:rPr>
                <w:sz w:val="15"/>
                <w:szCs w:val="15"/>
              </w:rPr>
              <w:t>8,665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24F9C1C"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3249564"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0D841883" w14:textId="3BDA74B4" w:rsidR="00DB5F78" w:rsidRPr="00DB5F78" w:rsidRDefault="00DB5F78" w:rsidP="00DB5F78">
            <w:pPr>
              <w:pStyle w:val="Body"/>
              <w:jc w:val="center"/>
              <w:rPr>
                <w:sz w:val="15"/>
                <w:szCs w:val="15"/>
              </w:rPr>
            </w:pPr>
            <w:r w:rsidRPr="00DB5F78">
              <w:rPr>
                <w:sz w:val="15"/>
                <w:szCs w:val="15"/>
              </w:rPr>
              <w:t>484,825</w:t>
            </w:r>
          </w:p>
        </w:tc>
      </w:tr>
      <w:tr w:rsidR="00DB5F78" w:rsidRPr="00FF1B12" w14:paraId="17F64A11"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50676DFB" w14:textId="77777777" w:rsidR="00DB5F78" w:rsidRPr="009C60C8" w:rsidRDefault="00DB5F78" w:rsidP="00DB5F78">
            <w:pPr>
              <w:pStyle w:val="Body"/>
              <w:rPr>
                <w:sz w:val="15"/>
                <w:szCs w:val="15"/>
              </w:rPr>
            </w:pPr>
            <w:r w:rsidRPr="009C60C8">
              <w:rPr>
                <w:sz w:val="15"/>
                <w:szCs w:val="15"/>
              </w:rPr>
              <w:t>Prudence Ford</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AF311AC"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49F9C502" w14:textId="76711880" w:rsidR="00DB5F78" w:rsidRPr="00DB5F78" w:rsidRDefault="00DB5F78" w:rsidP="00DB5F78">
            <w:pPr>
              <w:pStyle w:val="Body"/>
              <w:jc w:val="center"/>
              <w:rPr>
                <w:sz w:val="15"/>
                <w:szCs w:val="15"/>
              </w:rPr>
            </w:pPr>
            <w:r w:rsidRPr="00DB5F78">
              <w:rPr>
                <w:sz w:val="15"/>
                <w:szCs w:val="15"/>
              </w:rPr>
              <w:t>31,741</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E07A92F"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6F2202D"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21C94FB7" w14:textId="4F32E87A" w:rsidR="00DB5F78" w:rsidRPr="00DB5F78" w:rsidRDefault="00DB5F78" w:rsidP="00DB5F78">
            <w:pPr>
              <w:pStyle w:val="Body"/>
              <w:jc w:val="center"/>
              <w:rPr>
                <w:sz w:val="15"/>
                <w:szCs w:val="15"/>
              </w:rPr>
            </w:pPr>
            <w:r w:rsidRPr="00DB5F78">
              <w:rPr>
                <w:sz w:val="15"/>
                <w:szCs w:val="15"/>
              </w:rPr>
              <w:t>3,015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303F280" w14:textId="4BC22DD1"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97AFC3C"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E2B3435"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6A7EA7BF" w14:textId="318A40D1" w:rsidR="00DB5F78" w:rsidRPr="00DB5F78" w:rsidRDefault="00DB5F78" w:rsidP="00DB5F78">
            <w:pPr>
              <w:pStyle w:val="Body"/>
              <w:jc w:val="center"/>
              <w:rPr>
                <w:sz w:val="15"/>
                <w:szCs w:val="15"/>
              </w:rPr>
            </w:pPr>
            <w:r w:rsidRPr="00DB5F78">
              <w:rPr>
                <w:sz w:val="15"/>
                <w:szCs w:val="15"/>
              </w:rPr>
              <w:t>34,756</w:t>
            </w:r>
          </w:p>
        </w:tc>
      </w:tr>
      <w:tr w:rsidR="00DB5F78" w:rsidRPr="00FF1B12" w14:paraId="632415B1"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5E84356E" w14:textId="77777777" w:rsidR="00DB5F78" w:rsidRPr="009C60C8" w:rsidRDefault="00DB5F78" w:rsidP="00DB5F78">
            <w:pPr>
              <w:pStyle w:val="Body"/>
              <w:rPr>
                <w:sz w:val="15"/>
                <w:szCs w:val="15"/>
              </w:rPr>
            </w:pPr>
            <w:r w:rsidRPr="009C60C8">
              <w:rPr>
                <w:sz w:val="15"/>
                <w:szCs w:val="15"/>
              </w:rPr>
              <w:t>Jane Hall</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102B333"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2FA17722" w14:textId="2247581B" w:rsidR="00DB5F78" w:rsidRPr="00DB5F78" w:rsidRDefault="00DB5F78" w:rsidP="00DB5F78">
            <w:pPr>
              <w:pStyle w:val="Body"/>
              <w:jc w:val="center"/>
              <w:rPr>
                <w:sz w:val="15"/>
                <w:szCs w:val="15"/>
              </w:rPr>
            </w:pPr>
            <w:r w:rsidRPr="00DB5F78">
              <w:rPr>
                <w:sz w:val="15"/>
                <w:szCs w:val="15"/>
              </w:rPr>
              <w:t>31,741</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0641164"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9FC1273"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565CBFE9" w14:textId="6F52A836" w:rsidR="00DB5F78" w:rsidRPr="00DB5F78" w:rsidRDefault="00DB5F78" w:rsidP="00DB5F78">
            <w:pPr>
              <w:pStyle w:val="Body"/>
              <w:jc w:val="center"/>
              <w:rPr>
                <w:sz w:val="15"/>
                <w:szCs w:val="15"/>
              </w:rPr>
            </w:pPr>
            <w:r w:rsidRPr="00DB5F78">
              <w:rPr>
                <w:sz w:val="15"/>
                <w:szCs w:val="15"/>
              </w:rPr>
              <w:t>3,015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F3B2A7B" w14:textId="74936A5C"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BD98C8B"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3F1A4DC"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284E6922" w14:textId="3E729ABD" w:rsidR="00DB5F78" w:rsidRPr="00DB5F78" w:rsidRDefault="00DB5F78" w:rsidP="00DB5F78">
            <w:pPr>
              <w:pStyle w:val="Body"/>
              <w:jc w:val="center"/>
              <w:rPr>
                <w:sz w:val="15"/>
                <w:szCs w:val="15"/>
              </w:rPr>
            </w:pPr>
            <w:r w:rsidRPr="00DB5F78">
              <w:rPr>
                <w:sz w:val="15"/>
                <w:szCs w:val="15"/>
              </w:rPr>
              <w:t>34,756</w:t>
            </w:r>
          </w:p>
        </w:tc>
      </w:tr>
      <w:tr w:rsidR="00DB5F78" w:rsidRPr="00FF1B12" w14:paraId="0826F8D0"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7A61070E" w14:textId="77777777" w:rsidR="00DB5F78" w:rsidRPr="009C60C8" w:rsidRDefault="00DB5F78" w:rsidP="00DB5F78">
            <w:pPr>
              <w:pStyle w:val="Body"/>
              <w:rPr>
                <w:sz w:val="15"/>
                <w:szCs w:val="15"/>
              </w:rPr>
            </w:pPr>
            <w:r w:rsidRPr="009C60C8">
              <w:rPr>
                <w:sz w:val="15"/>
                <w:szCs w:val="15"/>
              </w:rPr>
              <w:t>Shane Solomon</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758A988" w14:textId="77777777" w:rsidR="00DB5F78" w:rsidRPr="009C60C8" w:rsidRDefault="00DB5F78" w:rsidP="00DB5F78">
            <w:pPr>
              <w:pStyle w:val="Body"/>
              <w:rPr>
                <w:sz w:val="15"/>
                <w:szCs w:val="15"/>
              </w:rPr>
            </w:pPr>
            <w:r w:rsidRPr="009C60C8">
              <w:rPr>
                <w:sz w:val="15"/>
                <w:szCs w:val="15"/>
              </w:rPr>
              <w:t>Pricing Authority member (Chair)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F6CB394" w14:textId="2C4F2880" w:rsidR="00DB5F78" w:rsidRPr="00DB5F78" w:rsidRDefault="00DB5F78" w:rsidP="00DB5F78">
            <w:pPr>
              <w:pStyle w:val="Body"/>
              <w:jc w:val="center"/>
              <w:rPr>
                <w:sz w:val="15"/>
                <w:szCs w:val="15"/>
              </w:rPr>
            </w:pPr>
            <w:r w:rsidRPr="00DB5F78">
              <w:rPr>
                <w:sz w:val="15"/>
                <w:szCs w:val="15"/>
              </w:rPr>
              <w:t>85,627</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8320145"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1677901"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999D30A" w14:textId="591C4DD0" w:rsidR="00DB5F78" w:rsidRPr="00DB5F78" w:rsidRDefault="00DB5F78" w:rsidP="00DB5F78">
            <w:pPr>
              <w:pStyle w:val="Body"/>
              <w:jc w:val="center"/>
              <w:rPr>
                <w:sz w:val="15"/>
                <w:szCs w:val="15"/>
              </w:rPr>
            </w:pPr>
            <w:r w:rsidRPr="00DB5F78">
              <w:rPr>
                <w:sz w:val="15"/>
                <w:szCs w:val="15"/>
              </w:rPr>
              <w:t>8,135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D41D889" w14:textId="60880CF0"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21CD890"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7ACC927"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4AADC9E3" w14:textId="1F5B2566" w:rsidR="00DB5F78" w:rsidRPr="00DB5F78" w:rsidRDefault="00DB5F78" w:rsidP="00DB5F78">
            <w:pPr>
              <w:pStyle w:val="Body"/>
              <w:jc w:val="center"/>
              <w:rPr>
                <w:sz w:val="15"/>
                <w:szCs w:val="15"/>
              </w:rPr>
            </w:pPr>
            <w:r w:rsidRPr="00DB5F78">
              <w:rPr>
                <w:sz w:val="15"/>
                <w:szCs w:val="15"/>
              </w:rPr>
              <w:t>93,762</w:t>
            </w:r>
          </w:p>
        </w:tc>
      </w:tr>
      <w:tr w:rsidR="00DB5F78" w:rsidRPr="00FF1B12" w14:paraId="1215F992"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74ACB7D7" w14:textId="0E339E82" w:rsidR="00DB5F78" w:rsidRPr="009C60C8" w:rsidRDefault="00DB5F78" w:rsidP="00DB5F78">
            <w:pPr>
              <w:pStyle w:val="Body"/>
              <w:rPr>
                <w:sz w:val="15"/>
                <w:szCs w:val="15"/>
              </w:rPr>
            </w:pPr>
            <w:r>
              <w:rPr>
                <w:sz w:val="15"/>
                <w:szCs w:val="15"/>
              </w:rPr>
              <w:t>Jenny Richter</w:t>
            </w:r>
            <w:r>
              <w:rPr>
                <w:rStyle w:val="FootnoteReference"/>
                <w:sz w:val="15"/>
                <w:szCs w:val="15"/>
              </w:rPr>
              <w:footnoteReference w:id="6"/>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115B855" w14:textId="2BDB32DE" w:rsidR="00DB5F78" w:rsidRPr="009C60C8" w:rsidRDefault="00DB5F78" w:rsidP="00DB5F78">
            <w:pPr>
              <w:pStyle w:val="Body"/>
              <w:rPr>
                <w:sz w:val="15"/>
                <w:szCs w:val="15"/>
              </w:rPr>
            </w:pPr>
            <w:r>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594D46DB" w14:textId="4875F878" w:rsidR="00DB5F78" w:rsidRPr="00DB5F78" w:rsidRDefault="00DB5F78" w:rsidP="00DB5F78">
            <w:pPr>
              <w:pStyle w:val="Body"/>
              <w:jc w:val="center"/>
              <w:rPr>
                <w:sz w:val="15"/>
                <w:szCs w:val="15"/>
              </w:rPr>
            </w:pPr>
            <w:r w:rsidRPr="00DB5F78">
              <w:rPr>
                <w:sz w:val="15"/>
                <w:szCs w:val="15"/>
              </w:rPr>
              <w:t>12,647</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4A41F52" w14:textId="007B45ED" w:rsidR="00DB5F78" w:rsidRPr="009C60C8" w:rsidRDefault="00DB5F78" w:rsidP="00DB5F78">
            <w:pPr>
              <w:pStyle w:val="Body"/>
              <w:jc w:val="center"/>
              <w:rPr>
                <w:sz w:val="15"/>
                <w:szCs w:val="15"/>
              </w:rPr>
            </w:pPr>
            <w:r>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7524583" w14:textId="14363AD4" w:rsidR="00DB5F78" w:rsidRPr="009C60C8" w:rsidRDefault="00DB5F78" w:rsidP="00DB5F78">
            <w:pPr>
              <w:pStyle w:val="Body"/>
              <w:jc w:val="center"/>
              <w:rPr>
                <w:sz w:val="15"/>
                <w:szCs w:val="15"/>
              </w:rPr>
            </w:pPr>
            <w:r>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A417953" w14:textId="50D87360" w:rsidR="00DB5F78" w:rsidRPr="00DB5F78" w:rsidRDefault="00DB5F78" w:rsidP="00DB5F78">
            <w:pPr>
              <w:pStyle w:val="Body"/>
              <w:jc w:val="center"/>
              <w:rPr>
                <w:sz w:val="15"/>
                <w:szCs w:val="15"/>
              </w:rPr>
            </w:pPr>
            <w:r w:rsidRPr="00DB5F78">
              <w:rPr>
                <w:sz w:val="15"/>
                <w:szCs w:val="15"/>
              </w:rPr>
              <w:t>1,201</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CD82A9C" w14:textId="6F991C5E"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BE78B1F" w14:textId="413C33DB" w:rsidR="00DB5F78" w:rsidRPr="009C60C8" w:rsidRDefault="00DB5F78" w:rsidP="00DB5F78">
            <w:pPr>
              <w:pStyle w:val="Body"/>
              <w:jc w:val="center"/>
              <w:rPr>
                <w:sz w:val="15"/>
                <w:szCs w:val="15"/>
              </w:rPr>
            </w:pPr>
            <w:r>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CD1060B" w14:textId="3D9E3D7D" w:rsidR="00DB5F78" w:rsidRPr="009C60C8" w:rsidRDefault="00DB5F78" w:rsidP="00DB5F78">
            <w:pPr>
              <w:pStyle w:val="Body"/>
              <w:jc w:val="center"/>
              <w:rPr>
                <w:sz w:val="15"/>
                <w:szCs w:val="15"/>
              </w:rPr>
            </w:pPr>
            <w:r>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69E1AF7B" w14:textId="218EB552" w:rsidR="00DB5F78" w:rsidRPr="00DB5F78" w:rsidRDefault="00DB5F78" w:rsidP="00DB5F78">
            <w:pPr>
              <w:pStyle w:val="Body"/>
              <w:jc w:val="center"/>
              <w:rPr>
                <w:sz w:val="15"/>
                <w:szCs w:val="15"/>
              </w:rPr>
            </w:pPr>
            <w:r w:rsidRPr="00DB5F78">
              <w:rPr>
                <w:sz w:val="15"/>
                <w:szCs w:val="15"/>
              </w:rPr>
              <w:t>13,848</w:t>
            </w:r>
          </w:p>
        </w:tc>
      </w:tr>
      <w:tr w:rsidR="00DB5F78" w:rsidRPr="00FF1B12" w14:paraId="5E6581AE"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5A23F3E4" w14:textId="77777777" w:rsidR="00DB5F78" w:rsidRPr="009C60C8" w:rsidRDefault="00DB5F78" w:rsidP="00DB5F78">
            <w:pPr>
              <w:pStyle w:val="Body"/>
              <w:rPr>
                <w:sz w:val="15"/>
                <w:szCs w:val="15"/>
              </w:rPr>
            </w:pPr>
            <w:r w:rsidRPr="009C60C8">
              <w:rPr>
                <w:sz w:val="15"/>
                <w:szCs w:val="15"/>
              </w:rPr>
              <w:t>Kate Taylor</w:t>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05051BD"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45C8652" w14:textId="0D56109F" w:rsidR="00DB5F78" w:rsidRPr="00DB5F78" w:rsidRDefault="00DB5F78" w:rsidP="00DB5F78">
            <w:pPr>
              <w:pStyle w:val="Body"/>
              <w:jc w:val="center"/>
              <w:rPr>
                <w:sz w:val="15"/>
                <w:szCs w:val="15"/>
              </w:rPr>
            </w:pPr>
            <w:r w:rsidRPr="00DB5F78">
              <w:rPr>
                <w:sz w:val="15"/>
                <w:szCs w:val="15"/>
              </w:rPr>
              <w:t>31,741</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C99B648"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FF2AE5D"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4C180731" w14:textId="13EAE85A" w:rsidR="00DB5F78" w:rsidRPr="00DB5F78" w:rsidRDefault="00DB5F78" w:rsidP="00DB5F78">
            <w:pPr>
              <w:pStyle w:val="Body"/>
              <w:jc w:val="center"/>
              <w:rPr>
                <w:sz w:val="15"/>
                <w:szCs w:val="15"/>
              </w:rPr>
            </w:pPr>
            <w:r w:rsidRPr="00DB5F78">
              <w:rPr>
                <w:sz w:val="15"/>
                <w:szCs w:val="15"/>
              </w:rPr>
              <w:t>3,015</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0D8C1BC" w14:textId="06BC2100"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68D2875"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055DE35"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493A5897" w14:textId="68DEC2F1" w:rsidR="00DB5F78" w:rsidRPr="00DB5F78" w:rsidRDefault="00DB5F78" w:rsidP="00DB5F78">
            <w:pPr>
              <w:pStyle w:val="Body"/>
              <w:jc w:val="center"/>
              <w:rPr>
                <w:sz w:val="15"/>
                <w:szCs w:val="15"/>
              </w:rPr>
            </w:pPr>
            <w:r w:rsidRPr="00DB5F78">
              <w:rPr>
                <w:sz w:val="15"/>
                <w:szCs w:val="15"/>
              </w:rPr>
              <w:t>34,756</w:t>
            </w:r>
          </w:p>
        </w:tc>
      </w:tr>
      <w:tr w:rsidR="00DB5F78" w:rsidRPr="00FF1B12" w14:paraId="1749A46D" w14:textId="77777777" w:rsidTr="00C72E77">
        <w:tc>
          <w:tcPr>
            <w:tcW w:w="1418"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772CCE78" w14:textId="0E3E3256" w:rsidR="00DB5F78" w:rsidRPr="009C60C8" w:rsidRDefault="00DB5F78" w:rsidP="00DB5F78">
            <w:pPr>
              <w:pStyle w:val="Body"/>
              <w:rPr>
                <w:sz w:val="15"/>
                <w:szCs w:val="15"/>
              </w:rPr>
            </w:pPr>
            <w:r w:rsidRPr="009C60C8">
              <w:rPr>
                <w:sz w:val="15"/>
                <w:szCs w:val="15"/>
              </w:rPr>
              <w:t>Michael Walsh</w:t>
            </w:r>
            <w:r>
              <w:rPr>
                <w:rStyle w:val="FootnoteReference"/>
                <w:sz w:val="15"/>
                <w:szCs w:val="15"/>
              </w:rPr>
              <w:footnoteReference w:id="7"/>
            </w:r>
          </w:p>
        </w:tc>
        <w:tc>
          <w:tcPr>
            <w:tcW w:w="269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CF9BEC5" w14:textId="77777777" w:rsidR="00DB5F78" w:rsidRPr="009C60C8" w:rsidRDefault="00DB5F78" w:rsidP="00DB5F78">
            <w:pPr>
              <w:pStyle w:val="Body"/>
              <w:rPr>
                <w:sz w:val="15"/>
                <w:szCs w:val="15"/>
              </w:rPr>
            </w:pPr>
            <w:r w:rsidRPr="009C60C8">
              <w:rPr>
                <w:sz w:val="15"/>
                <w:szCs w:val="15"/>
              </w:rPr>
              <w:t>Pricing Authority member</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641831B4" w14:textId="55C790D5" w:rsidR="00DB5F78" w:rsidRPr="00DB5F78" w:rsidRDefault="00DB5F78" w:rsidP="00DB5F78">
            <w:pPr>
              <w:pStyle w:val="Body"/>
              <w:jc w:val="center"/>
              <w:rPr>
                <w:sz w:val="15"/>
                <w:szCs w:val="15"/>
              </w:rPr>
            </w:pPr>
            <w:r w:rsidRPr="00DB5F78">
              <w:rPr>
                <w:sz w:val="15"/>
                <w:szCs w:val="15"/>
              </w:rPr>
              <w:t>24,415</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F37B1B1"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6A88AF8"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6AE84AB8" w14:textId="01774A41" w:rsidR="00DB5F78" w:rsidRPr="00DB5F78" w:rsidRDefault="00DB5F78" w:rsidP="00DB5F78">
            <w:pPr>
              <w:pStyle w:val="Body"/>
              <w:jc w:val="center"/>
              <w:rPr>
                <w:sz w:val="15"/>
                <w:szCs w:val="15"/>
              </w:rPr>
            </w:pPr>
            <w:r w:rsidRPr="00DB5F78">
              <w:rPr>
                <w:sz w:val="15"/>
                <w:szCs w:val="15"/>
              </w:rPr>
              <w:t>2,319</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C8773FF" w14:textId="1D9AB2EB"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379E0EB"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5B664C6"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1144CBC3" w14:textId="4D6D3B72" w:rsidR="00DB5F78" w:rsidRPr="00DB5F78" w:rsidRDefault="00DB5F78" w:rsidP="00DB5F78">
            <w:pPr>
              <w:pStyle w:val="Body"/>
              <w:jc w:val="center"/>
              <w:rPr>
                <w:sz w:val="15"/>
                <w:szCs w:val="15"/>
              </w:rPr>
            </w:pPr>
            <w:r w:rsidRPr="00DB5F78">
              <w:rPr>
                <w:sz w:val="15"/>
                <w:szCs w:val="15"/>
              </w:rPr>
              <w:t>26,734</w:t>
            </w:r>
          </w:p>
        </w:tc>
      </w:tr>
      <w:tr w:rsidR="00DB5F78" w:rsidRPr="00FF1B12" w14:paraId="6472E467" w14:textId="77777777" w:rsidTr="00C72E77">
        <w:tc>
          <w:tcPr>
            <w:tcW w:w="1418" w:type="dxa"/>
            <w:tcBorders>
              <w:top w:val="single" w:sz="2" w:space="0" w:color="D9D9D9" w:themeColor="background2" w:themeShade="D9"/>
              <w:right w:val="single" w:sz="2" w:space="0" w:color="D9D9D9" w:themeColor="background2" w:themeShade="D9"/>
            </w:tcBorders>
          </w:tcPr>
          <w:p w14:paraId="7F359FFE" w14:textId="7A05E5C1" w:rsidR="00DB5F78" w:rsidRPr="009C60C8" w:rsidRDefault="00DB5F78" w:rsidP="00DB5F78">
            <w:pPr>
              <w:pStyle w:val="Body"/>
              <w:rPr>
                <w:sz w:val="15"/>
                <w:szCs w:val="15"/>
              </w:rPr>
            </w:pPr>
            <w:r w:rsidRPr="009C60C8">
              <w:rPr>
                <w:sz w:val="15"/>
                <w:szCs w:val="15"/>
              </w:rPr>
              <w:t>Jennifer Williams</w:t>
            </w:r>
            <w:r>
              <w:rPr>
                <w:rStyle w:val="FootnoteReference"/>
                <w:sz w:val="15"/>
                <w:szCs w:val="15"/>
              </w:rPr>
              <w:footnoteReference w:id="8"/>
            </w:r>
          </w:p>
        </w:tc>
        <w:tc>
          <w:tcPr>
            <w:tcW w:w="2693"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4747CE88" w14:textId="1AE03922" w:rsidR="00DB5F78" w:rsidRPr="009C60C8" w:rsidRDefault="00DB5F78" w:rsidP="00DB5F78">
            <w:pPr>
              <w:pStyle w:val="Body"/>
              <w:rPr>
                <w:sz w:val="15"/>
                <w:szCs w:val="15"/>
              </w:rPr>
            </w:pPr>
            <w:r w:rsidRPr="009C60C8">
              <w:rPr>
                <w:sz w:val="15"/>
                <w:szCs w:val="15"/>
              </w:rPr>
              <w:t>Pricing Authority member</w:t>
            </w:r>
            <w:r>
              <w:rPr>
                <w:sz w:val="15"/>
                <w:szCs w:val="15"/>
              </w:rPr>
              <w:t xml:space="preserve"> (Deputy Chair)</w:t>
            </w:r>
          </w:p>
        </w:tc>
        <w:tc>
          <w:tcPr>
            <w:tcW w:w="945" w:type="dxa"/>
            <w:tcBorders>
              <w:top w:val="single" w:sz="2" w:space="0" w:color="D9D9D9" w:themeColor="background2" w:themeShade="D9"/>
              <w:left w:val="single" w:sz="2" w:space="0" w:color="D9D9D9" w:themeColor="background2" w:themeShade="D9"/>
              <w:right w:val="single" w:sz="2" w:space="0" w:color="D9D9D9" w:themeColor="background2" w:themeShade="D9"/>
            </w:tcBorders>
            <w:vAlign w:val="center"/>
          </w:tcPr>
          <w:p w14:paraId="28CB099B" w14:textId="3E8597CB" w:rsidR="00DB5F78" w:rsidRPr="00DB5F78" w:rsidRDefault="00DB5F78" w:rsidP="00DB5F78">
            <w:pPr>
              <w:pStyle w:val="Body"/>
              <w:jc w:val="center"/>
              <w:rPr>
                <w:sz w:val="15"/>
                <w:szCs w:val="15"/>
              </w:rPr>
            </w:pPr>
            <w:r w:rsidRPr="00DB5F78">
              <w:rPr>
                <w:sz w:val="15"/>
                <w:szCs w:val="15"/>
              </w:rPr>
              <w:t>31,741</w:t>
            </w:r>
          </w:p>
        </w:tc>
        <w:tc>
          <w:tcPr>
            <w:tcW w:w="945"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103C3CC1" w14:textId="77777777" w:rsidR="00DB5F78" w:rsidRPr="009C60C8" w:rsidRDefault="00DB5F78" w:rsidP="00DB5F78">
            <w:pPr>
              <w:pStyle w:val="Body"/>
              <w:jc w:val="center"/>
              <w:rPr>
                <w:sz w:val="15"/>
                <w:szCs w:val="15"/>
              </w:rPr>
            </w:pPr>
            <w:r w:rsidRPr="009C60C8">
              <w:rPr>
                <w:sz w:val="15"/>
                <w:szCs w:val="15"/>
              </w:rPr>
              <w:t>-</w:t>
            </w:r>
          </w:p>
        </w:tc>
        <w:tc>
          <w:tcPr>
            <w:tcW w:w="945"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71F3697D" w14:textId="77777777" w:rsidR="00DB5F78" w:rsidRPr="009C60C8" w:rsidRDefault="00DB5F78" w:rsidP="00DB5F78">
            <w:pPr>
              <w:pStyle w:val="Body"/>
              <w:jc w:val="center"/>
              <w:rPr>
                <w:sz w:val="15"/>
                <w:szCs w:val="15"/>
              </w:rPr>
            </w:pPr>
            <w:r w:rsidRPr="009C60C8">
              <w:rPr>
                <w:sz w:val="15"/>
                <w:szCs w:val="15"/>
              </w:rPr>
              <w:t>-</w:t>
            </w:r>
          </w:p>
        </w:tc>
        <w:tc>
          <w:tcPr>
            <w:tcW w:w="1276" w:type="dxa"/>
            <w:tcBorders>
              <w:top w:val="single" w:sz="2" w:space="0" w:color="D9D9D9" w:themeColor="background2" w:themeShade="D9"/>
              <w:left w:val="single" w:sz="2" w:space="0" w:color="D9D9D9" w:themeColor="background2" w:themeShade="D9"/>
              <w:right w:val="single" w:sz="2" w:space="0" w:color="D9D9D9" w:themeColor="background2" w:themeShade="D9"/>
            </w:tcBorders>
            <w:vAlign w:val="center"/>
          </w:tcPr>
          <w:p w14:paraId="2222D527" w14:textId="32AAA92A" w:rsidR="00DB5F78" w:rsidRPr="00DB5F78" w:rsidRDefault="00DB5F78" w:rsidP="00DB5F78">
            <w:pPr>
              <w:pStyle w:val="Body"/>
              <w:jc w:val="center"/>
              <w:rPr>
                <w:sz w:val="15"/>
                <w:szCs w:val="15"/>
              </w:rPr>
            </w:pPr>
            <w:r w:rsidRPr="00DB5F78">
              <w:rPr>
                <w:sz w:val="15"/>
                <w:szCs w:val="15"/>
              </w:rPr>
              <w:t>3,015</w:t>
            </w:r>
          </w:p>
        </w:tc>
        <w:tc>
          <w:tcPr>
            <w:tcW w:w="992"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2D57ECA5" w14:textId="5C813FDC" w:rsidR="00DB5F78" w:rsidRPr="009C60C8" w:rsidRDefault="00DB5F78" w:rsidP="00DB5F78">
            <w:pPr>
              <w:pStyle w:val="Body"/>
              <w:jc w:val="center"/>
              <w:rPr>
                <w:sz w:val="15"/>
                <w:szCs w:val="15"/>
              </w:rPr>
            </w:pPr>
            <w:r w:rsidRPr="0010637A">
              <w:rPr>
                <w:sz w:val="15"/>
                <w:szCs w:val="15"/>
              </w:rPr>
              <w:t>-</w:t>
            </w:r>
          </w:p>
        </w:tc>
        <w:tc>
          <w:tcPr>
            <w:tcW w:w="992"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211E479E" w14:textId="77777777" w:rsidR="00DB5F78" w:rsidRPr="009C60C8" w:rsidRDefault="00DB5F78" w:rsidP="00DB5F78">
            <w:pPr>
              <w:pStyle w:val="Body"/>
              <w:jc w:val="center"/>
              <w:rPr>
                <w:sz w:val="15"/>
                <w:szCs w:val="15"/>
              </w:rPr>
            </w:pPr>
            <w:r w:rsidRPr="009C60C8">
              <w:rPr>
                <w:sz w:val="15"/>
                <w:szCs w:val="15"/>
              </w:rPr>
              <w:t>-</w:t>
            </w:r>
          </w:p>
        </w:tc>
        <w:tc>
          <w:tcPr>
            <w:tcW w:w="851"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21AE2B6D" w14:textId="77777777" w:rsidR="00DB5F78" w:rsidRPr="009C60C8" w:rsidRDefault="00DB5F78" w:rsidP="00DB5F78">
            <w:pPr>
              <w:pStyle w:val="Body"/>
              <w:jc w:val="center"/>
              <w:rPr>
                <w:sz w:val="15"/>
                <w:szCs w:val="15"/>
              </w:rPr>
            </w:pPr>
            <w:r w:rsidRPr="009C60C8">
              <w:rPr>
                <w:sz w:val="15"/>
                <w:szCs w:val="15"/>
              </w:rPr>
              <w:t>-</w:t>
            </w:r>
          </w:p>
        </w:tc>
        <w:tc>
          <w:tcPr>
            <w:tcW w:w="990" w:type="dxa"/>
            <w:tcBorders>
              <w:top w:val="single" w:sz="2" w:space="0" w:color="D9D9D9" w:themeColor="background2" w:themeShade="D9"/>
              <w:left w:val="single" w:sz="2" w:space="0" w:color="D9D9D9" w:themeColor="background2" w:themeShade="D9"/>
            </w:tcBorders>
            <w:vAlign w:val="center"/>
          </w:tcPr>
          <w:p w14:paraId="31C4C2D3" w14:textId="597B0407" w:rsidR="00DB5F78" w:rsidRPr="00DB5F78" w:rsidRDefault="00DB5F78" w:rsidP="00DB5F78">
            <w:pPr>
              <w:pStyle w:val="Body"/>
              <w:jc w:val="center"/>
              <w:rPr>
                <w:sz w:val="15"/>
                <w:szCs w:val="15"/>
              </w:rPr>
            </w:pPr>
            <w:r w:rsidRPr="00DB5F78">
              <w:rPr>
                <w:sz w:val="15"/>
                <w:szCs w:val="15"/>
              </w:rPr>
              <w:t>34,756</w:t>
            </w:r>
          </w:p>
        </w:tc>
      </w:tr>
      <w:tr w:rsidR="00DB5F78" w:rsidRPr="00FF1B12" w14:paraId="74E96211" w14:textId="77777777" w:rsidTr="00C72E77">
        <w:tc>
          <w:tcPr>
            <w:tcW w:w="1418" w:type="dxa"/>
            <w:tcBorders>
              <w:right w:val="single" w:sz="2" w:space="0" w:color="D9D9D9" w:themeColor="background2" w:themeShade="D9"/>
            </w:tcBorders>
            <w:shd w:val="clear" w:color="auto" w:fill="FBC5D6" w:themeFill="accent6" w:themeFillTint="33"/>
          </w:tcPr>
          <w:p w14:paraId="26B135C3" w14:textId="77777777" w:rsidR="00DB5F78" w:rsidRPr="009C60C8" w:rsidRDefault="00DB5F78" w:rsidP="00DB5F78">
            <w:pPr>
              <w:pStyle w:val="Body"/>
              <w:rPr>
                <w:sz w:val="15"/>
                <w:szCs w:val="15"/>
              </w:rPr>
            </w:pPr>
            <w:r w:rsidRPr="009C60C8">
              <w:rPr>
                <w:b/>
                <w:sz w:val="15"/>
                <w:szCs w:val="15"/>
              </w:rPr>
              <w:t>Total</w:t>
            </w:r>
          </w:p>
        </w:tc>
        <w:tc>
          <w:tcPr>
            <w:tcW w:w="2693"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7768345B" w14:textId="77777777" w:rsidR="00DB5F78" w:rsidRPr="009C60C8" w:rsidRDefault="00DB5F78" w:rsidP="00DB5F78">
            <w:pPr>
              <w:pStyle w:val="Body"/>
              <w:rPr>
                <w:sz w:val="15"/>
                <w:szCs w:val="15"/>
              </w:rPr>
            </w:pPr>
          </w:p>
        </w:tc>
        <w:tc>
          <w:tcPr>
            <w:tcW w:w="945"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73AD81F0" w14:textId="28DF262B" w:rsidR="00DB5F78" w:rsidRPr="009C60C8" w:rsidRDefault="00DB5F78" w:rsidP="00DB5F78">
            <w:pPr>
              <w:pStyle w:val="Body"/>
              <w:jc w:val="center"/>
              <w:rPr>
                <w:sz w:val="15"/>
                <w:szCs w:val="15"/>
              </w:rPr>
            </w:pPr>
            <w:r>
              <w:rPr>
                <w:sz w:val="15"/>
                <w:szCs w:val="15"/>
              </w:rPr>
              <w:t>774,360</w:t>
            </w:r>
          </w:p>
        </w:tc>
        <w:tc>
          <w:tcPr>
            <w:tcW w:w="945"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625ED031" w14:textId="77777777" w:rsidR="00DB5F78" w:rsidRPr="009C60C8" w:rsidRDefault="00DB5F78" w:rsidP="00DB5F78">
            <w:pPr>
              <w:pStyle w:val="Body"/>
              <w:jc w:val="center"/>
              <w:rPr>
                <w:sz w:val="15"/>
                <w:szCs w:val="15"/>
              </w:rPr>
            </w:pPr>
            <w:r w:rsidRPr="009C60C8">
              <w:rPr>
                <w:b/>
                <w:sz w:val="15"/>
                <w:szCs w:val="15"/>
              </w:rPr>
              <w:t>-</w:t>
            </w:r>
          </w:p>
        </w:tc>
        <w:tc>
          <w:tcPr>
            <w:tcW w:w="945"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6A65D951" w14:textId="77777777" w:rsidR="00DB5F78" w:rsidRPr="009C60C8" w:rsidRDefault="00DB5F78" w:rsidP="00DB5F78">
            <w:pPr>
              <w:pStyle w:val="Body"/>
              <w:jc w:val="center"/>
              <w:rPr>
                <w:sz w:val="15"/>
                <w:szCs w:val="15"/>
              </w:rPr>
            </w:pPr>
            <w:r w:rsidRPr="009C60C8">
              <w:rPr>
                <w:b/>
                <w:sz w:val="15"/>
                <w:szCs w:val="15"/>
              </w:rPr>
              <w:t>-</w:t>
            </w:r>
          </w:p>
        </w:tc>
        <w:tc>
          <w:tcPr>
            <w:tcW w:w="1276" w:type="dxa"/>
            <w:tcBorders>
              <w:left w:val="single" w:sz="2" w:space="0" w:color="D9D9D9" w:themeColor="background2" w:themeShade="D9"/>
              <w:right w:val="single" w:sz="2" w:space="0" w:color="D9D9D9" w:themeColor="background2" w:themeShade="D9"/>
            </w:tcBorders>
            <w:shd w:val="clear" w:color="auto" w:fill="FBC5D6" w:themeFill="accent6" w:themeFillTint="33"/>
            <w:vAlign w:val="center"/>
          </w:tcPr>
          <w:p w14:paraId="604ED962" w14:textId="2258A005" w:rsidR="00DB5F78" w:rsidRPr="00DB5F78" w:rsidRDefault="00DB5F78" w:rsidP="00DB5F78">
            <w:pPr>
              <w:pStyle w:val="Body"/>
              <w:jc w:val="center"/>
              <w:rPr>
                <w:sz w:val="15"/>
                <w:szCs w:val="15"/>
              </w:rPr>
            </w:pPr>
            <w:r w:rsidRPr="00DB5F78">
              <w:rPr>
                <w:sz w:val="15"/>
                <w:szCs w:val="15"/>
              </w:rPr>
              <w:t>53,441</w:t>
            </w:r>
          </w:p>
        </w:tc>
        <w:tc>
          <w:tcPr>
            <w:tcW w:w="992"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4BF66017" w14:textId="7481A14F" w:rsidR="00DB5F78" w:rsidRPr="009C60C8" w:rsidRDefault="00DB5F78" w:rsidP="00DB5F78">
            <w:pPr>
              <w:pStyle w:val="Body"/>
              <w:jc w:val="center"/>
              <w:rPr>
                <w:sz w:val="15"/>
                <w:szCs w:val="15"/>
              </w:rPr>
            </w:pPr>
            <w:r>
              <w:rPr>
                <w:sz w:val="15"/>
                <w:szCs w:val="15"/>
              </w:rPr>
              <w:t>8,665</w:t>
            </w:r>
          </w:p>
        </w:tc>
        <w:tc>
          <w:tcPr>
            <w:tcW w:w="992"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45D123E1" w14:textId="77777777" w:rsidR="00DB5F78" w:rsidRPr="009C60C8" w:rsidRDefault="00DB5F78" w:rsidP="00DB5F78">
            <w:pPr>
              <w:pStyle w:val="Body"/>
              <w:jc w:val="center"/>
              <w:rPr>
                <w:sz w:val="15"/>
                <w:szCs w:val="15"/>
              </w:rPr>
            </w:pPr>
            <w:r w:rsidRPr="009C60C8">
              <w:rPr>
                <w:b/>
                <w:sz w:val="15"/>
                <w:szCs w:val="15"/>
              </w:rPr>
              <w:t>-</w:t>
            </w:r>
          </w:p>
        </w:tc>
        <w:tc>
          <w:tcPr>
            <w:tcW w:w="851"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035A3A32" w14:textId="77777777" w:rsidR="00DB5F78" w:rsidRPr="009C60C8" w:rsidRDefault="00DB5F78" w:rsidP="00DB5F78">
            <w:pPr>
              <w:pStyle w:val="Body"/>
              <w:jc w:val="center"/>
              <w:rPr>
                <w:sz w:val="15"/>
                <w:szCs w:val="15"/>
              </w:rPr>
            </w:pPr>
            <w:r w:rsidRPr="009C60C8">
              <w:rPr>
                <w:b/>
                <w:sz w:val="15"/>
                <w:szCs w:val="15"/>
              </w:rPr>
              <w:t>-</w:t>
            </w:r>
          </w:p>
        </w:tc>
        <w:tc>
          <w:tcPr>
            <w:tcW w:w="990" w:type="dxa"/>
            <w:tcBorders>
              <w:left w:val="single" w:sz="2" w:space="0" w:color="D9D9D9" w:themeColor="background2" w:themeShade="D9"/>
            </w:tcBorders>
            <w:shd w:val="clear" w:color="auto" w:fill="FBC5D6" w:themeFill="accent6" w:themeFillTint="33"/>
            <w:vAlign w:val="center"/>
          </w:tcPr>
          <w:p w14:paraId="37774045" w14:textId="102F23C2" w:rsidR="00DB5F78" w:rsidRPr="00DB5F78" w:rsidRDefault="00DB5F78" w:rsidP="00DB5F78">
            <w:pPr>
              <w:pStyle w:val="Body"/>
              <w:jc w:val="center"/>
              <w:rPr>
                <w:sz w:val="15"/>
                <w:szCs w:val="15"/>
              </w:rPr>
            </w:pPr>
            <w:r w:rsidRPr="00DB5F78">
              <w:rPr>
                <w:sz w:val="15"/>
                <w:szCs w:val="15"/>
              </w:rPr>
              <w:t>836,466</w:t>
            </w:r>
          </w:p>
        </w:tc>
      </w:tr>
    </w:tbl>
    <w:p w14:paraId="3F0536A6" w14:textId="4E29999A" w:rsidR="0065315B" w:rsidRDefault="009C60C8" w:rsidP="009C60C8">
      <w:pPr>
        <w:pStyle w:val="Body"/>
        <w:spacing w:before="240"/>
        <w:sectPr w:rsidR="0065315B" w:rsidSect="00BA2F1F">
          <w:headerReference w:type="even" r:id="rId94"/>
          <w:headerReference w:type="default" r:id="rId95"/>
          <w:footerReference w:type="even" r:id="rId96"/>
          <w:footerReference w:type="default" r:id="rId97"/>
          <w:footnotePr>
            <w:numRestart w:val="eachPage"/>
          </w:footnotePr>
          <w:type w:val="continuous"/>
          <w:pgSz w:w="14175" w:h="9979" w:orient="landscape" w:code="13"/>
          <w:pgMar w:top="1418" w:right="850" w:bottom="709" w:left="1134" w:header="709" w:footer="709" w:gutter="0"/>
          <w:cols w:space="623"/>
          <w:docGrid w:linePitch="360"/>
          <w15:footnoteColumns w:val="2"/>
        </w:sectPr>
      </w:pPr>
      <w:r w:rsidRPr="009C60C8">
        <w:lastRenderedPageBreak/>
        <w:t>The above disaggregated KMP remuneration information is in accordance with the Public Governance, Performance and Accountability Rule 2014. Key management personnel are those persons having authority and responsibility for planning, directing and controlling the activities of the entity, directly or indirectly, including any Pricing</w:t>
      </w:r>
      <w:r w:rsidR="005E5C29">
        <w:t> </w:t>
      </w:r>
      <w:r w:rsidRPr="009C60C8">
        <w:t>Authority member. The entity has determined the key management personnel to be the Chief Executive Officer and the Pricing Authority members. The remuneration in</w:t>
      </w:r>
      <w:r w:rsidR="005E5C29">
        <w:t> </w:t>
      </w:r>
      <w:r w:rsidRPr="009C60C8">
        <w:t xml:space="preserve">the </w:t>
      </w:r>
      <w:r w:rsidR="006849D7">
        <w:t>t</w:t>
      </w:r>
      <w:r w:rsidRPr="009C60C8">
        <w:t>able above is based on the relevant remuneration tribunal determinations for holders of full-time and part-time public office.</w:t>
      </w:r>
    </w:p>
    <w:p w14:paraId="04D789C9" w14:textId="77777777" w:rsidR="00A10034" w:rsidRPr="005C0F04" w:rsidRDefault="00A10034" w:rsidP="001A697C">
      <w:pPr>
        <w:pStyle w:val="H3"/>
        <w:spacing w:before="0"/>
        <w:rPr>
          <w:color w:val="C40B46" w:themeColor="accent6"/>
        </w:rPr>
      </w:pPr>
      <w:r w:rsidRPr="005C0F04">
        <w:rPr>
          <w:color w:val="C40B46" w:themeColor="accent6"/>
        </w:rPr>
        <w:lastRenderedPageBreak/>
        <w:t>Staff development</w:t>
      </w:r>
    </w:p>
    <w:p w14:paraId="5BCD965F" w14:textId="67326B8E" w:rsidR="00A10034" w:rsidRDefault="00A10034" w:rsidP="00A10034">
      <w:pPr>
        <w:pStyle w:val="Body"/>
        <w:spacing w:before="240"/>
      </w:pPr>
      <w:r>
        <w:t>IHPA cultivates, values and supports staff by developing their skills and capabilities to meet their work requirements, as well as to achieve their full potential. We promote a culture where people work within and across teams to</w:t>
      </w:r>
      <w:r w:rsidR="00AE6772">
        <w:t> </w:t>
      </w:r>
      <w:r>
        <w:t>broaden their expertise.</w:t>
      </w:r>
    </w:p>
    <w:p w14:paraId="790E96BF" w14:textId="77777777" w:rsidR="00A10034" w:rsidRDefault="00A10034" w:rsidP="00A10034">
      <w:pPr>
        <w:pStyle w:val="Body"/>
        <w:spacing w:before="240"/>
      </w:pPr>
      <w:r>
        <w:t>Training was provided on a programmed basis to management and a needs basis to individual staff. Additionally, mid-level and senior management staff undertook a program of leadership training.</w:t>
      </w:r>
    </w:p>
    <w:p w14:paraId="3FBA0E3B" w14:textId="46757F4E" w:rsidR="00A10034" w:rsidRDefault="00961278" w:rsidP="00A10034">
      <w:pPr>
        <w:pStyle w:val="Body"/>
        <w:spacing w:before="240"/>
      </w:pPr>
      <w:r w:rsidRPr="00961278">
        <w:t>During the period, the Chief Executive Officer completed the Australian Institute of Company Directors (AICD) Company Directors course.</w:t>
      </w:r>
      <w:r>
        <w:t xml:space="preserve"> </w:t>
      </w:r>
      <w:r w:rsidR="00A10034">
        <w:t>IHPA supported individuals to attend conferences and training events that assisted them to acquire and develop skills used in their</w:t>
      </w:r>
      <w:r w:rsidR="00AE6772">
        <w:t> </w:t>
      </w:r>
      <w:r w:rsidR="00A10034">
        <w:t xml:space="preserve">work. In 2019–20, IHPA’s training investment averaged </w:t>
      </w:r>
      <w:r w:rsidR="00D46233" w:rsidRPr="00D46233">
        <w:t xml:space="preserve">$3,520 </w:t>
      </w:r>
      <w:r w:rsidR="00D46233">
        <w:t>p</w:t>
      </w:r>
      <w:r w:rsidR="00A10034">
        <w:t>er staff</w:t>
      </w:r>
      <w:r w:rsidR="00AE6772">
        <w:t> </w:t>
      </w:r>
      <w:r w:rsidR="00A10034">
        <w:t>member.</w:t>
      </w:r>
    </w:p>
    <w:p w14:paraId="5FC0B630" w14:textId="407144F2" w:rsidR="00A10034" w:rsidRPr="00703F16" w:rsidRDefault="00164950" w:rsidP="00A10034">
      <w:pPr>
        <w:pStyle w:val="H3"/>
        <w:rPr>
          <w:color w:val="C40B46" w:themeColor="accent6"/>
        </w:rPr>
      </w:pPr>
      <w:r>
        <w:rPr>
          <w:color w:val="F47920" w:themeColor="accent4"/>
        </w:rPr>
        <w:br w:type="column"/>
      </w:r>
      <w:bookmarkStart w:id="101" w:name="TheAccountableAuthority"/>
      <w:r w:rsidR="00A10034" w:rsidRPr="005C0F04">
        <w:rPr>
          <w:color w:val="C40B46" w:themeColor="accent6"/>
        </w:rPr>
        <w:t>The accountable authority</w:t>
      </w:r>
      <w:bookmarkEnd w:id="101"/>
    </w:p>
    <w:p w14:paraId="7F1A3796" w14:textId="0A0EB385" w:rsidR="00A10034" w:rsidRDefault="00A10034" w:rsidP="00A10034">
      <w:pPr>
        <w:pStyle w:val="Body"/>
        <w:spacing w:before="240"/>
      </w:pPr>
      <w:r>
        <w:t xml:space="preserve">Under the </w:t>
      </w:r>
      <w:r w:rsidRPr="00B00F8D">
        <w:rPr>
          <w:i/>
          <w:iCs/>
        </w:rPr>
        <w:t>National Health Reform Act 2011</w:t>
      </w:r>
      <w:r>
        <w:t>, the Chief Executive Officer is the accountable</w:t>
      </w:r>
      <w:r w:rsidR="00AE6772">
        <w:t> </w:t>
      </w:r>
      <w:r>
        <w:t>authority.</w:t>
      </w:r>
    </w:p>
    <w:p w14:paraId="339F2B9A" w14:textId="1866FEE6" w:rsidR="00874C6E" w:rsidRDefault="00A10034" w:rsidP="00A10034">
      <w:pPr>
        <w:pStyle w:val="Body"/>
        <w:spacing w:before="240"/>
        <w:sectPr w:rsidR="00874C6E" w:rsidSect="00A10034">
          <w:headerReference w:type="even" r:id="rId98"/>
          <w:footerReference w:type="even" r:id="rId99"/>
          <w:footerReference w:type="default" r:id="rId100"/>
          <w:footnotePr>
            <w:pos w:val="beneathText"/>
          </w:footnotePr>
          <w:pgSz w:w="9979" w:h="14175" w:code="13"/>
          <w:pgMar w:top="1134" w:right="1418" w:bottom="992" w:left="1418" w:header="709" w:footer="709" w:gutter="0"/>
          <w:cols w:num="2" w:space="623"/>
          <w:docGrid w:linePitch="360"/>
        </w:sectPr>
      </w:pPr>
      <w:r>
        <w:t>The Chief Executive Officer is responsible for the effective delivery of IHPA’s work program and supports the Pricing Authority to fulfil its</w:t>
      </w:r>
      <w:r w:rsidR="00AE6772">
        <w:t> </w:t>
      </w:r>
      <w:r>
        <w:t>functions.</w:t>
      </w:r>
    </w:p>
    <w:p w14:paraId="5E850C8C" w14:textId="77777777" w:rsidR="00884997" w:rsidRDefault="00884997" w:rsidP="00874C6E">
      <w:pPr>
        <w:pStyle w:val="FigureHeading"/>
        <w:sectPr w:rsidR="00884997" w:rsidSect="00874C6E">
          <w:footnotePr>
            <w:pos w:val="beneathText"/>
          </w:footnotePr>
          <w:type w:val="continuous"/>
          <w:pgSz w:w="9979" w:h="14175" w:code="13"/>
          <w:pgMar w:top="1134" w:right="1418" w:bottom="992" w:left="1418" w:header="709" w:footer="709" w:gutter="0"/>
          <w:cols w:space="623"/>
          <w:docGrid w:linePitch="360"/>
        </w:sectPr>
      </w:pPr>
    </w:p>
    <w:p w14:paraId="684F5888" w14:textId="354F2346" w:rsidR="00874C6E" w:rsidRDefault="00874C6E" w:rsidP="00874C6E">
      <w:pPr>
        <w:pStyle w:val="FigureHeading"/>
      </w:pPr>
      <w:bookmarkStart w:id="102" w:name="_Toc48830281"/>
      <w:r w:rsidRPr="00233B6F">
        <w:lastRenderedPageBreak/>
        <w:t xml:space="preserve">Table </w:t>
      </w:r>
      <w:r>
        <w:t>1</w:t>
      </w:r>
      <w:r w:rsidR="007F21E0">
        <w:t>3</w:t>
      </w:r>
      <w:r w:rsidRPr="00233B6F">
        <w:t xml:space="preserve">: </w:t>
      </w:r>
      <w:r>
        <w:t>Details of accountable authority during the reporting period current report period (201</w:t>
      </w:r>
      <w:r w:rsidR="00B35916">
        <w:t>9</w:t>
      </w:r>
      <w:r>
        <w:t>–20</w:t>
      </w:r>
      <w:r w:rsidR="00B35916">
        <w:t>20</w:t>
      </w:r>
      <w:r>
        <w:t>)</w:t>
      </w:r>
      <w:bookmarkEnd w:id="102"/>
    </w:p>
    <w:tbl>
      <w:tblPr>
        <w:tblW w:w="7653" w:type="dxa"/>
        <w:tblInd w:w="-8" w:type="dxa"/>
        <w:tblLayout w:type="fixed"/>
        <w:tblCellMar>
          <w:left w:w="113" w:type="dxa"/>
          <w:right w:w="113" w:type="dxa"/>
        </w:tblCellMar>
        <w:tblLook w:val="0020" w:firstRow="1" w:lastRow="0" w:firstColumn="0" w:lastColumn="0" w:noHBand="0" w:noVBand="0"/>
      </w:tblPr>
      <w:tblGrid>
        <w:gridCol w:w="737"/>
        <w:gridCol w:w="1134"/>
        <w:gridCol w:w="1587"/>
        <w:gridCol w:w="945"/>
        <w:gridCol w:w="1275"/>
        <w:gridCol w:w="851"/>
        <w:gridCol w:w="1124"/>
      </w:tblGrid>
      <w:tr w:rsidR="005D4306" w:rsidRPr="00884997" w14:paraId="3C912088" w14:textId="77777777" w:rsidTr="00FD7734">
        <w:trPr>
          <w:trHeight w:val="20"/>
          <w:tblHeader/>
        </w:trPr>
        <w:tc>
          <w:tcPr>
            <w:tcW w:w="737" w:type="dxa"/>
            <w:tcBorders>
              <w:bottom w:val="single" w:sz="4" w:space="0" w:color="A6A6A6" w:themeColor="background2" w:themeShade="A6"/>
              <w:right w:val="single" w:sz="4" w:space="0" w:color="C40B46" w:themeColor="accent6"/>
            </w:tcBorders>
            <w:shd w:val="clear" w:color="auto" w:fill="C40B46" w:themeFill="accent6"/>
            <w:tcMar>
              <w:top w:w="113" w:type="dxa"/>
              <w:left w:w="113" w:type="dxa"/>
              <w:bottom w:w="113" w:type="dxa"/>
              <w:right w:w="113" w:type="dxa"/>
            </w:tcMar>
          </w:tcPr>
          <w:p w14:paraId="211F391B" w14:textId="7BFA79E2" w:rsidR="00884997" w:rsidRPr="00884997" w:rsidRDefault="00884997" w:rsidP="005D4306">
            <w:pPr>
              <w:pStyle w:val="Body"/>
              <w:spacing w:after="0"/>
              <w:ind w:left="-20"/>
              <w:rPr>
                <w:rFonts w:ascii="Futura PT Book" w:hAnsi="Futura PT Book" w:cs="Futura PT Book"/>
                <w:b/>
                <w:bCs/>
                <w:color w:val="FFFFFF" w:themeColor="background2"/>
                <w:sz w:val="16"/>
                <w:szCs w:val="16"/>
                <w:lang w:val="en-US"/>
              </w:rPr>
            </w:pPr>
          </w:p>
        </w:tc>
        <w:tc>
          <w:tcPr>
            <w:tcW w:w="1134" w:type="dxa"/>
            <w:tcBorders>
              <w:left w:val="single" w:sz="4" w:space="0" w:color="C40B46" w:themeColor="accent6"/>
              <w:bottom w:val="single" w:sz="4" w:space="0" w:color="A6A6A6" w:themeColor="background2" w:themeShade="A6"/>
              <w:right w:val="single" w:sz="4" w:space="0" w:color="C40B46" w:themeColor="accent6"/>
            </w:tcBorders>
            <w:shd w:val="clear" w:color="auto" w:fill="C40B46" w:themeFill="accent6"/>
          </w:tcPr>
          <w:p w14:paraId="3FF29771" w14:textId="5E86FF3C" w:rsidR="00884997" w:rsidRPr="00884997" w:rsidRDefault="00884997" w:rsidP="00630AEE">
            <w:pPr>
              <w:pStyle w:val="Body"/>
              <w:spacing w:after="0"/>
              <w:rPr>
                <w:rFonts w:ascii="Futura PT Book" w:hAnsi="Futura PT Book" w:cs="Futura PT Book"/>
                <w:b/>
                <w:bCs/>
                <w:color w:val="FFFFFF" w:themeColor="background2"/>
                <w:sz w:val="16"/>
                <w:szCs w:val="16"/>
                <w:lang w:val="en-US"/>
              </w:rPr>
            </w:pPr>
          </w:p>
        </w:tc>
        <w:tc>
          <w:tcPr>
            <w:tcW w:w="1587" w:type="dxa"/>
            <w:tcBorders>
              <w:left w:val="single" w:sz="4" w:space="0" w:color="C40B46" w:themeColor="accent6"/>
              <w:bottom w:val="single" w:sz="4" w:space="0" w:color="A6A6A6" w:themeColor="background2" w:themeShade="A6"/>
              <w:right w:val="single" w:sz="4" w:space="0" w:color="C40B46" w:themeColor="accent6"/>
            </w:tcBorders>
            <w:shd w:val="clear" w:color="auto" w:fill="C40B46" w:themeFill="accent6"/>
          </w:tcPr>
          <w:p w14:paraId="58A893A1" w14:textId="77777777" w:rsidR="00884997" w:rsidRPr="00884997" w:rsidRDefault="00884997" w:rsidP="00630AEE">
            <w:pPr>
              <w:pStyle w:val="Body"/>
              <w:spacing w:after="0"/>
              <w:rPr>
                <w:rFonts w:ascii="Futura PT Book" w:hAnsi="Futura PT Book" w:cs="Futura PT Book"/>
                <w:b/>
                <w:bCs/>
                <w:color w:val="FFFFFF" w:themeColor="background2"/>
                <w:sz w:val="16"/>
                <w:szCs w:val="16"/>
                <w:lang w:val="en-US"/>
              </w:rPr>
            </w:pPr>
          </w:p>
        </w:tc>
        <w:tc>
          <w:tcPr>
            <w:tcW w:w="945" w:type="dxa"/>
            <w:tcBorders>
              <w:left w:val="single" w:sz="4" w:space="0" w:color="C40B46" w:themeColor="accent6"/>
              <w:bottom w:val="single" w:sz="4" w:space="0" w:color="A6A6A6" w:themeColor="background2" w:themeShade="A6"/>
              <w:right w:val="single" w:sz="4" w:space="0" w:color="FFFFFF" w:themeColor="background2"/>
            </w:tcBorders>
            <w:shd w:val="clear" w:color="auto" w:fill="C40B46" w:themeFill="accent6"/>
          </w:tcPr>
          <w:p w14:paraId="45DE770F" w14:textId="6134C190" w:rsidR="00884997" w:rsidRPr="00884997" w:rsidRDefault="00884997" w:rsidP="00630AEE">
            <w:pPr>
              <w:pStyle w:val="Body"/>
              <w:spacing w:after="0"/>
              <w:rPr>
                <w:rFonts w:ascii="Futura PT Book" w:hAnsi="Futura PT Book" w:cs="Futura PT Book"/>
                <w:b/>
                <w:bCs/>
                <w:color w:val="FFFFFF" w:themeColor="background2"/>
                <w:sz w:val="16"/>
                <w:szCs w:val="16"/>
                <w:lang w:val="en-US"/>
              </w:rPr>
            </w:pPr>
          </w:p>
        </w:tc>
        <w:tc>
          <w:tcPr>
            <w:tcW w:w="3250" w:type="dxa"/>
            <w:gridSpan w:val="3"/>
            <w:tcBorders>
              <w:left w:val="single" w:sz="4" w:space="0" w:color="FFFFFF" w:themeColor="background2"/>
              <w:bottom w:val="single" w:sz="4" w:space="0" w:color="A6A6A6" w:themeColor="background2" w:themeShade="A6"/>
              <w:right w:val="single" w:sz="8" w:space="0" w:color="FFFFFF" w:themeColor="background2"/>
            </w:tcBorders>
            <w:shd w:val="clear" w:color="auto" w:fill="C40B46" w:themeFill="accent6"/>
            <w:vAlign w:val="center"/>
          </w:tcPr>
          <w:p w14:paraId="028A4169" w14:textId="540A0188" w:rsidR="00884997" w:rsidRPr="00884997" w:rsidRDefault="00884997" w:rsidP="00FD7734">
            <w:pPr>
              <w:pStyle w:val="Body"/>
              <w:spacing w:after="0"/>
              <w:jc w:val="center"/>
              <w:rPr>
                <w:b/>
                <w:bCs/>
                <w:color w:val="FFFFFF" w:themeColor="background2"/>
                <w:sz w:val="16"/>
                <w:szCs w:val="16"/>
                <w:lang w:val="en-US"/>
              </w:rPr>
            </w:pPr>
            <w:r w:rsidRPr="00884997">
              <w:rPr>
                <w:b/>
                <w:bCs/>
                <w:color w:val="FFFFFF" w:themeColor="background2"/>
                <w:sz w:val="16"/>
                <w:szCs w:val="16"/>
                <w:lang w:val="en-US"/>
              </w:rPr>
              <w:t>Period as the accountable authority or</w:t>
            </w:r>
            <w:r w:rsidR="00FD7734">
              <w:rPr>
                <w:b/>
                <w:bCs/>
                <w:color w:val="FFFFFF" w:themeColor="background2"/>
                <w:sz w:val="16"/>
                <w:szCs w:val="16"/>
                <w:lang w:val="en-US"/>
              </w:rPr>
              <w:t> </w:t>
            </w:r>
            <w:r w:rsidRPr="00884997">
              <w:rPr>
                <w:b/>
                <w:bCs/>
                <w:color w:val="FFFFFF" w:themeColor="background2"/>
                <w:sz w:val="16"/>
                <w:szCs w:val="16"/>
                <w:lang w:val="en-US"/>
              </w:rPr>
              <w:t>member</w:t>
            </w:r>
          </w:p>
        </w:tc>
      </w:tr>
      <w:tr w:rsidR="005D4306" w:rsidRPr="00884997" w14:paraId="2A340C91" w14:textId="77777777" w:rsidTr="00FD7734">
        <w:trPr>
          <w:trHeight w:val="20"/>
        </w:trPr>
        <w:tc>
          <w:tcPr>
            <w:tcW w:w="737" w:type="dxa"/>
            <w:tcBorders>
              <w:top w:val="single" w:sz="4" w:space="0" w:color="A6A6A6" w:themeColor="background2" w:themeShade="A6"/>
              <w:bottom w:val="single" w:sz="4" w:space="0" w:color="A6A6A6" w:themeColor="background2" w:themeShade="A6"/>
              <w:right w:val="single" w:sz="2" w:space="0" w:color="D9D9D9" w:themeColor="background2" w:themeShade="D9"/>
            </w:tcBorders>
            <w:shd w:val="clear" w:color="auto" w:fill="F2F2F2" w:themeFill="background2" w:themeFillShade="F2"/>
            <w:tcMar>
              <w:top w:w="113" w:type="dxa"/>
              <w:left w:w="113" w:type="dxa"/>
              <w:bottom w:w="113" w:type="dxa"/>
              <w:right w:w="113" w:type="dxa"/>
            </w:tcMar>
          </w:tcPr>
          <w:p w14:paraId="0E4ADD05" w14:textId="00205497" w:rsidR="009330A7" w:rsidRPr="00C010C9" w:rsidRDefault="009330A7" w:rsidP="00606349">
            <w:pPr>
              <w:pStyle w:val="Body"/>
              <w:spacing w:after="0"/>
              <w:rPr>
                <w:b/>
                <w:bCs/>
                <w:sz w:val="16"/>
                <w:szCs w:val="16"/>
              </w:rPr>
            </w:pPr>
            <w:r w:rsidRPr="00C010C9">
              <w:rPr>
                <w:b/>
                <w:bCs/>
                <w:sz w:val="16"/>
                <w:szCs w:val="16"/>
              </w:rPr>
              <w:t>Name</w:t>
            </w:r>
          </w:p>
        </w:tc>
        <w:tc>
          <w:tcPr>
            <w:tcW w:w="1134" w:type="dxa"/>
            <w:tcBorders>
              <w:top w:val="single" w:sz="4" w:space="0" w:color="A6A6A6" w:themeColor="background2" w:themeShade="A6"/>
              <w:left w:val="single" w:sz="2" w:space="0" w:color="D9D9D9" w:themeColor="background2" w:themeShade="D9"/>
              <w:bottom w:val="single" w:sz="4" w:space="0" w:color="A6A6A6" w:themeColor="background2" w:themeShade="A6"/>
            </w:tcBorders>
            <w:shd w:val="clear" w:color="auto" w:fill="F2F2F2" w:themeFill="background2" w:themeFillShade="F2"/>
          </w:tcPr>
          <w:p w14:paraId="690DCCD9" w14:textId="6412EE9E" w:rsidR="009330A7" w:rsidRPr="00C010C9" w:rsidRDefault="009330A7" w:rsidP="00606349">
            <w:pPr>
              <w:pStyle w:val="Body"/>
              <w:spacing w:after="0"/>
              <w:rPr>
                <w:b/>
                <w:bCs/>
                <w:sz w:val="16"/>
                <w:szCs w:val="16"/>
              </w:rPr>
            </w:pPr>
            <w:r w:rsidRPr="00C010C9">
              <w:rPr>
                <w:b/>
                <w:bCs/>
                <w:sz w:val="16"/>
                <w:szCs w:val="16"/>
              </w:rPr>
              <w:t>Qualifications of the Accountable Authority</w:t>
            </w:r>
          </w:p>
        </w:tc>
        <w:tc>
          <w:tcPr>
            <w:tcW w:w="1587"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1789E56" w14:textId="28F367F2" w:rsidR="009330A7" w:rsidRPr="00C010C9" w:rsidRDefault="009330A7" w:rsidP="00606349">
            <w:pPr>
              <w:pStyle w:val="Body"/>
              <w:spacing w:after="0"/>
              <w:rPr>
                <w:b/>
                <w:bCs/>
                <w:sz w:val="16"/>
                <w:szCs w:val="16"/>
              </w:rPr>
            </w:pPr>
            <w:r w:rsidRPr="00C010C9">
              <w:rPr>
                <w:b/>
                <w:bCs/>
                <w:sz w:val="16"/>
                <w:szCs w:val="16"/>
              </w:rPr>
              <w:t>Experience of the Accountable Authority</w:t>
            </w:r>
          </w:p>
        </w:tc>
        <w:tc>
          <w:tcPr>
            <w:tcW w:w="945" w:type="dxa"/>
            <w:tcBorders>
              <w:top w:val="single" w:sz="4" w:space="0" w:color="A6A6A6" w:themeColor="background2" w:themeShade="A6"/>
              <w:bottom w:val="single" w:sz="4" w:space="0" w:color="A6A6A6" w:themeColor="background2" w:themeShade="A6"/>
              <w:right w:val="single" w:sz="2" w:space="0" w:color="D9D9D9" w:themeColor="background2" w:themeShade="D9"/>
            </w:tcBorders>
            <w:shd w:val="clear" w:color="auto" w:fill="F2F2F2" w:themeFill="background2" w:themeFillShade="F2"/>
            <w:tcMar>
              <w:top w:w="113" w:type="dxa"/>
              <w:left w:w="113" w:type="dxa"/>
              <w:bottom w:w="113" w:type="dxa"/>
              <w:right w:w="113" w:type="dxa"/>
            </w:tcMar>
          </w:tcPr>
          <w:p w14:paraId="600D4642" w14:textId="17932175" w:rsidR="00FD7734" w:rsidRPr="00C010C9" w:rsidRDefault="00884997" w:rsidP="00FD7734">
            <w:pPr>
              <w:pStyle w:val="Body"/>
              <w:spacing w:after="0"/>
              <w:rPr>
                <w:b/>
                <w:bCs/>
                <w:sz w:val="16"/>
                <w:szCs w:val="16"/>
              </w:rPr>
            </w:pPr>
            <w:r w:rsidRPr="00C010C9">
              <w:rPr>
                <w:b/>
                <w:bCs/>
                <w:sz w:val="16"/>
                <w:szCs w:val="16"/>
              </w:rPr>
              <w:t xml:space="preserve">Position Title </w:t>
            </w:r>
          </w:p>
          <w:p w14:paraId="1B5F2C9A" w14:textId="1EE9A1C3" w:rsidR="009330A7" w:rsidRPr="00C010C9" w:rsidRDefault="009330A7" w:rsidP="00606349">
            <w:pPr>
              <w:pStyle w:val="Body"/>
              <w:spacing w:after="0"/>
              <w:rPr>
                <w:b/>
                <w:bCs/>
                <w:sz w:val="16"/>
                <w:szCs w:val="16"/>
              </w:rPr>
            </w:pPr>
          </w:p>
        </w:tc>
        <w:tc>
          <w:tcPr>
            <w:tcW w:w="1275" w:type="dxa"/>
            <w:tcBorders>
              <w:top w:val="single" w:sz="4" w:space="0" w:color="A6A6A6" w:themeColor="background2" w:themeShade="A6"/>
              <w:left w:val="single" w:sz="2" w:space="0" w:color="D9D9D9" w:themeColor="background2" w:themeShade="D9"/>
              <w:bottom w:val="single" w:sz="4" w:space="0" w:color="A6A6A6" w:themeColor="background2" w:themeShade="A6"/>
            </w:tcBorders>
            <w:shd w:val="clear" w:color="auto" w:fill="F2F2F2" w:themeFill="background2" w:themeFillShade="F2"/>
          </w:tcPr>
          <w:p w14:paraId="2D3EBDE1" w14:textId="798A51A9" w:rsidR="009330A7" w:rsidRPr="00C010C9" w:rsidRDefault="00884997" w:rsidP="00606349">
            <w:pPr>
              <w:pStyle w:val="Body"/>
              <w:spacing w:after="0"/>
              <w:rPr>
                <w:b/>
                <w:bCs/>
                <w:sz w:val="16"/>
                <w:szCs w:val="16"/>
              </w:rPr>
            </w:pPr>
            <w:r w:rsidRPr="00C010C9">
              <w:rPr>
                <w:b/>
                <w:bCs/>
                <w:sz w:val="16"/>
                <w:szCs w:val="16"/>
              </w:rPr>
              <w:t>Date of Commencement</w:t>
            </w:r>
          </w:p>
        </w:tc>
        <w:tc>
          <w:tcPr>
            <w:tcW w:w="851" w:type="dxa"/>
            <w:tcBorders>
              <w:top w:val="single" w:sz="4" w:space="0" w:color="A6A6A6" w:themeColor="background2" w:themeShade="A6"/>
              <w:bottom w:val="single" w:sz="4" w:space="0" w:color="A6A6A6" w:themeColor="background2" w:themeShade="A6"/>
            </w:tcBorders>
            <w:shd w:val="clear" w:color="auto" w:fill="F2F2F2" w:themeFill="background2" w:themeFillShade="F2"/>
          </w:tcPr>
          <w:p w14:paraId="5B07217A" w14:textId="28B06B44" w:rsidR="009330A7" w:rsidRPr="00C010C9" w:rsidRDefault="00884997" w:rsidP="00606349">
            <w:pPr>
              <w:pStyle w:val="Body"/>
              <w:spacing w:after="0"/>
              <w:rPr>
                <w:b/>
                <w:bCs/>
                <w:sz w:val="16"/>
                <w:szCs w:val="16"/>
              </w:rPr>
            </w:pPr>
            <w:r w:rsidRPr="00C010C9">
              <w:rPr>
                <w:b/>
                <w:bCs/>
                <w:sz w:val="16"/>
                <w:szCs w:val="16"/>
              </w:rPr>
              <w:t>Date of cessation</w:t>
            </w:r>
          </w:p>
        </w:tc>
        <w:tc>
          <w:tcPr>
            <w:tcW w:w="1124"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2F2F2" w:themeFill="background2" w:themeFillShade="F2"/>
          </w:tcPr>
          <w:p w14:paraId="3B9C1CC3" w14:textId="3064C03F" w:rsidR="009330A7" w:rsidRPr="00C010C9" w:rsidRDefault="00884997" w:rsidP="00606349">
            <w:pPr>
              <w:pStyle w:val="Body"/>
              <w:spacing w:after="0"/>
              <w:rPr>
                <w:b/>
                <w:bCs/>
                <w:sz w:val="16"/>
                <w:szCs w:val="16"/>
              </w:rPr>
            </w:pPr>
            <w:r w:rsidRPr="00C010C9">
              <w:rPr>
                <w:b/>
                <w:bCs/>
                <w:sz w:val="16"/>
                <w:szCs w:val="16"/>
              </w:rPr>
              <w:t>Number of meetings of the board of the company</w:t>
            </w:r>
          </w:p>
        </w:tc>
      </w:tr>
      <w:tr w:rsidR="005D4306" w:rsidRPr="00884997" w14:paraId="6E958AEB" w14:textId="77777777" w:rsidTr="00FD7734">
        <w:trPr>
          <w:trHeight w:val="6071"/>
        </w:trPr>
        <w:tc>
          <w:tcPr>
            <w:tcW w:w="737" w:type="dxa"/>
            <w:tcBorders>
              <w:top w:val="single" w:sz="4" w:space="0" w:color="A6A6A6" w:themeColor="background2" w:themeShade="A6"/>
              <w:bottom w:val="single" w:sz="4" w:space="0" w:color="A6A6A6" w:themeColor="background2" w:themeShade="A6"/>
              <w:right w:val="single" w:sz="2" w:space="0" w:color="D9D9D9" w:themeColor="background2" w:themeShade="D9"/>
            </w:tcBorders>
            <w:shd w:val="clear" w:color="auto" w:fill="FFFFFF" w:themeFill="background2"/>
            <w:tcMar>
              <w:top w:w="113" w:type="dxa"/>
              <w:left w:w="113" w:type="dxa"/>
              <w:bottom w:w="113" w:type="dxa"/>
              <w:right w:w="113" w:type="dxa"/>
            </w:tcMar>
          </w:tcPr>
          <w:p w14:paraId="29D2D8FD" w14:textId="4C9026F0" w:rsidR="009330A7" w:rsidRPr="00C010C9" w:rsidRDefault="009330A7" w:rsidP="00606349">
            <w:pPr>
              <w:pStyle w:val="Body"/>
              <w:spacing w:after="120"/>
              <w:rPr>
                <w:b/>
                <w:bCs/>
                <w:sz w:val="16"/>
                <w:szCs w:val="16"/>
              </w:rPr>
            </w:pPr>
            <w:r w:rsidRPr="00C010C9">
              <w:rPr>
                <w:b/>
                <w:bCs/>
                <w:sz w:val="16"/>
                <w:szCs w:val="16"/>
              </w:rPr>
              <w:t>James Downie</w:t>
            </w:r>
          </w:p>
        </w:tc>
        <w:tc>
          <w:tcPr>
            <w:tcW w:w="1134" w:type="dxa"/>
            <w:tcBorders>
              <w:top w:val="single" w:sz="4" w:space="0" w:color="A6A6A6" w:themeColor="background2" w:themeShade="A6"/>
              <w:left w:val="single" w:sz="2" w:space="0" w:color="D9D9D9" w:themeColor="background2" w:themeShade="D9"/>
              <w:bottom w:val="single" w:sz="4" w:space="0" w:color="A6A6A6" w:themeColor="background2" w:themeShade="A6"/>
            </w:tcBorders>
            <w:shd w:val="clear" w:color="auto" w:fill="FFFFFF" w:themeFill="background2"/>
          </w:tcPr>
          <w:p w14:paraId="18DB323C" w14:textId="788EC7C4" w:rsidR="009330A7" w:rsidRPr="00884997" w:rsidRDefault="009330A7" w:rsidP="00F36F0E">
            <w:pPr>
              <w:pStyle w:val="Body"/>
              <w:spacing w:after="120"/>
              <w:ind w:right="-92"/>
              <w:rPr>
                <w:sz w:val="16"/>
                <w:szCs w:val="16"/>
              </w:rPr>
            </w:pPr>
            <w:r w:rsidRPr="00884997">
              <w:rPr>
                <w:sz w:val="16"/>
                <w:szCs w:val="16"/>
              </w:rPr>
              <w:t>Masters of Business Administration; Bachelor of Engineering, Metallurgical Engineering</w:t>
            </w:r>
          </w:p>
        </w:tc>
        <w:tc>
          <w:tcPr>
            <w:tcW w:w="1587" w:type="dxa"/>
            <w:tcBorders>
              <w:top w:val="single" w:sz="4" w:space="0" w:color="A6A6A6" w:themeColor="background2" w:themeShade="A6"/>
              <w:bottom w:val="single" w:sz="4" w:space="0" w:color="A6A6A6" w:themeColor="background2" w:themeShade="A6"/>
            </w:tcBorders>
            <w:shd w:val="clear" w:color="auto" w:fill="FFFFFF" w:themeFill="background2"/>
          </w:tcPr>
          <w:p w14:paraId="47AC87EF" w14:textId="58C86764" w:rsidR="00884997" w:rsidRPr="00884997" w:rsidRDefault="00884997" w:rsidP="00606349">
            <w:pPr>
              <w:pStyle w:val="Body"/>
              <w:spacing w:after="120"/>
              <w:rPr>
                <w:sz w:val="16"/>
                <w:szCs w:val="16"/>
              </w:rPr>
            </w:pPr>
            <w:r w:rsidRPr="00884997">
              <w:rPr>
                <w:sz w:val="16"/>
                <w:szCs w:val="16"/>
              </w:rPr>
              <w:t>James Downie was appointed as the IHPA CEO on 1</w:t>
            </w:r>
            <w:r w:rsidR="0069741B">
              <w:rPr>
                <w:sz w:val="16"/>
                <w:szCs w:val="16"/>
              </w:rPr>
              <w:t> </w:t>
            </w:r>
            <w:r w:rsidRPr="00884997">
              <w:rPr>
                <w:sz w:val="16"/>
                <w:szCs w:val="16"/>
              </w:rPr>
              <w:t>September 2016. Prior</w:t>
            </w:r>
            <w:r w:rsidR="008A3327">
              <w:rPr>
                <w:sz w:val="16"/>
                <w:szCs w:val="16"/>
              </w:rPr>
              <w:t> </w:t>
            </w:r>
            <w:r w:rsidRPr="00884997">
              <w:rPr>
                <w:sz w:val="16"/>
                <w:szCs w:val="16"/>
              </w:rPr>
              <w:t>to this</w:t>
            </w:r>
            <w:r w:rsidR="0041448E">
              <w:rPr>
                <w:sz w:val="16"/>
                <w:szCs w:val="16"/>
              </w:rPr>
              <w:t>,</w:t>
            </w:r>
            <w:r w:rsidRPr="00884997">
              <w:rPr>
                <w:sz w:val="16"/>
                <w:szCs w:val="16"/>
              </w:rPr>
              <w:t xml:space="preserve"> James was Executive Director, Activity Based Funding, leading the teams responsible for delivering the classification, costing and pricing functions of IHPA as well as the data acquisition activities.</w:t>
            </w:r>
          </w:p>
          <w:p w14:paraId="2C22F6D9" w14:textId="1B883B91" w:rsidR="009330A7" w:rsidRPr="00884997" w:rsidRDefault="00884997" w:rsidP="00606349">
            <w:pPr>
              <w:pStyle w:val="Body"/>
              <w:spacing w:after="0"/>
              <w:rPr>
                <w:sz w:val="16"/>
                <w:szCs w:val="16"/>
              </w:rPr>
            </w:pPr>
            <w:r w:rsidRPr="00884997">
              <w:rPr>
                <w:sz w:val="16"/>
                <w:szCs w:val="16"/>
              </w:rPr>
              <w:t>He previously held</w:t>
            </w:r>
            <w:r w:rsidR="0069741B">
              <w:rPr>
                <w:sz w:val="16"/>
                <w:szCs w:val="16"/>
              </w:rPr>
              <w:t> </w:t>
            </w:r>
            <w:r w:rsidRPr="00884997">
              <w:rPr>
                <w:sz w:val="16"/>
                <w:szCs w:val="16"/>
              </w:rPr>
              <w:t>roles with the Victorian Department of Health and the Royal Children’s Hospital Melbourne, and</w:t>
            </w:r>
            <w:r w:rsidR="008A3327">
              <w:rPr>
                <w:sz w:val="16"/>
                <w:szCs w:val="16"/>
              </w:rPr>
              <w:t> </w:t>
            </w:r>
            <w:r w:rsidRPr="00884997">
              <w:rPr>
                <w:sz w:val="16"/>
                <w:szCs w:val="16"/>
              </w:rPr>
              <w:t>various technical and operational roles in the resources industry.</w:t>
            </w:r>
          </w:p>
        </w:tc>
        <w:tc>
          <w:tcPr>
            <w:tcW w:w="945" w:type="dxa"/>
            <w:tcBorders>
              <w:top w:val="single" w:sz="4" w:space="0" w:color="A6A6A6" w:themeColor="background2" w:themeShade="A6"/>
              <w:bottom w:val="single" w:sz="4" w:space="0" w:color="A6A6A6" w:themeColor="background2" w:themeShade="A6"/>
              <w:right w:val="single" w:sz="8" w:space="0" w:color="F2F2F2" w:themeColor="background2" w:themeShade="F2"/>
            </w:tcBorders>
            <w:shd w:val="clear" w:color="auto" w:fill="FFFFFF" w:themeFill="background2"/>
            <w:tcMar>
              <w:top w:w="113" w:type="dxa"/>
              <w:left w:w="113" w:type="dxa"/>
              <w:bottom w:w="113" w:type="dxa"/>
              <w:right w:w="113" w:type="dxa"/>
            </w:tcMar>
          </w:tcPr>
          <w:p w14:paraId="5464AE82" w14:textId="6BF20BD0" w:rsidR="009330A7" w:rsidRPr="00884997" w:rsidRDefault="00884997" w:rsidP="00606349">
            <w:pPr>
              <w:pStyle w:val="Body"/>
              <w:spacing w:after="120"/>
              <w:rPr>
                <w:sz w:val="16"/>
                <w:szCs w:val="16"/>
              </w:rPr>
            </w:pPr>
            <w:r w:rsidRPr="00884997">
              <w:rPr>
                <w:sz w:val="16"/>
                <w:szCs w:val="16"/>
              </w:rPr>
              <w:t>Chief Executive Officer</w:t>
            </w:r>
          </w:p>
        </w:tc>
        <w:tc>
          <w:tcPr>
            <w:tcW w:w="1275" w:type="dxa"/>
            <w:tcBorders>
              <w:top w:val="single" w:sz="4" w:space="0" w:color="A6A6A6" w:themeColor="background2" w:themeShade="A6"/>
              <w:left w:val="single" w:sz="8" w:space="0" w:color="F2F2F2" w:themeColor="background2" w:themeShade="F2"/>
              <w:bottom w:val="single" w:sz="4" w:space="0" w:color="A6A6A6" w:themeColor="background2" w:themeShade="A6"/>
            </w:tcBorders>
            <w:shd w:val="clear" w:color="auto" w:fill="FFFFFF" w:themeFill="background2"/>
          </w:tcPr>
          <w:p w14:paraId="35879C9A" w14:textId="46327908" w:rsidR="009330A7" w:rsidRPr="00884997" w:rsidRDefault="00884997" w:rsidP="00606349">
            <w:pPr>
              <w:pStyle w:val="Body"/>
              <w:spacing w:after="120"/>
              <w:rPr>
                <w:sz w:val="16"/>
                <w:szCs w:val="16"/>
              </w:rPr>
            </w:pPr>
            <w:r>
              <w:rPr>
                <w:sz w:val="16"/>
                <w:szCs w:val="16"/>
              </w:rPr>
              <w:t>1 September 2016</w:t>
            </w:r>
          </w:p>
        </w:tc>
        <w:tc>
          <w:tcPr>
            <w:tcW w:w="851" w:type="dxa"/>
            <w:tcBorders>
              <w:top w:val="single" w:sz="4" w:space="0" w:color="A6A6A6" w:themeColor="background2" w:themeShade="A6"/>
              <w:bottom w:val="single" w:sz="4" w:space="0" w:color="A6A6A6" w:themeColor="background2" w:themeShade="A6"/>
            </w:tcBorders>
            <w:shd w:val="clear" w:color="auto" w:fill="FFFFFF" w:themeFill="background2"/>
          </w:tcPr>
          <w:p w14:paraId="2E8F7E96" w14:textId="6452A93F" w:rsidR="009330A7" w:rsidRPr="00884997" w:rsidRDefault="00884997" w:rsidP="00606349">
            <w:pPr>
              <w:pStyle w:val="Body"/>
              <w:spacing w:after="120"/>
              <w:rPr>
                <w:sz w:val="16"/>
                <w:szCs w:val="16"/>
              </w:rPr>
            </w:pPr>
            <w:r>
              <w:rPr>
                <w:sz w:val="16"/>
                <w:szCs w:val="16"/>
              </w:rPr>
              <w:t>31 August 2021</w:t>
            </w:r>
          </w:p>
        </w:tc>
        <w:tc>
          <w:tcPr>
            <w:tcW w:w="1124" w:type="dxa"/>
            <w:tcBorders>
              <w:top w:val="single" w:sz="4" w:space="0" w:color="A6A6A6" w:themeColor="background2" w:themeShade="A6"/>
              <w:bottom w:val="single" w:sz="4" w:space="0" w:color="A6A6A6" w:themeColor="background2" w:themeShade="A6"/>
              <w:right w:val="single" w:sz="8" w:space="0" w:color="FFFFFF" w:themeColor="background2"/>
            </w:tcBorders>
            <w:shd w:val="clear" w:color="auto" w:fill="FFFFFF" w:themeFill="background2"/>
          </w:tcPr>
          <w:p w14:paraId="51F814A3" w14:textId="351B7707" w:rsidR="009330A7" w:rsidRPr="00884997" w:rsidRDefault="00884997" w:rsidP="00606349">
            <w:pPr>
              <w:pStyle w:val="Body"/>
              <w:spacing w:after="120"/>
              <w:rPr>
                <w:sz w:val="16"/>
                <w:szCs w:val="16"/>
              </w:rPr>
            </w:pPr>
            <w:r>
              <w:rPr>
                <w:sz w:val="16"/>
                <w:szCs w:val="16"/>
              </w:rPr>
              <w:t>N/A</w:t>
            </w:r>
          </w:p>
        </w:tc>
      </w:tr>
    </w:tbl>
    <w:p w14:paraId="388FC859" w14:textId="77777777" w:rsidR="00606349" w:rsidRDefault="00606349" w:rsidP="00A10034">
      <w:pPr>
        <w:pStyle w:val="Body"/>
        <w:spacing w:before="240"/>
        <w:sectPr w:rsidR="00606349" w:rsidSect="005D4306">
          <w:headerReference w:type="default" r:id="rId101"/>
          <w:footerReference w:type="even" r:id="rId102"/>
          <w:footerReference w:type="default" r:id="rId103"/>
          <w:footnotePr>
            <w:pos w:val="beneathText"/>
          </w:footnotePr>
          <w:pgSz w:w="9979" w:h="14175" w:code="13"/>
          <w:pgMar w:top="850" w:right="1418" w:bottom="1276" w:left="1418" w:header="709" w:footer="709" w:gutter="0"/>
          <w:cols w:space="623"/>
          <w:docGrid w:linePitch="360"/>
        </w:sectPr>
      </w:pPr>
    </w:p>
    <w:p w14:paraId="2BD11EB8" w14:textId="46C8B336" w:rsidR="00606349" w:rsidRPr="005C0F04" w:rsidRDefault="00606349" w:rsidP="00606349">
      <w:pPr>
        <w:pStyle w:val="H3"/>
        <w:rPr>
          <w:color w:val="C40B46" w:themeColor="accent6"/>
        </w:rPr>
      </w:pPr>
      <w:r w:rsidRPr="005C0F04">
        <w:rPr>
          <w:color w:val="C40B46" w:themeColor="accent6"/>
        </w:rPr>
        <w:lastRenderedPageBreak/>
        <w:t>Education and review</w:t>
      </w:r>
      <w:r w:rsidR="008A3327">
        <w:rPr>
          <w:color w:val="C40B46" w:themeColor="accent6"/>
        </w:rPr>
        <w:t> </w:t>
      </w:r>
      <w:r w:rsidRPr="005C0F04">
        <w:rPr>
          <w:color w:val="C40B46" w:themeColor="accent6"/>
        </w:rPr>
        <w:t>processes</w:t>
      </w:r>
    </w:p>
    <w:p w14:paraId="10943431" w14:textId="4D9E5984" w:rsidR="00606349" w:rsidRDefault="00606349" w:rsidP="00606349">
      <w:pPr>
        <w:pStyle w:val="Body"/>
      </w:pPr>
      <w:r>
        <w:t>During the reporting period, the</w:t>
      </w:r>
      <w:r w:rsidR="00022EA2">
        <w:t> </w:t>
      </w:r>
      <w:r>
        <w:t>Chief</w:t>
      </w:r>
      <w:r w:rsidR="008A3327">
        <w:t> </w:t>
      </w:r>
      <w:r>
        <w:t>Executive Officer enhanced his skills</w:t>
      </w:r>
      <w:r w:rsidR="00022EA2">
        <w:t> </w:t>
      </w:r>
      <w:r>
        <w:t>through attendance at domestic and international activity based funding events, and attended specialised leadership training that was also made available to IHPA mid</w:t>
      </w:r>
      <w:r w:rsidR="008A3327">
        <w:noBreakHyphen/>
      </w:r>
      <w:r>
        <w:t>level and senior management staff.</w:t>
      </w:r>
      <w:r w:rsidR="00FA30FA">
        <w:t xml:space="preserve"> </w:t>
      </w:r>
      <w:r w:rsidR="00FA30FA" w:rsidRPr="00FA30FA">
        <w:t>He</w:t>
      </w:r>
      <w:r w:rsidR="00FA30FA">
        <w:t> </w:t>
      </w:r>
      <w:r w:rsidR="00FA30FA" w:rsidRPr="00FA30FA">
        <w:t>receives regular performance feedback via</w:t>
      </w:r>
      <w:r w:rsidR="00FA30FA">
        <w:t> </w:t>
      </w:r>
      <w:r w:rsidR="00FA30FA" w:rsidRPr="00FA30FA">
        <w:t>the Pricing Authority meetings.</w:t>
      </w:r>
    </w:p>
    <w:p w14:paraId="20A2E9E2" w14:textId="0E818C16" w:rsidR="00606349" w:rsidRDefault="00F42B00" w:rsidP="00606349">
      <w:pPr>
        <w:pStyle w:val="Body"/>
      </w:pPr>
      <w:r w:rsidRPr="00F42B00">
        <w:t>During the period, the Chief Executive Officer completed the Australian Institute of Company Directors (AICD) Company Directors course.</w:t>
      </w:r>
    </w:p>
    <w:p w14:paraId="24F351C7" w14:textId="77777777" w:rsidR="00606349" w:rsidRPr="005C0F04" w:rsidRDefault="00606349" w:rsidP="00606349">
      <w:pPr>
        <w:pStyle w:val="H3"/>
        <w:rPr>
          <w:color w:val="C40B46" w:themeColor="accent6"/>
        </w:rPr>
      </w:pPr>
      <w:r w:rsidRPr="005C0F04">
        <w:rPr>
          <w:color w:val="C40B46" w:themeColor="accent6"/>
        </w:rPr>
        <w:t>Work health and safety</w:t>
      </w:r>
    </w:p>
    <w:p w14:paraId="25950E7E" w14:textId="77777777" w:rsidR="00606349" w:rsidRDefault="00606349" w:rsidP="00606349">
      <w:pPr>
        <w:pStyle w:val="Body"/>
      </w:pPr>
      <w:r>
        <w:t xml:space="preserve">In 2019–20, IHPA’s Work Health and Safety Committee continued to manage work health and safety matters in accordance with the </w:t>
      </w:r>
      <w:r w:rsidRPr="00606349">
        <w:rPr>
          <w:i/>
          <w:iCs/>
        </w:rPr>
        <w:t>Work Health and Safety Act 2011</w:t>
      </w:r>
      <w:r>
        <w:t>.</w:t>
      </w:r>
    </w:p>
    <w:p w14:paraId="6259D163" w14:textId="77777777" w:rsidR="00606349" w:rsidRDefault="00606349" w:rsidP="00606349">
      <w:pPr>
        <w:pStyle w:val="Body"/>
      </w:pPr>
      <w:r>
        <w:t>The committee met four times during the year and dealt with a range of work health and safety matters.</w:t>
      </w:r>
    </w:p>
    <w:p w14:paraId="2AC2A619" w14:textId="36F50C7D" w:rsidR="00606349" w:rsidRDefault="00606349" w:rsidP="00606349">
      <w:pPr>
        <w:pStyle w:val="Body"/>
      </w:pPr>
      <w:r>
        <w:t>IHPA maintained its ongoing practice of providing workplace assessments for new staff, and as required</w:t>
      </w:r>
      <w:r w:rsidR="00B94A29">
        <w:t>,</w:t>
      </w:r>
      <w:r>
        <w:t xml:space="preserve"> and provided additional support to staff working from home during the</w:t>
      </w:r>
      <w:r w:rsidR="008A3327">
        <w:t> </w:t>
      </w:r>
      <w:r w:rsidR="00E747BF">
        <w:t>COVID-19</w:t>
      </w:r>
      <w:r w:rsidR="008A3327">
        <w:t xml:space="preserve"> </w:t>
      </w:r>
      <w:r w:rsidR="00F36F0E">
        <w:t>p</w:t>
      </w:r>
      <w:r>
        <w:t>andemic.</w:t>
      </w:r>
    </w:p>
    <w:p w14:paraId="086ACC7A" w14:textId="7BDD05B2" w:rsidR="00606349" w:rsidRDefault="00606349" w:rsidP="00606349">
      <w:pPr>
        <w:pStyle w:val="Body"/>
      </w:pPr>
      <w:r>
        <w:t>In 2019–20</w:t>
      </w:r>
      <w:r w:rsidR="00B94A29">
        <w:t>,</w:t>
      </w:r>
      <w:r>
        <w:t xml:space="preserve"> no notifiable incidents were identified in regards to work health and safety. No workers reported injuries and no workers</w:t>
      </w:r>
      <w:r w:rsidR="00B94A29">
        <w:t>’</w:t>
      </w:r>
      <w:r>
        <w:t xml:space="preserve"> compensation claims were lodged. There were no investigations conducted during the year relating to businesses or undertakings conducted by the entity.</w:t>
      </w:r>
    </w:p>
    <w:p w14:paraId="04330B10" w14:textId="2CE86C1A" w:rsidR="00606349" w:rsidRPr="0040012B" w:rsidRDefault="00644E26" w:rsidP="00606349">
      <w:pPr>
        <w:pStyle w:val="H3"/>
        <w:rPr>
          <w:color w:val="C40B46" w:themeColor="accent6"/>
        </w:rPr>
      </w:pPr>
      <w:r>
        <w:rPr>
          <w:color w:val="F47920" w:themeColor="accent4"/>
        </w:rPr>
        <w:br w:type="column"/>
      </w:r>
      <w:r w:rsidR="00606349" w:rsidRPr="005C0F04">
        <w:rPr>
          <w:color w:val="C40B46" w:themeColor="accent6"/>
        </w:rPr>
        <w:t>Advertising and market</w:t>
      </w:r>
      <w:r w:rsidR="008A3327">
        <w:rPr>
          <w:color w:val="C40B46" w:themeColor="accent6"/>
        </w:rPr>
        <w:t> </w:t>
      </w:r>
      <w:r w:rsidR="00606349" w:rsidRPr="005C0F04">
        <w:rPr>
          <w:color w:val="C40B46" w:themeColor="accent6"/>
        </w:rPr>
        <w:t>research</w:t>
      </w:r>
    </w:p>
    <w:p w14:paraId="7C288873" w14:textId="7A2480C7" w:rsidR="00B20BE1" w:rsidRDefault="00606349" w:rsidP="00606349">
      <w:pPr>
        <w:pStyle w:val="Body"/>
      </w:pPr>
      <w:r>
        <w:t>In 2019–20, IHPA commissioned no advertising that must be reported under s.</w:t>
      </w:r>
      <w:r w:rsidR="008A3327">
        <w:t> </w:t>
      </w:r>
      <w:r>
        <w:t xml:space="preserve">311A of the </w:t>
      </w:r>
      <w:r w:rsidRPr="00606349">
        <w:rPr>
          <w:i/>
          <w:iCs/>
        </w:rPr>
        <w:t>Commonwealth Electoral Act</w:t>
      </w:r>
      <w:r w:rsidR="008A3327">
        <w:rPr>
          <w:i/>
          <w:iCs/>
        </w:rPr>
        <w:t> </w:t>
      </w:r>
      <w:r w:rsidRPr="00606349">
        <w:rPr>
          <w:i/>
          <w:iCs/>
        </w:rPr>
        <w:t>1918</w:t>
      </w:r>
      <w:r>
        <w:t>.</w:t>
      </w:r>
    </w:p>
    <w:p w14:paraId="4FE8E000" w14:textId="1C633794" w:rsidR="00F7601F" w:rsidRDefault="00F7601F" w:rsidP="00606349">
      <w:pPr>
        <w:pStyle w:val="Body"/>
      </w:pPr>
    </w:p>
    <w:p w14:paraId="21F26288" w14:textId="77777777" w:rsidR="00F7601F" w:rsidRDefault="00F7601F" w:rsidP="00606349">
      <w:pPr>
        <w:pStyle w:val="Body"/>
        <w:sectPr w:rsidR="00F7601F" w:rsidSect="00B22546">
          <w:headerReference w:type="default" r:id="rId104"/>
          <w:footerReference w:type="default" r:id="rId105"/>
          <w:footnotePr>
            <w:pos w:val="beneathText"/>
          </w:footnotePr>
          <w:pgSz w:w="9979" w:h="14175" w:code="13"/>
          <w:pgMar w:top="1134" w:right="1418" w:bottom="992" w:left="1418" w:header="709" w:footer="709" w:gutter="0"/>
          <w:cols w:num="2" w:space="623"/>
          <w:docGrid w:linePitch="360"/>
        </w:sectPr>
      </w:pPr>
    </w:p>
    <w:tbl>
      <w:tblPr>
        <w:tblStyle w:val="TableGrid"/>
        <w:tblW w:w="49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03"/>
      </w:tblGrid>
      <w:tr w:rsidR="000D4B5C" w14:paraId="577722C5" w14:textId="77777777" w:rsidTr="00630AEE">
        <w:trPr>
          <w:trHeight w:val="9490"/>
        </w:trPr>
        <w:tc>
          <w:tcPr>
            <w:tcW w:w="5000" w:type="pct"/>
          </w:tcPr>
          <w:p w14:paraId="5468E71D" w14:textId="1B8BF4E4" w:rsidR="000D4B5C" w:rsidRPr="008C1BF9" w:rsidRDefault="000D4B5C" w:rsidP="0006706A">
            <w:pPr>
              <w:pStyle w:val="Heading10"/>
              <w:rPr>
                <w:b w:val="0"/>
                <w:bCs w:val="0"/>
              </w:rPr>
            </w:pPr>
            <w:bookmarkStart w:id="103" w:name="_Toc50378085"/>
            <w:r>
              <w:rPr>
                <w:b w:val="0"/>
                <w:bCs w:val="0"/>
              </w:rPr>
              <w:lastRenderedPageBreak/>
              <w:t>Financial</w:t>
            </w:r>
            <w:r w:rsidRPr="008C1BF9">
              <w:rPr>
                <w:b w:val="0"/>
                <w:bCs w:val="0"/>
              </w:rPr>
              <w:br/>
            </w:r>
            <w:r>
              <w:rPr>
                <w:b w:val="0"/>
                <w:bCs w:val="0"/>
              </w:rPr>
              <w:t>Management</w:t>
            </w:r>
            <w:bookmarkEnd w:id="103"/>
          </w:p>
        </w:tc>
      </w:tr>
      <w:tr w:rsidR="000D4B5C" w14:paraId="41784560" w14:textId="77777777" w:rsidTr="00630AEE">
        <w:trPr>
          <w:trHeight w:val="1569"/>
        </w:trPr>
        <w:tc>
          <w:tcPr>
            <w:tcW w:w="5000" w:type="pct"/>
            <w:vAlign w:val="bottom"/>
          </w:tcPr>
          <w:p w14:paraId="107DB43D" w14:textId="2EA17CA4" w:rsidR="000D4B5C" w:rsidRDefault="000D4B5C" w:rsidP="00F7601F">
            <w:pPr>
              <w:pStyle w:val="SectionBreakNumber"/>
            </w:pPr>
            <w:r w:rsidRPr="003C6AC0">
              <w:t>0</w:t>
            </w:r>
            <w:r>
              <w:t>7</w:t>
            </w:r>
          </w:p>
        </w:tc>
      </w:tr>
    </w:tbl>
    <w:p w14:paraId="40C2EDB5" w14:textId="77777777" w:rsidR="00F7601F" w:rsidRDefault="00F7601F" w:rsidP="00606349">
      <w:pPr>
        <w:pStyle w:val="Body"/>
        <w:sectPr w:rsidR="00F7601F" w:rsidSect="00B20BE1">
          <w:headerReference w:type="even" r:id="rId106"/>
          <w:headerReference w:type="default" r:id="rId107"/>
          <w:footerReference w:type="even" r:id="rId108"/>
          <w:footerReference w:type="default" r:id="rId109"/>
          <w:footnotePr>
            <w:pos w:val="beneathText"/>
          </w:footnotePr>
          <w:pgSz w:w="9979" w:h="14175" w:code="13"/>
          <w:pgMar w:top="1134" w:right="1418" w:bottom="992" w:left="1418" w:header="709" w:footer="709" w:gutter="0"/>
          <w:cols w:space="623"/>
          <w:docGrid w:linePitch="360"/>
        </w:sectPr>
      </w:pPr>
    </w:p>
    <w:p w14:paraId="312FE974" w14:textId="702205AE" w:rsidR="005D422B" w:rsidRDefault="00536BAA" w:rsidP="00536BAA">
      <w:pPr>
        <w:pStyle w:val="Heading1"/>
        <w:rPr>
          <w:color w:val="292929"/>
        </w:rPr>
      </w:pPr>
      <w:bookmarkStart w:id="104" w:name="_Toc44350189"/>
      <w:bookmarkStart w:id="105" w:name="_Toc50378086"/>
      <w:r w:rsidRPr="00536BAA">
        <w:rPr>
          <w:color w:val="292929"/>
        </w:rPr>
        <w:lastRenderedPageBreak/>
        <w:t>Financial statements</w:t>
      </w:r>
      <w:bookmarkEnd w:id="104"/>
      <w:bookmarkEnd w:id="105"/>
    </w:p>
    <w:p w14:paraId="13BA0D30" w14:textId="6F6C419F" w:rsidR="008F2821" w:rsidRDefault="002A417E" w:rsidP="00D7715E">
      <w:pPr>
        <w:pStyle w:val="TOCHeader"/>
        <w:numPr>
          <w:ilvl w:val="0"/>
          <w:numId w:val="0"/>
        </w:numPr>
        <w:spacing w:line="288" w:lineRule="auto"/>
        <w:rPr>
          <w:rFonts w:eastAsiaTheme="minorEastAsia"/>
          <w:lang w:eastAsia="en-PH"/>
        </w:rPr>
      </w:pPr>
      <w:r>
        <w:fldChar w:fldCharType="begin"/>
      </w:r>
      <w:r>
        <w:instrText xml:space="preserve"> TOC \t "H2 Financials,1,H3 Financials,2,H4 Financials,3" </w:instrText>
      </w:r>
      <w:r>
        <w:fldChar w:fldCharType="separate"/>
      </w:r>
      <w:hyperlink w:anchor="StatementbytheChiefExecutiveOfficer" w:history="1">
        <w:r w:rsidR="008F2821" w:rsidRPr="00D0127F">
          <w:rPr>
            <w:rStyle w:val="Hyperlink"/>
          </w:rPr>
          <w:t>Statement by the Chief Executive Officer and Chief Financial Officer</w:t>
        </w:r>
        <w:r w:rsidR="008F2821" w:rsidRPr="00D0127F">
          <w:rPr>
            <w:rStyle w:val="Hyperlink"/>
          </w:rPr>
          <w:tab/>
        </w:r>
        <w:r w:rsidR="008F2821" w:rsidRPr="00D0127F">
          <w:rPr>
            <w:rStyle w:val="Hyperlink"/>
          </w:rPr>
          <w:fldChar w:fldCharType="begin"/>
        </w:r>
        <w:r w:rsidR="008F2821" w:rsidRPr="00D0127F">
          <w:rPr>
            <w:rStyle w:val="Hyperlink"/>
          </w:rPr>
          <w:instrText xml:space="preserve"> PAGEREF _Toc48828391 \h </w:instrText>
        </w:r>
        <w:r w:rsidR="008F2821" w:rsidRPr="00D0127F">
          <w:rPr>
            <w:rStyle w:val="Hyperlink"/>
          </w:rPr>
        </w:r>
        <w:r w:rsidR="008F2821" w:rsidRPr="00D0127F">
          <w:rPr>
            <w:rStyle w:val="Hyperlink"/>
          </w:rPr>
          <w:fldChar w:fldCharType="separate"/>
        </w:r>
        <w:r w:rsidR="00D0127F">
          <w:rPr>
            <w:rStyle w:val="Hyperlink"/>
          </w:rPr>
          <w:t>66</w:t>
        </w:r>
        <w:r w:rsidR="008F2821" w:rsidRPr="00D0127F">
          <w:rPr>
            <w:rStyle w:val="Hyperlink"/>
          </w:rPr>
          <w:fldChar w:fldCharType="end"/>
        </w:r>
      </w:hyperlink>
    </w:p>
    <w:p w14:paraId="6398B0B8" w14:textId="0ECCF2DF" w:rsidR="008F2821" w:rsidRDefault="001E6FC6" w:rsidP="00D7715E">
      <w:pPr>
        <w:pStyle w:val="TOCHeader"/>
        <w:numPr>
          <w:ilvl w:val="0"/>
          <w:numId w:val="0"/>
        </w:numPr>
        <w:spacing w:line="288" w:lineRule="auto"/>
        <w:rPr>
          <w:rFonts w:eastAsiaTheme="minorEastAsia"/>
          <w:sz w:val="22"/>
          <w:szCs w:val="22"/>
          <w:lang w:eastAsia="en-PH"/>
        </w:rPr>
      </w:pPr>
      <w:hyperlink w:anchor="NationalAuditOfficeReport" w:history="1">
        <w:r w:rsidR="008F2821" w:rsidRPr="008B1751">
          <w:rPr>
            <w:rStyle w:val="Hyperlink"/>
          </w:rPr>
          <w:t>National Audit Office report</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_Toc48828392 \h </w:instrText>
        </w:r>
        <w:r w:rsidR="008F2821" w:rsidRPr="008B1751">
          <w:rPr>
            <w:rStyle w:val="Hyperlink"/>
          </w:rPr>
        </w:r>
        <w:r w:rsidR="008F2821" w:rsidRPr="008B1751">
          <w:rPr>
            <w:rStyle w:val="Hyperlink"/>
          </w:rPr>
          <w:fldChar w:fldCharType="separate"/>
        </w:r>
        <w:r w:rsidR="008B1751">
          <w:rPr>
            <w:rStyle w:val="Hyperlink"/>
          </w:rPr>
          <w:t>67</w:t>
        </w:r>
        <w:r w:rsidR="008F2821" w:rsidRPr="008B1751">
          <w:rPr>
            <w:rStyle w:val="Hyperlink"/>
          </w:rPr>
          <w:fldChar w:fldCharType="end"/>
        </w:r>
      </w:hyperlink>
    </w:p>
    <w:p w14:paraId="73C06B37" w14:textId="27554DB9" w:rsidR="008F2821" w:rsidRDefault="001E6FC6" w:rsidP="00D7715E">
      <w:pPr>
        <w:pStyle w:val="TOCHeader"/>
        <w:numPr>
          <w:ilvl w:val="0"/>
          <w:numId w:val="0"/>
        </w:numPr>
        <w:spacing w:line="288" w:lineRule="auto"/>
        <w:rPr>
          <w:rFonts w:eastAsiaTheme="minorEastAsia"/>
          <w:sz w:val="22"/>
          <w:szCs w:val="22"/>
          <w:lang w:eastAsia="en-PH"/>
        </w:rPr>
      </w:pPr>
      <w:hyperlink w:anchor="Primaryfinancialstatements" w:history="1">
        <w:r w:rsidR="008F2821" w:rsidRPr="008B1751">
          <w:rPr>
            <w:rStyle w:val="Hyperlink"/>
          </w:rPr>
          <w:t>Primary financial statements</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_Toc48828393 \h </w:instrText>
        </w:r>
        <w:r w:rsidR="008F2821" w:rsidRPr="008B1751">
          <w:rPr>
            <w:rStyle w:val="Hyperlink"/>
          </w:rPr>
        </w:r>
        <w:r w:rsidR="008F2821" w:rsidRPr="008B1751">
          <w:rPr>
            <w:rStyle w:val="Hyperlink"/>
          </w:rPr>
          <w:fldChar w:fldCharType="separate"/>
        </w:r>
        <w:r w:rsidR="008B1751">
          <w:rPr>
            <w:rStyle w:val="Hyperlink"/>
          </w:rPr>
          <w:t>69</w:t>
        </w:r>
        <w:r w:rsidR="008F2821" w:rsidRPr="008B1751">
          <w:rPr>
            <w:rStyle w:val="Hyperlink"/>
          </w:rPr>
          <w:fldChar w:fldCharType="end"/>
        </w:r>
      </w:hyperlink>
    </w:p>
    <w:p w14:paraId="37DE1E28" w14:textId="28B16FD8" w:rsidR="008F2821" w:rsidRDefault="001E6FC6" w:rsidP="00D7715E">
      <w:pPr>
        <w:pStyle w:val="TOCBody"/>
        <w:spacing w:line="288" w:lineRule="auto"/>
        <w:rPr>
          <w:rFonts w:eastAsiaTheme="minorEastAsia"/>
          <w:lang w:eastAsia="en-PH"/>
        </w:rPr>
      </w:pPr>
      <w:hyperlink w:anchor="Statementofcomprehensiveincome" w:history="1">
        <w:r w:rsidR="008F2821" w:rsidRPr="008B1751">
          <w:rPr>
            <w:rStyle w:val="Hyperlink"/>
          </w:rPr>
          <w:t>Statement of comprehensive income</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_Toc48828394 \h </w:instrText>
        </w:r>
        <w:r w:rsidR="008F2821" w:rsidRPr="008B1751">
          <w:rPr>
            <w:rStyle w:val="Hyperlink"/>
          </w:rPr>
        </w:r>
        <w:r w:rsidR="008F2821" w:rsidRPr="008B1751">
          <w:rPr>
            <w:rStyle w:val="Hyperlink"/>
          </w:rPr>
          <w:fldChar w:fldCharType="separate"/>
        </w:r>
        <w:r w:rsidR="008B1751">
          <w:rPr>
            <w:rStyle w:val="Hyperlink"/>
          </w:rPr>
          <w:t>69</w:t>
        </w:r>
        <w:r w:rsidR="008F2821" w:rsidRPr="008B1751">
          <w:rPr>
            <w:rStyle w:val="Hyperlink"/>
          </w:rPr>
          <w:fldChar w:fldCharType="end"/>
        </w:r>
      </w:hyperlink>
    </w:p>
    <w:p w14:paraId="5F37C410" w14:textId="5FD0EFA9" w:rsidR="008F2821" w:rsidRDefault="001E6FC6" w:rsidP="00D7715E">
      <w:pPr>
        <w:pStyle w:val="TOCBody"/>
        <w:spacing w:line="288" w:lineRule="auto"/>
        <w:rPr>
          <w:rFonts w:eastAsiaTheme="minorEastAsia"/>
          <w:lang w:eastAsia="en-PH"/>
        </w:rPr>
      </w:pPr>
      <w:hyperlink w:anchor="Statementoffinancialposition" w:history="1">
        <w:r w:rsidR="008F2821" w:rsidRPr="008B1751">
          <w:rPr>
            <w:rStyle w:val="Hyperlink"/>
          </w:rPr>
          <w:t>Statement of financial position</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_Toc48828395 \h </w:instrText>
        </w:r>
        <w:r w:rsidR="008F2821" w:rsidRPr="008B1751">
          <w:rPr>
            <w:rStyle w:val="Hyperlink"/>
          </w:rPr>
        </w:r>
        <w:r w:rsidR="008F2821" w:rsidRPr="008B1751">
          <w:rPr>
            <w:rStyle w:val="Hyperlink"/>
          </w:rPr>
          <w:fldChar w:fldCharType="separate"/>
        </w:r>
        <w:r w:rsidR="008B1751">
          <w:rPr>
            <w:rStyle w:val="Hyperlink"/>
          </w:rPr>
          <w:t>70</w:t>
        </w:r>
        <w:r w:rsidR="008F2821" w:rsidRPr="008B1751">
          <w:rPr>
            <w:rStyle w:val="Hyperlink"/>
          </w:rPr>
          <w:fldChar w:fldCharType="end"/>
        </w:r>
      </w:hyperlink>
    </w:p>
    <w:p w14:paraId="79698A5A" w14:textId="326521AD" w:rsidR="008F2821" w:rsidRDefault="001E6FC6" w:rsidP="00D7715E">
      <w:pPr>
        <w:pStyle w:val="TOCBody"/>
        <w:spacing w:line="288" w:lineRule="auto"/>
        <w:rPr>
          <w:rFonts w:eastAsiaTheme="minorEastAsia"/>
          <w:lang w:eastAsia="en-PH"/>
        </w:rPr>
      </w:pPr>
      <w:hyperlink w:anchor="Statementofchangesinequity" w:history="1">
        <w:r w:rsidR="008F2821" w:rsidRPr="008B1751">
          <w:rPr>
            <w:rStyle w:val="Hyperlink"/>
          </w:rPr>
          <w:t>Statement of changes in equity</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_Toc48828396 \h </w:instrText>
        </w:r>
        <w:r w:rsidR="008F2821" w:rsidRPr="008B1751">
          <w:rPr>
            <w:rStyle w:val="Hyperlink"/>
          </w:rPr>
        </w:r>
        <w:r w:rsidR="008F2821" w:rsidRPr="008B1751">
          <w:rPr>
            <w:rStyle w:val="Hyperlink"/>
          </w:rPr>
          <w:fldChar w:fldCharType="separate"/>
        </w:r>
        <w:r w:rsidR="008B1751">
          <w:rPr>
            <w:rStyle w:val="Hyperlink"/>
          </w:rPr>
          <w:t>71</w:t>
        </w:r>
        <w:r w:rsidR="008F2821" w:rsidRPr="008B1751">
          <w:rPr>
            <w:rStyle w:val="Hyperlink"/>
          </w:rPr>
          <w:fldChar w:fldCharType="end"/>
        </w:r>
      </w:hyperlink>
    </w:p>
    <w:p w14:paraId="60ED9827" w14:textId="3A0FC9DC" w:rsidR="008F2821" w:rsidRDefault="001E6FC6" w:rsidP="00D7715E">
      <w:pPr>
        <w:pStyle w:val="TOCBody"/>
        <w:spacing w:line="288" w:lineRule="auto"/>
        <w:rPr>
          <w:rFonts w:eastAsiaTheme="minorEastAsia"/>
          <w:lang w:eastAsia="en-PH"/>
        </w:rPr>
      </w:pPr>
      <w:hyperlink w:anchor="Cashflowstatement" w:history="1">
        <w:r w:rsidR="008F2821" w:rsidRPr="008B1751">
          <w:rPr>
            <w:rStyle w:val="Hyperlink"/>
          </w:rPr>
          <w:t>Cash flow statement</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_Toc48828397 \h </w:instrText>
        </w:r>
        <w:r w:rsidR="008F2821" w:rsidRPr="008B1751">
          <w:rPr>
            <w:rStyle w:val="Hyperlink"/>
          </w:rPr>
        </w:r>
        <w:r w:rsidR="008F2821" w:rsidRPr="008B1751">
          <w:rPr>
            <w:rStyle w:val="Hyperlink"/>
          </w:rPr>
          <w:fldChar w:fldCharType="separate"/>
        </w:r>
        <w:r w:rsidR="008B1751">
          <w:rPr>
            <w:rStyle w:val="Hyperlink"/>
          </w:rPr>
          <w:t>72</w:t>
        </w:r>
        <w:r w:rsidR="008F2821" w:rsidRPr="008B1751">
          <w:rPr>
            <w:rStyle w:val="Hyperlink"/>
          </w:rPr>
          <w:fldChar w:fldCharType="end"/>
        </w:r>
      </w:hyperlink>
    </w:p>
    <w:p w14:paraId="15F2FAF2" w14:textId="5CF43D41" w:rsidR="008F2821" w:rsidRDefault="001E6FC6" w:rsidP="00D7715E">
      <w:pPr>
        <w:pStyle w:val="TOCHeader"/>
        <w:numPr>
          <w:ilvl w:val="0"/>
          <w:numId w:val="0"/>
        </w:numPr>
        <w:spacing w:line="288" w:lineRule="auto"/>
        <w:rPr>
          <w:rFonts w:eastAsiaTheme="minorEastAsia"/>
          <w:sz w:val="22"/>
          <w:szCs w:val="22"/>
          <w:lang w:eastAsia="en-PH"/>
        </w:rPr>
      </w:pPr>
      <w:hyperlink w:anchor="Overview" w:history="1">
        <w:r w:rsidR="008F2821" w:rsidRPr="008B1751">
          <w:rPr>
            <w:rStyle w:val="Hyperlink"/>
          </w:rPr>
          <w:t>Overview</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_Toc48828398 \h </w:instrText>
        </w:r>
        <w:r w:rsidR="008F2821" w:rsidRPr="008B1751">
          <w:rPr>
            <w:rStyle w:val="Hyperlink"/>
          </w:rPr>
        </w:r>
        <w:r w:rsidR="008F2821" w:rsidRPr="008B1751">
          <w:rPr>
            <w:rStyle w:val="Hyperlink"/>
          </w:rPr>
          <w:fldChar w:fldCharType="separate"/>
        </w:r>
        <w:r w:rsidR="008B1751">
          <w:rPr>
            <w:rStyle w:val="Hyperlink"/>
          </w:rPr>
          <w:t>73</w:t>
        </w:r>
        <w:r w:rsidR="008F2821" w:rsidRPr="008B1751">
          <w:rPr>
            <w:rStyle w:val="Hyperlink"/>
          </w:rPr>
          <w:fldChar w:fldCharType="end"/>
        </w:r>
      </w:hyperlink>
    </w:p>
    <w:p w14:paraId="3AD8B1EE" w14:textId="5BA5BF47" w:rsidR="008F2821" w:rsidRDefault="001E6FC6" w:rsidP="00D7715E">
      <w:pPr>
        <w:pStyle w:val="TOCHeader"/>
        <w:numPr>
          <w:ilvl w:val="0"/>
          <w:numId w:val="0"/>
        </w:numPr>
        <w:spacing w:line="288" w:lineRule="auto"/>
        <w:rPr>
          <w:rFonts w:eastAsiaTheme="minorEastAsia"/>
          <w:sz w:val="22"/>
          <w:szCs w:val="22"/>
          <w:lang w:eastAsia="en-PH"/>
        </w:rPr>
      </w:pPr>
      <w:hyperlink w:anchor="Notestothefinancialstatements" w:history="1">
        <w:r w:rsidR="008F2821" w:rsidRPr="008B1751">
          <w:rPr>
            <w:rStyle w:val="Hyperlink"/>
          </w:rPr>
          <w:t>Notes to the financial statements</w:t>
        </w:r>
        <w:r w:rsidR="008F2821" w:rsidRPr="008B1751">
          <w:rPr>
            <w:rStyle w:val="Hyperlink"/>
          </w:rPr>
          <w:tab/>
        </w:r>
        <w:r w:rsidR="008F2821" w:rsidRPr="008B1751">
          <w:rPr>
            <w:rStyle w:val="Hyperlink"/>
          </w:rPr>
          <w:fldChar w:fldCharType="begin"/>
        </w:r>
        <w:r w:rsidR="008F2821" w:rsidRPr="008B1751">
          <w:rPr>
            <w:rStyle w:val="Hyperlink"/>
          </w:rPr>
          <w:instrText xml:space="preserve"> PAGEREF _Toc48828409 \h </w:instrText>
        </w:r>
        <w:r w:rsidR="008F2821" w:rsidRPr="008B1751">
          <w:rPr>
            <w:rStyle w:val="Hyperlink"/>
          </w:rPr>
        </w:r>
        <w:r w:rsidR="008F2821" w:rsidRPr="008B1751">
          <w:rPr>
            <w:rStyle w:val="Hyperlink"/>
          </w:rPr>
          <w:fldChar w:fldCharType="separate"/>
        </w:r>
        <w:r w:rsidR="008B1751">
          <w:rPr>
            <w:rStyle w:val="Hyperlink"/>
          </w:rPr>
          <w:t>76</w:t>
        </w:r>
        <w:r w:rsidR="008F2821" w:rsidRPr="008B1751">
          <w:rPr>
            <w:rStyle w:val="Hyperlink"/>
          </w:rPr>
          <w:fldChar w:fldCharType="end"/>
        </w:r>
      </w:hyperlink>
    </w:p>
    <w:p w14:paraId="262ED8A5" w14:textId="4C3D4F82" w:rsidR="008F2821" w:rsidRPr="00D7715E" w:rsidRDefault="001E6FC6" w:rsidP="00D7715E">
      <w:pPr>
        <w:pStyle w:val="TOCBody"/>
        <w:spacing w:line="288" w:lineRule="auto"/>
        <w:rPr>
          <w:rFonts w:asciiTheme="majorHAnsi" w:eastAsiaTheme="minorEastAsia" w:hAnsiTheme="majorHAnsi"/>
          <w:lang w:eastAsia="en-PH"/>
        </w:rPr>
      </w:pPr>
      <w:hyperlink w:anchor="Financialperformance" w:history="1">
        <w:r w:rsidR="008F2821" w:rsidRPr="006318FD">
          <w:rPr>
            <w:rStyle w:val="Hyperlink"/>
            <w:rFonts w:asciiTheme="majorHAnsi" w:hAnsiTheme="majorHAnsi"/>
          </w:rPr>
          <w:t>Financial performance</w:t>
        </w:r>
        <w:r w:rsidR="008F2821" w:rsidRPr="006318FD">
          <w:rPr>
            <w:rStyle w:val="Hyperlink"/>
            <w:rFonts w:asciiTheme="majorHAnsi" w:hAnsiTheme="majorHAnsi"/>
          </w:rPr>
          <w:tab/>
        </w:r>
        <w:r w:rsidR="008F2821" w:rsidRPr="006318FD">
          <w:rPr>
            <w:rStyle w:val="Hyperlink"/>
            <w:rFonts w:asciiTheme="majorHAnsi" w:hAnsiTheme="majorHAnsi"/>
          </w:rPr>
          <w:fldChar w:fldCharType="begin"/>
        </w:r>
        <w:r w:rsidR="008F2821" w:rsidRPr="006318FD">
          <w:rPr>
            <w:rStyle w:val="Hyperlink"/>
            <w:rFonts w:asciiTheme="majorHAnsi" w:hAnsiTheme="majorHAnsi"/>
          </w:rPr>
          <w:instrText xml:space="preserve"> PAGEREF _Toc48828410 \h </w:instrText>
        </w:r>
        <w:r w:rsidR="008F2821" w:rsidRPr="006318FD">
          <w:rPr>
            <w:rStyle w:val="Hyperlink"/>
            <w:rFonts w:asciiTheme="majorHAnsi" w:hAnsiTheme="majorHAnsi"/>
          </w:rPr>
        </w:r>
        <w:r w:rsidR="008F2821" w:rsidRPr="006318FD">
          <w:rPr>
            <w:rStyle w:val="Hyperlink"/>
            <w:rFonts w:asciiTheme="majorHAnsi" w:hAnsiTheme="majorHAnsi"/>
          </w:rPr>
          <w:fldChar w:fldCharType="separate"/>
        </w:r>
        <w:r w:rsidR="006318FD">
          <w:rPr>
            <w:rStyle w:val="Hyperlink"/>
            <w:rFonts w:asciiTheme="majorHAnsi" w:hAnsiTheme="majorHAnsi"/>
          </w:rPr>
          <w:t>76</w:t>
        </w:r>
        <w:r w:rsidR="008F2821" w:rsidRPr="006318FD">
          <w:rPr>
            <w:rStyle w:val="Hyperlink"/>
            <w:rFonts w:asciiTheme="majorHAnsi" w:hAnsiTheme="majorHAnsi"/>
          </w:rPr>
          <w:fldChar w:fldCharType="end"/>
        </w:r>
      </w:hyperlink>
    </w:p>
    <w:p w14:paraId="6E39FBF8" w14:textId="50C79A89" w:rsidR="008F2821" w:rsidRDefault="001E6FC6" w:rsidP="00D7715E">
      <w:pPr>
        <w:pStyle w:val="TOCBody"/>
        <w:spacing w:line="288" w:lineRule="auto"/>
        <w:rPr>
          <w:rFonts w:eastAsiaTheme="minorEastAsia"/>
          <w:lang w:eastAsia="en-PH"/>
        </w:rPr>
      </w:pPr>
      <w:hyperlink w:anchor="Note11" w:history="1">
        <w:r w:rsidR="008F2821" w:rsidRPr="006318FD">
          <w:rPr>
            <w:rStyle w:val="Hyperlink"/>
          </w:rPr>
          <w:t>Note 1.1 Expenses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_Toc48828411 \h </w:instrText>
        </w:r>
        <w:r w:rsidR="008F2821" w:rsidRPr="006318FD">
          <w:rPr>
            <w:rStyle w:val="Hyperlink"/>
          </w:rPr>
        </w:r>
        <w:r w:rsidR="008F2821" w:rsidRPr="006318FD">
          <w:rPr>
            <w:rStyle w:val="Hyperlink"/>
          </w:rPr>
          <w:fldChar w:fldCharType="separate"/>
        </w:r>
        <w:r w:rsidR="006318FD">
          <w:rPr>
            <w:rStyle w:val="Hyperlink"/>
          </w:rPr>
          <w:t>76</w:t>
        </w:r>
        <w:r w:rsidR="008F2821" w:rsidRPr="006318FD">
          <w:rPr>
            <w:rStyle w:val="Hyperlink"/>
          </w:rPr>
          <w:fldChar w:fldCharType="end"/>
        </w:r>
      </w:hyperlink>
    </w:p>
    <w:p w14:paraId="4184449E" w14:textId="2C1BFEC7" w:rsidR="008F2821" w:rsidRDefault="001E6FC6" w:rsidP="00D7715E">
      <w:pPr>
        <w:pStyle w:val="TOCBody"/>
        <w:spacing w:line="288" w:lineRule="auto"/>
        <w:rPr>
          <w:rFonts w:eastAsiaTheme="minorEastAsia"/>
          <w:lang w:eastAsia="en-PH"/>
        </w:rPr>
      </w:pPr>
      <w:hyperlink w:anchor="Note12" w:history="1">
        <w:r w:rsidR="008F2821" w:rsidRPr="006318FD">
          <w:rPr>
            <w:rStyle w:val="Hyperlink"/>
          </w:rPr>
          <w:t>Note 1.2 Own-source revenue and gains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_Toc48828412 \h </w:instrText>
        </w:r>
        <w:r w:rsidR="008F2821" w:rsidRPr="006318FD">
          <w:rPr>
            <w:rStyle w:val="Hyperlink"/>
          </w:rPr>
        </w:r>
        <w:r w:rsidR="008F2821" w:rsidRPr="006318FD">
          <w:rPr>
            <w:rStyle w:val="Hyperlink"/>
          </w:rPr>
          <w:fldChar w:fldCharType="separate"/>
        </w:r>
        <w:r w:rsidR="006318FD">
          <w:rPr>
            <w:rStyle w:val="Hyperlink"/>
          </w:rPr>
          <w:t>78</w:t>
        </w:r>
        <w:r w:rsidR="008F2821" w:rsidRPr="006318FD">
          <w:rPr>
            <w:rStyle w:val="Hyperlink"/>
          </w:rPr>
          <w:fldChar w:fldCharType="end"/>
        </w:r>
      </w:hyperlink>
    </w:p>
    <w:p w14:paraId="0A492E0E" w14:textId="486534AE" w:rsidR="008F2821" w:rsidRPr="00D7715E" w:rsidRDefault="001E6FC6" w:rsidP="00D7715E">
      <w:pPr>
        <w:pStyle w:val="TOCBody"/>
        <w:spacing w:line="288" w:lineRule="auto"/>
        <w:rPr>
          <w:rFonts w:asciiTheme="majorHAnsi" w:eastAsiaTheme="minorEastAsia" w:hAnsiTheme="majorHAnsi"/>
          <w:lang w:eastAsia="en-PH"/>
        </w:rPr>
      </w:pPr>
      <w:hyperlink w:anchor="FinancialPosition" w:history="1">
        <w:r w:rsidR="008F2821" w:rsidRPr="006318FD">
          <w:rPr>
            <w:rStyle w:val="Hyperlink"/>
            <w:rFonts w:asciiTheme="majorHAnsi" w:hAnsiTheme="majorHAnsi"/>
          </w:rPr>
          <w:t>Financial position</w:t>
        </w:r>
        <w:r w:rsidR="008F2821" w:rsidRPr="006318FD">
          <w:rPr>
            <w:rStyle w:val="Hyperlink"/>
            <w:rFonts w:asciiTheme="majorHAnsi" w:hAnsiTheme="majorHAnsi"/>
          </w:rPr>
          <w:tab/>
        </w:r>
        <w:r w:rsidR="008F2821" w:rsidRPr="006318FD">
          <w:rPr>
            <w:rStyle w:val="Hyperlink"/>
            <w:rFonts w:asciiTheme="majorHAnsi" w:hAnsiTheme="majorHAnsi"/>
          </w:rPr>
          <w:fldChar w:fldCharType="begin"/>
        </w:r>
        <w:r w:rsidR="008F2821" w:rsidRPr="006318FD">
          <w:rPr>
            <w:rStyle w:val="Hyperlink"/>
            <w:rFonts w:asciiTheme="majorHAnsi" w:hAnsiTheme="majorHAnsi"/>
          </w:rPr>
          <w:instrText xml:space="preserve"> PAGEREF _Toc48828413 \h </w:instrText>
        </w:r>
        <w:r w:rsidR="008F2821" w:rsidRPr="006318FD">
          <w:rPr>
            <w:rStyle w:val="Hyperlink"/>
            <w:rFonts w:asciiTheme="majorHAnsi" w:hAnsiTheme="majorHAnsi"/>
          </w:rPr>
        </w:r>
        <w:r w:rsidR="008F2821" w:rsidRPr="006318FD">
          <w:rPr>
            <w:rStyle w:val="Hyperlink"/>
            <w:rFonts w:asciiTheme="majorHAnsi" w:hAnsiTheme="majorHAnsi"/>
          </w:rPr>
          <w:fldChar w:fldCharType="separate"/>
        </w:r>
        <w:r w:rsidR="006318FD">
          <w:rPr>
            <w:rStyle w:val="Hyperlink"/>
            <w:rFonts w:asciiTheme="majorHAnsi" w:hAnsiTheme="majorHAnsi"/>
          </w:rPr>
          <w:t>80</w:t>
        </w:r>
        <w:r w:rsidR="008F2821" w:rsidRPr="006318FD">
          <w:rPr>
            <w:rStyle w:val="Hyperlink"/>
            <w:rFonts w:asciiTheme="majorHAnsi" w:hAnsiTheme="majorHAnsi"/>
          </w:rPr>
          <w:fldChar w:fldCharType="end"/>
        </w:r>
      </w:hyperlink>
    </w:p>
    <w:p w14:paraId="34787B98" w14:textId="2EF21DEE" w:rsidR="008F2821" w:rsidRDefault="001E6FC6" w:rsidP="00D7715E">
      <w:pPr>
        <w:pStyle w:val="TOCBody"/>
        <w:spacing w:line="288" w:lineRule="auto"/>
        <w:rPr>
          <w:rFonts w:eastAsiaTheme="minorEastAsia"/>
          <w:lang w:eastAsia="en-PH"/>
        </w:rPr>
      </w:pPr>
      <w:hyperlink w:anchor="Note21" w:history="1">
        <w:r w:rsidR="008F2821" w:rsidRPr="006318FD">
          <w:rPr>
            <w:rStyle w:val="Hyperlink"/>
          </w:rPr>
          <w:t>Note 2.1 Financial assets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_Toc48828414 \h </w:instrText>
        </w:r>
        <w:r w:rsidR="008F2821" w:rsidRPr="006318FD">
          <w:rPr>
            <w:rStyle w:val="Hyperlink"/>
          </w:rPr>
        </w:r>
        <w:r w:rsidR="008F2821" w:rsidRPr="006318FD">
          <w:rPr>
            <w:rStyle w:val="Hyperlink"/>
          </w:rPr>
          <w:fldChar w:fldCharType="separate"/>
        </w:r>
        <w:r w:rsidR="006318FD">
          <w:rPr>
            <w:rStyle w:val="Hyperlink"/>
          </w:rPr>
          <w:t>80</w:t>
        </w:r>
        <w:r w:rsidR="008F2821" w:rsidRPr="006318FD">
          <w:rPr>
            <w:rStyle w:val="Hyperlink"/>
          </w:rPr>
          <w:fldChar w:fldCharType="end"/>
        </w:r>
      </w:hyperlink>
    </w:p>
    <w:p w14:paraId="0D2A4C04" w14:textId="70D8AC05" w:rsidR="008F2821" w:rsidRDefault="001E6FC6" w:rsidP="00D7715E">
      <w:pPr>
        <w:pStyle w:val="TOCBody"/>
        <w:spacing w:line="288" w:lineRule="auto"/>
        <w:rPr>
          <w:rFonts w:eastAsiaTheme="minorEastAsia"/>
          <w:lang w:eastAsia="en-PH"/>
        </w:rPr>
      </w:pPr>
      <w:hyperlink w:anchor="Note22" w:history="1">
        <w:r w:rsidR="008F2821" w:rsidRPr="006318FD">
          <w:rPr>
            <w:rStyle w:val="Hyperlink"/>
          </w:rPr>
          <w:t>Note 2.2 Non-financial assets including fair value measurement</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_Toc48828415 \h </w:instrText>
        </w:r>
        <w:r w:rsidR="008F2821" w:rsidRPr="006318FD">
          <w:rPr>
            <w:rStyle w:val="Hyperlink"/>
          </w:rPr>
        </w:r>
        <w:r w:rsidR="008F2821" w:rsidRPr="006318FD">
          <w:rPr>
            <w:rStyle w:val="Hyperlink"/>
          </w:rPr>
          <w:fldChar w:fldCharType="separate"/>
        </w:r>
        <w:r w:rsidR="006318FD">
          <w:rPr>
            <w:rStyle w:val="Hyperlink"/>
          </w:rPr>
          <w:t>82</w:t>
        </w:r>
        <w:r w:rsidR="008F2821" w:rsidRPr="006318FD">
          <w:rPr>
            <w:rStyle w:val="Hyperlink"/>
          </w:rPr>
          <w:fldChar w:fldCharType="end"/>
        </w:r>
      </w:hyperlink>
    </w:p>
    <w:p w14:paraId="2AB2E81B" w14:textId="0FB7B2D2" w:rsidR="008F2821" w:rsidRDefault="001E6FC6" w:rsidP="00D7715E">
      <w:pPr>
        <w:pStyle w:val="TOCBody"/>
        <w:spacing w:line="288" w:lineRule="auto"/>
        <w:rPr>
          <w:rFonts w:eastAsiaTheme="minorEastAsia"/>
          <w:lang w:eastAsia="en-PH"/>
        </w:rPr>
      </w:pPr>
      <w:hyperlink w:anchor="Note23" w:history="1">
        <w:r w:rsidR="008F2821" w:rsidRPr="006318FD">
          <w:rPr>
            <w:rStyle w:val="Hyperlink"/>
          </w:rPr>
          <w:t>Note 2.3 Payables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_Toc48828416 \h </w:instrText>
        </w:r>
        <w:r w:rsidR="008F2821" w:rsidRPr="006318FD">
          <w:rPr>
            <w:rStyle w:val="Hyperlink"/>
          </w:rPr>
        </w:r>
        <w:r w:rsidR="008F2821" w:rsidRPr="006318FD">
          <w:rPr>
            <w:rStyle w:val="Hyperlink"/>
          </w:rPr>
          <w:fldChar w:fldCharType="separate"/>
        </w:r>
        <w:r w:rsidR="006318FD">
          <w:rPr>
            <w:rStyle w:val="Hyperlink"/>
          </w:rPr>
          <w:t>85</w:t>
        </w:r>
        <w:r w:rsidR="008F2821" w:rsidRPr="006318FD">
          <w:rPr>
            <w:rStyle w:val="Hyperlink"/>
          </w:rPr>
          <w:fldChar w:fldCharType="end"/>
        </w:r>
      </w:hyperlink>
    </w:p>
    <w:p w14:paraId="2C7F258F" w14:textId="7531F6DC" w:rsidR="008F2821" w:rsidRDefault="001E6FC6" w:rsidP="00D7715E">
      <w:pPr>
        <w:pStyle w:val="TOCBody"/>
        <w:spacing w:line="288" w:lineRule="auto"/>
        <w:rPr>
          <w:rFonts w:eastAsiaTheme="minorEastAsia"/>
          <w:lang w:eastAsia="en-PH"/>
        </w:rPr>
      </w:pPr>
      <w:hyperlink w:anchor="Note24" w:history="1">
        <w:r w:rsidR="008F2821" w:rsidRPr="006318FD">
          <w:rPr>
            <w:rStyle w:val="Hyperlink"/>
          </w:rPr>
          <w:t>Note 2.4 Interest bearing liabilities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_Toc48828417 \h </w:instrText>
        </w:r>
        <w:r w:rsidR="008F2821" w:rsidRPr="006318FD">
          <w:rPr>
            <w:rStyle w:val="Hyperlink"/>
          </w:rPr>
        </w:r>
        <w:r w:rsidR="008F2821" w:rsidRPr="006318FD">
          <w:rPr>
            <w:rStyle w:val="Hyperlink"/>
          </w:rPr>
          <w:fldChar w:fldCharType="separate"/>
        </w:r>
        <w:r w:rsidR="006318FD">
          <w:rPr>
            <w:rStyle w:val="Hyperlink"/>
          </w:rPr>
          <w:t>85</w:t>
        </w:r>
        <w:r w:rsidR="008F2821" w:rsidRPr="006318FD">
          <w:rPr>
            <w:rStyle w:val="Hyperlink"/>
          </w:rPr>
          <w:fldChar w:fldCharType="end"/>
        </w:r>
      </w:hyperlink>
    </w:p>
    <w:p w14:paraId="24D098F2" w14:textId="265E769A" w:rsidR="008F2821" w:rsidRPr="00D7715E" w:rsidRDefault="001E6FC6" w:rsidP="00D7715E">
      <w:pPr>
        <w:pStyle w:val="TOCBody"/>
        <w:spacing w:line="288" w:lineRule="auto"/>
        <w:rPr>
          <w:rFonts w:asciiTheme="majorHAnsi" w:eastAsiaTheme="minorEastAsia" w:hAnsiTheme="majorHAnsi"/>
          <w:lang w:eastAsia="en-PH"/>
        </w:rPr>
      </w:pPr>
      <w:hyperlink w:anchor="PeopleandRelantionships" w:history="1">
        <w:r w:rsidR="008F2821" w:rsidRPr="006318FD">
          <w:rPr>
            <w:rStyle w:val="Hyperlink"/>
            <w:rFonts w:asciiTheme="majorHAnsi" w:hAnsiTheme="majorHAnsi"/>
          </w:rPr>
          <w:t>People and Relationships</w:t>
        </w:r>
        <w:r w:rsidR="008F2821" w:rsidRPr="006318FD">
          <w:rPr>
            <w:rStyle w:val="Hyperlink"/>
            <w:rFonts w:asciiTheme="majorHAnsi" w:hAnsiTheme="majorHAnsi"/>
          </w:rPr>
          <w:tab/>
        </w:r>
        <w:r w:rsidR="008F2821" w:rsidRPr="006318FD">
          <w:rPr>
            <w:rStyle w:val="Hyperlink"/>
            <w:rFonts w:asciiTheme="majorHAnsi" w:hAnsiTheme="majorHAnsi"/>
          </w:rPr>
          <w:fldChar w:fldCharType="begin"/>
        </w:r>
        <w:r w:rsidR="008F2821" w:rsidRPr="006318FD">
          <w:rPr>
            <w:rStyle w:val="Hyperlink"/>
            <w:rFonts w:asciiTheme="majorHAnsi" w:hAnsiTheme="majorHAnsi"/>
          </w:rPr>
          <w:instrText xml:space="preserve"> PAGEREF _Toc48828418 \h </w:instrText>
        </w:r>
        <w:r w:rsidR="008F2821" w:rsidRPr="006318FD">
          <w:rPr>
            <w:rStyle w:val="Hyperlink"/>
            <w:rFonts w:asciiTheme="majorHAnsi" w:hAnsiTheme="majorHAnsi"/>
          </w:rPr>
        </w:r>
        <w:r w:rsidR="008F2821" w:rsidRPr="006318FD">
          <w:rPr>
            <w:rStyle w:val="Hyperlink"/>
            <w:rFonts w:asciiTheme="majorHAnsi" w:hAnsiTheme="majorHAnsi"/>
          </w:rPr>
          <w:fldChar w:fldCharType="separate"/>
        </w:r>
        <w:r w:rsidR="006318FD">
          <w:rPr>
            <w:rStyle w:val="Hyperlink"/>
            <w:rFonts w:asciiTheme="majorHAnsi" w:hAnsiTheme="majorHAnsi"/>
          </w:rPr>
          <w:t>86</w:t>
        </w:r>
        <w:r w:rsidR="008F2821" w:rsidRPr="006318FD">
          <w:rPr>
            <w:rStyle w:val="Hyperlink"/>
            <w:rFonts w:asciiTheme="majorHAnsi" w:hAnsiTheme="majorHAnsi"/>
          </w:rPr>
          <w:fldChar w:fldCharType="end"/>
        </w:r>
      </w:hyperlink>
    </w:p>
    <w:p w14:paraId="71884604" w14:textId="75DF1525" w:rsidR="008F2821" w:rsidRDefault="001E6FC6" w:rsidP="00D7715E">
      <w:pPr>
        <w:pStyle w:val="TOCBody"/>
        <w:spacing w:line="288" w:lineRule="auto"/>
        <w:rPr>
          <w:rFonts w:eastAsiaTheme="minorEastAsia"/>
          <w:lang w:eastAsia="en-PH"/>
        </w:rPr>
      </w:pPr>
      <w:hyperlink w:anchor="Note31" w:history="1">
        <w:r w:rsidR="008F2821" w:rsidRPr="006318FD">
          <w:rPr>
            <w:rStyle w:val="Hyperlink"/>
          </w:rPr>
          <w:t>Note 3.1 Employee provisions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_Toc48828419 \h </w:instrText>
        </w:r>
        <w:r w:rsidR="008F2821" w:rsidRPr="006318FD">
          <w:rPr>
            <w:rStyle w:val="Hyperlink"/>
          </w:rPr>
        </w:r>
        <w:r w:rsidR="008F2821" w:rsidRPr="006318FD">
          <w:rPr>
            <w:rStyle w:val="Hyperlink"/>
          </w:rPr>
          <w:fldChar w:fldCharType="separate"/>
        </w:r>
        <w:r w:rsidR="006318FD">
          <w:rPr>
            <w:rStyle w:val="Hyperlink"/>
          </w:rPr>
          <w:t>86</w:t>
        </w:r>
        <w:r w:rsidR="008F2821" w:rsidRPr="006318FD">
          <w:rPr>
            <w:rStyle w:val="Hyperlink"/>
          </w:rPr>
          <w:fldChar w:fldCharType="end"/>
        </w:r>
      </w:hyperlink>
    </w:p>
    <w:p w14:paraId="13F2F9F2" w14:textId="54EF1F29" w:rsidR="008F2821" w:rsidRDefault="001E6FC6" w:rsidP="00D7715E">
      <w:pPr>
        <w:pStyle w:val="TOCBody"/>
        <w:spacing w:line="288" w:lineRule="auto"/>
        <w:rPr>
          <w:rFonts w:eastAsiaTheme="minorEastAsia"/>
          <w:lang w:eastAsia="en-PH"/>
        </w:rPr>
      </w:pPr>
      <w:hyperlink w:anchor="Note32" w:history="1">
        <w:r w:rsidR="008F2821" w:rsidRPr="006318FD">
          <w:rPr>
            <w:rStyle w:val="Hyperlink"/>
          </w:rPr>
          <w:t>Note 3.2 Key management personnel remuneration</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_Toc48828420 \h </w:instrText>
        </w:r>
        <w:r w:rsidR="008F2821" w:rsidRPr="006318FD">
          <w:rPr>
            <w:rStyle w:val="Hyperlink"/>
          </w:rPr>
        </w:r>
        <w:r w:rsidR="008F2821" w:rsidRPr="006318FD">
          <w:rPr>
            <w:rStyle w:val="Hyperlink"/>
          </w:rPr>
          <w:fldChar w:fldCharType="separate"/>
        </w:r>
        <w:r w:rsidR="006318FD">
          <w:rPr>
            <w:rStyle w:val="Hyperlink"/>
          </w:rPr>
          <w:t>87</w:t>
        </w:r>
        <w:r w:rsidR="008F2821" w:rsidRPr="006318FD">
          <w:rPr>
            <w:rStyle w:val="Hyperlink"/>
          </w:rPr>
          <w:fldChar w:fldCharType="end"/>
        </w:r>
      </w:hyperlink>
    </w:p>
    <w:p w14:paraId="6B6B815E" w14:textId="092C4D9D" w:rsidR="008F2821" w:rsidRDefault="001E6FC6" w:rsidP="00D7715E">
      <w:pPr>
        <w:pStyle w:val="TOCBody"/>
        <w:spacing w:line="288" w:lineRule="auto"/>
        <w:rPr>
          <w:rFonts w:eastAsiaTheme="minorEastAsia"/>
          <w:lang w:eastAsia="en-PH"/>
        </w:rPr>
      </w:pPr>
      <w:hyperlink w:anchor="Note33" w:history="1">
        <w:r w:rsidR="008F2821" w:rsidRPr="006318FD">
          <w:rPr>
            <w:rStyle w:val="Hyperlink"/>
          </w:rPr>
          <w:t>Note 3.3 Related party disclosures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_Toc48828421 \h </w:instrText>
        </w:r>
        <w:r w:rsidR="008F2821" w:rsidRPr="006318FD">
          <w:rPr>
            <w:rStyle w:val="Hyperlink"/>
          </w:rPr>
        </w:r>
        <w:r w:rsidR="008F2821" w:rsidRPr="006318FD">
          <w:rPr>
            <w:rStyle w:val="Hyperlink"/>
          </w:rPr>
          <w:fldChar w:fldCharType="separate"/>
        </w:r>
        <w:r w:rsidR="006318FD">
          <w:rPr>
            <w:rStyle w:val="Hyperlink"/>
          </w:rPr>
          <w:t>87</w:t>
        </w:r>
        <w:r w:rsidR="008F2821" w:rsidRPr="006318FD">
          <w:rPr>
            <w:rStyle w:val="Hyperlink"/>
          </w:rPr>
          <w:fldChar w:fldCharType="end"/>
        </w:r>
      </w:hyperlink>
    </w:p>
    <w:p w14:paraId="164EE5CB" w14:textId="049C2542" w:rsidR="008F2821" w:rsidRPr="00D7715E" w:rsidRDefault="001E6FC6" w:rsidP="00D7715E">
      <w:pPr>
        <w:pStyle w:val="TOCBody"/>
        <w:spacing w:line="288" w:lineRule="auto"/>
        <w:rPr>
          <w:rFonts w:asciiTheme="majorHAnsi" w:eastAsiaTheme="minorEastAsia" w:hAnsiTheme="majorHAnsi"/>
          <w:lang w:eastAsia="en-PH"/>
        </w:rPr>
      </w:pPr>
      <w:hyperlink w:anchor="ManagingUncertainties" w:history="1">
        <w:r w:rsidR="008F2821" w:rsidRPr="006318FD">
          <w:rPr>
            <w:rStyle w:val="Hyperlink"/>
            <w:rFonts w:asciiTheme="majorHAnsi" w:hAnsiTheme="majorHAnsi"/>
          </w:rPr>
          <w:t>Managing uncertainties</w:t>
        </w:r>
        <w:r w:rsidR="008F2821" w:rsidRPr="006318FD">
          <w:rPr>
            <w:rStyle w:val="Hyperlink"/>
            <w:rFonts w:asciiTheme="majorHAnsi" w:hAnsiTheme="majorHAnsi"/>
          </w:rPr>
          <w:tab/>
        </w:r>
        <w:r w:rsidR="008F2821" w:rsidRPr="006318FD">
          <w:rPr>
            <w:rStyle w:val="Hyperlink"/>
            <w:rFonts w:asciiTheme="majorHAnsi" w:hAnsiTheme="majorHAnsi"/>
          </w:rPr>
          <w:fldChar w:fldCharType="begin"/>
        </w:r>
        <w:r w:rsidR="008F2821" w:rsidRPr="006318FD">
          <w:rPr>
            <w:rStyle w:val="Hyperlink"/>
            <w:rFonts w:asciiTheme="majorHAnsi" w:hAnsiTheme="majorHAnsi"/>
          </w:rPr>
          <w:instrText xml:space="preserve"> PAGEREF _Toc48828422 \h </w:instrText>
        </w:r>
        <w:r w:rsidR="008F2821" w:rsidRPr="006318FD">
          <w:rPr>
            <w:rStyle w:val="Hyperlink"/>
            <w:rFonts w:asciiTheme="majorHAnsi" w:hAnsiTheme="majorHAnsi"/>
          </w:rPr>
        </w:r>
        <w:r w:rsidR="008F2821" w:rsidRPr="006318FD">
          <w:rPr>
            <w:rStyle w:val="Hyperlink"/>
            <w:rFonts w:asciiTheme="majorHAnsi" w:hAnsiTheme="majorHAnsi"/>
          </w:rPr>
          <w:fldChar w:fldCharType="separate"/>
        </w:r>
        <w:r w:rsidR="006318FD">
          <w:rPr>
            <w:rStyle w:val="Hyperlink"/>
            <w:rFonts w:asciiTheme="majorHAnsi" w:hAnsiTheme="majorHAnsi"/>
          </w:rPr>
          <w:t>88</w:t>
        </w:r>
        <w:r w:rsidR="008F2821" w:rsidRPr="006318FD">
          <w:rPr>
            <w:rStyle w:val="Hyperlink"/>
            <w:rFonts w:asciiTheme="majorHAnsi" w:hAnsiTheme="majorHAnsi"/>
          </w:rPr>
          <w:fldChar w:fldCharType="end"/>
        </w:r>
      </w:hyperlink>
    </w:p>
    <w:p w14:paraId="6BD24CEC" w14:textId="27CA7C0A" w:rsidR="008F2821" w:rsidRDefault="001E6FC6" w:rsidP="00D7715E">
      <w:pPr>
        <w:pStyle w:val="TOCBody"/>
        <w:spacing w:line="288" w:lineRule="auto"/>
        <w:rPr>
          <w:rFonts w:eastAsiaTheme="minorEastAsia"/>
          <w:lang w:eastAsia="en-PH"/>
        </w:rPr>
      </w:pPr>
      <w:hyperlink w:anchor="Note41" w:history="1">
        <w:r w:rsidR="008F2821" w:rsidRPr="006318FD">
          <w:rPr>
            <w:rStyle w:val="Hyperlink"/>
          </w:rPr>
          <w:t>Note 4.1 Contingent assets and liabilities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_Toc48828423 \h </w:instrText>
        </w:r>
        <w:r w:rsidR="008F2821" w:rsidRPr="006318FD">
          <w:rPr>
            <w:rStyle w:val="Hyperlink"/>
          </w:rPr>
        </w:r>
        <w:r w:rsidR="008F2821" w:rsidRPr="006318FD">
          <w:rPr>
            <w:rStyle w:val="Hyperlink"/>
          </w:rPr>
          <w:fldChar w:fldCharType="separate"/>
        </w:r>
        <w:r w:rsidR="006318FD">
          <w:rPr>
            <w:rStyle w:val="Hyperlink"/>
          </w:rPr>
          <w:t>88</w:t>
        </w:r>
        <w:r w:rsidR="008F2821" w:rsidRPr="006318FD">
          <w:rPr>
            <w:rStyle w:val="Hyperlink"/>
          </w:rPr>
          <w:fldChar w:fldCharType="end"/>
        </w:r>
      </w:hyperlink>
    </w:p>
    <w:p w14:paraId="7DDDF211" w14:textId="4C097126" w:rsidR="008F2821" w:rsidRDefault="001E6FC6" w:rsidP="00D7715E">
      <w:pPr>
        <w:pStyle w:val="TOCBody"/>
        <w:spacing w:line="288" w:lineRule="auto"/>
        <w:rPr>
          <w:rFonts w:eastAsiaTheme="minorEastAsia"/>
          <w:lang w:eastAsia="en-PH"/>
        </w:rPr>
      </w:pPr>
      <w:hyperlink w:anchor="Note42" w:history="1">
        <w:r w:rsidR="008F2821" w:rsidRPr="006318FD">
          <w:rPr>
            <w:rStyle w:val="Hyperlink"/>
          </w:rPr>
          <w:t>Note 4.2 Cash and financial instruments</w:t>
        </w:r>
        <w:r w:rsidR="008F2821" w:rsidRPr="006318FD">
          <w:rPr>
            <w:rStyle w:val="Hyperlink"/>
          </w:rPr>
          <w:tab/>
        </w:r>
        <w:r w:rsidR="008F2821" w:rsidRPr="006318FD">
          <w:rPr>
            <w:rStyle w:val="Hyperlink"/>
          </w:rPr>
          <w:fldChar w:fldCharType="begin"/>
        </w:r>
        <w:r w:rsidR="008F2821" w:rsidRPr="006318FD">
          <w:rPr>
            <w:rStyle w:val="Hyperlink"/>
          </w:rPr>
          <w:instrText xml:space="preserve"> PAGEREF _Toc48828424 \h </w:instrText>
        </w:r>
        <w:r w:rsidR="008F2821" w:rsidRPr="006318FD">
          <w:rPr>
            <w:rStyle w:val="Hyperlink"/>
          </w:rPr>
        </w:r>
        <w:r w:rsidR="008F2821" w:rsidRPr="006318FD">
          <w:rPr>
            <w:rStyle w:val="Hyperlink"/>
          </w:rPr>
          <w:fldChar w:fldCharType="separate"/>
        </w:r>
        <w:r w:rsidR="006318FD">
          <w:rPr>
            <w:rStyle w:val="Hyperlink"/>
          </w:rPr>
          <w:t>89</w:t>
        </w:r>
        <w:r w:rsidR="008F2821" w:rsidRPr="006318FD">
          <w:rPr>
            <w:rStyle w:val="Hyperlink"/>
          </w:rPr>
          <w:fldChar w:fldCharType="end"/>
        </w:r>
      </w:hyperlink>
    </w:p>
    <w:p w14:paraId="7196A4E6" w14:textId="469C6B97" w:rsidR="00646163" w:rsidRDefault="002A417E" w:rsidP="002A417E">
      <w:pPr>
        <w:pStyle w:val="TOCBody"/>
        <w:sectPr w:rsidR="00646163" w:rsidSect="00B20BE1">
          <w:headerReference w:type="even" r:id="rId110"/>
          <w:headerReference w:type="default" r:id="rId111"/>
          <w:footerReference w:type="even" r:id="rId112"/>
          <w:footnotePr>
            <w:pos w:val="beneathText"/>
          </w:footnotePr>
          <w:pgSz w:w="9979" w:h="14175" w:code="13"/>
          <w:pgMar w:top="1134" w:right="1418" w:bottom="992" w:left="1418" w:header="709" w:footer="709" w:gutter="0"/>
          <w:cols w:space="623"/>
          <w:docGrid w:linePitch="360"/>
        </w:sectPr>
      </w:pPr>
      <w:r>
        <w:fldChar w:fldCharType="end"/>
      </w:r>
    </w:p>
    <w:p w14:paraId="52545825" w14:textId="09C7171C" w:rsidR="00646163" w:rsidRPr="005B5F60" w:rsidRDefault="00646163" w:rsidP="00646163">
      <w:pPr>
        <w:pStyle w:val="Body"/>
        <w:rPr>
          <w:b/>
          <w:bCs/>
        </w:rPr>
      </w:pPr>
      <w:r w:rsidRPr="005B5F60">
        <w:rPr>
          <w:b/>
          <w:bCs/>
        </w:rPr>
        <w:lastRenderedPageBreak/>
        <w:t>Independent Hospital Pricing Authority Financial Statements 2019</w:t>
      </w:r>
      <w:r w:rsidR="004A4FD5">
        <w:rPr>
          <w:b/>
          <w:bCs/>
        </w:rPr>
        <w:t>–</w:t>
      </w:r>
      <w:r w:rsidRPr="005B5F60">
        <w:rPr>
          <w:b/>
          <w:bCs/>
        </w:rPr>
        <w:t>20</w:t>
      </w:r>
    </w:p>
    <w:p w14:paraId="1BD798C7" w14:textId="6A415B61" w:rsidR="00646163" w:rsidRDefault="00646163" w:rsidP="00646163">
      <w:pPr>
        <w:pStyle w:val="Body"/>
      </w:pPr>
      <w:r>
        <w:t>For the year ended 30 June 2020</w:t>
      </w:r>
    </w:p>
    <w:p w14:paraId="7AEADF3F" w14:textId="76E3FD3C" w:rsidR="00646163" w:rsidRPr="00974E28" w:rsidRDefault="00646163" w:rsidP="00974E28">
      <w:pPr>
        <w:pStyle w:val="H3Financials"/>
      </w:pPr>
      <w:bookmarkStart w:id="106" w:name="_Toc48828391"/>
      <w:bookmarkStart w:id="107" w:name="StatementbytheChiefExecutiveOfficer"/>
      <w:r w:rsidRPr="00974E28">
        <w:t>Statement by the Chief Executive Officer and Chief Financial</w:t>
      </w:r>
      <w:r w:rsidR="005B5F60" w:rsidRPr="00974E28">
        <w:t> </w:t>
      </w:r>
      <w:r w:rsidRPr="00974E28">
        <w:t>Officer</w:t>
      </w:r>
      <w:bookmarkEnd w:id="106"/>
    </w:p>
    <w:bookmarkEnd w:id="107"/>
    <w:p w14:paraId="0D889075" w14:textId="64012B8D" w:rsidR="00646163" w:rsidRDefault="00646163" w:rsidP="00646163">
      <w:pPr>
        <w:pStyle w:val="Body"/>
      </w:pPr>
      <w:r>
        <w:t xml:space="preserve">In our opinion, the attached financial statements for the year ended 30 June 2020 comply with subsection 42(2) of the </w:t>
      </w:r>
      <w:r w:rsidRPr="00052F15">
        <w:rPr>
          <w:i/>
          <w:iCs/>
        </w:rPr>
        <w:t>Public Governance, Performance and Accountability Act 2013</w:t>
      </w:r>
      <w:r>
        <w:t xml:space="preserve"> (PGPA Act), and are based on properly maintained financial records as per subsection 41(2) of the PGPA Act.</w:t>
      </w:r>
    </w:p>
    <w:p w14:paraId="685B9990" w14:textId="125FD343" w:rsidR="00646163" w:rsidRDefault="00646163" w:rsidP="00646163">
      <w:pPr>
        <w:pStyle w:val="Body"/>
      </w:pPr>
      <w:r>
        <w:t>In our opinion, at the date of this statement, there are reasonable grounds to believe that the Independent Hospital Pricing Authority will be able to pay its debts as and when they fall due.</w:t>
      </w:r>
    </w:p>
    <w:p w14:paraId="01387DFF" w14:textId="77777777" w:rsidR="005B5F60" w:rsidRDefault="005B5F60" w:rsidP="00646163">
      <w:pPr>
        <w:pStyle w:val="Body"/>
      </w:pPr>
    </w:p>
    <w:p w14:paraId="76F80637" w14:textId="545BA1B9" w:rsidR="00646163" w:rsidRDefault="005B5F60" w:rsidP="00646163">
      <w:pPr>
        <w:pStyle w:val="Body"/>
      </w:pPr>
      <w:r>
        <w:rPr>
          <w:noProof/>
          <w:lang w:val="en-GB" w:eastAsia="en-GB"/>
        </w:rPr>
        <w:drawing>
          <wp:inline distT="0" distB="0" distL="0" distR="0" wp14:anchorId="7EDB9F98" wp14:editId="512F11B3">
            <wp:extent cx="711770" cy="273050"/>
            <wp:effectExtent l="0" t="0" r="0" b="0"/>
            <wp:docPr id="6" name="Picture 6" descr="James Downie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James Downie Signature"/>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711770" cy="273050"/>
                    </a:xfrm>
                    <a:prstGeom prst="rect">
                      <a:avLst/>
                    </a:prstGeom>
                    <a:noFill/>
                    <a:ln>
                      <a:noFill/>
                    </a:ln>
                  </pic:spPr>
                </pic:pic>
              </a:graphicData>
            </a:graphic>
          </wp:inline>
        </w:drawing>
      </w:r>
    </w:p>
    <w:p w14:paraId="19AB477E" w14:textId="1825D19E" w:rsidR="00646163" w:rsidRDefault="00646163" w:rsidP="00646163">
      <w:pPr>
        <w:pStyle w:val="Body"/>
      </w:pPr>
      <w:r>
        <w:t>James Downie</w:t>
      </w:r>
      <w:r>
        <w:br/>
        <w:t>Chief Executive Officer</w:t>
      </w:r>
      <w:r>
        <w:br/>
      </w:r>
      <w:r w:rsidR="00BD652D">
        <w:t>2</w:t>
      </w:r>
      <w:r>
        <w:t xml:space="preserve"> </w:t>
      </w:r>
      <w:r w:rsidR="00BD652D">
        <w:t>October</w:t>
      </w:r>
      <w:r>
        <w:t xml:space="preserve"> 2020</w:t>
      </w:r>
    </w:p>
    <w:p w14:paraId="05985DF1" w14:textId="38241450" w:rsidR="00646163" w:rsidRDefault="005B5F60" w:rsidP="00646163">
      <w:pPr>
        <w:pStyle w:val="Body"/>
      </w:pPr>
      <w:r>
        <w:rPr>
          <w:noProof/>
          <w:lang w:val="en-GB" w:eastAsia="en-GB"/>
        </w:rPr>
        <w:drawing>
          <wp:inline distT="0" distB="0" distL="0" distR="0" wp14:anchorId="17225B9F" wp14:editId="526FC275">
            <wp:extent cx="384424" cy="486320"/>
            <wp:effectExtent l="0" t="0" r="0" b="9525"/>
            <wp:docPr id="15" name="Picture 15" descr="Chris Miljak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ris Miljak signature"/>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4424" cy="486320"/>
                    </a:xfrm>
                    <a:prstGeom prst="rect">
                      <a:avLst/>
                    </a:prstGeom>
                    <a:noFill/>
                    <a:ln>
                      <a:noFill/>
                    </a:ln>
                  </pic:spPr>
                </pic:pic>
              </a:graphicData>
            </a:graphic>
          </wp:inline>
        </w:drawing>
      </w:r>
    </w:p>
    <w:p w14:paraId="7CD52A56" w14:textId="0B7E0A46" w:rsidR="00646163" w:rsidRDefault="00646163" w:rsidP="00646163">
      <w:pPr>
        <w:pStyle w:val="Body"/>
      </w:pPr>
      <w:r>
        <w:t>Chris Miljak</w:t>
      </w:r>
      <w:r>
        <w:br/>
        <w:t>Chief Financial Officer</w:t>
      </w:r>
      <w:r>
        <w:br/>
      </w:r>
      <w:r w:rsidR="00FC4845">
        <w:t>2</w:t>
      </w:r>
      <w:r>
        <w:t xml:space="preserve"> </w:t>
      </w:r>
      <w:r w:rsidR="00FC4845">
        <w:t>October</w:t>
      </w:r>
      <w:r>
        <w:t xml:space="preserve"> 2020</w:t>
      </w:r>
    </w:p>
    <w:p w14:paraId="68D2E28C" w14:textId="77777777" w:rsidR="00BE406E" w:rsidRDefault="00BE406E" w:rsidP="00646163">
      <w:pPr>
        <w:pStyle w:val="Body"/>
        <w:sectPr w:rsidR="00BE406E" w:rsidSect="00B20BE1">
          <w:footnotePr>
            <w:pos w:val="beneathText"/>
          </w:footnotePr>
          <w:pgSz w:w="9979" w:h="14175" w:code="13"/>
          <w:pgMar w:top="1134" w:right="1418" w:bottom="992" w:left="1418" w:header="709" w:footer="709" w:gutter="0"/>
          <w:cols w:space="623"/>
          <w:docGrid w:linePitch="360"/>
        </w:sectPr>
      </w:pPr>
    </w:p>
    <w:p w14:paraId="3B063CD8" w14:textId="63C5A31C" w:rsidR="00BE406E" w:rsidRDefault="00BE406E" w:rsidP="00036606">
      <w:pPr>
        <w:pStyle w:val="H2Financials"/>
        <w:spacing w:before="0" w:beforeAutospacing="0"/>
        <w:ind w:right="-370"/>
      </w:pPr>
      <w:bookmarkStart w:id="108" w:name="_Toc48828392"/>
      <w:bookmarkStart w:id="109" w:name="NationalAuditOfficeReport"/>
      <w:r>
        <w:lastRenderedPageBreak/>
        <w:t>National Audit Office report</w:t>
      </w:r>
      <w:bookmarkEnd w:id="108"/>
    </w:p>
    <w:p w14:paraId="300F66AE" w14:textId="7DC5BDCD" w:rsidR="00036606" w:rsidRPr="00974E28" w:rsidRDefault="00036606" w:rsidP="00036606">
      <w:pPr>
        <w:pStyle w:val="Body"/>
      </w:pPr>
      <w:r>
        <w:rPr>
          <w:noProof/>
          <w:lang w:val="en-GB" w:eastAsia="en-GB"/>
        </w:rPr>
        <w:lastRenderedPageBreak/>
        <w:drawing>
          <wp:inline distT="0" distB="0" distL="0" distR="0" wp14:anchorId="260F4E7F" wp14:editId="086B2952">
            <wp:extent cx="4394249" cy="6213230"/>
            <wp:effectExtent l="95250" t="76200" r="120650" b="130810"/>
            <wp:docPr id="31" name="Picture 31" descr="INDEPENDENT AUDITOR’S REPORT&#10;To the Minister for Health&#10;Opinion&#10;In my opinion, the financial statements of the Independent Hospital Pricing Authority (the Entity) for the year&#10;ended 30 June 2020:&#10;(a) comply with Australian Accounting Standards – Reduced Disclosure Requirements and the Public&#10;Governance, Performance and Accountability (Financial Reporting) Rule 2015; and&#10;(b) present fairly the financial position of the Entity as at 30 June 2020 and its financial performance and cash&#10;flows for the year then ended.&#10;The financial statements of the Entity, which I have audited, comprise the following as at 30 June 2020 and for&#10;the year then ended:&#10;• Statement by the Chief Executive Officer and Chief Financial Officer;&#10;• Statement of Comprehensive Income;&#10;• Statement of Financial Position;&#10;• Statement of Changes in Equity;&#10;• Cash Flow Statement; and&#10;• Notes to the financial statements, comprising a Summary of Significant Accounting Policies and other&#10;explanatory information.&#10;Basis for opinion&#10;I conducted my audit in accordance with the Australian National Audit Office Auditing Standards, which&#10;incorporate the Australian Auditing Standards. My responsibilities under those standards are further described in&#10;the Auditor’s Responsibilities for the Audit of the Financial Statements section of my report. I am independent of&#10;the Entity in accordance with the relevant ethical requirements for financial statement audits conducted by the&#10;Auditor-General and his delegates. These include the relevant independence requirements of the Accounting&#10;Professional and Ethical Standards Board’s APES 110 Code of Ethics for Professional Accountants (including&#10;Independence Standards) (the Code) to the extent that they are not in conflict with the Auditor-General Act 1997.&#10;I have also fulfilled my other responsibilities in accordance with the Code. I believe that the audit evidence I have&#10;obtained is sufficient and appropriate to provide a basis for my opinion.&#10;Other information&#10;The Accountable Authority is responsible for the other information. The other information comprises the&#10;information included in the annual report for the year ended 30 June 2020 but does not include the financial&#10;statements and my auditor’s report thereon.&#10;My opinion on the financial statements does not cover the other information and accordingly I do not express&#10;any form of assurance conclusion thereon.&#10;In connection with my audit of the financial statements, my responsibility is to read the other information and, in&#10;doing so, consider whether the other information is materially inconsistent with the financial statements or my&#10;knowledge obtained in the audit, or otherwise appears to be materially misstated.&#10;If, based on the work I have performed, I conclude that there is a material misstatement of this other information,&#10;I am required to report that fact. I have nothing to report in this reg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NDEPENDENT AUDITOR’S REPORT&#10;To the Minister for Health&#10;Opinion&#10;In my opinion, the financial statements of the Independent Hospital Pricing Authority (the Entity) for the year&#10;ended 30 June 2020:&#10;(a) comply with Australian Accounting Standards – Reduced Disclosure Requirements and the Public&#10;Governance, Performance and Accountability (Financial Reporting) Rule 2015; and&#10;(b) present fairly the financial position of the Entity as at 30 June 2020 and its financial performance and cash&#10;flows for the year then ended.&#10;The financial statements of the Entity, which I have audited, comprise the following as at 30 June 2020 and for&#10;the year then ended:&#10;• Statement by the Chief Executive Officer and Chief Financial Officer;&#10;• Statement of Comprehensive Income;&#10;• Statement of Financial Position;&#10;• Statement of Changes in Equity;&#10;• Cash Flow Statement; and&#10;• Notes to the financial statements, comprising a Summary of Significant Accounting Policies and other&#10;explanatory information.&#10;Basis for opinion&#10;I conducted my audit in accordance with the Australian National Audit Office Auditing Standards, which&#10;incorporate the Australian Auditing Standards. My responsibilities under those standards are further described in&#10;the Auditor’s Responsibilities for the Audit of the Financial Statements section of my report. I am independent of&#10;the Entity in accordance with the relevant ethical requirements for financial statement audits conducted by the&#10;Auditor-General and his delegates. These include the relevant independence requirements of the Accounting&#10;Professional and Ethical Standards Board’s APES 110 Code of Ethics for Professional Accountants (including&#10;Independence Standards) (the Code) to the extent that they are not in conflict with the Auditor-General Act 1997.&#10;I have also fulfilled my other responsibilities in accordance with the Code. I believe that the audit evidence I have&#10;obtained is sufficient and appropriate to provide a basis for my opinion.&#10;Other information&#10;The Accountable Authority is responsible for the other information. The other information comprises the&#10;information included in the annual report for the year ended 30 June 2020 but does not include the financial&#10;statements and my auditor’s report thereon.&#10;My opinion on the financial statements does not cover the other information and accordingly I do not express&#10;any form of assurance conclusion thereon.&#10;In connection with my audit of the financial statements, my responsibility is to read the other information and, in&#10;doing so, consider whether the other information is materially inconsistent with the financial statements or my&#10;knowledge obtained in the audit, or otherwise appears to be materially misstated.&#10;If, based on the work I have performed, I conclude that there is a material misstatement of this other information,&#10;I am required to report that fact. I have nothing to report in this regar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94249" cy="6213230"/>
                    </a:xfrm>
                    <a:prstGeom prst="rect">
                      <a:avLst/>
                    </a:prstGeom>
                    <a:solidFill>
                      <a:schemeClr val="bg2"/>
                    </a:solidFill>
                    <a:effectLst>
                      <a:outerShdw blurRad="101600" dist="25400" dir="4560000" algn="tl" rotWithShape="0">
                        <a:prstClr val="black">
                          <a:alpha val="25000"/>
                        </a:prstClr>
                      </a:outerShdw>
                    </a:effectLst>
                  </pic:spPr>
                </pic:pic>
              </a:graphicData>
            </a:graphic>
          </wp:inline>
        </w:drawing>
      </w:r>
    </w:p>
    <w:bookmarkEnd w:id="109"/>
    <w:p w14:paraId="2429F2C7" w14:textId="77777777" w:rsidR="005944E3" w:rsidRDefault="005944E3" w:rsidP="00646163">
      <w:pPr>
        <w:pStyle w:val="Body"/>
        <w:sectPr w:rsidR="005944E3" w:rsidSect="00B20BE1">
          <w:footnotePr>
            <w:pos w:val="beneathText"/>
          </w:footnotePr>
          <w:pgSz w:w="9979" w:h="14175" w:code="13"/>
          <w:pgMar w:top="1134" w:right="1418" w:bottom="992" w:left="1418" w:header="709" w:footer="709" w:gutter="0"/>
          <w:cols w:space="623"/>
          <w:docGrid w:linePitch="360"/>
        </w:sectPr>
      </w:pPr>
    </w:p>
    <w:p w14:paraId="7D5CCBEF" w14:textId="53A338FF" w:rsidR="00BE406E" w:rsidRDefault="00036606" w:rsidP="00646163">
      <w:pPr>
        <w:pStyle w:val="Body"/>
      </w:pPr>
      <w:r>
        <w:rPr>
          <w:noProof/>
          <w:lang w:val="en-GB" w:eastAsia="en-GB"/>
        </w:rPr>
        <w:lastRenderedPageBreak/>
        <w:drawing>
          <wp:inline distT="0" distB="0" distL="0" distR="0" wp14:anchorId="37CE7943" wp14:editId="7880239D">
            <wp:extent cx="4394249" cy="6213230"/>
            <wp:effectExtent l="95250" t="76200" r="120650" b="130810"/>
            <wp:docPr id="29" name="Picture 29" descr="Accountable Authority’s responsibility for the financial statements&#10;As the Accountable Authority of the Entity, the Chief Executive Officer is responsible under the Public Governance,&#10;Performance and Accountability Act 2013 (the Act) for the preparation and fair presentation of annual financial&#10;statements that comply with Australian Accounting Standards – Reduced Disclosure Requirements and the rules&#10;made under the Act. The Chief Executive Officer is also responsible for such internal control as the Chief Executive&#10;Officer determines is necessary to enable the preparation of financial statements that are free from material&#10;misstatement, whether due to fraud or error.&#10;In preparing the financial statements, the Chief Executive Officer is responsible for assessing the ability of the&#10;Entity to continue as a going concern, taking into account whether the Entity’s operations will cease as a result of&#10;an administrative restructure or for any other reason. The Chief Executive Officer is also responsible for disclosing,&#10;as applicable, matters related to going concern and using the going concern basis of accounting unless the&#10;assessment indicates that it is not appropriate.&#10;Auditor’s responsibilities for the audit of the financial statements&#10;My objective is to obtain reasonable assurance about whether the financial statements as a whole are free from&#10;material misstatement, whether due to fraud or error, and to issue an auditor’s report that includes my opinion.&#10;Reasonable assurance is a high level of assurance, but is not a guarantee that an audit conducted in accordance&#10;with the Australian National Audit Office Auditing Standards will always detect a material misstatement when it&#10;exists. Misstatements can arise from fraud or error and are considered material if, individually or in the aggregate,&#10;they could reasonably be expected to influence the economic decisions of users taken on the basis of the financial&#10;statements.&#10;As part of an audit in accordance with the Australian National Audit Office Auditing Standards, I exercise&#10;professional judgement and maintain professional scepticism throughout the audit. I also:&#10;• identify and assess the risks of material misstatement of the financial statements, whether due to fraud or&#10;error, design and perform audit procedures responsive to those risks, and obtain audit evidence that is&#10;sufficient and appropriate to provide a basis for my opinion. The risk of not detecting a material misstatement&#10;resulting from fraud is higher than for one resulting from error, as fraud may involve collusion, forgery,&#10;intentional omissions, misrepresentations, or the override of internal control;&#10;• obtain an understanding of internal control relevant to the audit in order to design audit procedures that are&#10;appropriate in the circumstances, but not for the purpose of expressing an opinion on the effectiveness of the&#10;Entity’s internal control;&#10;• evaluate the appropriateness of accounting policies used and the reasonableness of accounting estimates and&#10;related disclosures made by the Accountable Authority;&#10;• conclude on the appropriateness of the Accountable Authority’s use of the going concern basis of accounting&#10;and, based on the audit evidence obtained, whether a material uncertainty exists related to events or&#10;conditions that may cast significant doubt on the Entity’s ability to continue as a going concern. If I conclude&#10;that a material uncertainty exists, I am required to draw attention in my auditor’s report to the related&#10;disclosures in the financial statements or, if such disclosures are inadequate, to modify my opinion. My&#10;conclusions are based on the audit evidence obtained up to the date of my auditor’s report. However, future&#10;events or conditions may cause the Entity to cease to continue as a going concern; and&#10;• evaluate the overall presentation, structure and content of the financial statements, including the disclosures,&#10;and whether the financial statements represent the underlying transactions and events in a manner that&#10;achieves fair presentation.&#10;I communicate with the Accountable Authority regarding, among other matters, the planned scope and timing&#10;of the audit and significant audit findings, including any significant deficiencies in internal control that I identify&#10;during my audit.&#10;Australian National Audit Office&#10;Sean Benfield&#10;Executive Director&#10;Delegate of the Auditor-General&#10;Canberra&#10;2 Octo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ccountable Authority’s responsibility for the financial statements&#10;As the Accountable Authority of the Entity, the Chief Executive Officer is responsible under the Public Governance,&#10;Performance and Accountability Act 2013 (the Act) for the preparation and fair presentation of annual financial&#10;statements that comply with Australian Accounting Standards – Reduced Disclosure Requirements and the rules&#10;made under the Act. The Chief Executive Officer is also responsible for such internal control as the Chief Executive&#10;Officer determines is necessary to enable the preparation of financial statements that are free from material&#10;misstatement, whether due to fraud or error.&#10;In preparing the financial statements, the Chief Executive Officer is responsible for assessing the ability of the&#10;Entity to continue as a going concern, taking into account whether the Entity’s operations will cease as a result of&#10;an administrative restructure or for any other reason. The Chief Executive Officer is also responsible for disclosing,&#10;as applicable, matters related to going concern and using the going concern basis of accounting unless the&#10;assessment indicates that it is not appropriate.&#10;Auditor’s responsibilities for the audit of the financial statements&#10;My objective is to obtain reasonable assurance about whether the financial statements as a whole are free from&#10;material misstatement, whether due to fraud or error, and to issue an auditor’s report that includes my opinion.&#10;Reasonable assurance is a high level of assurance, but is not a guarantee that an audit conducted in accordance&#10;with the Australian National Audit Office Auditing Standards will always detect a material misstatement when it&#10;exists. Misstatements can arise from fraud or error and are considered material if, individually or in the aggregate,&#10;they could reasonably be expected to influence the economic decisions of users taken on the basis of the financial&#10;statements.&#10;As part of an audit in accordance with the Australian National Audit Office Auditing Standards, I exercise&#10;professional judgement and maintain professional scepticism throughout the audit. I also:&#10;• identify and assess the risks of material misstatement of the financial statements, whether due to fraud or&#10;error, design and perform audit procedures responsive to those risks, and obtain audit evidence that is&#10;sufficient and appropriate to provide a basis for my opinion. The risk of not detecting a material misstatement&#10;resulting from fraud is higher than for one resulting from error, as fraud may involve collusion, forgery,&#10;intentional omissions, misrepresentations, or the override of internal control;&#10;• obtain an understanding of internal control relevant to the audit in order to design audit procedures that are&#10;appropriate in the circumstances, but not for the purpose of expressing an opinion on the effectiveness of the&#10;Entity’s internal control;&#10;• evaluate the appropriateness of accounting policies used and the reasonableness of accounting estimates and&#10;related disclosures made by the Accountable Authority;&#10;• conclude on the appropriateness of the Accountable Authority’s use of the going concern basis of accounting&#10;and, based on the audit evidence obtained, whether a material uncertainty exists related to events or&#10;conditions that may cast significant doubt on the Entity’s ability to continue as a going concern. If I conclude&#10;that a material uncertainty exists, I am required to draw attention in my auditor’s report to the related&#10;disclosures in the financial statements or, if such disclosures are inadequate, to modify my opinion. My&#10;conclusions are based on the audit evidence obtained up to the date of my auditor’s report. However, future&#10;events or conditions may cause the Entity to cease to continue as a going concern; and&#10;• evaluate the overall presentation, structure and content of the financial statements, including the disclosures,&#10;and whether the financial statements represent the underlying transactions and events in a manner that&#10;achieves fair presentation.&#10;I communicate with the Accountable Authority regarding, among other matters, the planned scope and timing&#10;of the audit and significant audit findings, including any significant deficiencies in internal control that I identify&#10;during my audit.&#10;Australian National Audit Office&#10;Sean Benfield&#10;Executive Director&#10;Delegate of the Auditor-General&#10;Canberra&#10;2 October 202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94249" cy="6213230"/>
                    </a:xfrm>
                    <a:prstGeom prst="rect">
                      <a:avLst/>
                    </a:prstGeom>
                    <a:solidFill>
                      <a:schemeClr val="bg2"/>
                    </a:solidFill>
                    <a:effectLst>
                      <a:outerShdw blurRad="101600" dist="25400" dir="4560000" algn="tl" rotWithShape="0">
                        <a:prstClr val="black">
                          <a:alpha val="25000"/>
                        </a:prstClr>
                      </a:outerShdw>
                    </a:effectLst>
                  </pic:spPr>
                </pic:pic>
              </a:graphicData>
            </a:graphic>
          </wp:inline>
        </w:drawing>
      </w:r>
    </w:p>
    <w:p w14:paraId="1EEEF547" w14:textId="77777777" w:rsidR="00BE406E" w:rsidRDefault="00BE406E" w:rsidP="00646163">
      <w:pPr>
        <w:pStyle w:val="Body"/>
      </w:pPr>
    </w:p>
    <w:p w14:paraId="356C024B" w14:textId="77777777" w:rsidR="003C7789" w:rsidRDefault="003C7789" w:rsidP="00646163">
      <w:pPr>
        <w:pStyle w:val="Body"/>
        <w:sectPr w:rsidR="003C7789" w:rsidSect="00B20BE1">
          <w:footnotePr>
            <w:pos w:val="beneathText"/>
          </w:footnotePr>
          <w:pgSz w:w="9979" w:h="14175" w:code="13"/>
          <w:pgMar w:top="1134" w:right="1418" w:bottom="992" w:left="1418" w:header="709" w:footer="709" w:gutter="0"/>
          <w:cols w:space="623"/>
          <w:docGrid w:linePitch="360"/>
        </w:sectPr>
      </w:pPr>
    </w:p>
    <w:p w14:paraId="3CBB937E" w14:textId="1514528A" w:rsidR="00646163" w:rsidRPr="00974E28" w:rsidRDefault="00974E28" w:rsidP="005944E3">
      <w:pPr>
        <w:pStyle w:val="H2Financials"/>
        <w:spacing w:before="0" w:beforeAutospacing="0" w:after="0"/>
      </w:pPr>
      <w:bookmarkStart w:id="110" w:name="_Toc48828393"/>
      <w:bookmarkStart w:id="111" w:name="Primaryfinancialstatements"/>
      <w:r w:rsidRPr="00974E28">
        <w:lastRenderedPageBreak/>
        <w:t>Primary financial statements</w:t>
      </w:r>
      <w:bookmarkEnd w:id="110"/>
    </w:p>
    <w:p w14:paraId="4E5F94B1" w14:textId="77777777" w:rsidR="00974E28" w:rsidRDefault="00974E28" w:rsidP="00AF083D">
      <w:pPr>
        <w:pStyle w:val="H3Financials"/>
        <w:spacing w:before="0" w:after="120"/>
      </w:pPr>
      <w:bookmarkStart w:id="112" w:name="_Toc48828394"/>
      <w:bookmarkStart w:id="113" w:name="Statementofcomprehensiveincome"/>
      <w:bookmarkEnd w:id="111"/>
      <w:r w:rsidRPr="00974E28">
        <w:t>Statement of comprehensive income</w:t>
      </w:r>
      <w:bookmarkEnd w:id="112"/>
      <w:bookmarkEnd w:id="113"/>
      <w:r>
        <w:t xml:space="preserve"> </w:t>
      </w:r>
    </w:p>
    <w:p w14:paraId="1B797EE3" w14:textId="6582DAB1" w:rsidR="003C7789" w:rsidRPr="00F73A32" w:rsidRDefault="00974E28" w:rsidP="00AF083D">
      <w:pPr>
        <w:pStyle w:val="Body"/>
        <w:spacing w:after="0"/>
        <w:rPr>
          <w:i/>
          <w:iCs/>
        </w:rPr>
      </w:pPr>
      <w:r w:rsidRPr="00F73A32">
        <w:rPr>
          <w:i/>
          <w:iCs/>
        </w:rPr>
        <w:t>for the period ended 30 June 2020</w:t>
      </w:r>
    </w:p>
    <w:tbl>
      <w:tblPr>
        <w:tblW w:w="7423" w:type="dxa"/>
        <w:tblInd w:w="-8" w:type="dxa"/>
        <w:tblLayout w:type="fixed"/>
        <w:tblCellMar>
          <w:left w:w="0" w:type="dxa"/>
          <w:right w:w="0" w:type="dxa"/>
        </w:tblCellMar>
        <w:tblLook w:val="0000" w:firstRow="0" w:lastRow="0" w:firstColumn="0" w:lastColumn="0" w:noHBand="0" w:noVBand="0"/>
      </w:tblPr>
      <w:tblGrid>
        <w:gridCol w:w="3483"/>
        <w:gridCol w:w="985"/>
        <w:gridCol w:w="985"/>
        <w:gridCol w:w="985"/>
        <w:gridCol w:w="985"/>
      </w:tblGrid>
      <w:tr w:rsidR="00807DBD" w:rsidRPr="00807DBD" w14:paraId="21C3CB65" w14:textId="77777777" w:rsidTr="002550CF">
        <w:trPr>
          <w:trHeight w:val="340"/>
          <w:tblHeader/>
        </w:trPr>
        <w:tc>
          <w:tcPr>
            <w:tcW w:w="3483" w:type="dxa"/>
            <w:tcBorders>
              <w:bottom w:val="single" w:sz="4" w:space="0" w:color="FFFFFF" w:themeColor="background2"/>
            </w:tcBorders>
            <w:tcMar>
              <w:top w:w="28" w:type="dxa"/>
              <w:left w:w="113" w:type="dxa"/>
              <w:bottom w:w="28" w:type="dxa"/>
              <w:right w:w="113" w:type="dxa"/>
            </w:tcMar>
            <w:vAlign w:val="bottom"/>
          </w:tcPr>
          <w:p w14:paraId="44337389" w14:textId="77777777" w:rsidR="0045181D" w:rsidRPr="00807DBD" w:rsidRDefault="0045181D" w:rsidP="0045181D">
            <w:pPr>
              <w:autoSpaceDE w:val="0"/>
              <w:autoSpaceDN w:val="0"/>
              <w:adjustRightInd w:val="0"/>
              <w:spacing w:after="0" w:line="240" w:lineRule="auto"/>
              <w:rPr>
                <w:rFonts w:ascii="Futura PT Book" w:hAnsi="Futura PT Book"/>
                <w:color w:val="292929"/>
                <w:sz w:val="24"/>
                <w:szCs w:val="24"/>
              </w:rPr>
            </w:pPr>
          </w:p>
        </w:tc>
        <w:tc>
          <w:tcPr>
            <w:tcW w:w="985"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04E41668" w14:textId="77777777" w:rsidR="0045181D" w:rsidRPr="00807DBD" w:rsidRDefault="0045181D"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3D3C39C5" w14:textId="046104C3" w:rsidR="0045181D" w:rsidRPr="00807DBD" w:rsidRDefault="0045181D"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sidR="00A951D4" w:rsidRPr="00807DBD">
              <w:rPr>
                <w:rFonts w:asciiTheme="majorHAnsi" w:hAnsiTheme="majorHAnsi" w:cs="Futura PT Heavy"/>
                <w:color w:val="292929"/>
                <w:sz w:val="16"/>
                <w:szCs w:val="16"/>
                <w:lang w:val="en-US"/>
              </w:rPr>
              <w:t>20</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4A8117ED" w14:textId="3CBB6946" w:rsidR="0045181D" w:rsidRPr="00807DBD" w:rsidRDefault="0045181D"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201</w:t>
            </w:r>
            <w:r w:rsidR="00A951D4" w:rsidRPr="00807DBD">
              <w:rPr>
                <w:rFonts w:asciiTheme="majorHAnsi" w:hAnsiTheme="majorHAnsi" w:cs="Futura PT Heavy"/>
                <w:color w:val="292929"/>
                <w:sz w:val="16"/>
                <w:szCs w:val="16"/>
                <w:lang w:val="en-US"/>
              </w:rPr>
              <w:t>9</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557FC560" w14:textId="77777777" w:rsidR="0045181D" w:rsidRPr="00807DBD" w:rsidRDefault="0045181D"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807DBD" w:rsidRPr="00807DBD" w14:paraId="623F2ABB" w14:textId="77777777" w:rsidTr="002550CF">
        <w:trPr>
          <w:trHeight w:hRule="exact" w:val="227"/>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vAlign w:val="bottom"/>
          </w:tcPr>
          <w:p w14:paraId="6F5E9B29" w14:textId="77777777" w:rsidR="0045181D" w:rsidRPr="00807DBD" w:rsidRDefault="0045181D"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NET COST OF SERVICES</w:t>
            </w:r>
          </w:p>
        </w:tc>
        <w:tc>
          <w:tcPr>
            <w:tcW w:w="985"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vAlign w:val="bottom"/>
          </w:tcPr>
          <w:p w14:paraId="1B7359F3"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vAlign w:val="bottom"/>
          </w:tcPr>
          <w:p w14:paraId="334E820A"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vAlign w:val="bottom"/>
          </w:tcPr>
          <w:p w14:paraId="65DF8D67"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tcBorders>
            <w:tcMar>
              <w:top w:w="17" w:type="dxa"/>
              <w:left w:w="113" w:type="dxa"/>
              <w:bottom w:w="17" w:type="dxa"/>
              <w:right w:w="113" w:type="dxa"/>
            </w:tcMar>
            <w:vAlign w:val="bottom"/>
          </w:tcPr>
          <w:p w14:paraId="4C40851B" w14:textId="77777777" w:rsidR="0045181D" w:rsidRPr="00807DBD" w:rsidRDefault="0045181D" w:rsidP="00AF083D">
            <w:pPr>
              <w:autoSpaceDE w:val="0"/>
              <w:autoSpaceDN w:val="0"/>
              <w:adjustRightInd w:val="0"/>
              <w:spacing w:after="0" w:line="240" w:lineRule="auto"/>
              <w:rPr>
                <w:color w:val="292929"/>
                <w:sz w:val="14"/>
                <w:szCs w:val="14"/>
              </w:rPr>
            </w:pPr>
          </w:p>
        </w:tc>
      </w:tr>
      <w:tr w:rsidR="00807DBD" w:rsidRPr="00807DBD" w14:paraId="5AC0E5E6" w14:textId="77777777" w:rsidTr="005761F6">
        <w:trPr>
          <w:trHeight w:val="227"/>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vAlign w:val="bottom"/>
          </w:tcPr>
          <w:p w14:paraId="2C57448A" w14:textId="77777777" w:rsidR="0045181D" w:rsidRPr="00807DBD" w:rsidRDefault="0045181D"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EXPENSES</w:t>
            </w:r>
          </w:p>
        </w:tc>
        <w:tc>
          <w:tcPr>
            <w:tcW w:w="98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113" w:type="dxa"/>
              <w:bottom w:w="17" w:type="dxa"/>
              <w:right w:w="113" w:type="dxa"/>
            </w:tcMar>
            <w:vAlign w:val="bottom"/>
          </w:tcPr>
          <w:p w14:paraId="2AED3E99"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vAlign w:val="bottom"/>
          </w:tcPr>
          <w:p w14:paraId="6A872C9A"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vAlign w:val="bottom"/>
          </w:tcPr>
          <w:p w14:paraId="5EC6F28D"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vAlign w:val="bottom"/>
          </w:tcPr>
          <w:p w14:paraId="1153E690" w14:textId="77777777" w:rsidR="0045181D" w:rsidRPr="00807DBD" w:rsidRDefault="0045181D" w:rsidP="00AF083D">
            <w:pPr>
              <w:autoSpaceDE w:val="0"/>
              <w:autoSpaceDN w:val="0"/>
              <w:adjustRightInd w:val="0"/>
              <w:spacing w:after="0" w:line="240" w:lineRule="auto"/>
              <w:rPr>
                <w:color w:val="292929"/>
                <w:sz w:val="14"/>
                <w:szCs w:val="14"/>
              </w:rPr>
            </w:pPr>
          </w:p>
        </w:tc>
      </w:tr>
      <w:tr w:rsidR="00807DBD" w:rsidRPr="00807DBD" w14:paraId="1EBB6A42"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35407C40" w14:textId="77777777" w:rsidR="0089196F" w:rsidRPr="00807DBD" w:rsidRDefault="008919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Employee benefits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05EB78F9" w14:textId="5260E43F"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1.1A</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358C9424" w14:textId="5CBA455F"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7,983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6D1BFEF2" w14:textId="4A51C18A"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6,763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661069E5" w14:textId="48F24DF5"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7,126 </w:t>
            </w:r>
          </w:p>
        </w:tc>
      </w:tr>
      <w:tr w:rsidR="00807DBD" w:rsidRPr="00807DBD" w14:paraId="17AB0F17"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6E82751" w14:textId="77777777" w:rsidR="0089196F" w:rsidRPr="00807DBD" w:rsidRDefault="008919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Suppliers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633910E3" w14:textId="1384F8AB"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1.1B</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1F49B2BA" w14:textId="49A55F80"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13,224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695A5060" w14:textId="27621BC0"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17,034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48CA65AA" w14:textId="71898D73"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15,754 </w:t>
            </w:r>
          </w:p>
        </w:tc>
      </w:tr>
      <w:tr w:rsidR="00807DBD" w:rsidRPr="00807DBD" w14:paraId="0E18E0D0"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86EA127" w14:textId="77777777" w:rsidR="0089196F" w:rsidRPr="00807DBD" w:rsidRDefault="008919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Depreciation and amortisation</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672906B2" w14:textId="2FDAB301"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2.2A</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2BF2B6FA" w14:textId="04D2B8A8"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1,323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19626645" w14:textId="207FE5D4"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365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6EFA298C" w14:textId="5816C6C6"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465 </w:t>
            </w:r>
          </w:p>
        </w:tc>
      </w:tr>
      <w:tr w:rsidR="00807DBD" w:rsidRPr="00807DBD" w14:paraId="758D6B3F"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2D173293" w14:textId="0F19EE1A" w:rsidR="0089196F" w:rsidRPr="00807DBD" w:rsidRDefault="008919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Finance costs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6DFC0DF0" w14:textId="7411F990"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1.1C</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79AF9689" w14:textId="2302BAC2"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75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602F0AC4" w14:textId="65A0CC42"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07BCEAEE" w14:textId="7CD4768A"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r>
      <w:tr w:rsidR="00807DBD" w:rsidRPr="00807DBD" w14:paraId="6476047F"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3C229560" w14:textId="1D44933A" w:rsidR="0089196F" w:rsidRPr="00807DBD" w:rsidRDefault="008919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Losses from the disposal of assets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15C95E64" w14:textId="77777777"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6936E5FC" w14:textId="3AC36105"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152 </w:t>
            </w: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7A21F592" w14:textId="64C8DC70"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c>
          <w:tcPr>
            <w:tcW w:w="985" w:type="dxa"/>
            <w:tcBorders>
              <w:top w:val="single" w:sz="4" w:space="0" w:color="FFFFFF" w:themeColor="background2"/>
              <w:left w:val="single" w:sz="8" w:space="0" w:color="FFFFFF"/>
              <w:bottom w:val="single" w:sz="4" w:space="0" w:color="292929"/>
            </w:tcBorders>
            <w:tcMar>
              <w:top w:w="17" w:type="dxa"/>
              <w:left w:w="113" w:type="dxa"/>
              <w:bottom w:w="17" w:type="dxa"/>
              <w:right w:w="113" w:type="dxa"/>
            </w:tcMar>
          </w:tcPr>
          <w:p w14:paraId="03D6DA01" w14:textId="7DD47973"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r>
      <w:tr w:rsidR="00807DBD" w:rsidRPr="00807DBD" w14:paraId="01D3AE57"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B755644" w14:textId="77777777" w:rsidR="0089196F" w:rsidRPr="00807DBD" w:rsidRDefault="008919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expenses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0F7B4C38" w14:textId="77777777" w:rsidR="0089196F" w:rsidRPr="00807DBD" w:rsidRDefault="008919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0827A7D6" w14:textId="3377CC39" w:rsidR="0089196F" w:rsidRPr="00807DBD" w:rsidRDefault="008919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22,757 </w:t>
            </w: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745E65A6" w14:textId="6BE65924"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24,162 </w:t>
            </w:r>
          </w:p>
        </w:tc>
        <w:tc>
          <w:tcPr>
            <w:tcW w:w="985" w:type="dxa"/>
            <w:tcBorders>
              <w:top w:val="single" w:sz="4" w:space="0" w:color="292929"/>
              <w:left w:val="single" w:sz="8" w:space="0" w:color="FFFFFF"/>
              <w:bottom w:val="single" w:sz="4" w:space="0" w:color="292929"/>
            </w:tcBorders>
            <w:tcMar>
              <w:top w:w="17" w:type="dxa"/>
              <w:left w:w="113" w:type="dxa"/>
              <w:bottom w:w="17" w:type="dxa"/>
              <w:right w:w="113" w:type="dxa"/>
            </w:tcMar>
          </w:tcPr>
          <w:p w14:paraId="646E9840" w14:textId="622EDDE5" w:rsidR="0089196F" w:rsidRPr="00807DBD" w:rsidRDefault="008919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23,345 </w:t>
            </w:r>
          </w:p>
        </w:tc>
      </w:tr>
      <w:tr w:rsidR="00807DBD" w:rsidRPr="00807DBD" w14:paraId="67876A96" w14:textId="77777777" w:rsidTr="005761F6">
        <w:trPr>
          <w:trHeight w:val="283"/>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vAlign w:val="bottom"/>
          </w:tcPr>
          <w:p w14:paraId="05299411" w14:textId="77777777" w:rsidR="0045181D" w:rsidRPr="00807DBD" w:rsidRDefault="0045181D"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OWN-SOURCE INCOME</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vAlign w:val="bottom"/>
          </w:tcPr>
          <w:p w14:paraId="2721FFE8"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vAlign w:val="bottom"/>
          </w:tcPr>
          <w:p w14:paraId="5E6335CE"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vAlign w:val="bottom"/>
          </w:tcPr>
          <w:p w14:paraId="1F140777"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vAlign w:val="bottom"/>
          </w:tcPr>
          <w:p w14:paraId="5E6F1BB9" w14:textId="77777777" w:rsidR="0045181D" w:rsidRPr="00807DBD" w:rsidRDefault="0045181D" w:rsidP="00AF083D">
            <w:pPr>
              <w:autoSpaceDE w:val="0"/>
              <w:autoSpaceDN w:val="0"/>
              <w:adjustRightInd w:val="0"/>
              <w:spacing w:after="0" w:line="240" w:lineRule="auto"/>
              <w:rPr>
                <w:color w:val="292929"/>
                <w:sz w:val="14"/>
                <w:szCs w:val="14"/>
              </w:rPr>
            </w:pPr>
          </w:p>
        </w:tc>
      </w:tr>
      <w:tr w:rsidR="00807DBD" w:rsidRPr="00807DBD" w14:paraId="1731CCF9"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5110E94A" w14:textId="77777777" w:rsidR="0045181D" w:rsidRPr="00807DBD" w:rsidRDefault="0045181D"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Own-source revenue</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10D28BD6" w14:textId="77777777" w:rsidR="0045181D" w:rsidRPr="00807DBD" w:rsidRDefault="0045181D" w:rsidP="00AF083D">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784B3CF2" w14:textId="77777777" w:rsidR="0045181D" w:rsidRPr="00807DBD" w:rsidRDefault="0045181D" w:rsidP="00AF083D">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796E168F" w14:textId="77777777" w:rsidR="0045181D" w:rsidRPr="00807DBD" w:rsidRDefault="0045181D" w:rsidP="00AF083D">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0F645587" w14:textId="77777777" w:rsidR="0045181D" w:rsidRPr="00807DBD" w:rsidRDefault="0045181D" w:rsidP="00AF083D">
            <w:pPr>
              <w:autoSpaceDE w:val="0"/>
              <w:autoSpaceDN w:val="0"/>
              <w:adjustRightInd w:val="0"/>
              <w:spacing w:after="0" w:line="240" w:lineRule="auto"/>
              <w:jc w:val="right"/>
              <w:rPr>
                <w:color w:val="292929"/>
                <w:sz w:val="14"/>
                <w:szCs w:val="14"/>
              </w:rPr>
            </w:pPr>
          </w:p>
        </w:tc>
      </w:tr>
      <w:tr w:rsidR="00807DBD" w:rsidRPr="00807DBD" w14:paraId="5EF0272F"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C913762" w14:textId="77777777" w:rsidR="007C246F" w:rsidRPr="00807DBD" w:rsidRDefault="007C24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Sale of goods and rendering of services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1A069D05"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1.2A</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0AC28A62" w14:textId="1758A4D6"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804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6443829A" w14:textId="63F604D3"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2,079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0CF64635" w14:textId="74CDFD49"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900 </w:t>
            </w:r>
          </w:p>
        </w:tc>
      </w:tr>
      <w:tr w:rsidR="00807DBD" w:rsidRPr="00807DBD" w14:paraId="00C4B6AE"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3E1C1E4D" w14:textId="77777777" w:rsidR="007C246F" w:rsidRPr="00807DBD" w:rsidRDefault="007C24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Interest</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57C33CD9"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7802389B" w14:textId="404C5623"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56 </w:t>
            </w: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tcPr>
          <w:p w14:paraId="0842821B" w14:textId="2F36F84C"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177 </w:t>
            </w: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tcPr>
          <w:p w14:paraId="7A85F995" w14:textId="09000DFF"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220 </w:t>
            </w:r>
          </w:p>
        </w:tc>
      </w:tr>
      <w:tr w:rsidR="00807DBD" w:rsidRPr="00807DBD" w14:paraId="42CBACF8"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5A0D3E8" w14:textId="77777777" w:rsidR="007C246F" w:rsidRPr="00807DBD" w:rsidRDefault="007C24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Resources received free of charge</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55EE2294"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1.2B</w:t>
            </w: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2BB16F0E" w14:textId="22FFC842"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7,722 </w:t>
            </w: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50FE41CE" w14:textId="39DC3E3A"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6,423 </w:t>
            </w:r>
          </w:p>
        </w:tc>
        <w:tc>
          <w:tcPr>
            <w:tcW w:w="985" w:type="dxa"/>
            <w:tcBorders>
              <w:top w:val="single" w:sz="4" w:space="0" w:color="FFFFFF" w:themeColor="background2"/>
              <w:left w:val="single" w:sz="8" w:space="0" w:color="FFFFFF"/>
              <w:bottom w:val="single" w:sz="4" w:space="0" w:color="292929"/>
            </w:tcBorders>
            <w:tcMar>
              <w:top w:w="17" w:type="dxa"/>
              <w:left w:w="113" w:type="dxa"/>
              <w:bottom w:w="17" w:type="dxa"/>
              <w:right w:w="113" w:type="dxa"/>
            </w:tcMar>
          </w:tcPr>
          <w:p w14:paraId="452F4DE2" w14:textId="5B4DE5EB"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7,201 </w:t>
            </w:r>
          </w:p>
        </w:tc>
      </w:tr>
      <w:tr w:rsidR="00807DBD" w:rsidRPr="00807DBD" w14:paraId="2F6457AC"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AB78614"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own-source revenue</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0D9F7AE5"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3A3A5D90" w14:textId="594133E5"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8,582 </w:t>
            </w: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6C2423E5" w14:textId="6EBB861B"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8,679 </w:t>
            </w:r>
          </w:p>
        </w:tc>
        <w:tc>
          <w:tcPr>
            <w:tcW w:w="985" w:type="dxa"/>
            <w:tcBorders>
              <w:top w:val="single" w:sz="4" w:space="0" w:color="292929"/>
              <w:left w:val="single" w:sz="8" w:space="0" w:color="FFFFFF"/>
              <w:bottom w:val="single" w:sz="4" w:space="0" w:color="292929"/>
            </w:tcBorders>
            <w:tcMar>
              <w:top w:w="17" w:type="dxa"/>
              <w:left w:w="113" w:type="dxa"/>
              <w:bottom w:w="17" w:type="dxa"/>
              <w:right w:w="113" w:type="dxa"/>
            </w:tcMar>
          </w:tcPr>
          <w:p w14:paraId="4181E614" w14:textId="2D252DF4"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8,321 </w:t>
            </w:r>
          </w:p>
        </w:tc>
      </w:tr>
      <w:tr w:rsidR="00807DBD" w:rsidRPr="00807DBD" w14:paraId="387105DF" w14:textId="77777777" w:rsidTr="005761F6">
        <w:trPr>
          <w:trHeight w:val="227"/>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vAlign w:val="bottom"/>
          </w:tcPr>
          <w:p w14:paraId="32E0D176" w14:textId="77777777" w:rsidR="0045181D" w:rsidRPr="00807DBD" w:rsidRDefault="0045181D"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Gains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vAlign w:val="bottom"/>
          </w:tcPr>
          <w:p w14:paraId="75D07A0D"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vAlign w:val="bottom"/>
          </w:tcPr>
          <w:p w14:paraId="59E72AEC"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right w:val="single" w:sz="8" w:space="0" w:color="FFFFFF"/>
            </w:tcBorders>
            <w:tcMar>
              <w:top w:w="17" w:type="dxa"/>
              <w:left w:w="113" w:type="dxa"/>
              <w:bottom w:w="17" w:type="dxa"/>
              <w:right w:w="113" w:type="dxa"/>
            </w:tcMar>
            <w:vAlign w:val="bottom"/>
          </w:tcPr>
          <w:p w14:paraId="146696A6" w14:textId="77777777" w:rsidR="0045181D" w:rsidRPr="00807DBD" w:rsidRDefault="0045181D" w:rsidP="00AF083D">
            <w:pPr>
              <w:autoSpaceDE w:val="0"/>
              <w:autoSpaceDN w:val="0"/>
              <w:adjustRightInd w:val="0"/>
              <w:spacing w:after="0" w:line="240" w:lineRule="auto"/>
              <w:rPr>
                <w:color w:val="292929"/>
                <w:sz w:val="14"/>
                <w:szCs w:val="14"/>
              </w:rPr>
            </w:pPr>
          </w:p>
        </w:tc>
        <w:tc>
          <w:tcPr>
            <w:tcW w:w="985" w:type="dxa"/>
            <w:tcBorders>
              <w:top w:val="single" w:sz="4" w:space="0" w:color="FFFFFF" w:themeColor="background2"/>
              <w:left w:val="single" w:sz="8" w:space="0" w:color="FFFFFF"/>
              <w:bottom w:val="single" w:sz="4" w:space="0" w:color="FFFFFF" w:themeColor="background2"/>
            </w:tcBorders>
            <w:tcMar>
              <w:top w:w="17" w:type="dxa"/>
              <w:left w:w="113" w:type="dxa"/>
              <w:bottom w:w="17" w:type="dxa"/>
              <w:right w:w="113" w:type="dxa"/>
            </w:tcMar>
            <w:vAlign w:val="bottom"/>
          </w:tcPr>
          <w:p w14:paraId="3EAE1BE5" w14:textId="77777777" w:rsidR="0045181D" w:rsidRPr="00807DBD" w:rsidRDefault="0045181D" w:rsidP="00AF083D">
            <w:pPr>
              <w:autoSpaceDE w:val="0"/>
              <w:autoSpaceDN w:val="0"/>
              <w:adjustRightInd w:val="0"/>
              <w:spacing w:after="0" w:line="240" w:lineRule="auto"/>
              <w:rPr>
                <w:color w:val="292929"/>
                <w:sz w:val="14"/>
                <w:szCs w:val="14"/>
              </w:rPr>
            </w:pPr>
          </w:p>
        </w:tc>
      </w:tr>
      <w:tr w:rsidR="00807DBD" w:rsidRPr="00807DBD" w14:paraId="36F88B6F"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2FB0225" w14:textId="77777777" w:rsidR="007C246F" w:rsidRPr="00807DBD" w:rsidRDefault="007C24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Other gains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528E1FE1"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1.2C</w:t>
            </w: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3169DDCB" w14:textId="6F7035FC"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 </w:t>
            </w:r>
          </w:p>
        </w:tc>
        <w:tc>
          <w:tcPr>
            <w:tcW w:w="985" w:type="dxa"/>
            <w:tcBorders>
              <w:top w:val="single" w:sz="4" w:space="0" w:color="FFFFFF" w:themeColor="background2"/>
              <w:left w:val="single" w:sz="8" w:space="0" w:color="FFFFFF"/>
              <w:bottom w:val="single" w:sz="4" w:space="0" w:color="292929"/>
              <w:right w:val="single" w:sz="8" w:space="0" w:color="FFFFFF"/>
            </w:tcBorders>
            <w:tcMar>
              <w:top w:w="17" w:type="dxa"/>
              <w:left w:w="113" w:type="dxa"/>
              <w:bottom w:w="17" w:type="dxa"/>
              <w:right w:w="113" w:type="dxa"/>
            </w:tcMar>
          </w:tcPr>
          <w:p w14:paraId="456E9388" w14:textId="40B89A9A"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27 </w:t>
            </w:r>
          </w:p>
        </w:tc>
        <w:tc>
          <w:tcPr>
            <w:tcW w:w="985" w:type="dxa"/>
            <w:tcBorders>
              <w:top w:val="single" w:sz="4" w:space="0" w:color="FFFFFF" w:themeColor="background2"/>
              <w:left w:val="single" w:sz="8" w:space="0" w:color="FFFFFF"/>
              <w:bottom w:val="single" w:sz="4" w:space="0" w:color="292929"/>
            </w:tcBorders>
            <w:tcMar>
              <w:top w:w="17" w:type="dxa"/>
              <w:left w:w="113" w:type="dxa"/>
              <w:bottom w:w="17" w:type="dxa"/>
              <w:right w:w="113" w:type="dxa"/>
            </w:tcMar>
          </w:tcPr>
          <w:p w14:paraId="3E1E99A1" w14:textId="19CE9C1E"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r>
      <w:tr w:rsidR="00807DBD" w:rsidRPr="00807DBD" w14:paraId="68468F9E"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7809E1E9"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gains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2E2C9784"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7FBD5DC5" w14:textId="65AD582B"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 </w:t>
            </w: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1EC33EF6" w14:textId="4E84629F"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27 </w:t>
            </w:r>
          </w:p>
        </w:tc>
        <w:tc>
          <w:tcPr>
            <w:tcW w:w="985" w:type="dxa"/>
            <w:tcBorders>
              <w:top w:val="single" w:sz="4" w:space="0" w:color="292929"/>
              <w:left w:val="single" w:sz="8" w:space="0" w:color="FFFFFF"/>
              <w:bottom w:val="single" w:sz="4" w:space="0" w:color="292929"/>
            </w:tcBorders>
            <w:tcMar>
              <w:top w:w="17" w:type="dxa"/>
              <w:left w:w="113" w:type="dxa"/>
              <w:bottom w:w="17" w:type="dxa"/>
              <w:right w:w="113" w:type="dxa"/>
            </w:tcMar>
          </w:tcPr>
          <w:p w14:paraId="43532887" w14:textId="30AEBD94"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r>
      <w:tr w:rsidR="00807DBD" w:rsidRPr="00807DBD" w14:paraId="3A411EFA"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760092A9"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own-source income</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0F075DAD"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28A16820" w14:textId="4957095F"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8,582 </w:t>
            </w: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532468E4" w14:textId="6855FD4A"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8,706 </w:t>
            </w:r>
          </w:p>
        </w:tc>
        <w:tc>
          <w:tcPr>
            <w:tcW w:w="985" w:type="dxa"/>
            <w:tcBorders>
              <w:top w:val="single" w:sz="4" w:space="0" w:color="292929"/>
              <w:left w:val="single" w:sz="8" w:space="0" w:color="FFFFFF"/>
              <w:bottom w:val="single" w:sz="4" w:space="0" w:color="292929"/>
            </w:tcBorders>
            <w:tcMar>
              <w:top w:w="17" w:type="dxa"/>
              <w:left w:w="113" w:type="dxa"/>
              <w:bottom w:w="17" w:type="dxa"/>
              <w:right w:w="113" w:type="dxa"/>
            </w:tcMar>
          </w:tcPr>
          <w:p w14:paraId="36D8E7CB" w14:textId="6735C0E5"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8,321 </w:t>
            </w:r>
          </w:p>
        </w:tc>
      </w:tr>
      <w:tr w:rsidR="00807DBD" w:rsidRPr="00807DBD" w14:paraId="242AA2BF" w14:textId="77777777" w:rsidTr="005761F6">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F4E3A8E"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Net cost of services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27293C58"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73FCBF07" w14:textId="051C954C"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14,175 </w:t>
            </w:r>
          </w:p>
        </w:tc>
        <w:tc>
          <w:tcPr>
            <w:tcW w:w="985" w:type="dxa"/>
            <w:tcBorders>
              <w:top w:val="single" w:sz="4" w:space="0" w:color="292929"/>
              <w:left w:val="single" w:sz="8" w:space="0" w:color="FFFFFF"/>
              <w:bottom w:val="single" w:sz="4" w:space="0" w:color="292929"/>
              <w:right w:val="single" w:sz="8" w:space="0" w:color="FFFFFF"/>
            </w:tcBorders>
            <w:tcMar>
              <w:top w:w="17" w:type="dxa"/>
              <w:left w:w="113" w:type="dxa"/>
              <w:bottom w:w="17" w:type="dxa"/>
              <w:right w:w="113" w:type="dxa"/>
            </w:tcMar>
          </w:tcPr>
          <w:p w14:paraId="42395F30" w14:textId="2DBE3DBD"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15,456 </w:t>
            </w:r>
          </w:p>
        </w:tc>
        <w:tc>
          <w:tcPr>
            <w:tcW w:w="985" w:type="dxa"/>
            <w:tcBorders>
              <w:top w:val="single" w:sz="4" w:space="0" w:color="292929"/>
              <w:left w:val="single" w:sz="8" w:space="0" w:color="FFFFFF"/>
              <w:bottom w:val="single" w:sz="4" w:space="0" w:color="292929"/>
            </w:tcBorders>
            <w:tcMar>
              <w:top w:w="17" w:type="dxa"/>
              <w:left w:w="113" w:type="dxa"/>
              <w:bottom w:w="17" w:type="dxa"/>
              <w:right w:w="113" w:type="dxa"/>
            </w:tcMar>
          </w:tcPr>
          <w:p w14:paraId="2E0580CA" w14:textId="73EDDEEB"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15,024 </w:t>
            </w:r>
          </w:p>
        </w:tc>
      </w:tr>
      <w:tr w:rsidR="00807DBD" w:rsidRPr="00807DBD" w14:paraId="47B0C15D" w14:textId="77777777" w:rsidTr="00744A0F">
        <w:trPr>
          <w:trHeight w:val="227"/>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vAlign w:val="bottom"/>
          </w:tcPr>
          <w:p w14:paraId="7DF29377" w14:textId="77777777" w:rsidR="007C246F" w:rsidRPr="00807DBD" w:rsidRDefault="007C246F" w:rsidP="00AF083D">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Revenue from Government</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vAlign w:val="bottom"/>
          </w:tcPr>
          <w:p w14:paraId="5E102FC5"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1.2D</w:t>
            </w:r>
          </w:p>
        </w:tc>
        <w:tc>
          <w:tcPr>
            <w:tcW w:w="985" w:type="dxa"/>
            <w:tcBorders>
              <w:top w:val="single" w:sz="4" w:space="0" w:color="FFFFFF" w:themeColor="background2"/>
              <w:left w:val="single" w:sz="8" w:space="0" w:color="FFFFFF"/>
              <w:bottom w:val="single" w:sz="4" w:space="0" w:color="292929"/>
              <w:right w:val="single" w:sz="8" w:space="0" w:color="FFFFFF" w:themeColor="background2"/>
            </w:tcBorders>
            <w:tcMar>
              <w:top w:w="17" w:type="dxa"/>
              <w:left w:w="113" w:type="dxa"/>
              <w:bottom w:w="17" w:type="dxa"/>
              <w:right w:w="113" w:type="dxa"/>
            </w:tcMar>
            <w:vAlign w:val="bottom"/>
          </w:tcPr>
          <w:p w14:paraId="2E057601" w14:textId="6B46BAB6"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15,024 </w:t>
            </w:r>
          </w:p>
        </w:tc>
        <w:tc>
          <w:tcPr>
            <w:tcW w:w="985" w:type="dxa"/>
            <w:tcBorders>
              <w:top w:val="single" w:sz="4" w:space="0" w:color="FFFFFF" w:themeColor="background2"/>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vAlign w:val="bottom"/>
          </w:tcPr>
          <w:p w14:paraId="228CCB3F" w14:textId="24935F5E"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15,487 </w:t>
            </w:r>
          </w:p>
        </w:tc>
        <w:tc>
          <w:tcPr>
            <w:tcW w:w="985" w:type="dxa"/>
            <w:tcBorders>
              <w:top w:val="single" w:sz="4" w:space="0" w:color="FFFFFF" w:themeColor="background2"/>
              <w:left w:val="single" w:sz="8" w:space="0" w:color="FFFFFF" w:themeColor="background2"/>
              <w:bottom w:val="single" w:sz="4" w:space="0" w:color="292929"/>
            </w:tcBorders>
            <w:tcMar>
              <w:top w:w="17" w:type="dxa"/>
              <w:left w:w="113" w:type="dxa"/>
              <w:bottom w:w="17" w:type="dxa"/>
              <w:right w:w="113" w:type="dxa"/>
            </w:tcMar>
            <w:vAlign w:val="bottom"/>
          </w:tcPr>
          <w:p w14:paraId="0E5E0349" w14:textId="60F5C3CF"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15.024 </w:t>
            </w:r>
          </w:p>
        </w:tc>
      </w:tr>
      <w:tr w:rsidR="00807DBD" w:rsidRPr="00807DBD" w14:paraId="7C634846"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2F6EF50"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Surplus</w:t>
            </w:r>
          </w:p>
        </w:tc>
        <w:tc>
          <w:tcPr>
            <w:tcW w:w="98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113" w:type="dxa"/>
              <w:bottom w:w="17" w:type="dxa"/>
              <w:right w:w="113" w:type="dxa"/>
            </w:tcMar>
          </w:tcPr>
          <w:p w14:paraId="3647CACC"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4"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B3BBBD0" w14:textId="27132057"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849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DA1143F" w14:textId="56238A0D"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31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vAlign w:val="center"/>
          </w:tcPr>
          <w:p w14:paraId="67928E20"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807DBD" w:rsidRPr="00807DBD" w14:paraId="6824B8A5"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07D89FCB" w14:textId="77777777" w:rsidR="007C246F" w:rsidRPr="00807DBD" w:rsidRDefault="007C246F" w:rsidP="00AF083D">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comprehensive surplus</w:t>
            </w:r>
          </w:p>
        </w:tc>
        <w:tc>
          <w:tcPr>
            <w:tcW w:w="985" w:type="dxa"/>
            <w:tcBorders>
              <w:top w:val="single" w:sz="4" w:space="0" w:color="FFFFFF" w:themeColor="background2"/>
              <w:left w:val="single" w:sz="4" w:space="0" w:color="FFFFFF" w:themeColor="background2"/>
              <w:bottom w:val="single" w:sz="4" w:space="0" w:color="FFFFFF" w:themeColor="background2"/>
              <w:right w:val="single" w:sz="8" w:space="0" w:color="FFFFFF"/>
            </w:tcBorders>
            <w:tcMar>
              <w:top w:w="17" w:type="dxa"/>
              <w:left w:w="113" w:type="dxa"/>
              <w:bottom w:w="17" w:type="dxa"/>
              <w:right w:w="113" w:type="dxa"/>
            </w:tcMar>
          </w:tcPr>
          <w:p w14:paraId="1C76D3B0" w14:textId="77777777" w:rsidR="007C246F" w:rsidRPr="00807DBD" w:rsidRDefault="007C246F" w:rsidP="00AF083D">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bottom w:val="single" w:sz="4" w:space="0" w:color="292929"/>
              <w:right w:val="single" w:sz="8" w:space="0" w:color="FFFFFF" w:themeColor="background2"/>
            </w:tcBorders>
            <w:tcMar>
              <w:top w:w="17" w:type="dxa"/>
              <w:left w:w="113" w:type="dxa"/>
              <w:bottom w:w="17" w:type="dxa"/>
              <w:right w:w="113" w:type="dxa"/>
            </w:tcMar>
          </w:tcPr>
          <w:p w14:paraId="15A3CF79" w14:textId="739FCED7" w:rsidR="007C246F" w:rsidRPr="00807DBD" w:rsidRDefault="007C246F" w:rsidP="00AF083D">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849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85B01D7" w14:textId="7831C95C"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31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vAlign w:val="center"/>
          </w:tcPr>
          <w:p w14:paraId="66626760" w14:textId="77777777" w:rsidR="007C246F" w:rsidRPr="00807DBD" w:rsidRDefault="007C246F" w:rsidP="00AF083D">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8630B4" w:rsidRPr="008630B4" w14:paraId="6A612211" w14:textId="77777777" w:rsidTr="008630B4">
        <w:trPr>
          <w:trHeight w:val="20"/>
        </w:trPr>
        <w:tc>
          <w:tcPr>
            <w:tcW w:w="3483" w:type="dxa"/>
            <w:tcBorders>
              <w:top w:val="single" w:sz="4" w:space="0" w:color="FFFFFF" w:themeColor="background2"/>
              <w:left w:val="single" w:sz="4" w:space="0" w:color="FFFFFF" w:themeColor="background2"/>
              <w:right w:val="single" w:sz="4" w:space="0" w:color="FFFFFF" w:themeColor="background2"/>
            </w:tcBorders>
            <w:tcMar>
              <w:top w:w="17" w:type="dxa"/>
              <w:left w:w="80" w:type="dxa"/>
              <w:bottom w:w="17" w:type="dxa"/>
              <w:right w:w="80" w:type="dxa"/>
            </w:tcMar>
          </w:tcPr>
          <w:p w14:paraId="3FBA463B" w14:textId="77777777" w:rsidR="008630B4" w:rsidRPr="008630B4" w:rsidRDefault="008630B4" w:rsidP="00AF083D">
            <w:pPr>
              <w:suppressAutoHyphens/>
              <w:autoSpaceDE w:val="0"/>
              <w:autoSpaceDN w:val="0"/>
              <w:adjustRightInd w:val="0"/>
              <w:spacing w:after="0" w:line="240" w:lineRule="auto"/>
              <w:textAlignment w:val="center"/>
              <w:rPr>
                <w:rFonts w:asciiTheme="majorHAnsi" w:hAnsiTheme="majorHAnsi" w:cs="Futura PT Book"/>
                <w:color w:val="292929"/>
                <w:sz w:val="4"/>
                <w:szCs w:val="4"/>
                <w:lang w:val="en-US"/>
              </w:rPr>
            </w:pPr>
          </w:p>
        </w:tc>
        <w:tc>
          <w:tcPr>
            <w:tcW w:w="985" w:type="dxa"/>
            <w:tcBorders>
              <w:top w:val="single" w:sz="4" w:space="0" w:color="FFFFFF" w:themeColor="background2"/>
              <w:left w:val="single" w:sz="4" w:space="0" w:color="FFFFFF" w:themeColor="background2"/>
              <w:right w:val="single" w:sz="8" w:space="0" w:color="FFFFFF"/>
            </w:tcBorders>
            <w:tcMar>
              <w:top w:w="17" w:type="dxa"/>
              <w:left w:w="113" w:type="dxa"/>
              <w:bottom w:w="17" w:type="dxa"/>
              <w:right w:w="113" w:type="dxa"/>
            </w:tcMar>
          </w:tcPr>
          <w:p w14:paraId="68252B7C" w14:textId="77777777" w:rsidR="008630B4" w:rsidRPr="008630B4" w:rsidRDefault="008630B4" w:rsidP="00AF083D">
            <w:pPr>
              <w:autoSpaceDE w:val="0"/>
              <w:autoSpaceDN w:val="0"/>
              <w:adjustRightInd w:val="0"/>
              <w:spacing w:after="0" w:line="240" w:lineRule="auto"/>
              <w:jc w:val="right"/>
              <w:rPr>
                <w:color w:val="292929"/>
                <w:sz w:val="4"/>
                <w:szCs w:val="4"/>
              </w:rPr>
            </w:pPr>
          </w:p>
        </w:tc>
        <w:tc>
          <w:tcPr>
            <w:tcW w:w="985" w:type="dxa"/>
            <w:tcBorders>
              <w:top w:val="single" w:sz="4" w:space="0" w:color="292929"/>
              <w:left w:val="single" w:sz="8" w:space="0" w:color="FFFFFF"/>
              <w:right w:val="single" w:sz="8" w:space="0" w:color="FFFFFF" w:themeColor="background2"/>
            </w:tcBorders>
            <w:tcMar>
              <w:top w:w="17" w:type="dxa"/>
              <w:left w:w="113" w:type="dxa"/>
              <w:bottom w:w="17" w:type="dxa"/>
              <w:right w:w="113" w:type="dxa"/>
            </w:tcMar>
          </w:tcPr>
          <w:p w14:paraId="75021D05" w14:textId="77777777" w:rsidR="008630B4" w:rsidRPr="008630B4" w:rsidRDefault="008630B4" w:rsidP="00AF083D">
            <w:pPr>
              <w:suppressAutoHyphens/>
              <w:autoSpaceDE w:val="0"/>
              <w:autoSpaceDN w:val="0"/>
              <w:adjustRightInd w:val="0"/>
              <w:spacing w:after="0" w:line="240" w:lineRule="auto"/>
              <w:jc w:val="right"/>
              <w:textAlignment w:val="center"/>
              <w:rPr>
                <w:rFonts w:asciiTheme="majorHAnsi" w:hAnsiTheme="majorHAnsi"/>
                <w:color w:val="292929"/>
                <w:sz w:val="4"/>
                <w:szCs w:val="4"/>
              </w:rPr>
            </w:pPr>
          </w:p>
        </w:tc>
        <w:tc>
          <w:tcPr>
            <w:tcW w:w="985"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6D203503" w14:textId="77777777" w:rsidR="008630B4" w:rsidRPr="008630B4" w:rsidRDefault="008630B4" w:rsidP="00AF083D">
            <w:pPr>
              <w:suppressAutoHyphens/>
              <w:autoSpaceDE w:val="0"/>
              <w:autoSpaceDN w:val="0"/>
              <w:adjustRightInd w:val="0"/>
              <w:spacing w:after="0" w:line="240" w:lineRule="auto"/>
              <w:jc w:val="right"/>
              <w:textAlignment w:val="center"/>
              <w:rPr>
                <w:color w:val="292929"/>
                <w:sz w:val="4"/>
                <w:szCs w:val="4"/>
              </w:rPr>
            </w:pPr>
          </w:p>
        </w:tc>
        <w:tc>
          <w:tcPr>
            <w:tcW w:w="985" w:type="dxa"/>
            <w:tcBorders>
              <w:top w:val="single" w:sz="4" w:space="0" w:color="292929"/>
              <w:left w:val="single" w:sz="8" w:space="0" w:color="FFFFFF" w:themeColor="background2"/>
            </w:tcBorders>
            <w:tcMar>
              <w:top w:w="17" w:type="dxa"/>
              <w:left w:w="113" w:type="dxa"/>
              <w:bottom w:w="17" w:type="dxa"/>
              <w:right w:w="113" w:type="dxa"/>
            </w:tcMar>
            <w:vAlign w:val="center"/>
          </w:tcPr>
          <w:p w14:paraId="079E9906" w14:textId="77777777" w:rsidR="008630B4" w:rsidRPr="008630B4" w:rsidRDefault="008630B4" w:rsidP="00AF083D">
            <w:pPr>
              <w:suppressAutoHyphens/>
              <w:autoSpaceDE w:val="0"/>
              <w:autoSpaceDN w:val="0"/>
              <w:adjustRightInd w:val="0"/>
              <w:spacing w:after="0" w:line="240" w:lineRule="auto"/>
              <w:jc w:val="right"/>
              <w:textAlignment w:val="center"/>
              <w:rPr>
                <w:rFonts w:cs="Futura PT Book"/>
                <w:color w:val="292929"/>
                <w:sz w:val="4"/>
                <w:szCs w:val="4"/>
                <w:lang w:val="en-US"/>
              </w:rPr>
            </w:pPr>
          </w:p>
        </w:tc>
      </w:tr>
      <w:tr w:rsidR="00807DBD" w:rsidRPr="00807DBD" w14:paraId="01496CDB" w14:textId="77777777" w:rsidTr="008630B4">
        <w:trPr>
          <w:trHeight w:val="454"/>
        </w:trPr>
        <w:tc>
          <w:tcPr>
            <w:tcW w:w="7423" w:type="dxa"/>
            <w:gridSpan w:val="5"/>
            <w:tcBorders>
              <w:left w:val="single" w:sz="4" w:space="0" w:color="FFFFFF" w:themeColor="background2"/>
            </w:tcBorders>
            <w:tcMar>
              <w:top w:w="17" w:type="dxa"/>
              <w:left w:w="80" w:type="dxa"/>
              <w:bottom w:w="17" w:type="dxa"/>
              <w:right w:w="80" w:type="dxa"/>
            </w:tcMar>
            <w:vAlign w:val="center"/>
          </w:tcPr>
          <w:p w14:paraId="650B65B3" w14:textId="1A5F9AE5" w:rsidR="00BF127F" w:rsidRPr="00807DBD" w:rsidRDefault="00BF127F" w:rsidP="00BF127F">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27CE67F8" w14:textId="29C07344" w:rsidR="006E58D7" w:rsidRPr="00AF083D" w:rsidRDefault="006E58D7" w:rsidP="00AF083D">
      <w:pPr>
        <w:pStyle w:val="H4"/>
        <w:spacing w:before="120" w:after="120"/>
        <w:rPr>
          <w:sz w:val="18"/>
        </w:rPr>
      </w:pPr>
      <w:r w:rsidRPr="00AF083D">
        <w:rPr>
          <w:sz w:val="18"/>
        </w:rPr>
        <w:t>Budget Variances Commentary</w:t>
      </w:r>
    </w:p>
    <w:p w14:paraId="3477627F" w14:textId="77777777" w:rsidR="006E58D7" w:rsidRPr="00AF083D" w:rsidRDefault="006E58D7" w:rsidP="00AF083D">
      <w:pPr>
        <w:pStyle w:val="Body"/>
        <w:spacing w:after="60"/>
        <w:rPr>
          <w:b/>
          <w:bCs/>
          <w:sz w:val="14"/>
          <w:szCs w:val="14"/>
        </w:rPr>
      </w:pPr>
      <w:r w:rsidRPr="00AF083D">
        <w:rPr>
          <w:b/>
          <w:bCs/>
          <w:sz w:val="14"/>
          <w:szCs w:val="14"/>
        </w:rPr>
        <w:t>Statement of Comprehensive Income</w:t>
      </w:r>
    </w:p>
    <w:p w14:paraId="22296FAE" w14:textId="5C38B333" w:rsidR="006E58D7" w:rsidRPr="00AF083D" w:rsidRDefault="006E58D7" w:rsidP="00AF083D">
      <w:pPr>
        <w:pStyle w:val="Body"/>
        <w:spacing w:after="60"/>
        <w:ind w:right="-370"/>
        <w:rPr>
          <w:sz w:val="14"/>
          <w:szCs w:val="14"/>
        </w:rPr>
      </w:pPr>
      <w:r w:rsidRPr="00AF083D">
        <w:rPr>
          <w:sz w:val="14"/>
          <w:szCs w:val="14"/>
        </w:rPr>
        <w:t>Total expenses of $22.757m were $0.588m lower than the budgeted amount of $23.345m. The</w:t>
      </w:r>
      <w:r w:rsidR="00B51710" w:rsidRPr="00AF083D">
        <w:rPr>
          <w:sz w:val="14"/>
          <w:szCs w:val="14"/>
        </w:rPr>
        <w:t> </w:t>
      </w:r>
      <w:r w:rsidRPr="00AF083D">
        <w:rPr>
          <w:sz w:val="14"/>
          <w:szCs w:val="14"/>
        </w:rPr>
        <w:t>main driver was lower supplier expenses of $2.530m which was partially offset by higher employee benefits of $0.857m and, depreciation and amortisation expense of $0.85</w:t>
      </w:r>
      <w:r w:rsidR="00805E4F" w:rsidRPr="00AF083D">
        <w:rPr>
          <w:sz w:val="14"/>
          <w:szCs w:val="14"/>
        </w:rPr>
        <w:t>8</w:t>
      </w:r>
      <w:r w:rsidRPr="00AF083D">
        <w:rPr>
          <w:sz w:val="14"/>
          <w:szCs w:val="14"/>
        </w:rPr>
        <w:t xml:space="preserve">m. </w:t>
      </w:r>
    </w:p>
    <w:p w14:paraId="748C6190" w14:textId="7C96BCD9" w:rsidR="006E58D7" w:rsidRPr="00AF083D" w:rsidRDefault="006E58D7" w:rsidP="00AF083D">
      <w:pPr>
        <w:pStyle w:val="Body"/>
        <w:spacing w:after="60"/>
        <w:ind w:right="-654"/>
        <w:rPr>
          <w:sz w:val="14"/>
          <w:szCs w:val="14"/>
        </w:rPr>
      </w:pPr>
      <w:r w:rsidRPr="00AF083D">
        <w:rPr>
          <w:sz w:val="14"/>
          <w:szCs w:val="14"/>
        </w:rPr>
        <w:t>Supplier expenses were lower than budget primarily due to a greater proportion of projects being managed in-house which resulted in net savings and deferred program activity arising from state and</w:t>
      </w:r>
      <w:r w:rsidR="00B51710" w:rsidRPr="00AF083D">
        <w:rPr>
          <w:sz w:val="14"/>
          <w:szCs w:val="14"/>
        </w:rPr>
        <w:t> </w:t>
      </w:r>
      <w:r w:rsidRPr="00AF083D">
        <w:rPr>
          <w:sz w:val="14"/>
          <w:szCs w:val="14"/>
        </w:rPr>
        <w:t xml:space="preserve">territory hospital resources being reassigned to manage the COVID-19 pandemic. </w:t>
      </w:r>
    </w:p>
    <w:p w14:paraId="154DE6C7" w14:textId="1D4CC311" w:rsidR="006E58D7" w:rsidRPr="00AF083D" w:rsidRDefault="006E58D7" w:rsidP="00AF083D">
      <w:pPr>
        <w:pStyle w:val="Body"/>
        <w:spacing w:after="60"/>
        <w:ind w:right="-795"/>
        <w:rPr>
          <w:sz w:val="14"/>
          <w:szCs w:val="14"/>
        </w:rPr>
      </w:pPr>
      <w:r w:rsidRPr="00AF083D">
        <w:rPr>
          <w:sz w:val="14"/>
          <w:szCs w:val="14"/>
        </w:rPr>
        <w:t>Employee benefits were higher than budget due to a greater number of staff compared to budget assumptions and, depreciation and amortisation was higher primarily due to the exclusion of depreciation on right-of-use assets in the budget assumptions. Note that estimates from the adoption of</w:t>
      </w:r>
      <w:r w:rsidR="00B51710" w:rsidRPr="00AF083D">
        <w:rPr>
          <w:sz w:val="14"/>
          <w:szCs w:val="14"/>
        </w:rPr>
        <w:t> </w:t>
      </w:r>
      <w:r w:rsidRPr="00AF083D">
        <w:rPr>
          <w:sz w:val="14"/>
          <w:szCs w:val="14"/>
        </w:rPr>
        <w:t xml:space="preserve">AASB 16 </w:t>
      </w:r>
      <w:r w:rsidRPr="00AF083D">
        <w:rPr>
          <w:i/>
          <w:iCs/>
          <w:sz w:val="14"/>
          <w:szCs w:val="14"/>
        </w:rPr>
        <w:t>Leases</w:t>
      </w:r>
      <w:r w:rsidRPr="00AF083D">
        <w:rPr>
          <w:sz w:val="14"/>
          <w:szCs w:val="14"/>
        </w:rPr>
        <w:t xml:space="preserve"> were excluded from budget assumptions consistent with Department of Finance advice provided to Commonwealth entities. </w:t>
      </w:r>
    </w:p>
    <w:p w14:paraId="411205C1" w14:textId="78B9FF30" w:rsidR="00BF127F" w:rsidRPr="00AF083D" w:rsidRDefault="006E58D7" w:rsidP="00AF083D">
      <w:pPr>
        <w:pStyle w:val="Body"/>
        <w:spacing w:after="60"/>
        <w:ind w:right="-654"/>
        <w:rPr>
          <w:sz w:val="14"/>
          <w:szCs w:val="14"/>
        </w:rPr>
      </w:pPr>
      <w:r w:rsidRPr="00AF083D">
        <w:rPr>
          <w:sz w:val="14"/>
          <w:szCs w:val="14"/>
        </w:rPr>
        <w:t xml:space="preserve">Total own source income of $8.582m was $0.261m </w:t>
      </w:r>
      <w:r w:rsidR="00FC1FA9" w:rsidRPr="00AF083D">
        <w:rPr>
          <w:sz w:val="14"/>
          <w:szCs w:val="14"/>
        </w:rPr>
        <w:t>greater</w:t>
      </w:r>
      <w:r w:rsidRPr="00AF083D">
        <w:rPr>
          <w:sz w:val="14"/>
          <w:szCs w:val="14"/>
        </w:rPr>
        <w:t xml:space="preserve"> than the budgeted amount of $8.321m, primarily due to higher resources received free of charge</w:t>
      </w:r>
      <w:r w:rsidR="007B3AE2">
        <w:rPr>
          <w:sz w:val="14"/>
          <w:szCs w:val="14"/>
        </w:rPr>
        <w:t xml:space="preserve"> </w:t>
      </w:r>
      <w:r w:rsidR="007B3AE2" w:rsidRPr="007B3AE2">
        <w:rPr>
          <w:sz w:val="14"/>
          <w:szCs w:val="14"/>
        </w:rPr>
        <w:t>of $0.521m</w:t>
      </w:r>
      <w:r w:rsidRPr="00AF083D">
        <w:rPr>
          <w:sz w:val="14"/>
          <w:szCs w:val="14"/>
        </w:rPr>
        <w:t xml:space="preserve"> which was partially offset by lower sales of goods and rendering of services</w:t>
      </w:r>
      <w:r w:rsidR="007B3AE2">
        <w:rPr>
          <w:sz w:val="14"/>
          <w:szCs w:val="14"/>
        </w:rPr>
        <w:t xml:space="preserve"> </w:t>
      </w:r>
      <w:r w:rsidR="007B3AE2" w:rsidRPr="007B3AE2">
        <w:rPr>
          <w:sz w:val="14"/>
          <w:szCs w:val="14"/>
        </w:rPr>
        <w:t>of $0.096m</w:t>
      </w:r>
      <w:r w:rsidRPr="00AF083D">
        <w:rPr>
          <w:sz w:val="14"/>
          <w:szCs w:val="14"/>
        </w:rPr>
        <w:t>, and interest</w:t>
      </w:r>
      <w:r w:rsidR="007B3AE2">
        <w:rPr>
          <w:sz w:val="14"/>
          <w:szCs w:val="14"/>
        </w:rPr>
        <w:t xml:space="preserve"> </w:t>
      </w:r>
      <w:r w:rsidR="007B3AE2" w:rsidRPr="007B3AE2">
        <w:rPr>
          <w:sz w:val="14"/>
          <w:szCs w:val="14"/>
        </w:rPr>
        <w:t>of $0.164m</w:t>
      </w:r>
      <w:r w:rsidRPr="00AF083D">
        <w:rPr>
          <w:sz w:val="14"/>
          <w:szCs w:val="14"/>
        </w:rPr>
        <w:t xml:space="preserve">. Resources received free of charge </w:t>
      </w:r>
      <w:r w:rsidR="000932DD" w:rsidRPr="00AF083D">
        <w:rPr>
          <w:sz w:val="14"/>
          <w:szCs w:val="14"/>
        </w:rPr>
        <w:t>exceeded</w:t>
      </w:r>
      <w:r w:rsidRPr="00AF083D">
        <w:rPr>
          <w:sz w:val="14"/>
          <w:szCs w:val="14"/>
        </w:rPr>
        <w:t xml:space="preserve"> the budget primarily due to the recovery of higher employee expenses. Sales of goods and rendering of services were </w:t>
      </w:r>
      <w:r w:rsidRPr="00AF083D">
        <w:rPr>
          <w:sz w:val="14"/>
          <w:szCs w:val="14"/>
        </w:rPr>
        <w:lastRenderedPageBreak/>
        <w:t>lower than budget due to fewer sales of licences relating to the Australian Refined Diagnosis Related Groups classification systems and interest was lower than budget due to larger than</w:t>
      </w:r>
      <w:r w:rsidR="00B51710" w:rsidRPr="00AF083D">
        <w:rPr>
          <w:sz w:val="14"/>
          <w:szCs w:val="14"/>
        </w:rPr>
        <w:t> </w:t>
      </w:r>
      <w:r w:rsidRPr="00AF083D">
        <w:rPr>
          <w:sz w:val="14"/>
          <w:szCs w:val="14"/>
        </w:rPr>
        <w:t>anticipated reduction in interest rates.</w:t>
      </w:r>
    </w:p>
    <w:p w14:paraId="7349B6FD" w14:textId="77777777" w:rsidR="00BF127F" w:rsidRDefault="00BF127F" w:rsidP="00646163">
      <w:pPr>
        <w:pStyle w:val="Body"/>
        <w:sectPr w:rsidR="00BF127F" w:rsidSect="00AF083D">
          <w:footnotePr>
            <w:pos w:val="beneathText"/>
          </w:footnotePr>
          <w:pgSz w:w="9979" w:h="14175" w:code="13"/>
          <w:pgMar w:top="851" w:right="1418" w:bottom="992" w:left="1418" w:header="709" w:footer="709" w:gutter="0"/>
          <w:cols w:space="623"/>
          <w:docGrid w:linePitch="360"/>
        </w:sectPr>
      </w:pPr>
    </w:p>
    <w:p w14:paraId="13408BA9" w14:textId="402B0A7D" w:rsidR="00EA5D33" w:rsidRDefault="00EA5D33" w:rsidP="00AF083D">
      <w:pPr>
        <w:pStyle w:val="H3Financials"/>
        <w:spacing w:before="0" w:after="60"/>
      </w:pPr>
      <w:bookmarkStart w:id="114" w:name="_Toc48828395"/>
      <w:bookmarkStart w:id="115" w:name="Statementoffinancialposition"/>
      <w:r w:rsidRPr="00974E28">
        <w:lastRenderedPageBreak/>
        <w:t xml:space="preserve">Statement of </w:t>
      </w:r>
      <w:r>
        <w:t>financial position</w:t>
      </w:r>
      <w:bookmarkEnd w:id="114"/>
      <w:r>
        <w:t xml:space="preserve"> </w:t>
      </w:r>
    </w:p>
    <w:bookmarkEnd w:id="115"/>
    <w:p w14:paraId="2E3A7CBB" w14:textId="522077DD" w:rsidR="00EA5D33" w:rsidRPr="00F73A32" w:rsidRDefault="00EA5D33" w:rsidP="00DC271E">
      <w:pPr>
        <w:pStyle w:val="Body"/>
        <w:spacing w:after="0"/>
        <w:rPr>
          <w:i/>
          <w:iCs/>
        </w:rPr>
      </w:pPr>
      <w:r>
        <w:rPr>
          <w:i/>
          <w:iCs/>
        </w:rPr>
        <w:t>as at 30 June 2020</w:t>
      </w:r>
    </w:p>
    <w:tbl>
      <w:tblPr>
        <w:tblW w:w="7423" w:type="dxa"/>
        <w:tblInd w:w="-8" w:type="dxa"/>
        <w:tblLayout w:type="fixed"/>
        <w:tblCellMar>
          <w:left w:w="0" w:type="dxa"/>
          <w:right w:w="0" w:type="dxa"/>
        </w:tblCellMar>
        <w:tblLook w:val="0000" w:firstRow="0" w:lastRow="0" w:firstColumn="0" w:lastColumn="0" w:noHBand="0" w:noVBand="0"/>
      </w:tblPr>
      <w:tblGrid>
        <w:gridCol w:w="3483"/>
        <w:gridCol w:w="985"/>
        <w:gridCol w:w="985"/>
        <w:gridCol w:w="985"/>
        <w:gridCol w:w="985"/>
      </w:tblGrid>
      <w:tr w:rsidR="00BC0AFD" w:rsidRPr="00807DBD" w14:paraId="5546B82E" w14:textId="77777777" w:rsidTr="002550CF">
        <w:trPr>
          <w:trHeight w:val="340"/>
          <w:tblHeader/>
        </w:trPr>
        <w:tc>
          <w:tcPr>
            <w:tcW w:w="3483" w:type="dxa"/>
            <w:tcBorders>
              <w:left w:val="single" w:sz="4" w:space="0" w:color="FFFFFF" w:themeColor="background2"/>
              <w:bottom w:val="single" w:sz="4" w:space="0" w:color="FFFFFF" w:themeColor="background2"/>
            </w:tcBorders>
            <w:tcMar>
              <w:top w:w="28" w:type="dxa"/>
              <w:left w:w="113" w:type="dxa"/>
              <w:bottom w:w="28" w:type="dxa"/>
              <w:right w:w="113" w:type="dxa"/>
            </w:tcMar>
            <w:vAlign w:val="bottom"/>
          </w:tcPr>
          <w:p w14:paraId="14CFDD77" w14:textId="77777777" w:rsidR="00EA5D33" w:rsidRPr="00807DBD" w:rsidRDefault="00EA5D33" w:rsidP="00C10B33">
            <w:pPr>
              <w:autoSpaceDE w:val="0"/>
              <w:autoSpaceDN w:val="0"/>
              <w:adjustRightInd w:val="0"/>
              <w:spacing w:after="0" w:line="240" w:lineRule="auto"/>
              <w:rPr>
                <w:rFonts w:ascii="Futura PT Book" w:hAnsi="Futura PT Book"/>
                <w:color w:val="292929"/>
                <w:sz w:val="24"/>
                <w:szCs w:val="24"/>
              </w:rPr>
            </w:pPr>
          </w:p>
        </w:tc>
        <w:tc>
          <w:tcPr>
            <w:tcW w:w="985"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056FD54F" w14:textId="77777777" w:rsidR="00EA5D33" w:rsidRPr="00807DBD" w:rsidRDefault="00EA5D33"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2E56D838" w14:textId="71004A43" w:rsidR="00EA5D33" w:rsidRPr="00807DBD" w:rsidRDefault="00EA5D33"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sidR="00A951D4" w:rsidRPr="00807DBD">
              <w:rPr>
                <w:rFonts w:asciiTheme="majorHAnsi" w:hAnsiTheme="majorHAnsi" w:cs="Futura PT Heavy"/>
                <w:color w:val="292929"/>
                <w:sz w:val="16"/>
                <w:szCs w:val="16"/>
                <w:lang w:val="en-US"/>
              </w:rPr>
              <w:t>20</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54B1AFBD" w14:textId="008E2837" w:rsidR="00EA5D33" w:rsidRPr="00807DBD" w:rsidRDefault="00EA5D33"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201</w:t>
            </w:r>
            <w:r w:rsidR="00A951D4" w:rsidRPr="00807DBD">
              <w:rPr>
                <w:rFonts w:asciiTheme="majorHAnsi" w:hAnsiTheme="majorHAnsi" w:cs="Futura PT Heavy"/>
                <w:color w:val="292929"/>
                <w:sz w:val="16"/>
                <w:szCs w:val="16"/>
                <w:lang w:val="en-US"/>
              </w:rPr>
              <w:t>9</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3FAFC5DE" w14:textId="77777777" w:rsidR="00EA5D33" w:rsidRPr="00807DBD" w:rsidRDefault="00EA5D33"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BC0AFD" w:rsidRPr="00807DBD" w14:paraId="7BA7CD5E" w14:textId="77777777" w:rsidTr="002550CF">
        <w:trPr>
          <w:trHeight w:hRule="exact" w:val="227"/>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15149115" w14:textId="18C1DE62" w:rsidR="00EA5D33" w:rsidRPr="00807DBD" w:rsidRDefault="00A951D4" w:rsidP="00C10B33">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ASSETS</w:t>
            </w:r>
          </w:p>
        </w:tc>
        <w:tc>
          <w:tcPr>
            <w:tcW w:w="985"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510E9A56" w14:textId="77777777" w:rsidR="00EA5D33" w:rsidRPr="00807DBD" w:rsidRDefault="00EA5D33" w:rsidP="00C10B33">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3843A890" w14:textId="77777777" w:rsidR="00EA5D33" w:rsidRPr="00807DBD" w:rsidRDefault="00EA5D33" w:rsidP="00C10B33">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16A6758E" w14:textId="77777777" w:rsidR="00EA5D33" w:rsidRPr="00807DBD" w:rsidRDefault="00EA5D33" w:rsidP="00C10B33">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bottom w:val="single" w:sz="4" w:space="0" w:color="FFFFFF" w:themeColor="background2"/>
            </w:tcBorders>
            <w:tcMar>
              <w:top w:w="17" w:type="dxa"/>
              <w:left w:w="113" w:type="dxa"/>
              <w:bottom w:w="17" w:type="dxa"/>
              <w:right w:w="113" w:type="dxa"/>
            </w:tcMar>
          </w:tcPr>
          <w:p w14:paraId="0AF888E1" w14:textId="77777777" w:rsidR="00EA5D33" w:rsidRPr="00807DBD" w:rsidRDefault="00EA5D33" w:rsidP="00C10B33">
            <w:pPr>
              <w:autoSpaceDE w:val="0"/>
              <w:autoSpaceDN w:val="0"/>
              <w:adjustRightInd w:val="0"/>
              <w:spacing w:after="0" w:line="240" w:lineRule="auto"/>
              <w:jc w:val="right"/>
              <w:rPr>
                <w:color w:val="292929"/>
                <w:sz w:val="14"/>
                <w:szCs w:val="14"/>
              </w:rPr>
            </w:pPr>
          </w:p>
        </w:tc>
      </w:tr>
      <w:tr w:rsidR="00BC0AFD" w:rsidRPr="00807DBD" w14:paraId="2D601CC6" w14:textId="77777777" w:rsidTr="00BC0AFD">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6F7E80BD" w14:textId="1B840EA0" w:rsidR="00A951D4" w:rsidRPr="00807DBD" w:rsidRDefault="00A951D4" w:rsidP="00A951D4">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Financial assets</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631DBA95" w14:textId="77777777" w:rsidR="00A951D4" w:rsidRPr="00807DBD" w:rsidRDefault="00A951D4" w:rsidP="00A951D4">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nil"/>
              <w:bottom w:val="single" w:sz="4" w:space="0" w:color="FFFFFF" w:themeColor="background2"/>
            </w:tcBorders>
            <w:tcMar>
              <w:top w:w="17" w:type="dxa"/>
              <w:left w:w="113" w:type="dxa"/>
              <w:bottom w:w="17" w:type="dxa"/>
              <w:right w:w="113" w:type="dxa"/>
            </w:tcMar>
          </w:tcPr>
          <w:p w14:paraId="068BE3F0" w14:textId="77777777" w:rsidR="00A951D4" w:rsidRPr="00807DBD" w:rsidRDefault="00A951D4" w:rsidP="00A951D4">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3FB420B1" w14:textId="77777777" w:rsidR="00A951D4" w:rsidRPr="00807DBD" w:rsidRDefault="00A951D4" w:rsidP="00A951D4">
            <w:pPr>
              <w:autoSpaceDE w:val="0"/>
              <w:autoSpaceDN w:val="0"/>
              <w:adjustRightInd w:val="0"/>
              <w:spacing w:after="0" w:line="240" w:lineRule="auto"/>
              <w:jc w:val="right"/>
              <w:rPr>
                <w:color w:val="292929"/>
                <w:sz w:val="14"/>
                <w:szCs w:val="14"/>
              </w:rPr>
            </w:pPr>
          </w:p>
        </w:tc>
        <w:tc>
          <w:tcPr>
            <w:tcW w:w="985" w:type="dxa"/>
            <w:tcBorders>
              <w:top w:val="single" w:sz="4" w:space="0" w:color="FFFFFF" w:themeColor="background2"/>
              <w:left w:val="nil"/>
              <w:bottom w:val="single" w:sz="4" w:space="0" w:color="FFFFFF" w:themeColor="background2"/>
            </w:tcBorders>
            <w:tcMar>
              <w:top w:w="17" w:type="dxa"/>
              <w:left w:w="113" w:type="dxa"/>
              <w:bottom w:w="17" w:type="dxa"/>
              <w:right w:w="113" w:type="dxa"/>
            </w:tcMar>
          </w:tcPr>
          <w:p w14:paraId="7C56EA1C" w14:textId="77777777" w:rsidR="00A951D4" w:rsidRPr="00807DBD" w:rsidRDefault="00A951D4" w:rsidP="00A951D4">
            <w:pPr>
              <w:autoSpaceDE w:val="0"/>
              <w:autoSpaceDN w:val="0"/>
              <w:adjustRightInd w:val="0"/>
              <w:spacing w:after="0" w:line="240" w:lineRule="auto"/>
              <w:jc w:val="right"/>
              <w:rPr>
                <w:color w:val="292929"/>
                <w:sz w:val="14"/>
                <w:szCs w:val="14"/>
              </w:rPr>
            </w:pPr>
          </w:p>
        </w:tc>
      </w:tr>
      <w:tr w:rsidR="00BC0AFD" w:rsidRPr="00807DBD" w14:paraId="081DB50C"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5B3CA148" w14:textId="73692547" w:rsidR="000E0F42" w:rsidRPr="00807DBD" w:rsidRDefault="000E0F42" w:rsidP="000E0F4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Cash and cash equivalents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400440B1" w14:textId="534B096D"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2.1A</w:t>
            </w:r>
          </w:p>
        </w:tc>
        <w:tc>
          <w:tcPr>
            <w:tcW w:w="985" w:type="dxa"/>
            <w:tcBorders>
              <w:top w:val="single" w:sz="4" w:space="0" w:color="FFFFFF" w:themeColor="background2"/>
              <w:left w:val="single" w:sz="8"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7E32919A" w14:textId="44397D9E" w:rsidR="000E0F42" w:rsidRPr="00807DBD" w:rsidRDefault="000E0F42" w:rsidP="000E0F4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14,119 </w:t>
            </w:r>
          </w:p>
        </w:tc>
        <w:tc>
          <w:tcPr>
            <w:tcW w:w="985" w:type="dxa"/>
            <w:tcBorders>
              <w:top w:val="single" w:sz="4" w:space="0" w:color="FFFFFF" w:themeColor="background2"/>
              <w:left w:val="single" w:sz="8"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7508AFD6" w14:textId="2350529E"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13,896 </w:t>
            </w:r>
          </w:p>
        </w:tc>
        <w:tc>
          <w:tcPr>
            <w:tcW w:w="985" w:type="dxa"/>
            <w:tcBorders>
              <w:top w:val="single" w:sz="4" w:space="0" w:color="FFFFFF" w:themeColor="background2"/>
              <w:left w:val="single" w:sz="8" w:space="0" w:color="FFFFFF" w:themeColor="background2"/>
              <w:bottom w:val="single" w:sz="4" w:space="0" w:color="FFFFFF" w:themeColor="background2"/>
            </w:tcBorders>
            <w:tcMar>
              <w:top w:w="17" w:type="dxa"/>
              <w:left w:w="113" w:type="dxa"/>
              <w:bottom w:w="17" w:type="dxa"/>
              <w:right w:w="113" w:type="dxa"/>
            </w:tcMar>
          </w:tcPr>
          <w:p w14:paraId="694E9E59" w14:textId="76BB2571"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13,085 </w:t>
            </w:r>
          </w:p>
        </w:tc>
      </w:tr>
      <w:tr w:rsidR="00BC0AFD" w:rsidRPr="00807DBD" w14:paraId="1C8E6C46"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76B7325F" w14:textId="4EEB602C" w:rsidR="000E0F42" w:rsidRPr="00807DBD" w:rsidRDefault="000E0F42" w:rsidP="000E0F4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Trade and other receivables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6D145C5F" w14:textId="4AAB7098"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2.1B</w:t>
            </w:r>
          </w:p>
        </w:tc>
        <w:tc>
          <w:tcPr>
            <w:tcW w:w="985" w:type="dxa"/>
            <w:tcBorders>
              <w:top w:val="single" w:sz="4" w:space="0" w:color="FFFFFF" w:themeColor="background2"/>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41289E13" w14:textId="2AEAADA6" w:rsidR="000E0F42" w:rsidRPr="00807DBD" w:rsidRDefault="000E0F42" w:rsidP="000E0F4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199 </w:t>
            </w:r>
          </w:p>
        </w:tc>
        <w:tc>
          <w:tcPr>
            <w:tcW w:w="985" w:type="dxa"/>
            <w:tcBorders>
              <w:top w:val="single" w:sz="4" w:space="0" w:color="FFFFFF" w:themeColor="background2"/>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4E451897" w14:textId="13FA5122"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1,132 </w:t>
            </w:r>
          </w:p>
        </w:tc>
        <w:tc>
          <w:tcPr>
            <w:tcW w:w="985" w:type="dxa"/>
            <w:tcBorders>
              <w:top w:val="single" w:sz="4" w:space="0" w:color="FFFFFF" w:themeColor="background2"/>
              <w:left w:val="single" w:sz="8" w:space="0" w:color="FFFFFF" w:themeColor="background2"/>
              <w:bottom w:val="single" w:sz="4" w:space="0" w:color="auto"/>
            </w:tcBorders>
            <w:tcMar>
              <w:top w:w="17" w:type="dxa"/>
              <w:left w:w="113" w:type="dxa"/>
              <w:bottom w:w="17" w:type="dxa"/>
              <w:right w:w="113" w:type="dxa"/>
            </w:tcMar>
          </w:tcPr>
          <w:p w14:paraId="4BCD42F4" w14:textId="61F40EEA"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80 </w:t>
            </w:r>
          </w:p>
        </w:tc>
      </w:tr>
      <w:tr w:rsidR="00BC0AFD" w:rsidRPr="00807DBD" w14:paraId="51F13A2D"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67D19AEE" w14:textId="57DA5344" w:rsidR="000E0F42" w:rsidRPr="00807DBD" w:rsidRDefault="000E0F42" w:rsidP="000E0F42">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s="Futura PT Book"/>
                <w:color w:val="292929"/>
                <w:sz w:val="14"/>
                <w:szCs w:val="14"/>
                <w:lang w:val="en-US"/>
              </w:rPr>
              <w:t>Total financial assets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6F319791" w14:textId="77777777" w:rsidR="000E0F42" w:rsidRPr="00807DBD" w:rsidRDefault="000E0F42" w:rsidP="000E0F42">
            <w:pPr>
              <w:autoSpaceDE w:val="0"/>
              <w:autoSpaceDN w:val="0"/>
              <w:adjustRightInd w:val="0"/>
              <w:spacing w:after="0" w:line="240" w:lineRule="auto"/>
              <w:jc w:val="right"/>
              <w:rPr>
                <w:color w:val="292929"/>
                <w:sz w:val="14"/>
                <w:szCs w:val="14"/>
              </w:rPr>
            </w:pPr>
          </w:p>
        </w:tc>
        <w:tc>
          <w:tcPr>
            <w:tcW w:w="985"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5C908039" w14:textId="17CE0A95" w:rsidR="000E0F42" w:rsidRPr="00807DBD" w:rsidRDefault="000E0F42" w:rsidP="000E0F4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14,318 </w:t>
            </w:r>
          </w:p>
        </w:tc>
        <w:tc>
          <w:tcPr>
            <w:tcW w:w="985"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2E93EFF0" w14:textId="03AB5135"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15,028 </w:t>
            </w:r>
          </w:p>
        </w:tc>
        <w:tc>
          <w:tcPr>
            <w:tcW w:w="985"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7C688CDF" w14:textId="2376DD4A" w:rsidR="000E0F42" w:rsidRPr="00807DBD" w:rsidRDefault="000E0F42" w:rsidP="000E0F4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13,165 </w:t>
            </w:r>
          </w:p>
        </w:tc>
      </w:tr>
      <w:tr w:rsidR="00BC0AFD" w:rsidRPr="00807DBD" w14:paraId="3502581D" w14:textId="77777777" w:rsidTr="00744A0F">
        <w:trPr>
          <w:trHeight w:val="227"/>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68A23573" w14:textId="4DE3568F"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Non-financial assets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31E9721E"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63CBAD9B" w14:textId="77777777" w:rsidR="00C12B32" w:rsidRPr="00807DBD" w:rsidRDefault="00C12B32" w:rsidP="00DC271E">
            <w:pPr>
              <w:autoSpaceDE w:val="0"/>
              <w:autoSpaceDN w:val="0"/>
              <w:adjustRightInd w:val="0"/>
              <w:spacing w:after="0" w:line="240" w:lineRule="auto"/>
              <w:rPr>
                <w:rFonts w:asciiTheme="majorHAnsi" w:hAnsiTheme="majorHAnsi"/>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17D002CE"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tcBorders>
            <w:tcMar>
              <w:top w:w="17" w:type="dxa"/>
              <w:left w:w="113" w:type="dxa"/>
              <w:bottom w:w="17" w:type="dxa"/>
              <w:right w:w="113" w:type="dxa"/>
            </w:tcMar>
            <w:vAlign w:val="bottom"/>
          </w:tcPr>
          <w:p w14:paraId="2208571A" w14:textId="77777777" w:rsidR="00C12B32" w:rsidRPr="00807DBD" w:rsidRDefault="00C12B32" w:rsidP="00DC271E">
            <w:pPr>
              <w:autoSpaceDE w:val="0"/>
              <w:autoSpaceDN w:val="0"/>
              <w:adjustRightInd w:val="0"/>
              <w:spacing w:after="0" w:line="240" w:lineRule="auto"/>
              <w:rPr>
                <w:color w:val="292929"/>
                <w:sz w:val="14"/>
                <w:szCs w:val="14"/>
              </w:rPr>
            </w:pPr>
          </w:p>
        </w:tc>
      </w:tr>
      <w:tr w:rsidR="00BC0AFD" w:rsidRPr="00807DBD" w14:paraId="5342CEC9"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35FB17F1" w14:textId="35A3E25E" w:rsidR="00941E02" w:rsidRPr="00807DBD" w:rsidRDefault="00941E02" w:rsidP="00941E0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Buildings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7CD2565C" w14:textId="1BC858B0" w:rsidR="00941E02" w:rsidRPr="00807DBD" w:rsidRDefault="00941E02" w:rsidP="00941E02">
            <w:pPr>
              <w:autoSpaceDE w:val="0"/>
              <w:autoSpaceDN w:val="0"/>
              <w:adjustRightInd w:val="0"/>
              <w:spacing w:after="0" w:line="240" w:lineRule="auto"/>
              <w:jc w:val="right"/>
              <w:rPr>
                <w:color w:val="292929"/>
                <w:sz w:val="14"/>
                <w:szCs w:val="14"/>
              </w:rPr>
            </w:pPr>
            <w:r w:rsidRPr="00807DBD">
              <w:rPr>
                <w:color w:val="292929"/>
                <w:sz w:val="14"/>
                <w:szCs w:val="14"/>
              </w:rPr>
              <w:t>2.2A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2C47F126" w14:textId="1F21EF7D" w:rsidR="00941E02" w:rsidRPr="00807DBD" w:rsidRDefault="00941E02" w:rsidP="00941E02">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 xml:space="preserve">6,112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5EFAFDAB" w14:textId="5FE2F30B" w:rsidR="00941E02" w:rsidRPr="00807DBD" w:rsidRDefault="00941E02" w:rsidP="00941E02">
            <w:pPr>
              <w:autoSpaceDE w:val="0"/>
              <w:autoSpaceDN w:val="0"/>
              <w:adjustRightInd w:val="0"/>
              <w:spacing w:after="0" w:line="240" w:lineRule="auto"/>
              <w:jc w:val="right"/>
              <w:rPr>
                <w:color w:val="292929"/>
                <w:sz w:val="14"/>
                <w:szCs w:val="14"/>
              </w:rPr>
            </w:pPr>
            <w:r w:rsidRPr="00807DBD">
              <w:rPr>
                <w:color w:val="292929"/>
                <w:sz w:val="14"/>
                <w:szCs w:val="14"/>
              </w:rPr>
              <w:t xml:space="preserve"> - </w:t>
            </w:r>
          </w:p>
        </w:tc>
        <w:tc>
          <w:tcPr>
            <w:tcW w:w="985" w:type="dxa"/>
            <w:tcBorders>
              <w:left w:val="single" w:sz="8" w:space="0" w:color="FFFFFF" w:themeColor="background2"/>
            </w:tcBorders>
            <w:tcMar>
              <w:top w:w="17" w:type="dxa"/>
              <w:left w:w="113" w:type="dxa"/>
              <w:bottom w:w="17" w:type="dxa"/>
              <w:right w:w="113" w:type="dxa"/>
            </w:tcMar>
          </w:tcPr>
          <w:p w14:paraId="5DE2722B" w14:textId="165FD5A3" w:rsidR="00941E02" w:rsidRPr="00807DBD" w:rsidRDefault="00941E02" w:rsidP="00941E02">
            <w:pPr>
              <w:autoSpaceDE w:val="0"/>
              <w:autoSpaceDN w:val="0"/>
              <w:adjustRightInd w:val="0"/>
              <w:spacing w:after="0" w:line="240" w:lineRule="auto"/>
              <w:jc w:val="right"/>
              <w:rPr>
                <w:color w:val="292929"/>
                <w:sz w:val="14"/>
                <w:szCs w:val="14"/>
              </w:rPr>
            </w:pPr>
            <w:r w:rsidRPr="00807DBD">
              <w:rPr>
                <w:color w:val="292929"/>
                <w:sz w:val="14"/>
                <w:szCs w:val="14"/>
              </w:rPr>
              <w:t xml:space="preserve"> - </w:t>
            </w:r>
          </w:p>
        </w:tc>
      </w:tr>
      <w:tr w:rsidR="00BC0AFD" w:rsidRPr="00807DBD" w14:paraId="507A54FA"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503D5D4" w14:textId="28BD7178" w:rsidR="00941E02" w:rsidRPr="00807DBD" w:rsidRDefault="00941E02" w:rsidP="00941E0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Leasehold improvement</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3F2EF391" w14:textId="26E42D7E"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2.2A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0742DB72" w14:textId="74D3BBC8"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1,686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2AE948C2" w14:textId="13416D85" w:rsidR="00941E02" w:rsidRPr="00807DBD" w:rsidRDefault="000932DD"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Pr>
                <w:color w:val="292929"/>
                <w:sz w:val="14"/>
                <w:szCs w:val="14"/>
              </w:rPr>
              <w:t>234</w:t>
            </w:r>
            <w:r w:rsidR="00941E02" w:rsidRPr="00807DBD">
              <w:rPr>
                <w:color w:val="292929"/>
                <w:sz w:val="14"/>
                <w:szCs w:val="14"/>
              </w:rPr>
              <w:t xml:space="preserve"> </w:t>
            </w:r>
          </w:p>
        </w:tc>
        <w:tc>
          <w:tcPr>
            <w:tcW w:w="985" w:type="dxa"/>
            <w:tcBorders>
              <w:left w:val="single" w:sz="8" w:space="0" w:color="FFFFFF" w:themeColor="background2"/>
            </w:tcBorders>
            <w:tcMar>
              <w:top w:w="17" w:type="dxa"/>
              <w:left w:w="113" w:type="dxa"/>
              <w:bottom w:w="17" w:type="dxa"/>
              <w:right w:w="113" w:type="dxa"/>
            </w:tcMar>
          </w:tcPr>
          <w:p w14:paraId="5298F19F" w14:textId="3661DACB"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1,433 </w:t>
            </w:r>
          </w:p>
        </w:tc>
      </w:tr>
      <w:tr w:rsidR="00BC0AFD" w:rsidRPr="00807DBD" w14:paraId="72BC6287"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001ACA19" w14:textId="2EC3A8E6" w:rsidR="00941E02" w:rsidRPr="00807DBD" w:rsidRDefault="00941E02" w:rsidP="00941E0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Plant and equipment</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EC7DB4E" w14:textId="1AB1F871" w:rsidR="00941E02" w:rsidRPr="00807DBD" w:rsidRDefault="00941E02" w:rsidP="00941E02">
            <w:pPr>
              <w:autoSpaceDE w:val="0"/>
              <w:autoSpaceDN w:val="0"/>
              <w:adjustRightInd w:val="0"/>
              <w:spacing w:after="0" w:line="240" w:lineRule="auto"/>
              <w:jc w:val="right"/>
              <w:rPr>
                <w:color w:val="292929"/>
                <w:sz w:val="14"/>
                <w:szCs w:val="14"/>
              </w:rPr>
            </w:pPr>
            <w:r w:rsidRPr="00807DBD">
              <w:rPr>
                <w:color w:val="292929"/>
                <w:sz w:val="14"/>
                <w:szCs w:val="14"/>
              </w:rPr>
              <w:t>2.2A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7434F7FB" w14:textId="6AFDB3A2"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2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2F1A4CB3" w14:textId="23A130CA"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201 </w:t>
            </w:r>
          </w:p>
        </w:tc>
        <w:tc>
          <w:tcPr>
            <w:tcW w:w="985" w:type="dxa"/>
            <w:tcBorders>
              <w:left w:val="single" w:sz="8" w:space="0" w:color="FFFFFF" w:themeColor="background2"/>
            </w:tcBorders>
            <w:tcMar>
              <w:top w:w="17" w:type="dxa"/>
              <w:left w:w="113" w:type="dxa"/>
              <w:bottom w:w="17" w:type="dxa"/>
              <w:right w:w="113" w:type="dxa"/>
            </w:tcMar>
          </w:tcPr>
          <w:p w14:paraId="1EFD33E4" w14:textId="7BDCD2CD"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214 </w:t>
            </w:r>
          </w:p>
        </w:tc>
      </w:tr>
      <w:tr w:rsidR="00BC0AFD" w:rsidRPr="00807DBD" w14:paraId="78B23E62"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01CD7CB" w14:textId="00223599" w:rsidR="00941E02" w:rsidRPr="00807DBD" w:rsidRDefault="00941E02" w:rsidP="00941E0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Computer software and other intangibles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2D8F5F3D" w14:textId="3F961E41"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2.2A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70456E7D" w14:textId="57886E5B"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177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32ACAE9E" w14:textId="29DF94D0"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406 </w:t>
            </w:r>
          </w:p>
        </w:tc>
        <w:tc>
          <w:tcPr>
            <w:tcW w:w="985" w:type="dxa"/>
            <w:tcBorders>
              <w:left w:val="single" w:sz="8" w:space="0" w:color="FFFFFF" w:themeColor="background2"/>
            </w:tcBorders>
            <w:tcMar>
              <w:top w:w="17" w:type="dxa"/>
              <w:left w:w="113" w:type="dxa"/>
              <w:bottom w:w="17" w:type="dxa"/>
              <w:right w:w="113" w:type="dxa"/>
            </w:tcMar>
          </w:tcPr>
          <w:p w14:paraId="25B3AAF5" w14:textId="6AC98F5A"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343 </w:t>
            </w:r>
          </w:p>
        </w:tc>
      </w:tr>
      <w:tr w:rsidR="00BC0AFD" w:rsidRPr="00807DBD" w14:paraId="48448C8B"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69103D72" w14:textId="2650BD3B" w:rsidR="00941E02" w:rsidRPr="00807DBD" w:rsidRDefault="00941E02" w:rsidP="00941E02">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Other - prepayments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2F122465" w14:textId="77777777" w:rsidR="00941E02" w:rsidRPr="00807DBD" w:rsidRDefault="00941E02" w:rsidP="00941E02">
            <w:pPr>
              <w:autoSpaceDE w:val="0"/>
              <w:autoSpaceDN w:val="0"/>
              <w:adjustRightInd w:val="0"/>
              <w:spacing w:after="0" w:line="240" w:lineRule="auto"/>
              <w:jc w:val="right"/>
              <w:rPr>
                <w:color w:val="292929"/>
                <w:sz w:val="14"/>
                <w:szCs w:val="14"/>
              </w:rPr>
            </w:pP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60AF255" w14:textId="6770D463"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161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CFF9732" w14:textId="5CC76732"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155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04583DB9" w14:textId="3A7AB755" w:rsidR="00941E02" w:rsidRPr="00807DBD" w:rsidRDefault="00941E02" w:rsidP="00941E0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153 </w:t>
            </w:r>
          </w:p>
        </w:tc>
      </w:tr>
      <w:tr w:rsidR="00BC0AFD" w:rsidRPr="00807DBD" w14:paraId="35847D38"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2B5D440" w14:textId="02784359" w:rsidR="00941E02" w:rsidRPr="00807DBD" w:rsidRDefault="00941E02" w:rsidP="00941E02">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non-financial assets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549C7CF5" w14:textId="77777777" w:rsidR="00941E02" w:rsidRPr="00807DBD" w:rsidRDefault="00941E02" w:rsidP="00941E02">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2729774" w14:textId="6E90D871"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8,138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128E574" w14:textId="74137187" w:rsidR="00941E02" w:rsidRPr="00807DBD" w:rsidRDefault="000932DD" w:rsidP="00941E02">
            <w:pPr>
              <w:suppressAutoHyphens/>
              <w:autoSpaceDE w:val="0"/>
              <w:autoSpaceDN w:val="0"/>
              <w:adjustRightInd w:val="0"/>
              <w:spacing w:after="0" w:line="240" w:lineRule="auto"/>
              <w:jc w:val="right"/>
              <w:textAlignment w:val="center"/>
              <w:rPr>
                <w:color w:val="292929"/>
                <w:sz w:val="14"/>
                <w:szCs w:val="14"/>
              </w:rPr>
            </w:pPr>
            <w:r>
              <w:rPr>
                <w:color w:val="292929"/>
                <w:sz w:val="14"/>
                <w:szCs w:val="14"/>
              </w:rPr>
              <w:t>996</w:t>
            </w:r>
            <w:r w:rsidR="00941E02" w:rsidRPr="00807DBD">
              <w:rPr>
                <w:color w:val="292929"/>
                <w:sz w:val="14"/>
                <w:szCs w:val="14"/>
              </w:rPr>
              <w:t xml:space="preserve">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28F76257" w14:textId="10D817F1" w:rsidR="00941E02" w:rsidRPr="00807DBD" w:rsidRDefault="00941E02" w:rsidP="00941E02">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2,143 </w:t>
            </w:r>
          </w:p>
        </w:tc>
      </w:tr>
      <w:tr w:rsidR="00BC0AFD" w:rsidRPr="00807DBD" w14:paraId="72E7D767"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18127363" w14:textId="5ABC68AD" w:rsidR="00941E02" w:rsidRPr="00807DBD" w:rsidRDefault="00941E02" w:rsidP="00941E02">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assets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6E14DE5" w14:textId="77777777" w:rsidR="00941E02" w:rsidRPr="00807DBD" w:rsidRDefault="00941E02" w:rsidP="00941E02">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C76151E" w14:textId="45CC5844" w:rsidR="00941E02" w:rsidRPr="00807DBD" w:rsidRDefault="00941E02" w:rsidP="00941E02">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22,456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9151251" w14:textId="1E557DBA" w:rsidR="00941E02" w:rsidRPr="00807DBD" w:rsidRDefault="00941E02" w:rsidP="00941E02">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16,</w:t>
            </w:r>
            <w:r w:rsidR="000932DD">
              <w:rPr>
                <w:color w:val="292929"/>
                <w:sz w:val="14"/>
                <w:szCs w:val="14"/>
              </w:rPr>
              <w:t>024</w:t>
            </w:r>
            <w:r w:rsidRPr="00807DBD">
              <w:rPr>
                <w:color w:val="292929"/>
                <w:sz w:val="14"/>
                <w:szCs w:val="14"/>
              </w:rPr>
              <w:t xml:space="preserve">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786C6EE9" w14:textId="4D1B26C8" w:rsidR="00941E02" w:rsidRPr="00807DBD" w:rsidRDefault="00941E02" w:rsidP="00941E02">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15,308 </w:t>
            </w:r>
          </w:p>
        </w:tc>
      </w:tr>
      <w:tr w:rsidR="00BC0AFD" w:rsidRPr="00807DBD" w14:paraId="61BA682E" w14:textId="77777777" w:rsidTr="00744A0F">
        <w:trPr>
          <w:trHeight w:val="283"/>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0AC90D25" w14:textId="7A8B8AEC"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LIABILITIES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5E0A0C25"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4280E120" w14:textId="77777777" w:rsidR="00C12B32" w:rsidRPr="00807DBD" w:rsidRDefault="00C12B32" w:rsidP="00DC271E">
            <w:pPr>
              <w:autoSpaceDE w:val="0"/>
              <w:autoSpaceDN w:val="0"/>
              <w:adjustRightInd w:val="0"/>
              <w:spacing w:after="0" w:line="240" w:lineRule="auto"/>
              <w:rPr>
                <w:rFonts w:asciiTheme="majorHAnsi" w:hAnsiTheme="majorHAnsi"/>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654961DD"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tcBorders>
            <w:tcMar>
              <w:top w:w="17" w:type="dxa"/>
              <w:left w:w="113" w:type="dxa"/>
              <w:bottom w:w="17" w:type="dxa"/>
              <w:right w:w="113" w:type="dxa"/>
            </w:tcMar>
            <w:vAlign w:val="bottom"/>
          </w:tcPr>
          <w:p w14:paraId="4B3C41F0" w14:textId="77777777" w:rsidR="00C12B32" w:rsidRPr="00807DBD" w:rsidRDefault="00C12B32" w:rsidP="00DC271E">
            <w:pPr>
              <w:autoSpaceDE w:val="0"/>
              <w:autoSpaceDN w:val="0"/>
              <w:adjustRightInd w:val="0"/>
              <w:spacing w:after="0" w:line="240" w:lineRule="auto"/>
              <w:rPr>
                <w:color w:val="292929"/>
                <w:sz w:val="14"/>
                <w:szCs w:val="14"/>
              </w:rPr>
            </w:pPr>
          </w:p>
        </w:tc>
      </w:tr>
      <w:tr w:rsidR="00BC0AFD" w:rsidRPr="00807DBD" w14:paraId="6DBDEAE1"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73B9E4D" w14:textId="5BA8CFDE" w:rsidR="00C12B32" w:rsidRPr="00807DBD" w:rsidRDefault="00C12B32" w:rsidP="00C12B32">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Payables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5534D7E6" w14:textId="7D137E6C" w:rsidR="00C12B32" w:rsidRPr="00807DBD" w:rsidRDefault="00C12B32" w:rsidP="00C12B32">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674B69EB" w14:textId="59D0E34B" w:rsidR="00C12B32" w:rsidRPr="00807DBD" w:rsidRDefault="00C12B32" w:rsidP="00C12B32">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532B54A1" w14:textId="0B9B703C" w:rsidR="00C12B32" w:rsidRPr="00807DBD" w:rsidRDefault="00C12B32" w:rsidP="00C12B32">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Borders>
              <w:left w:val="single" w:sz="8" w:space="0" w:color="FFFFFF" w:themeColor="background2"/>
            </w:tcBorders>
            <w:tcMar>
              <w:top w:w="17" w:type="dxa"/>
              <w:left w:w="113" w:type="dxa"/>
              <w:bottom w:w="17" w:type="dxa"/>
              <w:right w:w="113" w:type="dxa"/>
            </w:tcMar>
          </w:tcPr>
          <w:p w14:paraId="405A92C8" w14:textId="179ADBE2" w:rsidR="00C12B32" w:rsidRPr="00807DBD" w:rsidRDefault="00C12B32" w:rsidP="00C12B32">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BC0AFD" w:rsidRPr="00807DBD" w14:paraId="45546CEA"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29E8ACFB" w14:textId="5E868500" w:rsidR="004C3A21" w:rsidRPr="00807DBD" w:rsidRDefault="004C3A21" w:rsidP="004C3A21">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Suppliers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5E40DABF" w14:textId="6737F43F" w:rsidR="004C3A21" w:rsidRPr="00807DBD" w:rsidRDefault="004C3A21" w:rsidP="004C3A21">
            <w:pPr>
              <w:autoSpaceDE w:val="0"/>
              <w:autoSpaceDN w:val="0"/>
              <w:adjustRightInd w:val="0"/>
              <w:spacing w:after="0" w:line="240" w:lineRule="auto"/>
              <w:jc w:val="right"/>
              <w:rPr>
                <w:color w:val="292929"/>
                <w:sz w:val="14"/>
                <w:szCs w:val="14"/>
              </w:rPr>
            </w:pPr>
            <w:r w:rsidRPr="00807DBD">
              <w:rPr>
                <w:color w:val="292929"/>
                <w:sz w:val="14"/>
                <w:szCs w:val="14"/>
              </w:rPr>
              <w:t>2.3A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7914A8C0" w14:textId="63D31DFC"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2,416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289AC603" w14:textId="3125D171"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3,099 </w:t>
            </w:r>
          </w:p>
        </w:tc>
        <w:tc>
          <w:tcPr>
            <w:tcW w:w="985" w:type="dxa"/>
            <w:tcBorders>
              <w:left w:val="single" w:sz="8" w:space="0" w:color="FFFFFF" w:themeColor="background2"/>
            </w:tcBorders>
            <w:tcMar>
              <w:top w:w="17" w:type="dxa"/>
              <w:left w:w="113" w:type="dxa"/>
              <w:bottom w:w="17" w:type="dxa"/>
              <w:right w:w="113" w:type="dxa"/>
            </w:tcMar>
          </w:tcPr>
          <w:p w14:paraId="54AB2918" w14:textId="4F7E4EF3"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2,264 </w:t>
            </w:r>
          </w:p>
        </w:tc>
      </w:tr>
      <w:tr w:rsidR="00BC0AFD" w:rsidRPr="00807DBD" w14:paraId="5DDF1B1F"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52E315C3" w14:textId="1CA06BF7" w:rsidR="004C3A21" w:rsidRPr="00807DBD" w:rsidRDefault="004C3A21" w:rsidP="004C3A21">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Other payables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6CC6C1FD" w14:textId="68A20C3F" w:rsidR="004C3A21" w:rsidRPr="00807DBD" w:rsidRDefault="004C3A21" w:rsidP="004C3A21">
            <w:pPr>
              <w:autoSpaceDE w:val="0"/>
              <w:autoSpaceDN w:val="0"/>
              <w:adjustRightInd w:val="0"/>
              <w:spacing w:after="0" w:line="240" w:lineRule="auto"/>
              <w:jc w:val="right"/>
              <w:rPr>
                <w:color w:val="292929"/>
                <w:sz w:val="14"/>
                <w:szCs w:val="14"/>
              </w:rPr>
            </w:pPr>
            <w:r w:rsidRPr="00807DBD">
              <w:rPr>
                <w:color w:val="292929"/>
                <w:sz w:val="14"/>
                <w:szCs w:val="14"/>
              </w:rPr>
              <w:t>2.3B</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00CF32F" w14:textId="626FD92F"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12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BDA17AF" w14:textId="519A9E68"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72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68CB6498" w14:textId="2A6284F5"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60 </w:t>
            </w:r>
          </w:p>
        </w:tc>
      </w:tr>
      <w:tr w:rsidR="00BC0AFD" w:rsidRPr="00807DBD" w14:paraId="7FAD752C"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5320506C" w14:textId="1E7D1BAF" w:rsidR="004C3A21" w:rsidRPr="00807DBD" w:rsidRDefault="004C3A21" w:rsidP="004C3A21">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payables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9BA291C"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5C7E3E7" w14:textId="2B534025"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2,428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07EC865" w14:textId="4680B7A2"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3,171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0ADA9C5E" w14:textId="52D86C9E"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2,324 </w:t>
            </w:r>
          </w:p>
        </w:tc>
      </w:tr>
      <w:tr w:rsidR="00BC0AFD" w:rsidRPr="00807DBD" w14:paraId="35A5D6B5" w14:textId="77777777" w:rsidTr="00744A0F">
        <w:trPr>
          <w:trHeight w:val="227"/>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0EB1C667" w14:textId="58FD90FA"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Interest bearing liabilities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55150A00" w14:textId="2BBCB44A" w:rsidR="00C12B32" w:rsidRPr="00807DBD" w:rsidRDefault="00C12B32" w:rsidP="00DC271E">
            <w:pPr>
              <w:suppressAutoHyphens/>
              <w:autoSpaceDE w:val="0"/>
              <w:autoSpaceDN w:val="0"/>
              <w:adjustRightInd w:val="0"/>
              <w:spacing w:after="0" w:line="240" w:lineRule="auto"/>
              <w:textAlignment w:val="center"/>
              <w:rPr>
                <w:rFonts w:cs="Futura PT Book"/>
                <w:color w:val="292929"/>
                <w:sz w:val="14"/>
                <w:szCs w:val="14"/>
                <w:lang w:val="en-US"/>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232D7EC3" w14:textId="7944C341"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2364D3BC" w14:textId="52A7C222" w:rsidR="00C12B32" w:rsidRPr="00807DBD" w:rsidRDefault="00C12B32" w:rsidP="00DC271E">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8" w:space="0" w:color="FFFFFF" w:themeColor="background2"/>
            </w:tcBorders>
            <w:tcMar>
              <w:top w:w="17" w:type="dxa"/>
              <w:left w:w="113" w:type="dxa"/>
              <w:bottom w:w="17" w:type="dxa"/>
              <w:right w:w="113" w:type="dxa"/>
            </w:tcMar>
            <w:vAlign w:val="bottom"/>
          </w:tcPr>
          <w:p w14:paraId="6E1BA56A" w14:textId="2AFB824D" w:rsidR="00C12B32" w:rsidRPr="00807DBD" w:rsidRDefault="00C12B32" w:rsidP="00DC271E">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BC0AFD" w:rsidRPr="00807DBD" w14:paraId="2E3ADE1B"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362AB9B1" w14:textId="75B65072" w:rsidR="004C3A21" w:rsidRPr="00807DBD" w:rsidRDefault="004C3A21" w:rsidP="004C3A21">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Lease liabilities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20229046" w14:textId="106593F4" w:rsidR="004C3A21" w:rsidRPr="00807DBD" w:rsidRDefault="004C3A21" w:rsidP="004C3A21">
            <w:pPr>
              <w:autoSpaceDE w:val="0"/>
              <w:autoSpaceDN w:val="0"/>
              <w:adjustRightInd w:val="0"/>
              <w:spacing w:after="0" w:line="240" w:lineRule="auto"/>
              <w:jc w:val="right"/>
              <w:rPr>
                <w:color w:val="292929"/>
                <w:sz w:val="14"/>
                <w:szCs w:val="14"/>
              </w:rPr>
            </w:pPr>
            <w:r w:rsidRPr="00807DBD">
              <w:rPr>
                <w:color w:val="292929"/>
                <w:sz w:val="14"/>
                <w:szCs w:val="14"/>
              </w:rPr>
              <w:t>2.4A</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9058027" w14:textId="23EAEB16"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6,433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3125740" w14:textId="14AD7298"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8" w:space="0" w:color="FFFFFF" w:themeColor="background2"/>
              <w:bottom w:val="single" w:sz="4" w:space="0" w:color="292929"/>
            </w:tcBorders>
            <w:tcMar>
              <w:top w:w="17" w:type="dxa"/>
              <w:left w:w="113" w:type="dxa"/>
              <w:bottom w:w="17" w:type="dxa"/>
              <w:right w:w="113" w:type="dxa"/>
            </w:tcMar>
            <w:vAlign w:val="center"/>
          </w:tcPr>
          <w:p w14:paraId="41A9E820" w14:textId="77777777"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BC0AFD" w:rsidRPr="00807DBD" w14:paraId="33BFC8F2"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23677A6B" w14:textId="1E2ED523" w:rsidR="004C3A21" w:rsidRPr="00807DBD" w:rsidRDefault="004C3A21" w:rsidP="004C3A21">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interest bearing liabilities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53D00EB8"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FD19D5B" w14:textId="48CDE6DA"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6,433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78E9734" w14:textId="35B8BE81"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vAlign w:val="center"/>
          </w:tcPr>
          <w:p w14:paraId="144B9C81" w14:textId="77777777"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BC0AFD" w:rsidRPr="00807DBD" w14:paraId="33EABE88" w14:textId="77777777" w:rsidTr="00744A0F">
        <w:trPr>
          <w:trHeight w:val="227"/>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305736F8" w14:textId="57ECE8D0"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Provisions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1CE48337"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058A9486" w14:textId="77777777"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30708D5B" w14:textId="77777777" w:rsidR="00C12B32" w:rsidRPr="00807DBD" w:rsidRDefault="00C12B32" w:rsidP="00DC271E">
            <w:pPr>
              <w:suppressAutoHyphens/>
              <w:autoSpaceDE w:val="0"/>
              <w:autoSpaceDN w:val="0"/>
              <w:adjustRightInd w:val="0"/>
              <w:spacing w:after="0" w:line="240" w:lineRule="auto"/>
              <w:textAlignment w:val="center"/>
              <w:rPr>
                <w:color w:val="292929"/>
                <w:sz w:val="14"/>
                <w:szCs w:val="14"/>
              </w:rPr>
            </w:pPr>
          </w:p>
        </w:tc>
        <w:tc>
          <w:tcPr>
            <w:tcW w:w="985" w:type="dxa"/>
            <w:tcBorders>
              <w:left w:val="single" w:sz="8" w:space="0" w:color="FFFFFF" w:themeColor="background2"/>
            </w:tcBorders>
            <w:tcMar>
              <w:top w:w="17" w:type="dxa"/>
              <w:left w:w="113" w:type="dxa"/>
              <w:bottom w:w="17" w:type="dxa"/>
              <w:right w:w="113" w:type="dxa"/>
            </w:tcMar>
            <w:vAlign w:val="bottom"/>
          </w:tcPr>
          <w:p w14:paraId="68EBAA22" w14:textId="77777777" w:rsidR="00C12B32" w:rsidRPr="00807DBD" w:rsidRDefault="00C12B32" w:rsidP="00DC271E">
            <w:pPr>
              <w:suppressAutoHyphens/>
              <w:autoSpaceDE w:val="0"/>
              <w:autoSpaceDN w:val="0"/>
              <w:adjustRightInd w:val="0"/>
              <w:spacing w:after="0" w:line="240" w:lineRule="auto"/>
              <w:textAlignment w:val="center"/>
              <w:rPr>
                <w:rFonts w:cs="Futura PT Book"/>
                <w:color w:val="292929"/>
                <w:sz w:val="14"/>
                <w:szCs w:val="14"/>
                <w:lang w:val="en-US"/>
              </w:rPr>
            </w:pPr>
          </w:p>
        </w:tc>
      </w:tr>
      <w:tr w:rsidR="00BC0AFD" w:rsidRPr="00807DBD" w14:paraId="299394D4"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719CDF53" w14:textId="36AC61C8" w:rsidR="004C3A21" w:rsidRPr="00807DBD" w:rsidRDefault="004C3A21" w:rsidP="004C3A21">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Employee provisions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2A305EFA" w14:textId="56176F00" w:rsidR="004C3A21" w:rsidRPr="00807DBD" w:rsidRDefault="004C3A21" w:rsidP="004C3A21">
            <w:pPr>
              <w:autoSpaceDE w:val="0"/>
              <w:autoSpaceDN w:val="0"/>
              <w:adjustRightInd w:val="0"/>
              <w:spacing w:after="0" w:line="240" w:lineRule="auto"/>
              <w:jc w:val="right"/>
              <w:rPr>
                <w:color w:val="292929"/>
                <w:sz w:val="14"/>
                <w:szCs w:val="14"/>
              </w:rPr>
            </w:pPr>
            <w:r w:rsidRPr="00807DBD">
              <w:rPr>
                <w:color w:val="292929"/>
                <w:sz w:val="14"/>
                <w:szCs w:val="14"/>
              </w:rPr>
              <w:t>3.1A</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1CB85EFC" w14:textId="10703CF0"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101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6820ABEE" w14:textId="4B4FDC51"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85 </w:t>
            </w:r>
          </w:p>
        </w:tc>
        <w:tc>
          <w:tcPr>
            <w:tcW w:w="985" w:type="dxa"/>
            <w:tcBorders>
              <w:left w:val="single" w:sz="8" w:space="0" w:color="FFFFFF" w:themeColor="background2"/>
            </w:tcBorders>
            <w:tcMar>
              <w:top w:w="17" w:type="dxa"/>
              <w:left w:w="113" w:type="dxa"/>
              <w:bottom w:w="17" w:type="dxa"/>
              <w:right w:w="113" w:type="dxa"/>
            </w:tcMar>
          </w:tcPr>
          <w:p w14:paraId="4870C71E" w14:textId="5A685757"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96 </w:t>
            </w:r>
          </w:p>
        </w:tc>
      </w:tr>
      <w:tr w:rsidR="00BC0AFD" w:rsidRPr="00807DBD" w14:paraId="70B06132"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C0E4CFD" w14:textId="0E3016EB" w:rsidR="004C3A21" w:rsidRPr="00807DBD" w:rsidRDefault="004C3A21" w:rsidP="004C3A21">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Other provisions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5BAC7075"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01631D96" w14:textId="3CDE9010"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272B83E" w14:textId="51C3F241"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1612F792" w14:textId="6FEB9DE9"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151 </w:t>
            </w:r>
          </w:p>
        </w:tc>
      </w:tr>
      <w:tr w:rsidR="00BC0AFD" w:rsidRPr="00807DBD" w14:paraId="0894A6EA"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0C39982A" w14:textId="65EBE001" w:rsidR="004C3A21" w:rsidRPr="00807DBD" w:rsidRDefault="004C3A21" w:rsidP="004C3A21">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provisions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88F4379"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B1C45FC" w14:textId="41499D97"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101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6B5A3E6" w14:textId="653197DB"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85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15D6FBE" w14:textId="3D15F6C5"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247 </w:t>
            </w:r>
          </w:p>
        </w:tc>
      </w:tr>
      <w:tr w:rsidR="00BC0AFD" w:rsidRPr="00807DBD" w14:paraId="70AED68C" w14:textId="77777777" w:rsidTr="00744A0F">
        <w:trPr>
          <w:trHeight w:val="227"/>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3076A29E" w14:textId="3532C33A" w:rsidR="004C3A21" w:rsidRPr="00807DBD" w:rsidRDefault="004C3A21" w:rsidP="00DC271E">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liabilities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52495A58" w14:textId="77777777" w:rsidR="004C3A21" w:rsidRPr="00807DBD" w:rsidRDefault="004C3A21"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vAlign w:val="bottom"/>
          </w:tcPr>
          <w:p w14:paraId="631BBEBA" w14:textId="1E5F19D2" w:rsidR="004C3A21" w:rsidRPr="00807DBD" w:rsidRDefault="004C3A21" w:rsidP="00DC271E">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8,962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vAlign w:val="bottom"/>
          </w:tcPr>
          <w:p w14:paraId="3A70E0D4" w14:textId="46B52A6D" w:rsidR="004C3A21" w:rsidRPr="00807DBD" w:rsidRDefault="004C3A21" w:rsidP="00DC271E">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3,256 </w:t>
            </w:r>
          </w:p>
        </w:tc>
        <w:tc>
          <w:tcPr>
            <w:tcW w:w="985" w:type="dxa"/>
            <w:tcBorders>
              <w:left w:val="single" w:sz="8" w:space="0" w:color="FFFFFF" w:themeColor="background2"/>
              <w:bottom w:val="single" w:sz="4" w:space="0" w:color="292929"/>
            </w:tcBorders>
            <w:tcMar>
              <w:top w:w="17" w:type="dxa"/>
              <w:left w:w="113" w:type="dxa"/>
              <w:bottom w:w="17" w:type="dxa"/>
              <w:right w:w="113" w:type="dxa"/>
            </w:tcMar>
            <w:vAlign w:val="bottom"/>
          </w:tcPr>
          <w:p w14:paraId="176DF724" w14:textId="7F4C68B7" w:rsidR="004C3A21" w:rsidRPr="00807DBD" w:rsidRDefault="004C3A21" w:rsidP="00DC271E">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2,571 </w:t>
            </w:r>
          </w:p>
        </w:tc>
      </w:tr>
      <w:tr w:rsidR="00BC0AFD" w:rsidRPr="00807DBD" w14:paraId="16FC31DA"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76398335" w14:textId="77784EE0" w:rsidR="004C3A21" w:rsidRPr="00807DBD" w:rsidRDefault="004C3A21" w:rsidP="004C3A21">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Net assets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76B895C"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38140B4" w14:textId="416E543F"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13,494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09BE84B" w14:textId="290E1F6A"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12,</w:t>
            </w:r>
            <w:r w:rsidR="000932DD">
              <w:rPr>
                <w:color w:val="292929"/>
                <w:sz w:val="14"/>
                <w:szCs w:val="14"/>
              </w:rPr>
              <w:t>768</w:t>
            </w:r>
            <w:r w:rsidRPr="00807DBD">
              <w:rPr>
                <w:color w:val="292929"/>
                <w:sz w:val="14"/>
                <w:szCs w:val="14"/>
              </w:rPr>
              <w:t xml:space="preserve">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82B7A35" w14:textId="315A288C"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12,737 </w:t>
            </w:r>
          </w:p>
        </w:tc>
      </w:tr>
      <w:tr w:rsidR="00BC0AFD" w:rsidRPr="00807DBD" w14:paraId="58BAF8B9" w14:textId="77777777" w:rsidTr="00744A0F">
        <w:trPr>
          <w:trHeight w:val="283"/>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220FD8FD" w14:textId="1B397D06"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EQUITY</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vAlign w:val="bottom"/>
          </w:tcPr>
          <w:p w14:paraId="550436BA" w14:textId="77777777" w:rsidR="00C12B32" w:rsidRPr="00807DBD" w:rsidRDefault="00C12B32" w:rsidP="00DC271E">
            <w:pPr>
              <w:autoSpaceDE w:val="0"/>
              <w:autoSpaceDN w:val="0"/>
              <w:adjustRightInd w:val="0"/>
              <w:spacing w:after="0" w:line="240" w:lineRule="auto"/>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1DB46F17" w14:textId="77777777" w:rsidR="00C12B32" w:rsidRPr="00807DBD" w:rsidRDefault="00C12B32" w:rsidP="00DC271E">
            <w:pPr>
              <w:suppressAutoHyphens/>
              <w:autoSpaceDE w:val="0"/>
              <w:autoSpaceDN w:val="0"/>
              <w:adjustRightInd w:val="0"/>
              <w:spacing w:after="0" w:line="240" w:lineRule="auto"/>
              <w:textAlignment w:val="center"/>
              <w:rPr>
                <w:rFonts w:asciiTheme="majorHAnsi" w:hAnsiTheme="majorHAnsi"/>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2E167FF3" w14:textId="77777777" w:rsidR="00C12B32" w:rsidRPr="00807DBD" w:rsidRDefault="00C12B32" w:rsidP="00DC271E">
            <w:pPr>
              <w:suppressAutoHyphens/>
              <w:autoSpaceDE w:val="0"/>
              <w:autoSpaceDN w:val="0"/>
              <w:adjustRightInd w:val="0"/>
              <w:spacing w:after="0" w:line="240" w:lineRule="auto"/>
              <w:textAlignment w:val="center"/>
              <w:rPr>
                <w:color w:val="292929"/>
                <w:sz w:val="14"/>
                <w:szCs w:val="14"/>
              </w:rPr>
            </w:pPr>
          </w:p>
        </w:tc>
        <w:tc>
          <w:tcPr>
            <w:tcW w:w="985" w:type="dxa"/>
            <w:tcBorders>
              <w:left w:val="single" w:sz="8" w:space="0" w:color="FFFFFF" w:themeColor="background2"/>
            </w:tcBorders>
            <w:tcMar>
              <w:top w:w="17" w:type="dxa"/>
              <w:left w:w="113" w:type="dxa"/>
              <w:bottom w:w="17" w:type="dxa"/>
              <w:right w:w="113" w:type="dxa"/>
            </w:tcMar>
            <w:vAlign w:val="bottom"/>
          </w:tcPr>
          <w:p w14:paraId="303768C4" w14:textId="77777777" w:rsidR="00C12B32" w:rsidRPr="00807DBD" w:rsidRDefault="00C12B32" w:rsidP="00DC271E">
            <w:pPr>
              <w:suppressAutoHyphens/>
              <w:autoSpaceDE w:val="0"/>
              <w:autoSpaceDN w:val="0"/>
              <w:adjustRightInd w:val="0"/>
              <w:spacing w:after="0" w:line="240" w:lineRule="auto"/>
              <w:textAlignment w:val="center"/>
              <w:rPr>
                <w:rFonts w:cs="Futura PT Book"/>
                <w:color w:val="292929"/>
                <w:sz w:val="14"/>
                <w:szCs w:val="14"/>
                <w:lang w:val="en-US"/>
              </w:rPr>
            </w:pPr>
          </w:p>
        </w:tc>
      </w:tr>
      <w:tr w:rsidR="00BC0AFD" w:rsidRPr="00807DBD" w14:paraId="05DC1F87"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743BDB0A" w14:textId="077E01C3" w:rsidR="004C3A21" w:rsidRPr="00807DBD" w:rsidRDefault="004C3A21" w:rsidP="004C3A21">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Contributed equity</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374F0DA3"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6ECAFB8E" w14:textId="7A1D142B"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400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7C217284" w14:textId="03CF8675"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400 </w:t>
            </w:r>
          </w:p>
        </w:tc>
        <w:tc>
          <w:tcPr>
            <w:tcW w:w="985" w:type="dxa"/>
            <w:tcBorders>
              <w:left w:val="single" w:sz="8" w:space="0" w:color="FFFFFF" w:themeColor="background2"/>
            </w:tcBorders>
            <w:tcMar>
              <w:top w:w="17" w:type="dxa"/>
              <w:left w:w="113" w:type="dxa"/>
              <w:bottom w:w="17" w:type="dxa"/>
              <w:right w:w="113" w:type="dxa"/>
            </w:tcMar>
          </w:tcPr>
          <w:p w14:paraId="2A331C94" w14:textId="18051D8C"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400 </w:t>
            </w:r>
          </w:p>
        </w:tc>
      </w:tr>
      <w:tr w:rsidR="00BC0AFD" w:rsidRPr="00807DBD" w14:paraId="0F63357E"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38A772C" w14:textId="08163A42" w:rsidR="004C3A21" w:rsidRPr="00807DBD" w:rsidRDefault="004C3A21" w:rsidP="004C3A21">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Asset revaluation reserve</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320AB4BB"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5FC42EB7" w14:textId="489BBCB7"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 </w:t>
            </w:r>
          </w:p>
        </w:tc>
        <w:tc>
          <w:tcPr>
            <w:tcW w:w="985" w:type="dxa"/>
            <w:tcBorders>
              <w:left w:val="single" w:sz="8" w:space="0" w:color="FFFFFF" w:themeColor="background2"/>
              <w:right w:val="single" w:sz="8" w:space="0" w:color="FFFFFF" w:themeColor="background2"/>
            </w:tcBorders>
            <w:tcMar>
              <w:top w:w="17" w:type="dxa"/>
              <w:left w:w="113" w:type="dxa"/>
              <w:bottom w:w="17" w:type="dxa"/>
              <w:right w:w="113" w:type="dxa"/>
            </w:tcMar>
          </w:tcPr>
          <w:p w14:paraId="044118F2" w14:textId="4B65D958"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74 </w:t>
            </w:r>
          </w:p>
        </w:tc>
        <w:tc>
          <w:tcPr>
            <w:tcW w:w="985" w:type="dxa"/>
            <w:tcBorders>
              <w:left w:val="single" w:sz="8" w:space="0" w:color="FFFFFF" w:themeColor="background2"/>
            </w:tcBorders>
            <w:tcMar>
              <w:top w:w="17" w:type="dxa"/>
              <w:left w:w="113" w:type="dxa"/>
              <w:bottom w:w="17" w:type="dxa"/>
              <w:right w:w="113" w:type="dxa"/>
            </w:tcMar>
          </w:tcPr>
          <w:p w14:paraId="5066B60F" w14:textId="174B4F3D"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88 </w:t>
            </w:r>
          </w:p>
        </w:tc>
      </w:tr>
      <w:tr w:rsidR="00BC0AFD" w:rsidRPr="00807DBD" w14:paraId="55832044"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34537860" w14:textId="57C5B417" w:rsidR="004C3A21" w:rsidRPr="00807DBD" w:rsidRDefault="004C3A21" w:rsidP="004C3A21">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Retained surplus</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013DD551"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C2D411E" w14:textId="19A3A581"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13,094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F27FAAF" w14:textId="1D4FF091"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12,294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2BC8E843" w14:textId="3F2BA6A9"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12,249 </w:t>
            </w:r>
          </w:p>
        </w:tc>
      </w:tr>
      <w:tr w:rsidR="00BC0AFD" w:rsidRPr="00807DBD" w14:paraId="73328683" w14:textId="77777777" w:rsidTr="00744A0F">
        <w:trPr>
          <w:trHeight w:val="170"/>
        </w:trPr>
        <w:tc>
          <w:tcPr>
            <w:tcW w:w="3483"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119840C5" w14:textId="569AC672" w:rsidR="004C3A21" w:rsidRPr="00807DBD" w:rsidRDefault="004C3A21" w:rsidP="004C3A21">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equity</w:t>
            </w:r>
          </w:p>
        </w:tc>
        <w:tc>
          <w:tcPr>
            <w:tcW w:w="985" w:type="dxa"/>
            <w:tcBorders>
              <w:top w:val="single" w:sz="4" w:space="0" w:color="FFFFFF" w:themeColor="background2"/>
              <w:bottom w:val="single" w:sz="4" w:space="0" w:color="FFFFFF" w:themeColor="background2"/>
              <w:right w:val="single" w:sz="8" w:space="0" w:color="FFFFFF" w:themeColor="background2"/>
            </w:tcBorders>
            <w:tcMar>
              <w:top w:w="17" w:type="dxa"/>
              <w:left w:w="113" w:type="dxa"/>
              <w:bottom w:w="17" w:type="dxa"/>
              <w:right w:w="113" w:type="dxa"/>
            </w:tcMar>
          </w:tcPr>
          <w:p w14:paraId="18F98A0E" w14:textId="77777777" w:rsidR="004C3A21" w:rsidRPr="00807DBD" w:rsidRDefault="004C3A21" w:rsidP="004C3A21">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831EF50" w14:textId="3611045B" w:rsidR="004C3A21" w:rsidRPr="00807DBD" w:rsidRDefault="004C3A21" w:rsidP="004C3A21">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13,494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EB69AB0" w14:textId="1ECCBE39" w:rsidR="004C3A21" w:rsidRPr="00807DBD" w:rsidRDefault="004C3A21" w:rsidP="004C3A21">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12,768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6E594ED7" w14:textId="08A57086" w:rsidR="004C3A21" w:rsidRPr="00807DBD" w:rsidRDefault="004C3A21" w:rsidP="004C3A21">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12,737 </w:t>
            </w:r>
          </w:p>
        </w:tc>
      </w:tr>
      <w:tr w:rsidR="00744A0F" w:rsidRPr="00744A0F" w14:paraId="2F1E4B68" w14:textId="77777777" w:rsidTr="00744A0F">
        <w:trPr>
          <w:trHeight w:val="57"/>
        </w:trPr>
        <w:tc>
          <w:tcPr>
            <w:tcW w:w="3483" w:type="dxa"/>
            <w:tcBorders>
              <w:top w:val="single" w:sz="4" w:space="0" w:color="FFFFFF" w:themeColor="background2"/>
              <w:left w:val="single" w:sz="4" w:space="0" w:color="FFFFFF" w:themeColor="background2"/>
              <w:bottom w:val="single" w:sz="8" w:space="0" w:color="FFFFFF" w:themeColor="background2"/>
            </w:tcBorders>
            <w:tcMar>
              <w:top w:w="17" w:type="dxa"/>
              <w:left w:w="80" w:type="dxa"/>
              <w:bottom w:w="17" w:type="dxa"/>
              <w:right w:w="80" w:type="dxa"/>
            </w:tcMar>
          </w:tcPr>
          <w:p w14:paraId="7D76120C" w14:textId="77777777" w:rsidR="00744A0F" w:rsidRPr="00744A0F" w:rsidRDefault="00744A0F" w:rsidP="004C3A21">
            <w:pPr>
              <w:suppressAutoHyphens/>
              <w:autoSpaceDE w:val="0"/>
              <w:autoSpaceDN w:val="0"/>
              <w:adjustRightInd w:val="0"/>
              <w:spacing w:after="0" w:line="240" w:lineRule="auto"/>
              <w:textAlignment w:val="center"/>
              <w:rPr>
                <w:rFonts w:asciiTheme="majorHAnsi" w:hAnsiTheme="majorHAnsi"/>
                <w:color w:val="292929"/>
                <w:sz w:val="4"/>
                <w:szCs w:val="4"/>
              </w:rPr>
            </w:pPr>
          </w:p>
        </w:tc>
        <w:tc>
          <w:tcPr>
            <w:tcW w:w="985" w:type="dxa"/>
            <w:tcBorders>
              <w:top w:val="single" w:sz="4"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359F63C0" w14:textId="77777777" w:rsidR="00744A0F" w:rsidRPr="00744A0F" w:rsidRDefault="00744A0F" w:rsidP="004C3A21">
            <w:pPr>
              <w:autoSpaceDE w:val="0"/>
              <w:autoSpaceDN w:val="0"/>
              <w:adjustRightInd w:val="0"/>
              <w:spacing w:after="0" w:line="240" w:lineRule="auto"/>
              <w:jc w:val="right"/>
              <w:rPr>
                <w:color w:val="292929"/>
                <w:sz w:val="4"/>
                <w:szCs w:val="4"/>
              </w:rPr>
            </w:pPr>
          </w:p>
        </w:tc>
        <w:tc>
          <w:tcPr>
            <w:tcW w:w="985" w:type="dxa"/>
            <w:tcBorders>
              <w:top w:val="single" w:sz="4" w:space="0" w:color="292929"/>
              <w:left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3EC28D4C" w14:textId="77777777" w:rsidR="00744A0F" w:rsidRPr="00744A0F" w:rsidRDefault="00744A0F" w:rsidP="004C3A21">
            <w:pPr>
              <w:suppressAutoHyphens/>
              <w:autoSpaceDE w:val="0"/>
              <w:autoSpaceDN w:val="0"/>
              <w:adjustRightInd w:val="0"/>
              <w:spacing w:after="0" w:line="240" w:lineRule="auto"/>
              <w:jc w:val="right"/>
              <w:textAlignment w:val="center"/>
              <w:rPr>
                <w:rFonts w:asciiTheme="majorHAnsi" w:hAnsiTheme="majorHAnsi"/>
                <w:color w:val="292929"/>
                <w:sz w:val="4"/>
                <w:szCs w:val="4"/>
              </w:rPr>
            </w:pPr>
          </w:p>
        </w:tc>
        <w:tc>
          <w:tcPr>
            <w:tcW w:w="985" w:type="dxa"/>
            <w:tcBorders>
              <w:top w:val="single" w:sz="4" w:space="0" w:color="292929"/>
              <w:left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48B38090" w14:textId="77777777" w:rsidR="00744A0F" w:rsidRPr="00744A0F" w:rsidRDefault="00744A0F" w:rsidP="004C3A21">
            <w:pPr>
              <w:suppressAutoHyphens/>
              <w:autoSpaceDE w:val="0"/>
              <w:autoSpaceDN w:val="0"/>
              <w:adjustRightInd w:val="0"/>
              <w:spacing w:after="0" w:line="240" w:lineRule="auto"/>
              <w:jc w:val="right"/>
              <w:textAlignment w:val="center"/>
              <w:rPr>
                <w:color w:val="292929"/>
                <w:sz w:val="4"/>
                <w:szCs w:val="4"/>
              </w:rPr>
            </w:pPr>
          </w:p>
        </w:tc>
        <w:tc>
          <w:tcPr>
            <w:tcW w:w="985"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2957F9FE" w14:textId="77777777" w:rsidR="00744A0F" w:rsidRPr="00744A0F" w:rsidRDefault="00744A0F" w:rsidP="004C3A21">
            <w:pPr>
              <w:suppressAutoHyphens/>
              <w:autoSpaceDE w:val="0"/>
              <w:autoSpaceDN w:val="0"/>
              <w:adjustRightInd w:val="0"/>
              <w:spacing w:after="0" w:line="240" w:lineRule="auto"/>
              <w:jc w:val="right"/>
              <w:textAlignment w:val="center"/>
              <w:rPr>
                <w:color w:val="292929"/>
                <w:sz w:val="4"/>
                <w:szCs w:val="4"/>
              </w:rPr>
            </w:pPr>
          </w:p>
        </w:tc>
      </w:tr>
      <w:tr w:rsidR="00807DBD" w:rsidRPr="00807DBD" w14:paraId="350A201E" w14:textId="77777777" w:rsidTr="00744A0F">
        <w:trPr>
          <w:trHeight w:val="330"/>
        </w:trPr>
        <w:tc>
          <w:tcPr>
            <w:tcW w:w="7423" w:type="dxa"/>
            <w:gridSpan w:val="5"/>
            <w:tcBorders>
              <w:top w:val="single" w:sz="8" w:space="0" w:color="FFFFFF" w:themeColor="background2"/>
            </w:tcBorders>
            <w:tcMar>
              <w:top w:w="17" w:type="dxa"/>
              <w:left w:w="80" w:type="dxa"/>
              <w:bottom w:w="17" w:type="dxa"/>
              <w:right w:w="80" w:type="dxa"/>
            </w:tcMar>
            <w:vAlign w:val="center"/>
          </w:tcPr>
          <w:p w14:paraId="5F8CBBB6" w14:textId="77777777" w:rsidR="00EA5D33" w:rsidRPr="00807DBD" w:rsidRDefault="00EA5D33" w:rsidP="00C10B33">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1DC91843" w14:textId="77777777" w:rsidR="00F60767" w:rsidRPr="007678B6" w:rsidRDefault="00F60767" w:rsidP="007678B6">
      <w:pPr>
        <w:pStyle w:val="H4"/>
        <w:spacing w:before="120" w:after="120"/>
        <w:rPr>
          <w:sz w:val="18"/>
        </w:rPr>
      </w:pPr>
      <w:r w:rsidRPr="007678B6">
        <w:rPr>
          <w:sz w:val="18"/>
        </w:rPr>
        <w:t>Budget Variances Commentary</w:t>
      </w:r>
    </w:p>
    <w:p w14:paraId="145AC1A0" w14:textId="77777777" w:rsidR="00F60767" w:rsidRPr="007678B6" w:rsidRDefault="00F60767" w:rsidP="007678B6">
      <w:pPr>
        <w:pStyle w:val="Body"/>
        <w:spacing w:after="40"/>
        <w:rPr>
          <w:b/>
          <w:bCs/>
          <w:sz w:val="14"/>
          <w:szCs w:val="14"/>
        </w:rPr>
      </w:pPr>
      <w:r w:rsidRPr="007678B6">
        <w:rPr>
          <w:b/>
          <w:bCs/>
          <w:sz w:val="14"/>
          <w:szCs w:val="14"/>
        </w:rPr>
        <w:t xml:space="preserve">Statement of Financial Position </w:t>
      </w:r>
    </w:p>
    <w:p w14:paraId="78C2DE74" w14:textId="0F71666C" w:rsidR="00F60767" w:rsidRPr="007678B6" w:rsidRDefault="00F60767" w:rsidP="007678B6">
      <w:pPr>
        <w:pStyle w:val="Body"/>
        <w:spacing w:after="40"/>
        <w:rPr>
          <w:sz w:val="14"/>
          <w:szCs w:val="14"/>
        </w:rPr>
      </w:pPr>
      <w:r w:rsidRPr="007678B6">
        <w:rPr>
          <w:sz w:val="14"/>
          <w:szCs w:val="14"/>
        </w:rPr>
        <w:t>Total assets of</w:t>
      </w:r>
      <w:r w:rsidR="005E19E1" w:rsidRPr="007678B6">
        <w:rPr>
          <w:sz w:val="14"/>
          <w:szCs w:val="14"/>
        </w:rPr>
        <w:t xml:space="preserve"> </w:t>
      </w:r>
      <w:r w:rsidRPr="007678B6">
        <w:rPr>
          <w:sz w:val="14"/>
          <w:szCs w:val="14"/>
        </w:rPr>
        <w:t xml:space="preserve">$22.456m were $7.148m higher than the budget of $15.308m primarily due to the recognition of right-of-use assets in relation to the lease of office space of $6.112m. The cash balance </w:t>
      </w:r>
      <w:r w:rsidR="004E22C5">
        <w:rPr>
          <w:sz w:val="14"/>
          <w:szCs w:val="14"/>
        </w:rPr>
        <w:t>wa</w:t>
      </w:r>
      <w:r w:rsidRPr="007678B6">
        <w:rPr>
          <w:sz w:val="14"/>
          <w:szCs w:val="14"/>
        </w:rPr>
        <w:t xml:space="preserve">s also $1.034m higher than budget primarily due to the current year surplus. </w:t>
      </w:r>
    </w:p>
    <w:p w14:paraId="4822EEE3" w14:textId="77777777" w:rsidR="00F60767" w:rsidRPr="007678B6" w:rsidRDefault="00F60767" w:rsidP="007678B6">
      <w:pPr>
        <w:pStyle w:val="Body"/>
        <w:spacing w:after="40"/>
        <w:rPr>
          <w:sz w:val="14"/>
          <w:szCs w:val="14"/>
        </w:rPr>
      </w:pPr>
      <w:r w:rsidRPr="007678B6">
        <w:rPr>
          <w:sz w:val="14"/>
          <w:szCs w:val="14"/>
        </w:rPr>
        <w:t xml:space="preserve">Total liabilities of $8.962m were $6.391m higher than the budget of $2.571m primarily due to the recognition of lease liabilities in relation to the lease of office space of $6.433m. Note that estimates from the adoption of AASB 16 </w:t>
      </w:r>
      <w:r w:rsidRPr="007678B6">
        <w:rPr>
          <w:i/>
          <w:iCs/>
          <w:sz w:val="14"/>
          <w:szCs w:val="14"/>
        </w:rPr>
        <w:t>Leases</w:t>
      </w:r>
      <w:r w:rsidRPr="007678B6">
        <w:rPr>
          <w:sz w:val="14"/>
          <w:szCs w:val="14"/>
        </w:rPr>
        <w:t xml:space="preserve"> were excluded from budget assumptions consistent with Department of Finance advice provided to Commonwealth entities. </w:t>
      </w:r>
    </w:p>
    <w:p w14:paraId="5A83E0ED" w14:textId="71E50719" w:rsidR="00F60767" w:rsidRPr="007678B6" w:rsidRDefault="00F60767" w:rsidP="007678B6">
      <w:pPr>
        <w:pStyle w:val="Body"/>
        <w:spacing w:after="40"/>
        <w:rPr>
          <w:sz w:val="14"/>
          <w:szCs w:val="14"/>
        </w:rPr>
      </w:pPr>
      <w:r w:rsidRPr="007678B6">
        <w:rPr>
          <w:sz w:val="14"/>
          <w:szCs w:val="14"/>
        </w:rPr>
        <w:t>Total equity of $13.494m was $0.757m higher than the budget of $12.737m primarily due to the current period surplus noting that the budget is derived on a break-even assumption.</w:t>
      </w:r>
    </w:p>
    <w:p w14:paraId="3B83636F" w14:textId="77777777" w:rsidR="00F60767" w:rsidRDefault="00F60767" w:rsidP="00646163">
      <w:pPr>
        <w:pStyle w:val="Body"/>
      </w:pPr>
    </w:p>
    <w:p w14:paraId="748EBD8A" w14:textId="230A3AF0" w:rsidR="00F60767" w:rsidRDefault="00F60767" w:rsidP="00646163">
      <w:pPr>
        <w:pStyle w:val="Body"/>
        <w:sectPr w:rsidR="00F60767" w:rsidSect="00B20BE1">
          <w:footnotePr>
            <w:pos w:val="beneathText"/>
          </w:footnotePr>
          <w:pgSz w:w="9979" w:h="14175" w:code="13"/>
          <w:pgMar w:top="1134" w:right="1418" w:bottom="992" w:left="1418" w:header="709" w:footer="709" w:gutter="0"/>
          <w:cols w:space="623"/>
          <w:docGrid w:linePitch="360"/>
        </w:sectPr>
      </w:pPr>
    </w:p>
    <w:p w14:paraId="4C52BDF7" w14:textId="1942592E" w:rsidR="00F71E0B" w:rsidRDefault="00F71E0B" w:rsidP="00AF083D">
      <w:pPr>
        <w:pStyle w:val="H3Financials"/>
        <w:spacing w:before="0" w:after="120"/>
      </w:pPr>
      <w:bookmarkStart w:id="116" w:name="_Toc48828396"/>
      <w:bookmarkStart w:id="117" w:name="Statementofchangesinequity"/>
      <w:r w:rsidRPr="00974E28">
        <w:lastRenderedPageBreak/>
        <w:t xml:space="preserve">Statement of </w:t>
      </w:r>
      <w:r>
        <w:t>changes in equity</w:t>
      </w:r>
      <w:bookmarkEnd w:id="116"/>
      <w:bookmarkEnd w:id="117"/>
      <w:r>
        <w:t xml:space="preserve"> </w:t>
      </w:r>
    </w:p>
    <w:p w14:paraId="1D4E9110" w14:textId="33C80DCC" w:rsidR="00F71E0B" w:rsidRPr="00F73A32" w:rsidRDefault="00F71E0B" w:rsidP="00F71E0B">
      <w:pPr>
        <w:pStyle w:val="Body"/>
        <w:rPr>
          <w:i/>
          <w:iCs/>
        </w:rPr>
      </w:pPr>
      <w:r w:rsidRPr="00F71E0B">
        <w:rPr>
          <w:i/>
          <w:iCs/>
        </w:rPr>
        <w:t>for the period ended 30 June 2020</w:t>
      </w:r>
    </w:p>
    <w:tbl>
      <w:tblPr>
        <w:tblW w:w="7423" w:type="dxa"/>
        <w:tblInd w:w="-8" w:type="dxa"/>
        <w:tblLayout w:type="fixed"/>
        <w:tblCellMar>
          <w:left w:w="0" w:type="dxa"/>
          <w:right w:w="0" w:type="dxa"/>
        </w:tblCellMar>
        <w:tblLook w:val="0000" w:firstRow="0" w:lastRow="0" w:firstColumn="0" w:lastColumn="0" w:noHBand="0" w:noVBand="0"/>
      </w:tblPr>
      <w:tblGrid>
        <w:gridCol w:w="3483"/>
        <w:gridCol w:w="985"/>
        <w:gridCol w:w="985"/>
        <w:gridCol w:w="985"/>
        <w:gridCol w:w="985"/>
      </w:tblGrid>
      <w:tr w:rsidR="00023E09" w:rsidRPr="00807DBD" w14:paraId="6707E220" w14:textId="77777777" w:rsidTr="002550CF">
        <w:trPr>
          <w:trHeight w:val="340"/>
          <w:tblHeader/>
        </w:trPr>
        <w:tc>
          <w:tcPr>
            <w:tcW w:w="3483" w:type="dxa"/>
            <w:tcBorders>
              <w:bottom w:val="single" w:sz="4" w:space="0" w:color="FFFFFF" w:themeColor="background2"/>
            </w:tcBorders>
            <w:tcMar>
              <w:top w:w="28" w:type="dxa"/>
              <w:left w:w="113" w:type="dxa"/>
              <w:bottom w:w="28" w:type="dxa"/>
              <w:right w:w="113" w:type="dxa"/>
            </w:tcMar>
            <w:vAlign w:val="bottom"/>
          </w:tcPr>
          <w:p w14:paraId="6A1FCE9A" w14:textId="77777777" w:rsidR="00F71E0B" w:rsidRPr="00807DBD" w:rsidRDefault="00F71E0B" w:rsidP="00C10B33">
            <w:pPr>
              <w:autoSpaceDE w:val="0"/>
              <w:autoSpaceDN w:val="0"/>
              <w:adjustRightInd w:val="0"/>
              <w:spacing w:after="0" w:line="240" w:lineRule="auto"/>
              <w:rPr>
                <w:rFonts w:ascii="Futura PT Book" w:hAnsi="Futura PT Book"/>
                <w:color w:val="292929"/>
                <w:sz w:val="24"/>
                <w:szCs w:val="24"/>
              </w:rPr>
            </w:pPr>
          </w:p>
        </w:tc>
        <w:tc>
          <w:tcPr>
            <w:tcW w:w="985"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6145E833" w14:textId="77777777" w:rsidR="00F71E0B" w:rsidRPr="00807DBD" w:rsidRDefault="00F71E0B"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51E9C8D7" w14:textId="77777777" w:rsidR="00F71E0B" w:rsidRPr="00807DBD" w:rsidRDefault="00F71E0B"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2020</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10CAB18E" w14:textId="77777777" w:rsidR="00F71E0B" w:rsidRPr="00807DBD" w:rsidRDefault="00F71E0B"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2019</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4B0A5912" w14:textId="77777777" w:rsidR="00F71E0B" w:rsidRPr="00807DBD" w:rsidRDefault="00F71E0B" w:rsidP="00AF083D">
            <w:pPr>
              <w:suppressAutoHyphens/>
              <w:autoSpaceDE w:val="0"/>
              <w:autoSpaceDN w:val="0"/>
              <w:adjustRightInd w:val="0"/>
              <w:spacing w:after="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023E09" w:rsidRPr="00807DBD" w14:paraId="60FB6266" w14:textId="77777777" w:rsidTr="002550C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5285C47C" w14:textId="359295F6"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CONTRIBUTED EQUITY</w:t>
            </w:r>
          </w:p>
        </w:tc>
        <w:tc>
          <w:tcPr>
            <w:tcW w:w="985"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70CFA49B"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right w:val="single" w:sz="18" w:space="0" w:color="FFFFFF" w:themeColor="background2"/>
            </w:tcBorders>
            <w:tcMar>
              <w:top w:w="17" w:type="dxa"/>
              <w:left w:w="113" w:type="dxa"/>
              <w:bottom w:w="17" w:type="dxa"/>
              <w:right w:w="113" w:type="dxa"/>
            </w:tcMar>
          </w:tcPr>
          <w:p w14:paraId="68EACD29"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right w:val="single" w:sz="18" w:space="0" w:color="FFFFFF" w:themeColor="background2"/>
            </w:tcBorders>
            <w:tcMar>
              <w:top w:w="17" w:type="dxa"/>
              <w:left w:w="113" w:type="dxa"/>
              <w:bottom w:w="17" w:type="dxa"/>
              <w:right w:w="113" w:type="dxa"/>
            </w:tcMar>
          </w:tcPr>
          <w:p w14:paraId="12CD8BAB"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12" w:space="0" w:color="292929"/>
              <w:left w:val="single" w:sz="18" w:space="0" w:color="FFFFFF" w:themeColor="background2"/>
            </w:tcBorders>
            <w:tcMar>
              <w:top w:w="17" w:type="dxa"/>
              <w:left w:w="113" w:type="dxa"/>
              <w:bottom w:w="17" w:type="dxa"/>
              <w:right w:w="113" w:type="dxa"/>
            </w:tcMar>
          </w:tcPr>
          <w:p w14:paraId="7273D691" w14:textId="77777777" w:rsidR="00105430" w:rsidRPr="00807DBD" w:rsidRDefault="00105430" w:rsidP="00105430">
            <w:pPr>
              <w:autoSpaceDE w:val="0"/>
              <w:autoSpaceDN w:val="0"/>
              <w:adjustRightInd w:val="0"/>
              <w:spacing w:after="0" w:line="240" w:lineRule="auto"/>
              <w:jc w:val="right"/>
              <w:rPr>
                <w:color w:val="292929"/>
                <w:sz w:val="14"/>
                <w:szCs w:val="14"/>
              </w:rPr>
            </w:pPr>
          </w:p>
        </w:tc>
      </w:tr>
      <w:tr w:rsidR="00023E09" w:rsidRPr="00807DBD" w14:paraId="09DC048D" w14:textId="77777777" w:rsidTr="004E22C5">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26FAC849" w14:textId="4D8C1BC6"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7DE25B34" w14:textId="4FF1D6F0"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6FD1CD0E" w14:textId="33921C01"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5EB472F7" w14:textId="6D45EEDD"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tcPr>
          <w:p w14:paraId="4BAB68B0" w14:textId="12056D1B"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2E23AA78" w14:textId="77777777" w:rsidTr="004E22C5">
        <w:trPr>
          <w:trHeight w:val="170"/>
        </w:trPr>
        <w:tc>
          <w:tcPr>
            <w:tcW w:w="3483" w:type="dxa"/>
            <w:tcBorders>
              <w:top w:val="single" w:sz="4" w:space="0" w:color="FFFFFF" w:themeColor="background2"/>
            </w:tcBorders>
            <w:tcMar>
              <w:top w:w="17" w:type="dxa"/>
              <w:left w:w="80" w:type="dxa"/>
              <w:bottom w:w="17" w:type="dxa"/>
              <w:right w:w="80" w:type="dxa"/>
            </w:tcMar>
          </w:tcPr>
          <w:p w14:paraId="58A75C2E" w14:textId="42DD4922" w:rsidR="00105430" w:rsidRPr="00807DBD" w:rsidRDefault="00105430" w:rsidP="00105430">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top w:val="single" w:sz="4" w:space="0" w:color="FFFFFF" w:themeColor="background2"/>
            </w:tcBorders>
            <w:tcMar>
              <w:top w:w="17" w:type="dxa"/>
              <w:left w:w="113" w:type="dxa"/>
              <w:bottom w:w="17" w:type="dxa"/>
              <w:right w:w="113" w:type="dxa"/>
            </w:tcMar>
          </w:tcPr>
          <w:p w14:paraId="27882B14" w14:textId="6E4E629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Borders>
              <w:bottom w:val="single" w:sz="4" w:space="0" w:color="292929"/>
              <w:right w:val="single" w:sz="8" w:space="0" w:color="FFFFFF" w:themeColor="background2"/>
            </w:tcBorders>
            <w:tcMar>
              <w:top w:w="17" w:type="dxa"/>
              <w:left w:w="113" w:type="dxa"/>
              <w:bottom w:w="17" w:type="dxa"/>
              <w:right w:w="113" w:type="dxa"/>
            </w:tcMar>
          </w:tcPr>
          <w:p w14:paraId="2DE953FE" w14:textId="7772E5F6" w:rsidR="00105430" w:rsidRPr="00807DBD" w:rsidRDefault="00111FAB"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400</w:t>
            </w:r>
            <w:r w:rsidR="00105430" w:rsidRPr="00807DBD">
              <w:rPr>
                <w:rFonts w:asciiTheme="majorHAnsi" w:hAnsiTheme="majorHAnsi"/>
                <w:color w:val="292929"/>
                <w:sz w:val="14"/>
                <w:szCs w:val="14"/>
              </w:rPr>
              <w:t xml:space="preserve">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B47F3D0" w14:textId="47119089" w:rsidR="00105430" w:rsidRPr="00807DBD" w:rsidRDefault="00111FAB"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400</w:t>
            </w:r>
            <w:r w:rsidR="00105430" w:rsidRPr="00807DBD">
              <w:rPr>
                <w:color w:val="292929"/>
                <w:sz w:val="14"/>
                <w:szCs w:val="14"/>
              </w:rPr>
              <w:t xml:space="preserve">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426169C6" w14:textId="40104E18" w:rsidR="00105430" w:rsidRPr="00807DBD" w:rsidRDefault="00111FAB"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40</w:t>
            </w:r>
            <w:r w:rsidR="00105430" w:rsidRPr="00807DBD">
              <w:rPr>
                <w:color w:val="292929"/>
                <w:sz w:val="14"/>
                <w:szCs w:val="14"/>
              </w:rPr>
              <w:t xml:space="preserve">0 </w:t>
            </w:r>
          </w:p>
        </w:tc>
      </w:tr>
      <w:tr w:rsidR="00023E09" w:rsidRPr="00807DBD" w14:paraId="63763A3D" w14:textId="77777777" w:rsidTr="004E22C5">
        <w:trPr>
          <w:trHeight w:val="170"/>
        </w:trPr>
        <w:tc>
          <w:tcPr>
            <w:tcW w:w="3483" w:type="dxa"/>
            <w:tcMar>
              <w:top w:w="17" w:type="dxa"/>
              <w:left w:w="80" w:type="dxa"/>
              <w:bottom w:w="17" w:type="dxa"/>
              <w:right w:w="80" w:type="dxa"/>
            </w:tcMar>
          </w:tcPr>
          <w:p w14:paraId="53AA4E83" w14:textId="449CA6D1" w:rsidR="00F71E0B" w:rsidRPr="00807DBD" w:rsidRDefault="00105430" w:rsidP="00C10B33">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Closing balance as at 30 June</w:t>
            </w:r>
          </w:p>
        </w:tc>
        <w:tc>
          <w:tcPr>
            <w:tcW w:w="985" w:type="dxa"/>
            <w:tcMar>
              <w:top w:w="17" w:type="dxa"/>
              <w:left w:w="113" w:type="dxa"/>
              <w:bottom w:w="17" w:type="dxa"/>
              <w:right w:w="113" w:type="dxa"/>
            </w:tcMar>
          </w:tcPr>
          <w:p w14:paraId="4792D194"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667EFA5F" w14:textId="2DBB3B35" w:rsidR="00F71E0B" w:rsidRPr="00807DBD" w:rsidRDefault="00111FAB" w:rsidP="00C10B33">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400</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0580606" w14:textId="5BBD9BF6" w:rsidR="00F71E0B" w:rsidRPr="00807DBD" w:rsidRDefault="00111FAB" w:rsidP="00C10B33">
            <w:pPr>
              <w:autoSpaceDE w:val="0"/>
              <w:autoSpaceDN w:val="0"/>
              <w:adjustRightInd w:val="0"/>
              <w:spacing w:after="0" w:line="240" w:lineRule="auto"/>
              <w:jc w:val="right"/>
              <w:rPr>
                <w:color w:val="292929"/>
                <w:sz w:val="14"/>
                <w:szCs w:val="14"/>
              </w:rPr>
            </w:pPr>
            <w:r w:rsidRPr="00807DBD">
              <w:rPr>
                <w:color w:val="292929"/>
                <w:sz w:val="14"/>
                <w:szCs w:val="14"/>
              </w:rPr>
              <w:t>400</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3BEBE328" w14:textId="73DCA01C" w:rsidR="00F71E0B" w:rsidRPr="00807DBD" w:rsidRDefault="00111FAB" w:rsidP="00C10B33">
            <w:pPr>
              <w:autoSpaceDE w:val="0"/>
              <w:autoSpaceDN w:val="0"/>
              <w:adjustRightInd w:val="0"/>
              <w:spacing w:after="0" w:line="240" w:lineRule="auto"/>
              <w:jc w:val="right"/>
              <w:rPr>
                <w:color w:val="292929"/>
                <w:sz w:val="14"/>
                <w:szCs w:val="14"/>
              </w:rPr>
            </w:pPr>
            <w:r w:rsidRPr="00807DBD">
              <w:rPr>
                <w:color w:val="292929"/>
                <w:sz w:val="14"/>
                <w:szCs w:val="14"/>
              </w:rPr>
              <w:t>400</w:t>
            </w:r>
          </w:p>
        </w:tc>
      </w:tr>
      <w:tr w:rsidR="00023E09" w:rsidRPr="00807DBD" w14:paraId="5E602CD6" w14:textId="77777777" w:rsidTr="004E22C5">
        <w:trPr>
          <w:trHeight w:val="170"/>
        </w:trPr>
        <w:tc>
          <w:tcPr>
            <w:tcW w:w="3483" w:type="dxa"/>
            <w:tcMar>
              <w:top w:w="17" w:type="dxa"/>
              <w:left w:w="80" w:type="dxa"/>
              <w:bottom w:w="17" w:type="dxa"/>
              <w:right w:w="80" w:type="dxa"/>
            </w:tcMar>
          </w:tcPr>
          <w:p w14:paraId="49A525A7" w14:textId="69B1A607" w:rsidR="00F71E0B" w:rsidRPr="00807DBD" w:rsidRDefault="00F71E0B" w:rsidP="00C10B33">
            <w:pPr>
              <w:suppressAutoHyphens/>
              <w:autoSpaceDE w:val="0"/>
              <w:autoSpaceDN w:val="0"/>
              <w:adjustRightInd w:val="0"/>
              <w:spacing w:after="0" w:line="240" w:lineRule="auto"/>
              <w:textAlignment w:val="center"/>
              <w:rPr>
                <w:rFonts w:cs="Futura PT Book"/>
                <w:color w:val="292929"/>
                <w:sz w:val="14"/>
                <w:szCs w:val="14"/>
                <w:lang w:val="en-US"/>
              </w:rPr>
            </w:pPr>
          </w:p>
        </w:tc>
        <w:tc>
          <w:tcPr>
            <w:tcW w:w="985" w:type="dxa"/>
            <w:tcMar>
              <w:top w:w="17" w:type="dxa"/>
              <w:left w:w="113" w:type="dxa"/>
              <w:bottom w:w="17" w:type="dxa"/>
              <w:right w:w="113" w:type="dxa"/>
            </w:tcMar>
          </w:tcPr>
          <w:p w14:paraId="5FA25C4C" w14:textId="6F4DB476"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right w:val="single" w:sz="8" w:space="0" w:color="FFFFFF" w:themeColor="background2"/>
            </w:tcBorders>
            <w:tcMar>
              <w:top w:w="17" w:type="dxa"/>
              <w:left w:w="113" w:type="dxa"/>
              <w:bottom w:w="17" w:type="dxa"/>
              <w:right w:w="113" w:type="dxa"/>
            </w:tcMar>
          </w:tcPr>
          <w:p w14:paraId="72BBA746" w14:textId="43993A74" w:rsidR="00F71E0B" w:rsidRPr="00807DBD" w:rsidRDefault="00F71E0B" w:rsidP="00C10B33">
            <w:pPr>
              <w:autoSpaceDE w:val="0"/>
              <w:autoSpaceDN w:val="0"/>
              <w:adjustRightInd w:val="0"/>
              <w:spacing w:after="0" w:line="240" w:lineRule="auto"/>
              <w:jc w:val="right"/>
              <w:rPr>
                <w:rFonts w:asciiTheme="majorHAnsi" w:hAnsiTheme="majorHAnsi"/>
                <w:color w:val="292929"/>
                <w:sz w:val="14"/>
                <w:szCs w:val="14"/>
              </w:rPr>
            </w:pPr>
          </w:p>
        </w:tc>
        <w:tc>
          <w:tcPr>
            <w:tcW w:w="985"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240D1634" w14:textId="61906A54"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tcBorders>
            <w:tcMar>
              <w:top w:w="17" w:type="dxa"/>
              <w:left w:w="113" w:type="dxa"/>
              <w:bottom w:w="17" w:type="dxa"/>
              <w:right w:w="113" w:type="dxa"/>
            </w:tcMar>
          </w:tcPr>
          <w:p w14:paraId="2519806A" w14:textId="1010E39C" w:rsidR="00F71E0B" w:rsidRPr="00807DBD" w:rsidRDefault="00F71E0B" w:rsidP="00C10B33">
            <w:pPr>
              <w:autoSpaceDE w:val="0"/>
              <w:autoSpaceDN w:val="0"/>
              <w:adjustRightInd w:val="0"/>
              <w:spacing w:after="0" w:line="240" w:lineRule="auto"/>
              <w:jc w:val="right"/>
              <w:rPr>
                <w:color w:val="292929"/>
                <w:sz w:val="14"/>
                <w:szCs w:val="14"/>
              </w:rPr>
            </w:pPr>
          </w:p>
        </w:tc>
      </w:tr>
      <w:tr w:rsidR="00023E09" w:rsidRPr="00807DBD" w14:paraId="54B6DCF7" w14:textId="77777777" w:rsidTr="004E22C5">
        <w:trPr>
          <w:trHeight w:val="170"/>
        </w:trPr>
        <w:tc>
          <w:tcPr>
            <w:tcW w:w="3483" w:type="dxa"/>
            <w:tcMar>
              <w:top w:w="17" w:type="dxa"/>
              <w:left w:w="80" w:type="dxa"/>
              <w:bottom w:w="17" w:type="dxa"/>
              <w:right w:w="80" w:type="dxa"/>
            </w:tcMar>
          </w:tcPr>
          <w:p w14:paraId="2AA4EEC7" w14:textId="771E46B0"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ASSET REVALUATION RESERVE</w:t>
            </w:r>
          </w:p>
        </w:tc>
        <w:tc>
          <w:tcPr>
            <w:tcW w:w="985" w:type="dxa"/>
            <w:tcMar>
              <w:top w:w="17" w:type="dxa"/>
              <w:left w:w="113" w:type="dxa"/>
              <w:bottom w:w="17" w:type="dxa"/>
              <w:right w:w="113" w:type="dxa"/>
            </w:tcMar>
          </w:tcPr>
          <w:p w14:paraId="14690463" w14:textId="7B8626C5"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1BDA175E" w14:textId="2C44A84D"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18BF3CFB" w14:textId="11A67D7C" w:rsidR="00105430" w:rsidRPr="00807DBD" w:rsidRDefault="00105430" w:rsidP="00FA5FF0">
            <w:pPr>
              <w:suppressAutoHyphens/>
              <w:autoSpaceDE w:val="0"/>
              <w:autoSpaceDN w:val="0"/>
              <w:adjustRightInd w:val="0"/>
              <w:spacing w:after="0" w:line="240" w:lineRule="auto"/>
              <w:jc w:val="center"/>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tcPr>
          <w:p w14:paraId="7B9315C3" w14:textId="00F1656E" w:rsidR="00105430" w:rsidRPr="00807DBD" w:rsidRDefault="00105430" w:rsidP="00FA5FF0">
            <w:pPr>
              <w:suppressAutoHyphens/>
              <w:autoSpaceDE w:val="0"/>
              <w:autoSpaceDN w:val="0"/>
              <w:adjustRightInd w:val="0"/>
              <w:spacing w:after="0" w:line="240" w:lineRule="auto"/>
              <w:jc w:val="center"/>
              <w:textAlignment w:val="center"/>
              <w:rPr>
                <w:rFonts w:cs="Futura PT Book"/>
                <w:color w:val="292929"/>
                <w:sz w:val="14"/>
                <w:szCs w:val="14"/>
                <w:lang w:val="en-US"/>
              </w:rPr>
            </w:pPr>
            <w:r w:rsidRPr="00807DBD">
              <w:rPr>
                <w:color w:val="292929"/>
                <w:sz w:val="14"/>
                <w:szCs w:val="14"/>
              </w:rPr>
              <w:t xml:space="preserve"> </w:t>
            </w:r>
          </w:p>
        </w:tc>
      </w:tr>
      <w:tr w:rsidR="00023E09" w:rsidRPr="00807DBD" w14:paraId="5F840F28" w14:textId="77777777" w:rsidTr="004E22C5">
        <w:trPr>
          <w:trHeight w:val="170"/>
        </w:trPr>
        <w:tc>
          <w:tcPr>
            <w:tcW w:w="3483" w:type="dxa"/>
            <w:tcMar>
              <w:top w:w="17" w:type="dxa"/>
              <w:left w:w="80" w:type="dxa"/>
              <w:bottom w:w="17" w:type="dxa"/>
              <w:right w:w="80" w:type="dxa"/>
            </w:tcMar>
          </w:tcPr>
          <w:p w14:paraId="0647C4C7" w14:textId="6B77A85F"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Mar>
              <w:top w:w="17" w:type="dxa"/>
              <w:left w:w="113" w:type="dxa"/>
              <w:bottom w:w="17" w:type="dxa"/>
              <w:right w:w="113" w:type="dxa"/>
            </w:tcMar>
          </w:tcPr>
          <w:p w14:paraId="0A54BFFE" w14:textId="379F6AA9"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70562180" w14:textId="60F956AE"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33502E7A" w14:textId="79FBE3FF"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tcPr>
          <w:p w14:paraId="2613C548" w14:textId="2736A469"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499DC10A" w14:textId="77777777" w:rsidTr="004E22C5">
        <w:trPr>
          <w:trHeight w:val="170"/>
        </w:trPr>
        <w:tc>
          <w:tcPr>
            <w:tcW w:w="3483" w:type="dxa"/>
            <w:tcMar>
              <w:top w:w="17" w:type="dxa"/>
              <w:left w:w="80" w:type="dxa"/>
              <w:bottom w:w="17" w:type="dxa"/>
              <w:right w:w="80" w:type="dxa"/>
            </w:tcMar>
          </w:tcPr>
          <w:p w14:paraId="68464D9E" w14:textId="0C972D56" w:rsidR="00105430" w:rsidRPr="00807DBD" w:rsidRDefault="00105430" w:rsidP="00105430">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Mar>
              <w:top w:w="17" w:type="dxa"/>
              <w:left w:w="113" w:type="dxa"/>
              <w:bottom w:w="17" w:type="dxa"/>
              <w:right w:w="113" w:type="dxa"/>
            </w:tcMar>
          </w:tcPr>
          <w:p w14:paraId="6C1C894D" w14:textId="7E038DBE"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1DCC4630" w14:textId="281D7527"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74</w:t>
            </w:r>
            <w:r w:rsidR="00105430"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40AD529D" w14:textId="5E2B0904"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88</w:t>
            </w:r>
            <w:r w:rsidR="00105430" w:rsidRPr="00807DBD">
              <w:rPr>
                <w:color w:val="292929"/>
                <w:sz w:val="14"/>
                <w:szCs w:val="14"/>
              </w:rPr>
              <w:t xml:space="preserve"> </w:t>
            </w:r>
          </w:p>
        </w:tc>
        <w:tc>
          <w:tcPr>
            <w:tcW w:w="985" w:type="dxa"/>
            <w:tcMar>
              <w:top w:w="17" w:type="dxa"/>
              <w:left w:w="113" w:type="dxa"/>
              <w:bottom w:w="17" w:type="dxa"/>
              <w:right w:w="113" w:type="dxa"/>
            </w:tcMar>
          </w:tcPr>
          <w:p w14:paraId="54472D32" w14:textId="2B2FDD9B"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88</w:t>
            </w:r>
            <w:r w:rsidR="00105430" w:rsidRPr="00807DBD">
              <w:rPr>
                <w:color w:val="292929"/>
                <w:sz w:val="14"/>
                <w:szCs w:val="14"/>
              </w:rPr>
              <w:t xml:space="preserve"> </w:t>
            </w:r>
          </w:p>
        </w:tc>
      </w:tr>
      <w:tr w:rsidR="00023E09" w:rsidRPr="00807DBD" w14:paraId="20E7C266" w14:textId="77777777" w:rsidTr="004E22C5">
        <w:trPr>
          <w:trHeight w:val="170"/>
        </w:trPr>
        <w:tc>
          <w:tcPr>
            <w:tcW w:w="3483" w:type="dxa"/>
            <w:tcMar>
              <w:top w:w="17" w:type="dxa"/>
              <w:left w:w="80" w:type="dxa"/>
              <w:bottom w:w="17" w:type="dxa"/>
              <w:right w:w="80" w:type="dxa"/>
            </w:tcMar>
          </w:tcPr>
          <w:p w14:paraId="4403695C" w14:textId="016179E7" w:rsidR="00F71E0B" w:rsidRPr="00807DBD" w:rsidRDefault="00F71E0B" w:rsidP="00C10B33">
            <w:pPr>
              <w:suppressAutoHyphens/>
              <w:autoSpaceDE w:val="0"/>
              <w:autoSpaceDN w:val="0"/>
              <w:adjustRightInd w:val="0"/>
              <w:spacing w:after="0" w:line="240" w:lineRule="auto"/>
              <w:textAlignment w:val="center"/>
              <w:rPr>
                <w:rFonts w:cs="Futura PT Book"/>
                <w:color w:val="292929"/>
                <w:sz w:val="14"/>
                <w:szCs w:val="14"/>
                <w:lang w:val="en-US"/>
              </w:rPr>
            </w:pPr>
          </w:p>
        </w:tc>
        <w:tc>
          <w:tcPr>
            <w:tcW w:w="985" w:type="dxa"/>
            <w:tcMar>
              <w:top w:w="17" w:type="dxa"/>
              <w:left w:w="113" w:type="dxa"/>
              <w:bottom w:w="17" w:type="dxa"/>
              <w:right w:w="113" w:type="dxa"/>
            </w:tcMar>
          </w:tcPr>
          <w:p w14:paraId="51EDC843"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2A288403" w14:textId="5D1E2ABE" w:rsidR="00F71E0B" w:rsidRPr="00807DBD" w:rsidRDefault="00F71E0B" w:rsidP="00C10B33">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p>
        </w:tc>
        <w:tc>
          <w:tcPr>
            <w:tcW w:w="985" w:type="dxa"/>
            <w:tcMar>
              <w:top w:w="17" w:type="dxa"/>
              <w:left w:w="113" w:type="dxa"/>
              <w:bottom w:w="17" w:type="dxa"/>
              <w:right w:w="113" w:type="dxa"/>
            </w:tcMar>
          </w:tcPr>
          <w:p w14:paraId="6F5D407A" w14:textId="5171DC36" w:rsidR="00F71E0B" w:rsidRPr="00807DBD" w:rsidRDefault="00F71E0B"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677F7CE8" w14:textId="620E1415" w:rsidR="00F71E0B" w:rsidRPr="00807DBD" w:rsidRDefault="00F71E0B"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7C565784" w14:textId="77777777" w:rsidTr="004E22C5">
        <w:trPr>
          <w:trHeight w:val="170"/>
        </w:trPr>
        <w:tc>
          <w:tcPr>
            <w:tcW w:w="3483" w:type="dxa"/>
            <w:tcMar>
              <w:top w:w="17" w:type="dxa"/>
              <w:left w:w="80" w:type="dxa"/>
              <w:bottom w:w="17" w:type="dxa"/>
              <w:right w:w="80" w:type="dxa"/>
            </w:tcMar>
          </w:tcPr>
          <w:p w14:paraId="76198F07" w14:textId="62EDEBDD"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Transfer to retained earnings</w:t>
            </w:r>
          </w:p>
        </w:tc>
        <w:tc>
          <w:tcPr>
            <w:tcW w:w="985" w:type="dxa"/>
            <w:tcMar>
              <w:top w:w="17" w:type="dxa"/>
              <w:left w:w="113" w:type="dxa"/>
              <w:bottom w:w="17" w:type="dxa"/>
              <w:right w:w="113" w:type="dxa"/>
            </w:tcMar>
          </w:tcPr>
          <w:p w14:paraId="4D9106CA"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4FBE47FA" w14:textId="6B2FE08E"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51DC1E6E" w14:textId="3FD70CF1"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985" w:type="dxa"/>
            <w:tcMar>
              <w:top w:w="17" w:type="dxa"/>
              <w:left w:w="113" w:type="dxa"/>
              <w:bottom w:w="17" w:type="dxa"/>
              <w:right w:w="113" w:type="dxa"/>
            </w:tcMar>
          </w:tcPr>
          <w:p w14:paraId="04884F49" w14:textId="3CEE7AB2"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r>
      <w:tr w:rsidR="00023E09" w:rsidRPr="00807DBD" w14:paraId="41A0AF78" w14:textId="77777777" w:rsidTr="004E22C5">
        <w:trPr>
          <w:trHeight w:val="170"/>
        </w:trPr>
        <w:tc>
          <w:tcPr>
            <w:tcW w:w="3483" w:type="dxa"/>
            <w:tcMar>
              <w:top w:w="17" w:type="dxa"/>
              <w:left w:w="80" w:type="dxa"/>
              <w:bottom w:w="17" w:type="dxa"/>
              <w:right w:w="80" w:type="dxa"/>
            </w:tcMar>
          </w:tcPr>
          <w:p w14:paraId="17686568" w14:textId="79D22AE6" w:rsidR="00105430" w:rsidRPr="00807DBD" w:rsidRDefault="00105430" w:rsidP="00105430">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From disposal of revalued assets</w:t>
            </w:r>
          </w:p>
        </w:tc>
        <w:tc>
          <w:tcPr>
            <w:tcW w:w="985" w:type="dxa"/>
            <w:tcMar>
              <w:top w:w="17" w:type="dxa"/>
              <w:left w:w="113" w:type="dxa"/>
              <w:bottom w:w="17" w:type="dxa"/>
              <w:right w:w="113" w:type="dxa"/>
            </w:tcMar>
          </w:tcPr>
          <w:p w14:paraId="1B070367"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bottom w:val="single" w:sz="4" w:space="0" w:color="292929"/>
              <w:right w:val="single" w:sz="8" w:space="0" w:color="FFFFFF" w:themeColor="background2"/>
            </w:tcBorders>
            <w:tcMar>
              <w:top w:w="17" w:type="dxa"/>
              <w:left w:w="113" w:type="dxa"/>
              <w:bottom w:w="17" w:type="dxa"/>
              <w:right w:w="113" w:type="dxa"/>
            </w:tcMar>
          </w:tcPr>
          <w:p w14:paraId="771A37DE" w14:textId="12FD0A4E"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(74)</w:t>
            </w:r>
            <w:r w:rsidR="00105430" w:rsidRPr="00807DBD">
              <w:rPr>
                <w:rFonts w:asciiTheme="majorHAnsi" w:hAnsiTheme="majorHAnsi"/>
                <w:color w:val="292929"/>
                <w:sz w:val="14"/>
                <w:szCs w:val="14"/>
              </w:rPr>
              <w:t xml:space="preserve"> </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3DE3B5B" w14:textId="1109BA1E"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(14)</w:t>
            </w:r>
            <w:r w:rsidR="00105430" w:rsidRPr="00807DBD">
              <w:rPr>
                <w:color w:val="292929"/>
                <w:sz w:val="14"/>
                <w:szCs w:val="14"/>
              </w:rPr>
              <w:t xml:space="preserve"> </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3F97E7B4" w14:textId="2F13A9D7"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w:t>
            </w:r>
            <w:r w:rsidR="00105430" w:rsidRPr="00807DBD">
              <w:rPr>
                <w:color w:val="292929"/>
                <w:sz w:val="14"/>
                <w:szCs w:val="14"/>
              </w:rPr>
              <w:t xml:space="preserve"> </w:t>
            </w:r>
          </w:p>
        </w:tc>
      </w:tr>
      <w:tr w:rsidR="00023E09" w:rsidRPr="00807DBD" w14:paraId="50C4AD94" w14:textId="77777777" w:rsidTr="004E22C5">
        <w:trPr>
          <w:trHeight w:val="170"/>
        </w:trPr>
        <w:tc>
          <w:tcPr>
            <w:tcW w:w="3483" w:type="dxa"/>
            <w:tcMar>
              <w:top w:w="17" w:type="dxa"/>
              <w:left w:w="80" w:type="dxa"/>
              <w:bottom w:w="17" w:type="dxa"/>
              <w:right w:w="80" w:type="dxa"/>
            </w:tcMar>
          </w:tcPr>
          <w:p w14:paraId="4C786895" w14:textId="0EC4C4A0" w:rsidR="00105430" w:rsidRPr="00807DBD" w:rsidRDefault="00105430" w:rsidP="00105430">
            <w:pPr>
              <w:autoSpaceDE w:val="0"/>
              <w:autoSpaceDN w:val="0"/>
              <w:adjustRightInd w:val="0"/>
              <w:spacing w:after="0" w:line="240" w:lineRule="auto"/>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Mar>
              <w:top w:w="17" w:type="dxa"/>
              <w:left w:w="113" w:type="dxa"/>
              <w:bottom w:w="17" w:type="dxa"/>
              <w:right w:w="113" w:type="dxa"/>
            </w:tcMar>
          </w:tcPr>
          <w:p w14:paraId="4250FBBD"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37D652CF" w14:textId="2067638A" w:rsidR="00105430" w:rsidRPr="00807DBD" w:rsidRDefault="00FA5FF0" w:rsidP="00105430">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4339E2D" w14:textId="11327934" w:rsidR="00105430" w:rsidRPr="00807DBD" w:rsidRDefault="00FA5FF0" w:rsidP="00105430">
            <w:pPr>
              <w:autoSpaceDE w:val="0"/>
              <w:autoSpaceDN w:val="0"/>
              <w:adjustRightInd w:val="0"/>
              <w:spacing w:after="0" w:line="240" w:lineRule="auto"/>
              <w:jc w:val="right"/>
              <w:rPr>
                <w:color w:val="292929"/>
                <w:sz w:val="14"/>
                <w:szCs w:val="14"/>
              </w:rPr>
            </w:pPr>
            <w:r w:rsidRPr="00807DBD">
              <w:rPr>
                <w:color w:val="292929"/>
                <w:sz w:val="14"/>
                <w:szCs w:val="14"/>
              </w:rPr>
              <w:t>74</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3B47E90F" w14:textId="082DE3B4" w:rsidR="00105430" w:rsidRPr="00807DBD" w:rsidRDefault="00FA5FF0" w:rsidP="00105430">
            <w:pPr>
              <w:autoSpaceDE w:val="0"/>
              <w:autoSpaceDN w:val="0"/>
              <w:adjustRightInd w:val="0"/>
              <w:spacing w:after="0" w:line="240" w:lineRule="auto"/>
              <w:jc w:val="right"/>
              <w:rPr>
                <w:color w:val="292929"/>
                <w:sz w:val="14"/>
                <w:szCs w:val="14"/>
              </w:rPr>
            </w:pPr>
            <w:r w:rsidRPr="00807DBD">
              <w:rPr>
                <w:color w:val="292929"/>
                <w:sz w:val="14"/>
                <w:szCs w:val="14"/>
              </w:rPr>
              <w:t>88</w:t>
            </w:r>
          </w:p>
        </w:tc>
      </w:tr>
      <w:tr w:rsidR="00023E09" w:rsidRPr="00807DBD" w14:paraId="07045B08" w14:textId="77777777" w:rsidTr="004E22C5">
        <w:trPr>
          <w:trHeight w:val="170"/>
        </w:trPr>
        <w:tc>
          <w:tcPr>
            <w:tcW w:w="3483" w:type="dxa"/>
            <w:tcMar>
              <w:top w:w="17" w:type="dxa"/>
              <w:left w:w="80" w:type="dxa"/>
              <w:bottom w:w="17" w:type="dxa"/>
              <w:right w:w="80" w:type="dxa"/>
            </w:tcMar>
          </w:tcPr>
          <w:p w14:paraId="2443EB65" w14:textId="2DB7E666" w:rsidR="00F71E0B" w:rsidRPr="00807DBD" w:rsidRDefault="00F71E0B" w:rsidP="00C10B33">
            <w:pPr>
              <w:suppressAutoHyphens/>
              <w:autoSpaceDE w:val="0"/>
              <w:autoSpaceDN w:val="0"/>
              <w:adjustRightInd w:val="0"/>
              <w:spacing w:after="0" w:line="240" w:lineRule="auto"/>
              <w:textAlignment w:val="center"/>
              <w:rPr>
                <w:rFonts w:cs="Futura PT Book"/>
                <w:color w:val="292929"/>
                <w:sz w:val="14"/>
                <w:szCs w:val="14"/>
                <w:lang w:val="en-US"/>
              </w:rPr>
            </w:pPr>
          </w:p>
        </w:tc>
        <w:tc>
          <w:tcPr>
            <w:tcW w:w="985" w:type="dxa"/>
            <w:tcMar>
              <w:top w:w="17" w:type="dxa"/>
              <w:left w:w="113" w:type="dxa"/>
              <w:bottom w:w="17" w:type="dxa"/>
              <w:right w:w="113" w:type="dxa"/>
            </w:tcMar>
          </w:tcPr>
          <w:p w14:paraId="5CAA595B"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right w:val="single" w:sz="8" w:space="0" w:color="FFFFFF" w:themeColor="background2"/>
            </w:tcBorders>
            <w:tcMar>
              <w:top w:w="17" w:type="dxa"/>
              <w:left w:w="113" w:type="dxa"/>
              <w:bottom w:w="17" w:type="dxa"/>
              <w:right w:w="113" w:type="dxa"/>
            </w:tcMar>
            <w:vAlign w:val="center"/>
          </w:tcPr>
          <w:p w14:paraId="0E32E5D5" w14:textId="77777777" w:rsidR="00F71E0B" w:rsidRPr="00807DBD" w:rsidRDefault="00F71E0B" w:rsidP="00C10B33">
            <w:pPr>
              <w:autoSpaceDE w:val="0"/>
              <w:autoSpaceDN w:val="0"/>
              <w:adjustRightInd w:val="0"/>
              <w:spacing w:after="0" w:line="240" w:lineRule="auto"/>
              <w:jc w:val="right"/>
              <w:rPr>
                <w:rFonts w:asciiTheme="majorHAnsi" w:hAnsiTheme="majorHAnsi"/>
                <w:color w:val="292929"/>
                <w:sz w:val="14"/>
                <w:szCs w:val="14"/>
              </w:rPr>
            </w:pPr>
          </w:p>
        </w:tc>
        <w:tc>
          <w:tcPr>
            <w:tcW w:w="985"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vAlign w:val="center"/>
          </w:tcPr>
          <w:p w14:paraId="51A7D3D3"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left w:val="single" w:sz="8" w:space="0" w:color="FFFFFF" w:themeColor="background2"/>
            </w:tcBorders>
            <w:tcMar>
              <w:top w:w="17" w:type="dxa"/>
              <w:left w:w="113" w:type="dxa"/>
              <w:bottom w:w="17" w:type="dxa"/>
              <w:right w:w="113" w:type="dxa"/>
            </w:tcMar>
            <w:vAlign w:val="center"/>
          </w:tcPr>
          <w:p w14:paraId="2E762F61" w14:textId="77777777" w:rsidR="00F71E0B" w:rsidRPr="00807DBD" w:rsidRDefault="00F71E0B" w:rsidP="00C10B33">
            <w:pPr>
              <w:autoSpaceDE w:val="0"/>
              <w:autoSpaceDN w:val="0"/>
              <w:adjustRightInd w:val="0"/>
              <w:spacing w:after="0" w:line="240" w:lineRule="auto"/>
              <w:jc w:val="right"/>
              <w:rPr>
                <w:color w:val="292929"/>
                <w:sz w:val="14"/>
                <w:szCs w:val="14"/>
              </w:rPr>
            </w:pPr>
          </w:p>
        </w:tc>
      </w:tr>
      <w:tr w:rsidR="00023E09" w:rsidRPr="00807DBD" w14:paraId="3353D884" w14:textId="77777777" w:rsidTr="004E22C5">
        <w:trPr>
          <w:trHeight w:val="170"/>
        </w:trPr>
        <w:tc>
          <w:tcPr>
            <w:tcW w:w="3483" w:type="dxa"/>
            <w:tcMar>
              <w:top w:w="17" w:type="dxa"/>
              <w:left w:w="80" w:type="dxa"/>
              <w:bottom w:w="17" w:type="dxa"/>
              <w:right w:w="80" w:type="dxa"/>
            </w:tcMar>
          </w:tcPr>
          <w:p w14:paraId="4D24FDA0" w14:textId="38872302"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RETAINED EARNINGS</w:t>
            </w:r>
          </w:p>
        </w:tc>
        <w:tc>
          <w:tcPr>
            <w:tcW w:w="985" w:type="dxa"/>
            <w:tcMar>
              <w:top w:w="17" w:type="dxa"/>
              <w:left w:w="113" w:type="dxa"/>
              <w:bottom w:w="17" w:type="dxa"/>
              <w:right w:w="113" w:type="dxa"/>
            </w:tcMar>
          </w:tcPr>
          <w:p w14:paraId="1F22B40D"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116210CC" w14:textId="7777777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7A2B0CD1"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60979C4B"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211FA192" w14:textId="77777777" w:rsidTr="004E22C5">
        <w:trPr>
          <w:trHeight w:val="170"/>
        </w:trPr>
        <w:tc>
          <w:tcPr>
            <w:tcW w:w="3483" w:type="dxa"/>
            <w:tcMar>
              <w:top w:w="17" w:type="dxa"/>
              <w:left w:w="80" w:type="dxa"/>
              <w:bottom w:w="17" w:type="dxa"/>
              <w:right w:w="80" w:type="dxa"/>
            </w:tcMar>
          </w:tcPr>
          <w:p w14:paraId="32A60FAE" w14:textId="27EEC4CC"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Mar>
              <w:top w:w="17" w:type="dxa"/>
              <w:left w:w="113" w:type="dxa"/>
              <w:bottom w:w="17" w:type="dxa"/>
              <w:right w:w="113" w:type="dxa"/>
            </w:tcMar>
          </w:tcPr>
          <w:p w14:paraId="27B443E1" w14:textId="19125EBF"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499CD505" w14:textId="5BC939B5"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20A50932" w14:textId="44906B39"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tcPr>
          <w:p w14:paraId="765E779C" w14:textId="4EDCC780"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647E8FC4" w14:textId="77777777" w:rsidTr="004E22C5">
        <w:trPr>
          <w:trHeight w:val="170"/>
        </w:trPr>
        <w:tc>
          <w:tcPr>
            <w:tcW w:w="3483" w:type="dxa"/>
            <w:tcMar>
              <w:top w:w="17" w:type="dxa"/>
              <w:left w:w="80" w:type="dxa"/>
              <w:bottom w:w="17" w:type="dxa"/>
              <w:right w:w="80" w:type="dxa"/>
            </w:tcMar>
          </w:tcPr>
          <w:p w14:paraId="5586284B" w14:textId="44A3F163" w:rsidR="00105430" w:rsidRPr="00807DBD" w:rsidRDefault="00105430" w:rsidP="00105430">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Mar>
              <w:top w:w="17" w:type="dxa"/>
              <w:left w:w="113" w:type="dxa"/>
              <w:bottom w:w="17" w:type="dxa"/>
              <w:right w:w="113" w:type="dxa"/>
            </w:tcMar>
          </w:tcPr>
          <w:p w14:paraId="16C49F50" w14:textId="65FB272E"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10208047" w14:textId="015444F3"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12</w:t>
            </w:r>
            <w:r w:rsidR="00FA5FF0" w:rsidRPr="00807DBD">
              <w:rPr>
                <w:rFonts w:asciiTheme="majorHAnsi" w:hAnsiTheme="majorHAnsi"/>
                <w:color w:val="292929"/>
                <w:sz w:val="14"/>
                <w:szCs w:val="14"/>
              </w:rPr>
              <w:t>,294</w:t>
            </w: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49E5F0D2" w14:textId="42AD038C"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12,249</w:t>
            </w:r>
            <w:r w:rsidR="00105430" w:rsidRPr="00807DBD">
              <w:rPr>
                <w:color w:val="292929"/>
                <w:sz w:val="14"/>
                <w:szCs w:val="14"/>
              </w:rPr>
              <w:t xml:space="preserve"> </w:t>
            </w:r>
          </w:p>
        </w:tc>
        <w:tc>
          <w:tcPr>
            <w:tcW w:w="985" w:type="dxa"/>
            <w:tcMar>
              <w:top w:w="17" w:type="dxa"/>
              <w:left w:w="113" w:type="dxa"/>
              <w:bottom w:w="17" w:type="dxa"/>
              <w:right w:w="113" w:type="dxa"/>
            </w:tcMar>
          </w:tcPr>
          <w:p w14:paraId="155477A4" w14:textId="7B8E6945"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12,294</w:t>
            </w:r>
            <w:r w:rsidR="00105430" w:rsidRPr="00807DBD">
              <w:rPr>
                <w:color w:val="292929"/>
                <w:sz w:val="14"/>
                <w:szCs w:val="14"/>
              </w:rPr>
              <w:t xml:space="preserve"> </w:t>
            </w:r>
          </w:p>
        </w:tc>
      </w:tr>
      <w:tr w:rsidR="00023E09" w:rsidRPr="00807DBD" w14:paraId="6E418AA9" w14:textId="77777777" w:rsidTr="004E22C5">
        <w:trPr>
          <w:trHeight w:val="170"/>
        </w:trPr>
        <w:tc>
          <w:tcPr>
            <w:tcW w:w="3483" w:type="dxa"/>
            <w:tcMar>
              <w:top w:w="17" w:type="dxa"/>
              <w:left w:w="80" w:type="dxa"/>
              <w:bottom w:w="17" w:type="dxa"/>
              <w:right w:w="80" w:type="dxa"/>
            </w:tcMar>
          </w:tcPr>
          <w:p w14:paraId="0FA7C77D" w14:textId="77777777" w:rsidR="00F71E0B" w:rsidRPr="00807DBD" w:rsidRDefault="00F71E0B" w:rsidP="00C10B33">
            <w:pPr>
              <w:autoSpaceDE w:val="0"/>
              <w:autoSpaceDN w:val="0"/>
              <w:adjustRightInd w:val="0"/>
              <w:spacing w:after="0" w:line="240" w:lineRule="auto"/>
              <w:rPr>
                <w:color w:val="292929"/>
                <w:sz w:val="14"/>
                <w:szCs w:val="14"/>
              </w:rPr>
            </w:pPr>
          </w:p>
        </w:tc>
        <w:tc>
          <w:tcPr>
            <w:tcW w:w="985" w:type="dxa"/>
            <w:tcMar>
              <w:top w:w="17" w:type="dxa"/>
              <w:left w:w="113" w:type="dxa"/>
              <w:bottom w:w="17" w:type="dxa"/>
              <w:right w:w="113" w:type="dxa"/>
            </w:tcMar>
          </w:tcPr>
          <w:p w14:paraId="329CBB3C"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41C7C8CF" w14:textId="77777777" w:rsidR="00F71E0B" w:rsidRPr="00807DBD" w:rsidRDefault="00F71E0B" w:rsidP="00C10B33">
            <w:pPr>
              <w:autoSpaceDE w:val="0"/>
              <w:autoSpaceDN w:val="0"/>
              <w:adjustRightInd w:val="0"/>
              <w:spacing w:after="0" w:line="240" w:lineRule="auto"/>
              <w:jc w:val="right"/>
              <w:rPr>
                <w:rFonts w:asciiTheme="majorHAnsi" w:hAnsiTheme="majorHAnsi"/>
                <w:color w:val="292929"/>
                <w:sz w:val="14"/>
                <w:szCs w:val="14"/>
              </w:rPr>
            </w:pPr>
          </w:p>
        </w:tc>
        <w:tc>
          <w:tcPr>
            <w:tcW w:w="985" w:type="dxa"/>
            <w:tcMar>
              <w:top w:w="17" w:type="dxa"/>
              <w:left w:w="113" w:type="dxa"/>
              <w:bottom w:w="17" w:type="dxa"/>
              <w:right w:w="113" w:type="dxa"/>
            </w:tcMar>
          </w:tcPr>
          <w:p w14:paraId="286F8923"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59ECD8AF" w14:textId="77777777" w:rsidR="00F71E0B" w:rsidRPr="00807DBD" w:rsidRDefault="00F71E0B" w:rsidP="00C10B33">
            <w:pPr>
              <w:autoSpaceDE w:val="0"/>
              <w:autoSpaceDN w:val="0"/>
              <w:adjustRightInd w:val="0"/>
              <w:spacing w:after="0" w:line="240" w:lineRule="auto"/>
              <w:jc w:val="right"/>
              <w:rPr>
                <w:color w:val="292929"/>
                <w:sz w:val="14"/>
                <w:szCs w:val="14"/>
              </w:rPr>
            </w:pPr>
          </w:p>
        </w:tc>
      </w:tr>
      <w:tr w:rsidR="00023E09" w:rsidRPr="00807DBD" w14:paraId="48C523EC" w14:textId="77777777" w:rsidTr="004E22C5">
        <w:trPr>
          <w:trHeight w:val="170"/>
        </w:trPr>
        <w:tc>
          <w:tcPr>
            <w:tcW w:w="3483" w:type="dxa"/>
            <w:tcMar>
              <w:top w:w="17" w:type="dxa"/>
              <w:left w:w="80" w:type="dxa"/>
              <w:bottom w:w="17" w:type="dxa"/>
              <w:right w:w="80" w:type="dxa"/>
            </w:tcMar>
          </w:tcPr>
          <w:p w14:paraId="63717479" w14:textId="1F3F0578"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Adjustment for changes to accounting standards</w:t>
            </w:r>
          </w:p>
        </w:tc>
        <w:tc>
          <w:tcPr>
            <w:tcW w:w="985" w:type="dxa"/>
            <w:tcMar>
              <w:top w:w="17" w:type="dxa"/>
              <w:left w:w="113" w:type="dxa"/>
              <w:bottom w:w="17" w:type="dxa"/>
              <w:right w:w="113" w:type="dxa"/>
            </w:tcMar>
          </w:tcPr>
          <w:p w14:paraId="128E2232"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985" w:type="dxa"/>
            <w:tcMar>
              <w:top w:w="17" w:type="dxa"/>
              <w:left w:w="113" w:type="dxa"/>
              <w:bottom w:w="17" w:type="dxa"/>
              <w:right w:w="113" w:type="dxa"/>
            </w:tcMar>
          </w:tcPr>
          <w:p w14:paraId="71C2A2A4" w14:textId="7777777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52E65C8C"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tcPr>
          <w:p w14:paraId="6A794125"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023E09" w:rsidRPr="00807DBD" w14:paraId="35FE3085" w14:textId="77777777" w:rsidTr="004E22C5">
        <w:trPr>
          <w:trHeight w:val="170"/>
        </w:trPr>
        <w:tc>
          <w:tcPr>
            <w:tcW w:w="3483" w:type="dxa"/>
            <w:tcMar>
              <w:top w:w="17" w:type="dxa"/>
              <w:left w:w="80" w:type="dxa"/>
              <w:bottom w:w="17" w:type="dxa"/>
              <w:right w:w="80" w:type="dxa"/>
            </w:tcMar>
          </w:tcPr>
          <w:p w14:paraId="4DFFFBC3" w14:textId="4FC50868" w:rsidR="00105430" w:rsidRPr="00807DBD" w:rsidRDefault="00105430" w:rsidP="00105430">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Adjustment on initial application of AASB 16</w:t>
            </w:r>
          </w:p>
        </w:tc>
        <w:tc>
          <w:tcPr>
            <w:tcW w:w="985" w:type="dxa"/>
            <w:tcMar>
              <w:top w:w="17" w:type="dxa"/>
              <w:left w:w="113" w:type="dxa"/>
              <w:bottom w:w="17" w:type="dxa"/>
              <w:right w:w="113" w:type="dxa"/>
            </w:tcMar>
          </w:tcPr>
          <w:p w14:paraId="706A384F" w14:textId="2157F2EA"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35FF320D" w14:textId="1D93091B"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(123)</w:t>
            </w:r>
            <w:r w:rsidR="00105430"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1A2FE03C"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985" w:type="dxa"/>
            <w:tcMar>
              <w:top w:w="17" w:type="dxa"/>
              <w:left w:w="113" w:type="dxa"/>
              <w:bottom w:w="17" w:type="dxa"/>
              <w:right w:w="113" w:type="dxa"/>
            </w:tcMar>
            <w:vAlign w:val="center"/>
          </w:tcPr>
          <w:p w14:paraId="39BA2A86"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023E09" w:rsidRPr="00807DBD" w14:paraId="1278561A" w14:textId="77777777" w:rsidTr="004E22C5">
        <w:trPr>
          <w:trHeight w:val="170"/>
        </w:trPr>
        <w:tc>
          <w:tcPr>
            <w:tcW w:w="3483" w:type="dxa"/>
            <w:tcMar>
              <w:top w:w="17" w:type="dxa"/>
              <w:left w:w="80" w:type="dxa"/>
              <w:bottom w:w="17" w:type="dxa"/>
              <w:right w:w="80" w:type="dxa"/>
            </w:tcMar>
          </w:tcPr>
          <w:p w14:paraId="4EE40AAF" w14:textId="77777777" w:rsidR="00F71E0B" w:rsidRPr="00807DBD" w:rsidRDefault="00F71E0B" w:rsidP="00C10B33">
            <w:pPr>
              <w:suppressAutoHyphens/>
              <w:autoSpaceDE w:val="0"/>
              <w:autoSpaceDN w:val="0"/>
              <w:adjustRightInd w:val="0"/>
              <w:spacing w:after="0" w:line="240" w:lineRule="auto"/>
              <w:textAlignment w:val="center"/>
              <w:rPr>
                <w:color w:val="292929"/>
                <w:sz w:val="14"/>
                <w:szCs w:val="14"/>
              </w:rPr>
            </w:pPr>
          </w:p>
        </w:tc>
        <w:tc>
          <w:tcPr>
            <w:tcW w:w="985" w:type="dxa"/>
            <w:tcMar>
              <w:top w:w="17" w:type="dxa"/>
              <w:left w:w="113" w:type="dxa"/>
              <w:bottom w:w="17" w:type="dxa"/>
              <w:right w:w="113" w:type="dxa"/>
            </w:tcMar>
          </w:tcPr>
          <w:p w14:paraId="1D7AC2FA"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0996BDC6" w14:textId="77777777" w:rsidR="00F71E0B" w:rsidRPr="00807DBD" w:rsidRDefault="00F71E0B" w:rsidP="00C10B33">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Mar>
              <w:top w:w="17" w:type="dxa"/>
              <w:left w:w="113" w:type="dxa"/>
              <w:bottom w:w="17" w:type="dxa"/>
              <w:right w:w="113" w:type="dxa"/>
            </w:tcMar>
          </w:tcPr>
          <w:p w14:paraId="76FB1D4F" w14:textId="77777777" w:rsidR="00F71E0B" w:rsidRPr="00807DBD" w:rsidRDefault="00F71E0B" w:rsidP="00C10B33">
            <w:pPr>
              <w:suppressAutoHyphens/>
              <w:autoSpaceDE w:val="0"/>
              <w:autoSpaceDN w:val="0"/>
              <w:adjustRightInd w:val="0"/>
              <w:spacing w:after="0" w:line="240" w:lineRule="auto"/>
              <w:jc w:val="right"/>
              <w:textAlignment w:val="center"/>
              <w:rPr>
                <w:color w:val="292929"/>
                <w:sz w:val="14"/>
                <w:szCs w:val="14"/>
              </w:rPr>
            </w:pPr>
          </w:p>
        </w:tc>
        <w:tc>
          <w:tcPr>
            <w:tcW w:w="985" w:type="dxa"/>
            <w:tcMar>
              <w:top w:w="17" w:type="dxa"/>
              <w:left w:w="113" w:type="dxa"/>
              <w:bottom w:w="17" w:type="dxa"/>
              <w:right w:w="113" w:type="dxa"/>
            </w:tcMar>
            <w:vAlign w:val="center"/>
          </w:tcPr>
          <w:p w14:paraId="1AA04B60" w14:textId="77777777" w:rsidR="00F71E0B" w:rsidRPr="00807DBD" w:rsidRDefault="00F71E0B"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7A0AD35B" w14:textId="77777777" w:rsidTr="004E22C5">
        <w:trPr>
          <w:trHeight w:val="170"/>
        </w:trPr>
        <w:tc>
          <w:tcPr>
            <w:tcW w:w="3483" w:type="dxa"/>
            <w:tcMar>
              <w:top w:w="17" w:type="dxa"/>
              <w:left w:w="80" w:type="dxa"/>
              <w:bottom w:w="17" w:type="dxa"/>
              <w:right w:w="80" w:type="dxa"/>
            </w:tcMar>
          </w:tcPr>
          <w:p w14:paraId="2D8BEE13" w14:textId="442D40ED"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Transfer from asset revaluation reserve</w:t>
            </w:r>
          </w:p>
        </w:tc>
        <w:tc>
          <w:tcPr>
            <w:tcW w:w="985" w:type="dxa"/>
            <w:tcMar>
              <w:top w:w="17" w:type="dxa"/>
              <w:left w:w="113" w:type="dxa"/>
              <w:bottom w:w="17" w:type="dxa"/>
              <w:right w:w="113" w:type="dxa"/>
            </w:tcMar>
          </w:tcPr>
          <w:p w14:paraId="6C392571"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675E5862" w14:textId="7777777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Mar>
              <w:top w:w="17" w:type="dxa"/>
              <w:left w:w="113" w:type="dxa"/>
              <w:bottom w:w="17" w:type="dxa"/>
              <w:right w:w="113" w:type="dxa"/>
            </w:tcMar>
          </w:tcPr>
          <w:p w14:paraId="29719D04" w14:textId="77777777"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p>
        </w:tc>
        <w:tc>
          <w:tcPr>
            <w:tcW w:w="985" w:type="dxa"/>
            <w:tcMar>
              <w:top w:w="17" w:type="dxa"/>
              <w:left w:w="113" w:type="dxa"/>
              <w:bottom w:w="17" w:type="dxa"/>
              <w:right w:w="113" w:type="dxa"/>
            </w:tcMar>
            <w:vAlign w:val="center"/>
          </w:tcPr>
          <w:p w14:paraId="06A16E22"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7877DA17" w14:textId="77777777" w:rsidTr="004E22C5">
        <w:trPr>
          <w:trHeight w:val="170"/>
        </w:trPr>
        <w:tc>
          <w:tcPr>
            <w:tcW w:w="3483" w:type="dxa"/>
            <w:tcMar>
              <w:top w:w="17" w:type="dxa"/>
              <w:left w:w="80" w:type="dxa"/>
              <w:bottom w:w="17" w:type="dxa"/>
              <w:right w:w="80" w:type="dxa"/>
            </w:tcMar>
          </w:tcPr>
          <w:p w14:paraId="0C5B556E" w14:textId="5C0C92B1"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From disposal of revalued assets</w:t>
            </w:r>
          </w:p>
        </w:tc>
        <w:tc>
          <w:tcPr>
            <w:tcW w:w="985" w:type="dxa"/>
            <w:tcMar>
              <w:top w:w="17" w:type="dxa"/>
              <w:left w:w="113" w:type="dxa"/>
              <w:bottom w:w="17" w:type="dxa"/>
              <w:right w:w="113" w:type="dxa"/>
            </w:tcMar>
          </w:tcPr>
          <w:p w14:paraId="26E90ABE" w14:textId="0375F655"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554DF430" w14:textId="0896B7D5"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74</w:t>
            </w:r>
            <w:r w:rsidR="00105430"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2A9DB51F" w14:textId="0AB508CD"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14</w:t>
            </w:r>
            <w:r w:rsidR="00105430" w:rsidRPr="00807DBD">
              <w:rPr>
                <w:color w:val="292929"/>
                <w:sz w:val="14"/>
                <w:szCs w:val="14"/>
              </w:rPr>
              <w:t xml:space="preserve"> </w:t>
            </w:r>
          </w:p>
        </w:tc>
        <w:tc>
          <w:tcPr>
            <w:tcW w:w="985" w:type="dxa"/>
            <w:tcMar>
              <w:top w:w="17" w:type="dxa"/>
              <w:left w:w="113" w:type="dxa"/>
              <w:bottom w:w="17" w:type="dxa"/>
              <w:right w:w="113" w:type="dxa"/>
            </w:tcMar>
          </w:tcPr>
          <w:p w14:paraId="7F3A3E60" w14:textId="58867875"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w:t>
            </w:r>
            <w:r w:rsidR="00105430" w:rsidRPr="00807DBD">
              <w:rPr>
                <w:color w:val="292929"/>
                <w:sz w:val="14"/>
                <w:szCs w:val="14"/>
              </w:rPr>
              <w:t xml:space="preserve"> </w:t>
            </w:r>
          </w:p>
        </w:tc>
      </w:tr>
      <w:tr w:rsidR="00023E09" w:rsidRPr="00807DBD" w14:paraId="0B1E0696" w14:textId="77777777" w:rsidTr="004E22C5">
        <w:trPr>
          <w:trHeight w:val="170"/>
        </w:trPr>
        <w:tc>
          <w:tcPr>
            <w:tcW w:w="3483" w:type="dxa"/>
            <w:tcMar>
              <w:top w:w="17" w:type="dxa"/>
              <w:left w:w="80" w:type="dxa"/>
              <w:bottom w:w="17" w:type="dxa"/>
              <w:right w:w="80" w:type="dxa"/>
            </w:tcMar>
          </w:tcPr>
          <w:p w14:paraId="28F68FE1" w14:textId="69646DF5" w:rsidR="00F71E0B" w:rsidRPr="00807DBD" w:rsidRDefault="00F71E0B" w:rsidP="00C10B33">
            <w:pPr>
              <w:suppressAutoHyphens/>
              <w:autoSpaceDE w:val="0"/>
              <w:autoSpaceDN w:val="0"/>
              <w:adjustRightInd w:val="0"/>
              <w:spacing w:after="0" w:line="240" w:lineRule="auto"/>
              <w:textAlignment w:val="center"/>
              <w:rPr>
                <w:color w:val="292929"/>
                <w:sz w:val="14"/>
                <w:szCs w:val="14"/>
              </w:rPr>
            </w:pPr>
          </w:p>
        </w:tc>
        <w:tc>
          <w:tcPr>
            <w:tcW w:w="985" w:type="dxa"/>
            <w:tcMar>
              <w:top w:w="17" w:type="dxa"/>
              <w:left w:w="113" w:type="dxa"/>
              <w:bottom w:w="17" w:type="dxa"/>
              <w:right w:w="113" w:type="dxa"/>
            </w:tcMar>
          </w:tcPr>
          <w:p w14:paraId="15FA7765"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44C30A33" w14:textId="2BEF68A5" w:rsidR="00F71E0B" w:rsidRPr="00807DBD" w:rsidRDefault="00F71E0B" w:rsidP="00C10B33">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Mar>
              <w:top w:w="17" w:type="dxa"/>
              <w:left w:w="113" w:type="dxa"/>
              <w:bottom w:w="17" w:type="dxa"/>
              <w:right w:w="113" w:type="dxa"/>
            </w:tcMar>
          </w:tcPr>
          <w:p w14:paraId="096B1C53" w14:textId="66B4EDA3" w:rsidR="00F71E0B" w:rsidRPr="00807DBD" w:rsidRDefault="00F71E0B" w:rsidP="00C10B33">
            <w:pPr>
              <w:suppressAutoHyphens/>
              <w:autoSpaceDE w:val="0"/>
              <w:autoSpaceDN w:val="0"/>
              <w:adjustRightInd w:val="0"/>
              <w:spacing w:after="0" w:line="240" w:lineRule="auto"/>
              <w:jc w:val="right"/>
              <w:textAlignment w:val="center"/>
              <w:rPr>
                <w:color w:val="292929"/>
                <w:sz w:val="14"/>
                <w:szCs w:val="14"/>
              </w:rPr>
            </w:pPr>
          </w:p>
        </w:tc>
        <w:tc>
          <w:tcPr>
            <w:tcW w:w="985" w:type="dxa"/>
            <w:tcMar>
              <w:top w:w="17" w:type="dxa"/>
              <w:left w:w="113" w:type="dxa"/>
              <w:bottom w:w="17" w:type="dxa"/>
              <w:right w:w="113" w:type="dxa"/>
            </w:tcMar>
          </w:tcPr>
          <w:p w14:paraId="6D2A4ECD" w14:textId="782DBAEA" w:rsidR="00F71E0B" w:rsidRPr="00807DBD" w:rsidRDefault="00F71E0B"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0535395E" w14:textId="77777777" w:rsidTr="004E22C5">
        <w:trPr>
          <w:trHeight w:val="170"/>
        </w:trPr>
        <w:tc>
          <w:tcPr>
            <w:tcW w:w="3483" w:type="dxa"/>
            <w:tcMar>
              <w:top w:w="17" w:type="dxa"/>
              <w:left w:w="80" w:type="dxa"/>
              <w:bottom w:w="17" w:type="dxa"/>
              <w:right w:w="80" w:type="dxa"/>
            </w:tcMar>
          </w:tcPr>
          <w:p w14:paraId="19EF6290" w14:textId="672122D8"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Comprehensive income</w:t>
            </w:r>
          </w:p>
        </w:tc>
        <w:tc>
          <w:tcPr>
            <w:tcW w:w="985" w:type="dxa"/>
            <w:tcMar>
              <w:top w:w="17" w:type="dxa"/>
              <w:left w:w="113" w:type="dxa"/>
              <w:bottom w:w="17" w:type="dxa"/>
              <w:right w:w="113" w:type="dxa"/>
            </w:tcMar>
          </w:tcPr>
          <w:p w14:paraId="0FA4FF63"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47E640F9" w14:textId="6B813EAC"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67575949" w14:textId="56FCB4C9"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985" w:type="dxa"/>
            <w:tcMar>
              <w:top w:w="17" w:type="dxa"/>
              <w:left w:w="113" w:type="dxa"/>
              <w:bottom w:w="17" w:type="dxa"/>
              <w:right w:w="113" w:type="dxa"/>
            </w:tcMar>
          </w:tcPr>
          <w:p w14:paraId="1D0934A4" w14:textId="089991E8"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3BC0FA31" w14:textId="77777777" w:rsidTr="004E22C5">
        <w:trPr>
          <w:trHeight w:val="170"/>
        </w:trPr>
        <w:tc>
          <w:tcPr>
            <w:tcW w:w="3483" w:type="dxa"/>
            <w:tcMar>
              <w:top w:w="17" w:type="dxa"/>
              <w:left w:w="80" w:type="dxa"/>
              <w:bottom w:w="17" w:type="dxa"/>
              <w:right w:w="80" w:type="dxa"/>
            </w:tcMar>
          </w:tcPr>
          <w:p w14:paraId="65E6910E" w14:textId="7D42A4D0"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Surplus for the period</w:t>
            </w:r>
          </w:p>
        </w:tc>
        <w:tc>
          <w:tcPr>
            <w:tcW w:w="985" w:type="dxa"/>
            <w:tcMar>
              <w:top w:w="17" w:type="dxa"/>
              <w:left w:w="113" w:type="dxa"/>
              <w:bottom w:w="17" w:type="dxa"/>
              <w:right w:w="113" w:type="dxa"/>
            </w:tcMar>
          </w:tcPr>
          <w:p w14:paraId="5957B1FB"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bottom w:val="single" w:sz="4" w:space="0" w:color="292929"/>
              <w:right w:val="single" w:sz="8" w:space="0" w:color="FFFFFF" w:themeColor="background2"/>
            </w:tcBorders>
            <w:tcMar>
              <w:top w:w="17" w:type="dxa"/>
              <w:left w:w="113" w:type="dxa"/>
              <w:bottom w:w="17" w:type="dxa"/>
              <w:right w:w="113" w:type="dxa"/>
            </w:tcMar>
          </w:tcPr>
          <w:p w14:paraId="1453D99B" w14:textId="314D9F52"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849</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FCFC69A" w14:textId="542F3BC3"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31</w:t>
            </w:r>
          </w:p>
        </w:tc>
        <w:tc>
          <w:tcPr>
            <w:tcW w:w="985" w:type="dxa"/>
            <w:tcBorders>
              <w:left w:val="single" w:sz="8" w:space="0" w:color="FFFFFF" w:themeColor="background2"/>
              <w:bottom w:val="single" w:sz="4" w:space="0" w:color="292929"/>
            </w:tcBorders>
            <w:tcMar>
              <w:top w:w="17" w:type="dxa"/>
              <w:left w:w="113" w:type="dxa"/>
              <w:bottom w:w="17" w:type="dxa"/>
              <w:right w:w="113" w:type="dxa"/>
            </w:tcMar>
            <w:vAlign w:val="center"/>
          </w:tcPr>
          <w:p w14:paraId="11030419" w14:textId="33148E91"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w:t>
            </w:r>
          </w:p>
        </w:tc>
      </w:tr>
      <w:tr w:rsidR="00023E09" w:rsidRPr="00807DBD" w14:paraId="73D1B4E1" w14:textId="77777777" w:rsidTr="004E22C5">
        <w:trPr>
          <w:trHeight w:val="170"/>
        </w:trPr>
        <w:tc>
          <w:tcPr>
            <w:tcW w:w="3483" w:type="dxa"/>
            <w:tcMar>
              <w:top w:w="17" w:type="dxa"/>
              <w:left w:w="80" w:type="dxa"/>
              <w:bottom w:w="17" w:type="dxa"/>
              <w:right w:w="80" w:type="dxa"/>
            </w:tcMar>
          </w:tcPr>
          <w:p w14:paraId="754AEBBC" w14:textId="6EFEEAF8"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Mar>
              <w:top w:w="17" w:type="dxa"/>
              <w:left w:w="113" w:type="dxa"/>
              <w:bottom w:w="17" w:type="dxa"/>
              <w:right w:w="113" w:type="dxa"/>
            </w:tcMar>
          </w:tcPr>
          <w:p w14:paraId="56428581"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51088998" w14:textId="022BB175"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13,094</w:t>
            </w:r>
            <w:r w:rsidR="00105430" w:rsidRPr="00807DBD">
              <w:rPr>
                <w:rFonts w:asciiTheme="majorHAnsi" w:hAnsiTheme="majorHAnsi"/>
                <w:color w:val="292929"/>
                <w:sz w:val="14"/>
                <w:szCs w:val="14"/>
              </w:rPr>
              <w:t xml:space="preserve"> </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F935CFE" w14:textId="554E0713"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12,294</w:t>
            </w:r>
            <w:r w:rsidR="00105430" w:rsidRPr="00807DBD">
              <w:rPr>
                <w:color w:val="292929"/>
                <w:sz w:val="14"/>
                <w:szCs w:val="14"/>
              </w:rPr>
              <w:t xml:space="preserve"> </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63634EC5" w14:textId="210A5643"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12,294</w:t>
            </w:r>
          </w:p>
        </w:tc>
      </w:tr>
      <w:tr w:rsidR="00023E09" w:rsidRPr="00807DBD" w14:paraId="77DF8E68" w14:textId="77777777" w:rsidTr="004E22C5">
        <w:trPr>
          <w:trHeight w:val="170"/>
        </w:trPr>
        <w:tc>
          <w:tcPr>
            <w:tcW w:w="3483" w:type="dxa"/>
            <w:tcBorders>
              <w:bottom w:val="single" w:sz="4" w:space="0" w:color="FFFFFF" w:themeColor="background2"/>
            </w:tcBorders>
            <w:tcMar>
              <w:top w:w="17" w:type="dxa"/>
              <w:left w:w="80" w:type="dxa"/>
              <w:bottom w:w="17" w:type="dxa"/>
              <w:right w:w="80" w:type="dxa"/>
            </w:tcMar>
          </w:tcPr>
          <w:p w14:paraId="2EB60F88" w14:textId="77777777" w:rsidR="00F71E0B" w:rsidRPr="00807DBD" w:rsidRDefault="00F71E0B" w:rsidP="00C10B33">
            <w:pPr>
              <w:suppressAutoHyphens/>
              <w:autoSpaceDE w:val="0"/>
              <w:autoSpaceDN w:val="0"/>
              <w:adjustRightInd w:val="0"/>
              <w:spacing w:after="0" w:line="240" w:lineRule="auto"/>
              <w:textAlignment w:val="center"/>
              <w:rPr>
                <w:color w:val="292929"/>
                <w:sz w:val="14"/>
                <w:szCs w:val="14"/>
              </w:rPr>
            </w:pPr>
          </w:p>
        </w:tc>
        <w:tc>
          <w:tcPr>
            <w:tcW w:w="985" w:type="dxa"/>
            <w:tcBorders>
              <w:bottom w:val="single" w:sz="4" w:space="0" w:color="FFFFFF" w:themeColor="background2"/>
            </w:tcBorders>
            <w:tcMar>
              <w:top w:w="17" w:type="dxa"/>
              <w:left w:w="113" w:type="dxa"/>
              <w:bottom w:w="17" w:type="dxa"/>
              <w:right w:w="113" w:type="dxa"/>
            </w:tcMar>
          </w:tcPr>
          <w:p w14:paraId="197E94EC" w14:textId="77777777" w:rsidR="00F71E0B" w:rsidRPr="00807DBD" w:rsidRDefault="00F71E0B" w:rsidP="00C10B33">
            <w:pPr>
              <w:autoSpaceDE w:val="0"/>
              <w:autoSpaceDN w:val="0"/>
              <w:adjustRightInd w:val="0"/>
              <w:spacing w:after="0" w:line="240" w:lineRule="auto"/>
              <w:jc w:val="right"/>
              <w:rPr>
                <w:color w:val="292929"/>
                <w:sz w:val="14"/>
                <w:szCs w:val="14"/>
              </w:rPr>
            </w:pPr>
          </w:p>
        </w:tc>
        <w:tc>
          <w:tcPr>
            <w:tcW w:w="985" w:type="dxa"/>
            <w:tcBorders>
              <w:top w:val="single" w:sz="4" w:space="0" w:color="292929"/>
              <w:right w:val="single" w:sz="8" w:space="0" w:color="FFFFFF" w:themeColor="background2"/>
            </w:tcBorders>
            <w:tcMar>
              <w:top w:w="17" w:type="dxa"/>
              <w:left w:w="113" w:type="dxa"/>
              <w:bottom w:w="17" w:type="dxa"/>
              <w:right w:w="113" w:type="dxa"/>
            </w:tcMar>
          </w:tcPr>
          <w:p w14:paraId="2823E446" w14:textId="77777777" w:rsidR="00F71E0B" w:rsidRPr="00807DBD" w:rsidRDefault="00F71E0B" w:rsidP="00C10B33">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03F9104C" w14:textId="77777777" w:rsidR="00F71E0B" w:rsidRPr="00807DBD" w:rsidRDefault="00F71E0B" w:rsidP="00C10B33">
            <w:pPr>
              <w:suppressAutoHyphens/>
              <w:autoSpaceDE w:val="0"/>
              <w:autoSpaceDN w:val="0"/>
              <w:adjustRightInd w:val="0"/>
              <w:spacing w:after="0" w:line="240" w:lineRule="auto"/>
              <w:jc w:val="right"/>
              <w:textAlignment w:val="center"/>
              <w:rPr>
                <w:color w:val="292929"/>
                <w:sz w:val="14"/>
                <w:szCs w:val="14"/>
              </w:rPr>
            </w:pPr>
          </w:p>
        </w:tc>
        <w:tc>
          <w:tcPr>
            <w:tcW w:w="985" w:type="dxa"/>
            <w:tcBorders>
              <w:top w:val="single" w:sz="4" w:space="0" w:color="292929"/>
              <w:left w:val="single" w:sz="8" w:space="0" w:color="FFFFFF" w:themeColor="background2"/>
            </w:tcBorders>
            <w:tcMar>
              <w:top w:w="17" w:type="dxa"/>
              <w:left w:w="113" w:type="dxa"/>
              <w:bottom w:w="17" w:type="dxa"/>
              <w:right w:w="113" w:type="dxa"/>
            </w:tcMar>
            <w:vAlign w:val="center"/>
          </w:tcPr>
          <w:p w14:paraId="04F2F64D" w14:textId="77777777" w:rsidR="00F71E0B" w:rsidRPr="00807DBD" w:rsidRDefault="00F71E0B"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4D9B0B9A" w14:textId="77777777" w:rsidTr="00744A0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566732F3" w14:textId="0DBEF8A5"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EQUITY</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501A8831"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24E79991" w14:textId="7777777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Mar>
              <w:top w:w="17" w:type="dxa"/>
              <w:left w:w="113" w:type="dxa"/>
              <w:bottom w:w="17" w:type="dxa"/>
              <w:right w:w="113" w:type="dxa"/>
            </w:tcMar>
          </w:tcPr>
          <w:p w14:paraId="63FB1A61" w14:textId="77777777"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p>
        </w:tc>
        <w:tc>
          <w:tcPr>
            <w:tcW w:w="985" w:type="dxa"/>
            <w:tcMar>
              <w:top w:w="17" w:type="dxa"/>
              <w:left w:w="113" w:type="dxa"/>
              <w:bottom w:w="17" w:type="dxa"/>
              <w:right w:w="113" w:type="dxa"/>
            </w:tcMar>
            <w:vAlign w:val="center"/>
          </w:tcPr>
          <w:p w14:paraId="332FD8C0" w14:textId="7777777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023E09" w:rsidRPr="00807DBD" w14:paraId="6BA0CD26" w14:textId="77777777" w:rsidTr="00744A0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5018E238" w14:textId="58D4AA0C"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Opening balance</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65AB5EED"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7A65891A" w14:textId="3490009C"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2449B6F0" w14:textId="3DFCEDCD"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985" w:type="dxa"/>
            <w:tcMar>
              <w:top w:w="17" w:type="dxa"/>
              <w:left w:w="113" w:type="dxa"/>
              <w:bottom w:w="17" w:type="dxa"/>
              <w:right w:w="113" w:type="dxa"/>
            </w:tcMar>
          </w:tcPr>
          <w:p w14:paraId="3AFBDED8" w14:textId="16AF2F07"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4344E1F5" w14:textId="77777777" w:rsidTr="00744A0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12EB0BFD" w14:textId="337D7314"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Balance carried forward from previous period</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5E37B303"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19DB6C95" w14:textId="52B5EA50"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r w:rsidR="00FA5FF0" w:rsidRPr="00807DBD">
              <w:rPr>
                <w:rFonts w:asciiTheme="majorHAnsi" w:hAnsiTheme="majorHAnsi"/>
                <w:color w:val="292929"/>
                <w:sz w:val="14"/>
                <w:szCs w:val="14"/>
              </w:rPr>
              <w:t>12,768</w:t>
            </w: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11E15896" w14:textId="5ACD2EF4"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12,737</w:t>
            </w:r>
            <w:r w:rsidR="00105430" w:rsidRPr="00807DBD">
              <w:rPr>
                <w:color w:val="292929"/>
                <w:sz w:val="14"/>
                <w:szCs w:val="14"/>
              </w:rPr>
              <w:t xml:space="preserve"> </w:t>
            </w:r>
          </w:p>
        </w:tc>
        <w:tc>
          <w:tcPr>
            <w:tcW w:w="985" w:type="dxa"/>
            <w:tcMar>
              <w:top w:w="17" w:type="dxa"/>
              <w:left w:w="113" w:type="dxa"/>
              <w:bottom w:w="17" w:type="dxa"/>
              <w:right w:w="113" w:type="dxa"/>
            </w:tcMar>
          </w:tcPr>
          <w:p w14:paraId="0D103EC6" w14:textId="7A6A8977"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12,737</w:t>
            </w:r>
            <w:r w:rsidR="00105430" w:rsidRPr="00807DBD">
              <w:rPr>
                <w:color w:val="292929"/>
                <w:sz w:val="14"/>
                <w:szCs w:val="14"/>
              </w:rPr>
              <w:t xml:space="preserve"> </w:t>
            </w:r>
          </w:p>
        </w:tc>
      </w:tr>
      <w:tr w:rsidR="00023E09" w:rsidRPr="00807DBD" w14:paraId="0B06AB4E" w14:textId="77777777" w:rsidTr="00744A0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00FEEE21" w14:textId="77777777"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4F0209A1"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1C3854AF" w14:textId="7777777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985" w:type="dxa"/>
            <w:tcMar>
              <w:top w:w="17" w:type="dxa"/>
              <w:left w:w="113" w:type="dxa"/>
              <w:bottom w:w="17" w:type="dxa"/>
              <w:right w:w="113" w:type="dxa"/>
            </w:tcMar>
          </w:tcPr>
          <w:p w14:paraId="381591CB" w14:textId="77777777"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p>
        </w:tc>
        <w:tc>
          <w:tcPr>
            <w:tcW w:w="985" w:type="dxa"/>
            <w:tcMar>
              <w:top w:w="17" w:type="dxa"/>
              <w:left w:w="113" w:type="dxa"/>
              <w:bottom w:w="17" w:type="dxa"/>
              <w:right w:w="113" w:type="dxa"/>
            </w:tcMar>
          </w:tcPr>
          <w:p w14:paraId="2E86F8E1" w14:textId="77777777"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p>
        </w:tc>
      </w:tr>
      <w:tr w:rsidR="00023E09" w:rsidRPr="00807DBD" w14:paraId="293F684C" w14:textId="77777777" w:rsidTr="00744A0F">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449D5E67" w14:textId="673A7495"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Equity movements during the period</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643B6C8F"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56C08D4E" w14:textId="21C18A57" w:rsidR="00105430" w:rsidRPr="00807DBD" w:rsidRDefault="0010543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33F9BDA2" w14:textId="7EF3E682" w:rsidR="00105430" w:rsidRPr="00807DBD" w:rsidRDefault="0010543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985" w:type="dxa"/>
            <w:tcMar>
              <w:top w:w="17" w:type="dxa"/>
              <w:left w:w="113" w:type="dxa"/>
              <w:bottom w:w="17" w:type="dxa"/>
              <w:right w:w="113" w:type="dxa"/>
            </w:tcMar>
          </w:tcPr>
          <w:p w14:paraId="0EECB098" w14:textId="7C5B47A2" w:rsidR="00105430" w:rsidRPr="00807DBD" w:rsidRDefault="0010543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023E09" w:rsidRPr="00807DBD" w14:paraId="05AC57F6" w14:textId="77777777" w:rsidTr="004E22C5">
        <w:trPr>
          <w:trHeight w:val="170"/>
        </w:trPr>
        <w:tc>
          <w:tcPr>
            <w:tcW w:w="3483" w:type="dxa"/>
            <w:tcBorders>
              <w:top w:val="single" w:sz="4" w:space="0" w:color="FFFFFF" w:themeColor="background2"/>
              <w:bottom w:val="single" w:sz="4" w:space="0" w:color="FFFFFF" w:themeColor="background2"/>
            </w:tcBorders>
            <w:tcMar>
              <w:top w:w="17" w:type="dxa"/>
              <w:left w:w="80" w:type="dxa"/>
              <w:bottom w:w="17" w:type="dxa"/>
              <w:right w:w="80" w:type="dxa"/>
            </w:tcMar>
          </w:tcPr>
          <w:p w14:paraId="0091047B" w14:textId="714FDBD5"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Adjustment on initial application of AASB 16</w:t>
            </w:r>
          </w:p>
        </w:tc>
        <w:tc>
          <w:tcPr>
            <w:tcW w:w="985" w:type="dxa"/>
            <w:tcBorders>
              <w:top w:val="single" w:sz="4" w:space="0" w:color="FFFFFF" w:themeColor="background2"/>
              <w:bottom w:val="single" w:sz="4" w:space="0" w:color="FFFFFF" w:themeColor="background2"/>
            </w:tcBorders>
            <w:tcMar>
              <w:top w:w="17" w:type="dxa"/>
              <w:left w:w="113" w:type="dxa"/>
              <w:bottom w:w="17" w:type="dxa"/>
              <w:right w:w="113" w:type="dxa"/>
            </w:tcMar>
          </w:tcPr>
          <w:p w14:paraId="56658021"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Mar>
              <w:top w:w="17" w:type="dxa"/>
              <w:left w:w="113" w:type="dxa"/>
              <w:bottom w:w="17" w:type="dxa"/>
              <w:right w:w="113" w:type="dxa"/>
            </w:tcMar>
          </w:tcPr>
          <w:p w14:paraId="0EF15A98" w14:textId="1E715162"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(123)</w:t>
            </w:r>
            <w:r w:rsidR="00105430" w:rsidRPr="00807DBD">
              <w:rPr>
                <w:rFonts w:asciiTheme="majorHAnsi" w:hAnsiTheme="majorHAnsi"/>
                <w:color w:val="292929"/>
                <w:sz w:val="14"/>
                <w:szCs w:val="14"/>
              </w:rPr>
              <w:t xml:space="preserve"> </w:t>
            </w:r>
          </w:p>
        </w:tc>
        <w:tc>
          <w:tcPr>
            <w:tcW w:w="985" w:type="dxa"/>
            <w:tcMar>
              <w:top w:w="17" w:type="dxa"/>
              <w:left w:w="113" w:type="dxa"/>
              <w:bottom w:w="17" w:type="dxa"/>
              <w:right w:w="113" w:type="dxa"/>
            </w:tcMar>
          </w:tcPr>
          <w:p w14:paraId="5C2D27AC" w14:textId="4F6A233E"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w:t>
            </w:r>
            <w:r w:rsidR="00105430" w:rsidRPr="00807DBD">
              <w:rPr>
                <w:color w:val="292929"/>
                <w:sz w:val="14"/>
                <w:szCs w:val="14"/>
              </w:rPr>
              <w:t xml:space="preserve"> </w:t>
            </w:r>
          </w:p>
        </w:tc>
        <w:tc>
          <w:tcPr>
            <w:tcW w:w="985" w:type="dxa"/>
            <w:tcMar>
              <w:top w:w="17" w:type="dxa"/>
              <w:left w:w="113" w:type="dxa"/>
              <w:bottom w:w="17" w:type="dxa"/>
              <w:right w:w="113" w:type="dxa"/>
            </w:tcMar>
          </w:tcPr>
          <w:p w14:paraId="4B57E300" w14:textId="1136D31A" w:rsidR="00105430" w:rsidRPr="00807DBD" w:rsidRDefault="00FA5FF0" w:rsidP="0010543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w:t>
            </w:r>
            <w:r w:rsidR="00105430" w:rsidRPr="00807DBD">
              <w:rPr>
                <w:color w:val="292929"/>
                <w:sz w:val="14"/>
                <w:szCs w:val="14"/>
              </w:rPr>
              <w:t xml:space="preserve"> </w:t>
            </w:r>
          </w:p>
        </w:tc>
      </w:tr>
      <w:tr w:rsidR="00023E09" w:rsidRPr="00807DBD" w14:paraId="56A3F631" w14:textId="77777777" w:rsidTr="004E22C5">
        <w:trPr>
          <w:trHeight w:val="170"/>
        </w:trPr>
        <w:tc>
          <w:tcPr>
            <w:tcW w:w="3483" w:type="dxa"/>
            <w:tcBorders>
              <w:top w:val="single" w:sz="4" w:space="0" w:color="FFFFFF" w:themeColor="background2"/>
              <w:bottom w:val="single" w:sz="8" w:space="0" w:color="FFFFFF" w:themeColor="background2"/>
            </w:tcBorders>
            <w:tcMar>
              <w:top w:w="17" w:type="dxa"/>
              <w:left w:w="80" w:type="dxa"/>
              <w:bottom w:w="17" w:type="dxa"/>
              <w:right w:w="80" w:type="dxa"/>
            </w:tcMar>
          </w:tcPr>
          <w:p w14:paraId="1D591E87" w14:textId="1FB15DA9" w:rsidR="00105430" w:rsidRPr="00807DBD" w:rsidRDefault="00105430" w:rsidP="00105430">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Surplus for the period</w:t>
            </w:r>
          </w:p>
        </w:tc>
        <w:tc>
          <w:tcPr>
            <w:tcW w:w="985" w:type="dxa"/>
            <w:tcBorders>
              <w:top w:val="single" w:sz="4" w:space="0" w:color="FFFFFF" w:themeColor="background2"/>
              <w:bottom w:val="single" w:sz="8" w:space="0" w:color="FFFFFF" w:themeColor="background2"/>
            </w:tcBorders>
            <w:tcMar>
              <w:top w:w="17" w:type="dxa"/>
              <w:left w:w="113" w:type="dxa"/>
              <w:bottom w:w="17" w:type="dxa"/>
              <w:right w:w="113" w:type="dxa"/>
            </w:tcMar>
          </w:tcPr>
          <w:p w14:paraId="7EF4E599"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bottom w:val="single" w:sz="4" w:space="0" w:color="292929"/>
              <w:right w:val="single" w:sz="8" w:space="0" w:color="FFFFFF" w:themeColor="background2"/>
            </w:tcBorders>
            <w:tcMar>
              <w:top w:w="17" w:type="dxa"/>
              <w:left w:w="113" w:type="dxa"/>
              <w:bottom w:w="17" w:type="dxa"/>
              <w:right w:w="113" w:type="dxa"/>
            </w:tcMar>
          </w:tcPr>
          <w:p w14:paraId="14192681" w14:textId="2DE2699D"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849</w:t>
            </w:r>
          </w:p>
        </w:tc>
        <w:tc>
          <w:tcPr>
            <w:tcW w:w="985"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3E6E986" w14:textId="5BD13787"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31</w:t>
            </w:r>
          </w:p>
        </w:tc>
        <w:tc>
          <w:tcPr>
            <w:tcW w:w="985" w:type="dxa"/>
            <w:tcBorders>
              <w:left w:val="single" w:sz="8" w:space="0" w:color="FFFFFF" w:themeColor="background2"/>
              <w:bottom w:val="single" w:sz="4" w:space="0" w:color="292929"/>
            </w:tcBorders>
            <w:tcMar>
              <w:top w:w="17" w:type="dxa"/>
              <w:left w:w="113" w:type="dxa"/>
              <w:bottom w:w="17" w:type="dxa"/>
              <w:right w:w="113" w:type="dxa"/>
            </w:tcMar>
          </w:tcPr>
          <w:p w14:paraId="6C99782B" w14:textId="7F4D5712"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w:t>
            </w:r>
          </w:p>
        </w:tc>
      </w:tr>
      <w:tr w:rsidR="00023E09" w:rsidRPr="00807DBD" w14:paraId="643E2009" w14:textId="77777777" w:rsidTr="004E22C5">
        <w:trPr>
          <w:trHeight w:val="170"/>
        </w:trPr>
        <w:tc>
          <w:tcPr>
            <w:tcW w:w="3483" w:type="dxa"/>
            <w:tcBorders>
              <w:top w:val="single" w:sz="8" w:space="0" w:color="FFFFFF" w:themeColor="background2"/>
              <w:bottom w:val="single" w:sz="8" w:space="0" w:color="FFFFFF" w:themeColor="background2"/>
            </w:tcBorders>
            <w:tcMar>
              <w:top w:w="17" w:type="dxa"/>
              <w:left w:w="80" w:type="dxa"/>
              <w:bottom w:w="17" w:type="dxa"/>
              <w:right w:w="80" w:type="dxa"/>
            </w:tcMar>
          </w:tcPr>
          <w:p w14:paraId="42031B40" w14:textId="7262E9CB" w:rsidR="00105430" w:rsidRPr="00807DBD" w:rsidRDefault="00105430" w:rsidP="0010543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top w:val="single" w:sz="8" w:space="0" w:color="FFFFFF" w:themeColor="background2"/>
              <w:bottom w:val="single" w:sz="8" w:space="0" w:color="FFFFFF" w:themeColor="background2"/>
            </w:tcBorders>
            <w:tcMar>
              <w:top w:w="17" w:type="dxa"/>
              <w:left w:w="113" w:type="dxa"/>
              <w:bottom w:w="17" w:type="dxa"/>
              <w:right w:w="113" w:type="dxa"/>
            </w:tcMar>
          </w:tcPr>
          <w:p w14:paraId="0C394BC8" w14:textId="77777777" w:rsidR="00105430" w:rsidRPr="00807DBD" w:rsidRDefault="00105430" w:rsidP="00105430">
            <w:pPr>
              <w:autoSpaceDE w:val="0"/>
              <w:autoSpaceDN w:val="0"/>
              <w:adjustRightInd w:val="0"/>
              <w:spacing w:after="0" w:line="240" w:lineRule="auto"/>
              <w:jc w:val="right"/>
              <w:rPr>
                <w:color w:val="292929"/>
                <w:sz w:val="14"/>
                <w:szCs w:val="14"/>
              </w:rPr>
            </w:pPr>
          </w:p>
        </w:tc>
        <w:tc>
          <w:tcPr>
            <w:tcW w:w="985"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0D1CEFDB" w14:textId="1A6BD0DD" w:rsidR="00105430" w:rsidRPr="00807DBD" w:rsidRDefault="00FA5FF0" w:rsidP="00105430">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13,494</w:t>
            </w:r>
          </w:p>
        </w:tc>
        <w:tc>
          <w:tcPr>
            <w:tcW w:w="985"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A2A60E1" w14:textId="7F6F428D"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12,768</w:t>
            </w:r>
          </w:p>
        </w:tc>
        <w:tc>
          <w:tcPr>
            <w:tcW w:w="985"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36D353AF" w14:textId="3A96CD64" w:rsidR="00105430" w:rsidRPr="00807DBD" w:rsidRDefault="00FA5FF0" w:rsidP="00105430">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12,737</w:t>
            </w:r>
          </w:p>
        </w:tc>
      </w:tr>
      <w:tr w:rsidR="004E22C5" w:rsidRPr="004E22C5" w14:paraId="5FF43FC2" w14:textId="77777777" w:rsidTr="004E22C5">
        <w:trPr>
          <w:trHeight w:val="57"/>
        </w:trPr>
        <w:tc>
          <w:tcPr>
            <w:tcW w:w="3483" w:type="dxa"/>
            <w:tcBorders>
              <w:top w:val="single" w:sz="8" w:space="0" w:color="FFFFFF" w:themeColor="background2"/>
              <w:bottom w:val="single" w:sz="8" w:space="0" w:color="FFFFFF" w:themeColor="background2"/>
            </w:tcBorders>
            <w:tcMar>
              <w:top w:w="17" w:type="dxa"/>
              <w:left w:w="80" w:type="dxa"/>
              <w:bottom w:w="17" w:type="dxa"/>
              <w:right w:w="80" w:type="dxa"/>
            </w:tcMar>
          </w:tcPr>
          <w:p w14:paraId="7D89BA40" w14:textId="77777777" w:rsidR="004E22C5" w:rsidRPr="004E22C5" w:rsidRDefault="004E22C5" w:rsidP="00105430">
            <w:pPr>
              <w:suppressAutoHyphens/>
              <w:autoSpaceDE w:val="0"/>
              <w:autoSpaceDN w:val="0"/>
              <w:adjustRightInd w:val="0"/>
              <w:spacing w:after="0" w:line="240" w:lineRule="auto"/>
              <w:textAlignment w:val="center"/>
              <w:rPr>
                <w:rFonts w:asciiTheme="majorHAnsi" w:hAnsiTheme="majorHAnsi"/>
                <w:color w:val="292929"/>
                <w:sz w:val="4"/>
                <w:szCs w:val="4"/>
              </w:rPr>
            </w:pPr>
          </w:p>
        </w:tc>
        <w:tc>
          <w:tcPr>
            <w:tcW w:w="985" w:type="dxa"/>
            <w:tcBorders>
              <w:top w:val="single" w:sz="8" w:space="0" w:color="FFFFFF" w:themeColor="background2"/>
              <w:bottom w:val="single" w:sz="8" w:space="0" w:color="FFFFFF" w:themeColor="background2"/>
            </w:tcBorders>
            <w:tcMar>
              <w:top w:w="17" w:type="dxa"/>
              <w:left w:w="113" w:type="dxa"/>
              <w:bottom w:w="17" w:type="dxa"/>
              <w:right w:w="113" w:type="dxa"/>
            </w:tcMar>
          </w:tcPr>
          <w:p w14:paraId="27BB3717" w14:textId="77777777" w:rsidR="004E22C5" w:rsidRPr="004E22C5" w:rsidRDefault="004E22C5" w:rsidP="00105430">
            <w:pPr>
              <w:autoSpaceDE w:val="0"/>
              <w:autoSpaceDN w:val="0"/>
              <w:adjustRightInd w:val="0"/>
              <w:spacing w:after="0" w:line="240" w:lineRule="auto"/>
              <w:jc w:val="right"/>
              <w:rPr>
                <w:color w:val="292929"/>
                <w:sz w:val="4"/>
                <w:szCs w:val="4"/>
              </w:rPr>
            </w:pPr>
          </w:p>
        </w:tc>
        <w:tc>
          <w:tcPr>
            <w:tcW w:w="985" w:type="dxa"/>
            <w:tcBorders>
              <w:top w:val="single" w:sz="4" w:space="0" w:color="292929"/>
              <w:bottom w:val="single" w:sz="8" w:space="0" w:color="FFFFFF" w:themeColor="background2"/>
              <w:right w:val="single" w:sz="8" w:space="0" w:color="FFFFFF" w:themeColor="background2"/>
            </w:tcBorders>
            <w:tcMar>
              <w:top w:w="17" w:type="dxa"/>
              <w:left w:w="113" w:type="dxa"/>
              <w:bottom w:w="17" w:type="dxa"/>
              <w:right w:w="113" w:type="dxa"/>
            </w:tcMar>
          </w:tcPr>
          <w:p w14:paraId="543D4159" w14:textId="77777777" w:rsidR="004E22C5" w:rsidRPr="004E22C5" w:rsidRDefault="004E22C5" w:rsidP="00105430">
            <w:pPr>
              <w:suppressAutoHyphens/>
              <w:autoSpaceDE w:val="0"/>
              <w:autoSpaceDN w:val="0"/>
              <w:adjustRightInd w:val="0"/>
              <w:spacing w:after="0" w:line="240" w:lineRule="auto"/>
              <w:jc w:val="right"/>
              <w:textAlignment w:val="center"/>
              <w:rPr>
                <w:rFonts w:asciiTheme="majorHAnsi" w:hAnsiTheme="majorHAnsi"/>
                <w:color w:val="292929"/>
                <w:sz w:val="4"/>
                <w:szCs w:val="4"/>
              </w:rPr>
            </w:pPr>
          </w:p>
        </w:tc>
        <w:tc>
          <w:tcPr>
            <w:tcW w:w="985" w:type="dxa"/>
            <w:tcBorders>
              <w:top w:val="single" w:sz="4" w:space="0" w:color="292929"/>
              <w:left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4D00E4EC" w14:textId="77777777" w:rsidR="004E22C5" w:rsidRPr="004E22C5" w:rsidRDefault="004E22C5" w:rsidP="00105430">
            <w:pPr>
              <w:suppressAutoHyphens/>
              <w:autoSpaceDE w:val="0"/>
              <w:autoSpaceDN w:val="0"/>
              <w:adjustRightInd w:val="0"/>
              <w:spacing w:after="0" w:line="240" w:lineRule="auto"/>
              <w:jc w:val="right"/>
              <w:textAlignment w:val="center"/>
              <w:rPr>
                <w:color w:val="292929"/>
                <w:sz w:val="4"/>
                <w:szCs w:val="4"/>
              </w:rPr>
            </w:pPr>
          </w:p>
        </w:tc>
        <w:tc>
          <w:tcPr>
            <w:tcW w:w="985"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365B19A9" w14:textId="77777777" w:rsidR="004E22C5" w:rsidRPr="004E22C5" w:rsidRDefault="004E22C5" w:rsidP="00105430">
            <w:pPr>
              <w:suppressAutoHyphens/>
              <w:autoSpaceDE w:val="0"/>
              <w:autoSpaceDN w:val="0"/>
              <w:adjustRightInd w:val="0"/>
              <w:spacing w:after="0" w:line="240" w:lineRule="auto"/>
              <w:jc w:val="right"/>
              <w:textAlignment w:val="center"/>
              <w:rPr>
                <w:color w:val="292929"/>
                <w:sz w:val="4"/>
                <w:szCs w:val="4"/>
              </w:rPr>
            </w:pPr>
          </w:p>
        </w:tc>
      </w:tr>
      <w:tr w:rsidR="00807DBD" w:rsidRPr="00807DBD" w14:paraId="71590C4B" w14:textId="77777777" w:rsidTr="004E22C5">
        <w:trPr>
          <w:trHeight w:val="454"/>
        </w:trPr>
        <w:tc>
          <w:tcPr>
            <w:tcW w:w="7423" w:type="dxa"/>
            <w:gridSpan w:val="5"/>
            <w:tcBorders>
              <w:top w:val="single" w:sz="8" w:space="0" w:color="FFFFFF" w:themeColor="background2"/>
              <w:right w:val="single" w:sz="4" w:space="0" w:color="FFFFFF" w:themeColor="background2"/>
            </w:tcBorders>
            <w:tcMar>
              <w:top w:w="17" w:type="dxa"/>
              <w:left w:w="80" w:type="dxa"/>
              <w:bottom w:w="17" w:type="dxa"/>
              <w:right w:w="80" w:type="dxa"/>
            </w:tcMar>
            <w:vAlign w:val="center"/>
          </w:tcPr>
          <w:p w14:paraId="3FB72D7E" w14:textId="77777777" w:rsidR="00F71E0B" w:rsidRPr="00807DBD" w:rsidRDefault="00F71E0B" w:rsidP="00C10B33">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3819C454" w14:textId="6892D188" w:rsidR="008F0E90" w:rsidRPr="00AF083D" w:rsidRDefault="008F0E90" w:rsidP="00AF083D">
      <w:pPr>
        <w:pStyle w:val="H4"/>
        <w:spacing w:before="120" w:after="120"/>
        <w:rPr>
          <w:sz w:val="18"/>
        </w:rPr>
      </w:pPr>
      <w:r w:rsidRPr="00AF083D">
        <w:rPr>
          <w:sz w:val="18"/>
        </w:rPr>
        <w:t>Budget Variances Commentary</w:t>
      </w:r>
    </w:p>
    <w:p w14:paraId="0800E792" w14:textId="77777777" w:rsidR="008F0E90" w:rsidRPr="00AF083D" w:rsidRDefault="008F0E90" w:rsidP="00AF083D">
      <w:pPr>
        <w:pStyle w:val="Body"/>
        <w:spacing w:after="60"/>
        <w:rPr>
          <w:b/>
          <w:bCs/>
          <w:sz w:val="14"/>
          <w:szCs w:val="14"/>
        </w:rPr>
      </w:pPr>
      <w:r w:rsidRPr="00AF083D">
        <w:rPr>
          <w:b/>
          <w:bCs/>
          <w:sz w:val="14"/>
          <w:szCs w:val="14"/>
        </w:rPr>
        <w:t xml:space="preserve">Statement of Changes in Equity </w:t>
      </w:r>
    </w:p>
    <w:p w14:paraId="43EDD014" w14:textId="127FD4DE" w:rsidR="00BF127F" w:rsidRPr="00AF083D" w:rsidRDefault="008F0E90" w:rsidP="00AF083D">
      <w:pPr>
        <w:pStyle w:val="Body"/>
        <w:spacing w:after="60"/>
        <w:rPr>
          <w:sz w:val="14"/>
          <w:szCs w:val="14"/>
        </w:rPr>
      </w:pPr>
      <w:r w:rsidRPr="00AF083D">
        <w:rPr>
          <w:sz w:val="14"/>
          <w:szCs w:val="14"/>
        </w:rPr>
        <w:t>Total equity of $13.494m was $0.757m higher than the budget of $12.737</w:t>
      </w:r>
      <w:r w:rsidR="007B3AE2">
        <w:rPr>
          <w:sz w:val="14"/>
          <w:szCs w:val="14"/>
        </w:rPr>
        <w:t>m</w:t>
      </w:r>
      <w:r w:rsidRPr="00AF083D">
        <w:rPr>
          <w:sz w:val="14"/>
          <w:szCs w:val="14"/>
        </w:rPr>
        <w:t xml:space="preserve"> primarily due to the current period surplus noting the budget is derived on a break-even assumption. IHPA has applied AASB 16 </w:t>
      </w:r>
      <w:r w:rsidRPr="00AF083D">
        <w:rPr>
          <w:i/>
          <w:iCs/>
          <w:sz w:val="14"/>
          <w:szCs w:val="14"/>
        </w:rPr>
        <w:t>Leases</w:t>
      </w:r>
      <w:r w:rsidRPr="00AF083D">
        <w:rPr>
          <w:sz w:val="14"/>
          <w:szCs w:val="14"/>
        </w:rPr>
        <w:t xml:space="preserve"> using the modified retrospective approach and applied adjustments on initial application against retained earnings in accordance with the standard.</w:t>
      </w:r>
    </w:p>
    <w:p w14:paraId="56CB96E0" w14:textId="77777777" w:rsidR="00472C55" w:rsidRDefault="00472C55" w:rsidP="00646163">
      <w:pPr>
        <w:pStyle w:val="Body"/>
        <w:sectPr w:rsidR="00472C55" w:rsidSect="00B20BE1">
          <w:footnotePr>
            <w:pos w:val="beneathText"/>
          </w:footnotePr>
          <w:pgSz w:w="9979" w:h="14175" w:code="13"/>
          <w:pgMar w:top="1134" w:right="1418" w:bottom="992" w:left="1418" w:header="709" w:footer="709" w:gutter="0"/>
          <w:cols w:space="623"/>
          <w:docGrid w:linePitch="360"/>
        </w:sectPr>
      </w:pPr>
    </w:p>
    <w:p w14:paraId="0CFE140F" w14:textId="3DCC34DB" w:rsidR="000B011F" w:rsidRDefault="000B011F" w:rsidP="000B011F">
      <w:pPr>
        <w:pStyle w:val="H3Financials"/>
      </w:pPr>
      <w:bookmarkStart w:id="118" w:name="_Toc48828397"/>
      <w:bookmarkStart w:id="119" w:name="Cashflowstatement"/>
      <w:r>
        <w:lastRenderedPageBreak/>
        <w:t>Cash flow statement</w:t>
      </w:r>
      <w:bookmarkEnd w:id="118"/>
      <w:r>
        <w:t xml:space="preserve"> </w:t>
      </w:r>
    </w:p>
    <w:bookmarkEnd w:id="119"/>
    <w:p w14:paraId="0A5441DE" w14:textId="77777777" w:rsidR="000B011F" w:rsidRPr="00F73A32" w:rsidRDefault="000B011F" w:rsidP="000B011F">
      <w:pPr>
        <w:pStyle w:val="Body"/>
        <w:rPr>
          <w:i/>
          <w:iCs/>
        </w:rPr>
      </w:pPr>
      <w:r w:rsidRPr="00F71E0B">
        <w:rPr>
          <w:i/>
          <w:iCs/>
        </w:rPr>
        <w:t>for the period ended 30 June 2020</w:t>
      </w:r>
    </w:p>
    <w:tbl>
      <w:tblPr>
        <w:tblW w:w="7423" w:type="dxa"/>
        <w:tblInd w:w="-8" w:type="dxa"/>
        <w:tblLayout w:type="fixed"/>
        <w:tblCellMar>
          <w:left w:w="0" w:type="dxa"/>
          <w:right w:w="0" w:type="dxa"/>
        </w:tblCellMar>
        <w:tblLook w:val="0000" w:firstRow="0" w:lastRow="0" w:firstColumn="0" w:lastColumn="0" w:noHBand="0" w:noVBand="0"/>
      </w:tblPr>
      <w:tblGrid>
        <w:gridCol w:w="4082"/>
        <w:gridCol w:w="794"/>
        <w:gridCol w:w="794"/>
        <w:gridCol w:w="794"/>
        <w:gridCol w:w="850"/>
        <w:gridCol w:w="109"/>
      </w:tblGrid>
      <w:tr w:rsidR="00807DBD" w:rsidRPr="00807DBD" w14:paraId="31A38BF1" w14:textId="77777777" w:rsidTr="00583F11">
        <w:trPr>
          <w:gridAfter w:val="1"/>
          <w:wAfter w:w="109" w:type="dxa"/>
          <w:trHeight w:val="340"/>
          <w:tblHeader/>
        </w:trPr>
        <w:tc>
          <w:tcPr>
            <w:tcW w:w="4082" w:type="dxa"/>
            <w:tcBorders>
              <w:bottom w:val="single" w:sz="4" w:space="0" w:color="FFFFFF" w:themeColor="background2"/>
            </w:tcBorders>
            <w:tcMar>
              <w:top w:w="28" w:type="dxa"/>
              <w:left w:w="113" w:type="dxa"/>
              <w:bottom w:w="28" w:type="dxa"/>
              <w:right w:w="113" w:type="dxa"/>
            </w:tcMar>
            <w:vAlign w:val="bottom"/>
          </w:tcPr>
          <w:p w14:paraId="5D6FA0E3" w14:textId="77777777" w:rsidR="000B011F" w:rsidRPr="00807DBD" w:rsidRDefault="000B011F" w:rsidP="00C10B33">
            <w:pPr>
              <w:autoSpaceDE w:val="0"/>
              <w:autoSpaceDN w:val="0"/>
              <w:adjustRightInd w:val="0"/>
              <w:spacing w:after="0" w:line="240" w:lineRule="auto"/>
              <w:rPr>
                <w:rFonts w:ascii="Futura PT Book" w:hAnsi="Futura PT Book"/>
                <w:color w:val="292929"/>
                <w:sz w:val="24"/>
                <w:szCs w:val="24"/>
              </w:rPr>
            </w:pPr>
          </w:p>
        </w:tc>
        <w:tc>
          <w:tcPr>
            <w:tcW w:w="794"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1E7C09FF" w14:textId="77777777" w:rsidR="000B011F" w:rsidRPr="00807DBD" w:rsidRDefault="000B011F" w:rsidP="00C10B33">
            <w:pPr>
              <w:suppressAutoHyphens/>
              <w:autoSpaceDE w:val="0"/>
              <w:autoSpaceDN w:val="0"/>
              <w:adjustRightInd w:val="0"/>
              <w:spacing w:after="57"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794"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179833D6" w14:textId="77777777" w:rsidR="000B011F" w:rsidRPr="00807DBD" w:rsidRDefault="000B011F" w:rsidP="00C10B33">
            <w:pPr>
              <w:suppressAutoHyphens/>
              <w:autoSpaceDE w:val="0"/>
              <w:autoSpaceDN w:val="0"/>
              <w:adjustRightInd w:val="0"/>
              <w:spacing w:after="57"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2020</w:t>
            </w:r>
            <w:r w:rsidRPr="00807DBD">
              <w:rPr>
                <w:rFonts w:asciiTheme="majorHAnsi" w:hAnsiTheme="majorHAnsi" w:cs="Futura PT Heavy"/>
                <w:color w:val="292929"/>
                <w:sz w:val="16"/>
                <w:szCs w:val="16"/>
                <w:lang w:val="en-US"/>
              </w:rPr>
              <w:br/>
              <w:t>$’000</w:t>
            </w:r>
          </w:p>
        </w:tc>
        <w:tc>
          <w:tcPr>
            <w:tcW w:w="794"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4509550F" w14:textId="77777777" w:rsidR="000B011F" w:rsidRPr="00807DBD" w:rsidRDefault="000B011F" w:rsidP="00C10B33">
            <w:pPr>
              <w:suppressAutoHyphens/>
              <w:autoSpaceDE w:val="0"/>
              <w:autoSpaceDN w:val="0"/>
              <w:adjustRightInd w:val="0"/>
              <w:spacing w:after="57"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2019</w:t>
            </w:r>
            <w:r w:rsidRPr="00807DBD">
              <w:rPr>
                <w:rFonts w:asciiTheme="majorHAnsi" w:hAnsiTheme="majorHAnsi" w:cs="Futura PT Heavy"/>
                <w:color w:val="292929"/>
                <w:sz w:val="16"/>
                <w:szCs w:val="16"/>
                <w:lang w:val="en-US"/>
              </w:rPr>
              <w:br/>
              <w:t>$’000</w:t>
            </w:r>
          </w:p>
        </w:tc>
        <w:tc>
          <w:tcPr>
            <w:tcW w:w="850"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121102C2" w14:textId="77777777" w:rsidR="000B011F" w:rsidRPr="00807DBD" w:rsidRDefault="000B011F" w:rsidP="00C10B33">
            <w:pPr>
              <w:suppressAutoHyphens/>
              <w:autoSpaceDE w:val="0"/>
              <w:autoSpaceDN w:val="0"/>
              <w:adjustRightInd w:val="0"/>
              <w:spacing w:after="57"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807DBD" w:rsidRPr="00807DBD" w14:paraId="337CEE2D" w14:textId="77777777" w:rsidTr="002550CF">
        <w:trPr>
          <w:gridAfter w:val="1"/>
          <w:wAfter w:w="109" w:type="dxa"/>
          <w:trHeight w:val="170"/>
        </w:trPr>
        <w:tc>
          <w:tcPr>
            <w:tcW w:w="4082"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A3C709E" w14:textId="5653DC57" w:rsidR="00D46AE4" w:rsidRPr="00807DBD" w:rsidRDefault="00D46AE4" w:rsidP="00D46AE4">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OPERATING ACTIVITIES</w:t>
            </w:r>
          </w:p>
        </w:tc>
        <w:tc>
          <w:tcPr>
            <w:tcW w:w="794"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2BB955F6" w14:textId="77777777" w:rsidR="00D46AE4" w:rsidRPr="00807DBD" w:rsidRDefault="00D46AE4" w:rsidP="00D46AE4">
            <w:pPr>
              <w:autoSpaceDE w:val="0"/>
              <w:autoSpaceDN w:val="0"/>
              <w:adjustRightInd w:val="0"/>
              <w:spacing w:after="0" w:line="240" w:lineRule="auto"/>
              <w:jc w:val="right"/>
              <w:rPr>
                <w:color w:val="292929"/>
                <w:sz w:val="14"/>
                <w:szCs w:val="14"/>
              </w:rPr>
            </w:pPr>
          </w:p>
        </w:tc>
        <w:tc>
          <w:tcPr>
            <w:tcW w:w="794" w:type="dxa"/>
            <w:tcBorders>
              <w:top w:val="single" w:sz="12" w:space="0" w:color="292929"/>
              <w:left w:val="single" w:sz="18" w:space="0" w:color="FFFFFF" w:themeColor="background2"/>
              <w:right w:val="single" w:sz="18" w:space="0" w:color="FFFFFF" w:themeColor="background2"/>
            </w:tcBorders>
            <w:tcMar>
              <w:top w:w="17" w:type="dxa"/>
              <w:left w:w="113" w:type="dxa"/>
              <w:bottom w:w="17" w:type="dxa"/>
              <w:right w:w="113" w:type="dxa"/>
            </w:tcMar>
          </w:tcPr>
          <w:p w14:paraId="00237BD0" w14:textId="77777777" w:rsidR="00D46AE4" w:rsidRPr="00807DBD" w:rsidRDefault="00D46AE4" w:rsidP="00D46AE4">
            <w:pPr>
              <w:autoSpaceDE w:val="0"/>
              <w:autoSpaceDN w:val="0"/>
              <w:adjustRightInd w:val="0"/>
              <w:spacing w:after="0" w:line="240" w:lineRule="auto"/>
              <w:jc w:val="right"/>
              <w:rPr>
                <w:rFonts w:asciiTheme="majorHAnsi" w:hAnsiTheme="majorHAnsi"/>
                <w:color w:val="292929"/>
                <w:sz w:val="14"/>
                <w:szCs w:val="14"/>
              </w:rPr>
            </w:pPr>
          </w:p>
        </w:tc>
        <w:tc>
          <w:tcPr>
            <w:tcW w:w="794" w:type="dxa"/>
            <w:tcBorders>
              <w:top w:val="single" w:sz="12" w:space="0" w:color="292929"/>
              <w:left w:val="single" w:sz="18" w:space="0" w:color="FFFFFF" w:themeColor="background2"/>
              <w:right w:val="single" w:sz="18" w:space="0" w:color="FFFFFF" w:themeColor="background2"/>
            </w:tcBorders>
            <w:tcMar>
              <w:top w:w="17" w:type="dxa"/>
              <w:left w:w="113" w:type="dxa"/>
              <w:bottom w:w="17" w:type="dxa"/>
              <w:right w:w="113" w:type="dxa"/>
            </w:tcMar>
          </w:tcPr>
          <w:p w14:paraId="6C518BF0" w14:textId="77777777" w:rsidR="00D46AE4" w:rsidRPr="00807DBD" w:rsidRDefault="00D46AE4" w:rsidP="00D46AE4">
            <w:pPr>
              <w:autoSpaceDE w:val="0"/>
              <w:autoSpaceDN w:val="0"/>
              <w:adjustRightInd w:val="0"/>
              <w:spacing w:after="0" w:line="240" w:lineRule="auto"/>
              <w:jc w:val="right"/>
              <w:rPr>
                <w:color w:val="292929"/>
                <w:sz w:val="14"/>
                <w:szCs w:val="14"/>
              </w:rPr>
            </w:pPr>
          </w:p>
        </w:tc>
        <w:tc>
          <w:tcPr>
            <w:tcW w:w="850" w:type="dxa"/>
            <w:tcBorders>
              <w:top w:val="single" w:sz="12" w:space="0" w:color="292929"/>
              <w:left w:val="single" w:sz="18" w:space="0" w:color="FFFFFF" w:themeColor="background2"/>
            </w:tcBorders>
            <w:tcMar>
              <w:top w:w="17" w:type="dxa"/>
              <w:left w:w="113" w:type="dxa"/>
              <w:bottom w:w="17" w:type="dxa"/>
              <w:right w:w="113" w:type="dxa"/>
            </w:tcMar>
          </w:tcPr>
          <w:p w14:paraId="0F726AEE" w14:textId="77777777" w:rsidR="00D46AE4" w:rsidRPr="00807DBD" w:rsidRDefault="00D46AE4" w:rsidP="00D46AE4">
            <w:pPr>
              <w:autoSpaceDE w:val="0"/>
              <w:autoSpaceDN w:val="0"/>
              <w:adjustRightInd w:val="0"/>
              <w:spacing w:after="0" w:line="240" w:lineRule="auto"/>
              <w:jc w:val="right"/>
              <w:rPr>
                <w:color w:val="292929"/>
                <w:sz w:val="14"/>
                <w:szCs w:val="14"/>
              </w:rPr>
            </w:pPr>
          </w:p>
        </w:tc>
      </w:tr>
      <w:tr w:rsidR="00807DBD" w:rsidRPr="00807DBD" w14:paraId="1A0E8408" w14:textId="77777777" w:rsidTr="00583F11">
        <w:trPr>
          <w:gridAfter w:val="1"/>
          <w:wAfter w:w="109" w:type="dxa"/>
          <w:trHeight w:val="170"/>
        </w:trPr>
        <w:tc>
          <w:tcPr>
            <w:tcW w:w="4082" w:type="dxa"/>
            <w:tcBorders>
              <w:top w:val="single" w:sz="4" w:space="0" w:color="FFFFFF" w:themeColor="background2"/>
              <w:left w:val="single" w:sz="4" w:space="0" w:color="FFFFFF" w:themeColor="background2"/>
              <w:right w:val="single" w:sz="4" w:space="0" w:color="FFFFFF" w:themeColor="background2"/>
            </w:tcBorders>
            <w:tcMar>
              <w:top w:w="17" w:type="dxa"/>
              <w:left w:w="80" w:type="dxa"/>
              <w:bottom w:w="17" w:type="dxa"/>
              <w:right w:w="80" w:type="dxa"/>
            </w:tcMar>
          </w:tcPr>
          <w:p w14:paraId="5AC9F349" w14:textId="23FED19C" w:rsidR="00D46AE4" w:rsidRPr="00807DBD" w:rsidRDefault="00D46AE4" w:rsidP="00D46AE4">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received</w:t>
            </w:r>
          </w:p>
        </w:tc>
        <w:tc>
          <w:tcPr>
            <w:tcW w:w="794" w:type="dxa"/>
            <w:tcBorders>
              <w:top w:val="single" w:sz="4" w:space="0" w:color="FFFFFF" w:themeColor="background2"/>
              <w:left w:val="single" w:sz="4" w:space="0" w:color="FFFFFF" w:themeColor="background2"/>
            </w:tcBorders>
            <w:tcMar>
              <w:top w:w="17" w:type="dxa"/>
              <w:left w:w="113" w:type="dxa"/>
              <w:bottom w:w="17" w:type="dxa"/>
              <w:right w:w="113" w:type="dxa"/>
            </w:tcMar>
          </w:tcPr>
          <w:p w14:paraId="1087278A" w14:textId="77777777" w:rsidR="00D46AE4" w:rsidRPr="00807DBD" w:rsidRDefault="00D46AE4" w:rsidP="00D46AE4">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794" w:type="dxa"/>
            <w:tcMar>
              <w:top w:w="17" w:type="dxa"/>
              <w:left w:w="113" w:type="dxa"/>
              <w:bottom w:w="17" w:type="dxa"/>
              <w:right w:w="113" w:type="dxa"/>
            </w:tcMar>
          </w:tcPr>
          <w:p w14:paraId="2C04A1D1" w14:textId="77777777" w:rsidR="00D46AE4" w:rsidRPr="00807DBD" w:rsidRDefault="00D46AE4" w:rsidP="00D46AE4">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794" w:type="dxa"/>
            <w:tcMar>
              <w:top w:w="17" w:type="dxa"/>
              <w:left w:w="113" w:type="dxa"/>
              <w:bottom w:w="17" w:type="dxa"/>
              <w:right w:w="113" w:type="dxa"/>
            </w:tcMar>
          </w:tcPr>
          <w:p w14:paraId="48C089BF" w14:textId="77777777" w:rsidR="00D46AE4" w:rsidRPr="00807DBD" w:rsidRDefault="00D46AE4" w:rsidP="00D46AE4">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850" w:type="dxa"/>
            <w:tcMar>
              <w:top w:w="17" w:type="dxa"/>
              <w:left w:w="113" w:type="dxa"/>
              <w:bottom w:w="17" w:type="dxa"/>
              <w:right w:w="113" w:type="dxa"/>
            </w:tcMar>
          </w:tcPr>
          <w:p w14:paraId="1D712E6B" w14:textId="77777777" w:rsidR="00D46AE4" w:rsidRPr="00807DBD" w:rsidRDefault="00D46AE4" w:rsidP="00D46AE4">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807DBD" w:rsidRPr="00807DBD" w14:paraId="3F82A764" w14:textId="77777777" w:rsidTr="00583F11">
        <w:trPr>
          <w:gridAfter w:val="1"/>
          <w:wAfter w:w="109" w:type="dxa"/>
          <w:trHeight w:val="170"/>
        </w:trPr>
        <w:tc>
          <w:tcPr>
            <w:tcW w:w="4082" w:type="dxa"/>
            <w:tcMar>
              <w:top w:w="17" w:type="dxa"/>
              <w:left w:w="80" w:type="dxa"/>
              <w:bottom w:w="17" w:type="dxa"/>
              <w:right w:w="80" w:type="dxa"/>
            </w:tcMar>
          </w:tcPr>
          <w:p w14:paraId="39EBF37C" w14:textId="5959F197"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 xml:space="preserve">Receipts from </w:t>
            </w:r>
            <w:r w:rsidR="00052F15">
              <w:rPr>
                <w:color w:val="292929"/>
                <w:sz w:val="14"/>
                <w:szCs w:val="14"/>
              </w:rPr>
              <w:t>g</w:t>
            </w:r>
            <w:r w:rsidRPr="00807DBD">
              <w:rPr>
                <w:color w:val="292929"/>
                <w:sz w:val="14"/>
                <w:szCs w:val="14"/>
              </w:rPr>
              <w:t xml:space="preserve">overnment </w:t>
            </w:r>
          </w:p>
        </w:tc>
        <w:tc>
          <w:tcPr>
            <w:tcW w:w="794" w:type="dxa"/>
            <w:tcMar>
              <w:top w:w="17" w:type="dxa"/>
              <w:left w:w="113" w:type="dxa"/>
              <w:bottom w:w="17" w:type="dxa"/>
              <w:right w:w="113" w:type="dxa"/>
            </w:tcMar>
          </w:tcPr>
          <w:p w14:paraId="2BE8A7F3" w14:textId="77777777"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794" w:type="dxa"/>
            <w:tcMar>
              <w:top w:w="17" w:type="dxa"/>
              <w:left w:w="113" w:type="dxa"/>
              <w:bottom w:w="17" w:type="dxa"/>
              <w:right w:w="113" w:type="dxa"/>
            </w:tcMar>
          </w:tcPr>
          <w:p w14:paraId="177FEF32" w14:textId="5A20825B"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15,714 </w:t>
            </w:r>
          </w:p>
        </w:tc>
        <w:tc>
          <w:tcPr>
            <w:tcW w:w="794" w:type="dxa"/>
            <w:tcMar>
              <w:top w:w="17" w:type="dxa"/>
              <w:left w:w="113" w:type="dxa"/>
              <w:bottom w:w="17" w:type="dxa"/>
              <w:right w:w="113" w:type="dxa"/>
            </w:tcMar>
          </w:tcPr>
          <w:p w14:paraId="22080371" w14:textId="302A07FD"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14,797 </w:t>
            </w:r>
          </w:p>
        </w:tc>
        <w:tc>
          <w:tcPr>
            <w:tcW w:w="850" w:type="dxa"/>
            <w:tcMar>
              <w:top w:w="17" w:type="dxa"/>
              <w:left w:w="113" w:type="dxa"/>
              <w:bottom w:w="17" w:type="dxa"/>
              <w:right w:w="113" w:type="dxa"/>
            </w:tcMar>
          </w:tcPr>
          <w:p w14:paraId="2878DB52" w14:textId="777C9261"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15,024 </w:t>
            </w:r>
          </w:p>
        </w:tc>
      </w:tr>
      <w:tr w:rsidR="00807DBD" w:rsidRPr="00807DBD" w14:paraId="68C28694" w14:textId="77777777" w:rsidTr="00583F11">
        <w:trPr>
          <w:gridAfter w:val="1"/>
          <w:wAfter w:w="109" w:type="dxa"/>
          <w:trHeight w:val="170"/>
        </w:trPr>
        <w:tc>
          <w:tcPr>
            <w:tcW w:w="4082" w:type="dxa"/>
            <w:tcMar>
              <w:top w:w="17" w:type="dxa"/>
              <w:left w:w="80" w:type="dxa"/>
              <w:bottom w:w="17" w:type="dxa"/>
              <w:right w:w="80" w:type="dxa"/>
            </w:tcMar>
          </w:tcPr>
          <w:p w14:paraId="125C6F90" w14:textId="62CF9E43"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Sale of goods and rendering of services</w:t>
            </w:r>
          </w:p>
        </w:tc>
        <w:tc>
          <w:tcPr>
            <w:tcW w:w="794" w:type="dxa"/>
            <w:tcMar>
              <w:top w:w="17" w:type="dxa"/>
              <w:left w:w="113" w:type="dxa"/>
              <w:bottom w:w="17" w:type="dxa"/>
              <w:right w:w="113" w:type="dxa"/>
            </w:tcMar>
          </w:tcPr>
          <w:p w14:paraId="7F309EAE"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07448255" w14:textId="22F2F006" w:rsidR="002164DC" w:rsidRPr="00807DBD" w:rsidRDefault="002164DC" w:rsidP="002164DC">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 xml:space="preserve">1,025 </w:t>
            </w:r>
          </w:p>
        </w:tc>
        <w:tc>
          <w:tcPr>
            <w:tcW w:w="794" w:type="dxa"/>
            <w:tcMar>
              <w:top w:w="17" w:type="dxa"/>
              <w:left w:w="113" w:type="dxa"/>
              <w:bottom w:w="17" w:type="dxa"/>
              <w:right w:w="113" w:type="dxa"/>
            </w:tcMar>
          </w:tcPr>
          <w:p w14:paraId="6A48B9F0" w14:textId="1397D161"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1,994 </w:t>
            </w:r>
          </w:p>
        </w:tc>
        <w:tc>
          <w:tcPr>
            <w:tcW w:w="850" w:type="dxa"/>
            <w:tcMar>
              <w:top w:w="17" w:type="dxa"/>
              <w:left w:w="113" w:type="dxa"/>
              <w:bottom w:w="17" w:type="dxa"/>
              <w:right w:w="113" w:type="dxa"/>
            </w:tcMar>
          </w:tcPr>
          <w:p w14:paraId="03121BD6" w14:textId="409A2CF9"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963 </w:t>
            </w:r>
          </w:p>
        </w:tc>
      </w:tr>
      <w:tr w:rsidR="00807DBD" w:rsidRPr="00807DBD" w14:paraId="127AABE3" w14:textId="77777777" w:rsidTr="00583F11">
        <w:trPr>
          <w:gridAfter w:val="1"/>
          <w:wAfter w:w="109" w:type="dxa"/>
          <w:trHeight w:val="170"/>
        </w:trPr>
        <w:tc>
          <w:tcPr>
            <w:tcW w:w="4082" w:type="dxa"/>
            <w:tcMar>
              <w:top w:w="17" w:type="dxa"/>
              <w:left w:w="80" w:type="dxa"/>
              <w:bottom w:w="17" w:type="dxa"/>
              <w:right w:w="80" w:type="dxa"/>
            </w:tcMar>
          </w:tcPr>
          <w:p w14:paraId="09B1D18F" w14:textId="51F75305"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Interest</w:t>
            </w:r>
          </w:p>
        </w:tc>
        <w:tc>
          <w:tcPr>
            <w:tcW w:w="794" w:type="dxa"/>
            <w:tcMar>
              <w:top w:w="17" w:type="dxa"/>
              <w:left w:w="113" w:type="dxa"/>
              <w:bottom w:w="17" w:type="dxa"/>
              <w:right w:w="113" w:type="dxa"/>
            </w:tcMar>
          </w:tcPr>
          <w:p w14:paraId="05C113C0"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5B1F5416" w14:textId="5CEED4E5" w:rsidR="002164DC" w:rsidRPr="00807DBD" w:rsidRDefault="002164DC" w:rsidP="002164DC">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 xml:space="preserve">67 </w:t>
            </w:r>
          </w:p>
        </w:tc>
        <w:tc>
          <w:tcPr>
            <w:tcW w:w="794" w:type="dxa"/>
            <w:tcMar>
              <w:top w:w="17" w:type="dxa"/>
              <w:left w:w="113" w:type="dxa"/>
              <w:bottom w:w="17" w:type="dxa"/>
              <w:right w:w="113" w:type="dxa"/>
            </w:tcMar>
          </w:tcPr>
          <w:p w14:paraId="5BE9B7B1" w14:textId="42482405"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179 </w:t>
            </w:r>
          </w:p>
        </w:tc>
        <w:tc>
          <w:tcPr>
            <w:tcW w:w="850" w:type="dxa"/>
            <w:tcMar>
              <w:top w:w="17" w:type="dxa"/>
              <w:left w:w="113" w:type="dxa"/>
              <w:bottom w:w="17" w:type="dxa"/>
              <w:right w:w="113" w:type="dxa"/>
            </w:tcMar>
          </w:tcPr>
          <w:p w14:paraId="3038EA20" w14:textId="75BC11D7"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220 </w:t>
            </w:r>
          </w:p>
        </w:tc>
      </w:tr>
      <w:tr w:rsidR="00807DBD" w:rsidRPr="00807DBD" w14:paraId="54795BFB" w14:textId="77777777" w:rsidTr="00744A0F">
        <w:trPr>
          <w:gridAfter w:val="1"/>
          <w:wAfter w:w="109" w:type="dxa"/>
          <w:trHeight w:val="170"/>
        </w:trPr>
        <w:tc>
          <w:tcPr>
            <w:tcW w:w="4082" w:type="dxa"/>
            <w:tcMar>
              <w:top w:w="17" w:type="dxa"/>
              <w:left w:w="80" w:type="dxa"/>
              <w:bottom w:w="17" w:type="dxa"/>
              <w:right w:w="80" w:type="dxa"/>
            </w:tcMar>
          </w:tcPr>
          <w:p w14:paraId="0720EA47" w14:textId="55889017"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Net GST received</w:t>
            </w:r>
          </w:p>
        </w:tc>
        <w:tc>
          <w:tcPr>
            <w:tcW w:w="794" w:type="dxa"/>
            <w:tcBorders>
              <w:right w:val="single" w:sz="8" w:space="0" w:color="FFFFFF" w:themeColor="background2"/>
            </w:tcBorders>
            <w:tcMar>
              <w:top w:w="17" w:type="dxa"/>
              <w:left w:w="113" w:type="dxa"/>
              <w:bottom w:w="17" w:type="dxa"/>
              <w:right w:w="113" w:type="dxa"/>
            </w:tcMar>
          </w:tcPr>
          <w:p w14:paraId="14C84BDC" w14:textId="77777777"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312F4E3" w14:textId="30373F4A"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1,68</w:t>
            </w:r>
            <w:r w:rsidR="0091649C">
              <w:rPr>
                <w:rFonts w:asciiTheme="majorHAnsi" w:hAnsiTheme="majorHAnsi"/>
                <w:color w:val="292929"/>
                <w:sz w:val="14"/>
                <w:szCs w:val="14"/>
              </w:rPr>
              <w:t>1</w:t>
            </w:r>
            <w:r w:rsidRPr="00807DBD">
              <w:rPr>
                <w:rFonts w:asciiTheme="majorHAnsi" w:hAnsiTheme="majorHAnsi"/>
                <w:color w:val="292929"/>
                <w:sz w:val="14"/>
                <w:szCs w:val="14"/>
              </w:rPr>
              <w:t xml:space="preserve"> </w:t>
            </w: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9498A9E" w14:textId="1CEAF8DF"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1,237 </w:t>
            </w:r>
          </w:p>
        </w:tc>
        <w:tc>
          <w:tcPr>
            <w:tcW w:w="850" w:type="dxa"/>
            <w:tcBorders>
              <w:left w:val="single" w:sz="8" w:space="0" w:color="FFFFFF" w:themeColor="background2"/>
              <w:bottom w:val="single" w:sz="4" w:space="0" w:color="292929"/>
            </w:tcBorders>
            <w:tcMar>
              <w:top w:w="17" w:type="dxa"/>
              <w:left w:w="113" w:type="dxa"/>
              <w:bottom w:w="17" w:type="dxa"/>
              <w:right w:w="113" w:type="dxa"/>
            </w:tcMar>
          </w:tcPr>
          <w:p w14:paraId="4557CDA7" w14:textId="26299AC2"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1,425 </w:t>
            </w:r>
          </w:p>
        </w:tc>
      </w:tr>
      <w:tr w:rsidR="00807DBD" w:rsidRPr="00807DBD" w14:paraId="7A9D2B09" w14:textId="77777777" w:rsidTr="00744A0F">
        <w:trPr>
          <w:gridAfter w:val="1"/>
          <w:wAfter w:w="109" w:type="dxa"/>
          <w:trHeight w:val="170"/>
        </w:trPr>
        <w:tc>
          <w:tcPr>
            <w:tcW w:w="4082" w:type="dxa"/>
            <w:tcMar>
              <w:top w:w="17" w:type="dxa"/>
              <w:left w:w="80" w:type="dxa"/>
              <w:bottom w:w="17" w:type="dxa"/>
              <w:right w:w="80" w:type="dxa"/>
            </w:tcMar>
          </w:tcPr>
          <w:p w14:paraId="4ECA7DA1" w14:textId="44F3A5CB"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received</w:t>
            </w:r>
          </w:p>
        </w:tc>
        <w:tc>
          <w:tcPr>
            <w:tcW w:w="794" w:type="dxa"/>
            <w:tcBorders>
              <w:right w:val="single" w:sz="8" w:space="0" w:color="FFFFFF" w:themeColor="background2"/>
            </w:tcBorders>
            <w:tcMar>
              <w:top w:w="17" w:type="dxa"/>
              <w:left w:w="113" w:type="dxa"/>
              <w:bottom w:w="17" w:type="dxa"/>
              <w:right w:w="113" w:type="dxa"/>
            </w:tcMar>
          </w:tcPr>
          <w:p w14:paraId="49427456"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575E1D5" w14:textId="3DA7BA5B"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18,487 </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6657301" w14:textId="08A70E0F"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18,207 </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CF9EA44" w14:textId="457B3DD0"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17,632 </w:t>
            </w:r>
          </w:p>
        </w:tc>
      </w:tr>
      <w:tr w:rsidR="00807DBD" w:rsidRPr="00807DBD" w14:paraId="376152CC" w14:textId="77777777" w:rsidTr="00B80308">
        <w:trPr>
          <w:gridAfter w:val="1"/>
          <w:wAfter w:w="109" w:type="dxa"/>
          <w:trHeight w:val="170"/>
        </w:trPr>
        <w:tc>
          <w:tcPr>
            <w:tcW w:w="4082" w:type="dxa"/>
            <w:tcMar>
              <w:top w:w="17" w:type="dxa"/>
              <w:left w:w="80" w:type="dxa"/>
              <w:bottom w:w="17" w:type="dxa"/>
              <w:right w:w="80" w:type="dxa"/>
            </w:tcMar>
          </w:tcPr>
          <w:p w14:paraId="10706FFE" w14:textId="77777777" w:rsidR="000B011F" w:rsidRPr="00807DBD" w:rsidRDefault="000B011F" w:rsidP="00C10B33">
            <w:pPr>
              <w:suppressAutoHyphens/>
              <w:autoSpaceDE w:val="0"/>
              <w:autoSpaceDN w:val="0"/>
              <w:adjustRightInd w:val="0"/>
              <w:spacing w:after="0" w:line="240" w:lineRule="auto"/>
              <w:textAlignment w:val="center"/>
              <w:rPr>
                <w:rFonts w:cs="Futura PT Book"/>
                <w:color w:val="292929"/>
                <w:sz w:val="14"/>
                <w:szCs w:val="14"/>
                <w:lang w:val="en-US"/>
              </w:rPr>
            </w:pPr>
          </w:p>
        </w:tc>
        <w:tc>
          <w:tcPr>
            <w:tcW w:w="794" w:type="dxa"/>
            <w:tcMar>
              <w:top w:w="17" w:type="dxa"/>
              <w:left w:w="113" w:type="dxa"/>
              <w:bottom w:w="17" w:type="dxa"/>
              <w:right w:w="113" w:type="dxa"/>
            </w:tcMar>
          </w:tcPr>
          <w:p w14:paraId="448521FD" w14:textId="77777777" w:rsidR="000B011F" w:rsidRPr="00807DBD" w:rsidRDefault="000B011F" w:rsidP="00C10B33">
            <w:pPr>
              <w:autoSpaceDE w:val="0"/>
              <w:autoSpaceDN w:val="0"/>
              <w:adjustRightInd w:val="0"/>
              <w:spacing w:after="0" w:line="240" w:lineRule="auto"/>
              <w:jc w:val="right"/>
              <w:rPr>
                <w:color w:val="292929"/>
                <w:sz w:val="14"/>
                <w:szCs w:val="14"/>
              </w:rPr>
            </w:pPr>
          </w:p>
        </w:tc>
        <w:tc>
          <w:tcPr>
            <w:tcW w:w="794" w:type="dxa"/>
            <w:tcBorders>
              <w:top w:val="single" w:sz="4" w:space="0" w:color="292929"/>
              <w:right w:val="single" w:sz="8" w:space="0" w:color="FFFFFF" w:themeColor="background2"/>
            </w:tcBorders>
            <w:tcMar>
              <w:top w:w="17" w:type="dxa"/>
              <w:left w:w="113" w:type="dxa"/>
              <w:bottom w:w="17" w:type="dxa"/>
              <w:right w:w="113" w:type="dxa"/>
            </w:tcMar>
          </w:tcPr>
          <w:p w14:paraId="4275C206" w14:textId="77777777" w:rsidR="000B011F" w:rsidRPr="00807DBD" w:rsidRDefault="000B011F" w:rsidP="00C10B33">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3AA13539" w14:textId="77777777" w:rsidR="000B011F" w:rsidRPr="00807DBD" w:rsidRDefault="000B011F"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850" w:type="dxa"/>
            <w:tcBorders>
              <w:top w:val="single" w:sz="4" w:space="0" w:color="292929"/>
              <w:left w:val="single" w:sz="8" w:space="0" w:color="FFFFFF" w:themeColor="background2"/>
            </w:tcBorders>
            <w:tcMar>
              <w:top w:w="17" w:type="dxa"/>
              <w:left w:w="113" w:type="dxa"/>
              <w:bottom w:w="17" w:type="dxa"/>
              <w:right w:w="113" w:type="dxa"/>
            </w:tcMar>
          </w:tcPr>
          <w:p w14:paraId="5583ABC4" w14:textId="77777777" w:rsidR="000B011F" w:rsidRPr="00807DBD" w:rsidRDefault="000B011F"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807DBD" w:rsidRPr="00807DBD" w14:paraId="6274DA4A" w14:textId="77777777" w:rsidTr="00583F11">
        <w:trPr>
          <w:gridAfter w:val="1"/>
          <w:wAfter w:w="109" w:type="dxa"/>
          <w:trHeight w:val="170"/>
        </w:trPr>
        <w:tc>
          <w:tcPr>
            <w:tcW w:w="4082" w:type="dxa"/>
            <w:tcMar>
              <w:top w:w="17" w:type="dxa"/>
              <w:left w:w="80" w:type="dxa"/>
              <w:bottom w:w="17" w:type="dxa"/>
              <w:right w:w="80" w:type="dxa"/>
            </w:tcMar>
          </w:tcPr>
          <w:p w14:paraId="2BB238B9" w14:textId="26EC4F18" w:rsidR="00D46AE4" w:rsidRPr="00807DBD" w:rsidRDefault="00D46AE4" w:rsidP="00D46AE4">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794" w:type="dxa"/>
            <w:tcMar>
              <w:top w:w="17" w:type="dxa"/>
              <w:left w:w="113" w:type="dxa"/>
              <w:bottom w:w="17" w:type="dxa"/>
              <w:right w:w="113" w:type="dxa"/>
            </w:tcMar>
          </w:tcPr>
          <w:p w14:paraId="6F36D829" w14:textId="77777777" w:rsidR="00D46AE4" w:rsidRPr="00807DBD" w:rsidRDefault="00D46AE4" w:rsidP="00D46AE4">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260F9DA0" w14:textId="77777777" w:rsidR="00D46AE4" w:rsidRPr="00807DBD" w:rsidRDefault="00D46AE4" w:rsidP="00D46AE4">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794" w:type="dxa"/>
            <w:tcMar>
              <w:top w:w="17" w:type="dxa"/>
              <w:left w:w="113" w:type="dxa"/>
              <w:bottom w:w="17" w:type="dxa"/>
              <w:right w:w="113" w:type="dxa"/>
            </w:tcMar>
          </w:tcPr>
          <w:p w14:paraId="401EB900" w14:textId="77777777" w:rsidR="00D46AE4" w:rsidRPr="00807DBD" w:rsidRDefault="00D46AE4" w:rsidP="00D46AE4">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850" w:type="dxa"/>
            <w:tcMar>
              <w:top w:w="17" w:type="dxa"/>
              <w:left w:w="113" w:type="dxa"/>
              <w:bottom w:w="17" w:type="dxa"/>
              <w:right w:w="113" w:type="dxa"/>
            </w:tcMar>
          </w:tcPr>
          <w:p w14:paraId="75ABFF7A" w14:textId="77777777" w:rsidR="00D46AE4" w:rsidRPr="00807DBD" w:rsidRDefault="00D46AE4" w:rsidP="00D46AE4">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r>
      <w:tr w:rsidR="00807DBD" w:rsidRPr="00807DBD" w14:paraId="21004775" w14:textId="77777777" w:rsidTr="00583F11">
        <w:trPr>
          <w:gridAfter w:val="1"/>
          <w:wAfter w:w="109" w:type="dxa"/>
          <w:trHeight w:val="170"/>
        </w:trPr>
        <w:tc>
          <w:tcPr>
            <w:tcW w:w="4082" w:type="dxa"/>
            <w:tcMar>
              <w:top w:w="17" w:type="dxa"/>
              <w:left w:w="80" w:type="dxa"/>
              <w:bottom w:w="17" w:type="dxa"/>
              <w:right w:w="80" w:type="dxa"/>
            </w:tcMar>
          </w:tcPr>
          <w:p w14:paraId="37E7232C" w14:textId="5449FA22"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Employees</w:t>
            </w:r>
          </w:p>
        </w:tc>
        <w:tc>
          <w:tcPr>
            <w:tcW w:w="794" w:type="dxa"/>
            <w:tcMar>
              <w:top w:w="17" w:type="dxa"/>
              <w:left w:w="113" w:type="dxa"/>
              <w:bottom w:w="17" w:type="dxa"/>
              <w:right w:w="113" w:type="dxa"/>
            </w:tcMar>
          </w:tcPr>
          <w:p w14:paraId="393D241B"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799EE078" w14:textId="3019095E"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(835)</w:t>
            </w:r>
          </w:p>
        </w:tc>
        <w:tc>
          <w:tcPr>
            <w:tcW w:w="794" w:type="dxa"/>
            <w:tcMar>
              <w:top w:w="17" w:type="dxa"/>
              <w:left w:w="113" w:type="dxa"/>
              <w:bottom w:w="17" w:type="dxa"/>
              <w:right w:w="113" w:type="dxa"/>
            </w:tcMar>
          </w:tcPr>
          <w:p w14:paraId="5F16526E" w14:textId="65C7C22B"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(768)</w:t>
            </w:r>
          </w:p>
        </w:tc>
        <w:tc>
          <w:tcPr>
            <w:tcW w:w="850" w:type="dxa"/>
            <w:tcMar>
              <w:top w:w="17" w:type="dxa"/>
              <w:left w:w="113" w:type="dxa"/>
              <w:bottom w:w="17" w:type="dxa"/>
              <w:right w:w="113" w:type="dxa"/>
            </w:tcMar>
          </w:tcPr>
          <w:p w14:paraId="76652318" w14:textId="4342CB98"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(850)</w:t>
            </w:r>
          </w:p>
        </w:tc>
      </w:tr>
      <w:tr w:rsidR="00807DBD" w:rsidRPr="00807DBD" w14:paraId="780A4AA6" w14:textId="77777777" w:rsidTr="00583F11">
        <w:trPr>
          <w:gridAfter w:val="1"/>
          <w:wAfter w:w="109" w:type="dxa"/>
          <w:trHeight w:val="170"/>
        </w:trPr>
        <w:tc>
          <w:tcPr>
            <w:tcW w:w="4082" w:type="dxa"/>
            <w:tcMar>
              <w:top w:w="17" w:type="dxa"/>
              <w:left w:w="80" w:type="dxa"/>
              <w:bottom w:w="17" w:type="dxa"/>
              <w:right w:w="80" w:type="dxa"/>
            </w:tcMar>
          </w:tcPr>
          <w:p w14:paraId="22C2112C" w14:textId="6EE11E4D" w:rsidR="002164DC" w:rsidRPr="00807DBD" w:rsidRDefault="002164DC" w:rsidP="002164DC">
            <w:pPr>
              <w:autoSpaceDE w:val="0"/>
              <w:autoSpaceDN w:val="0"/>
              <w:adjustRightInd w:val="0"/>
              <w:spacing w:after="0" w:line="240" w:lineRule="auto"/>
              <w:rPr>
                <w:color w:val="292929"/>
                <w:sz w:val="14"/>
                <w:szCs w:val="14"/>
              </w:rPr>
            </w:pPr>
            <w:r w:rsidRPr="00807DBD">
              <w:rPr>
                <w:color w:val="292929"/>
                <w:sz w:val="14"/>
                <w:szCs w:val="14"/>
              </w:rPr>
              <w:t>Suppliers</w:t>
            </w:r>
          </w:p>
        </w:tc>
        <w:tc>
          <w:tcPr>
            <w:tcW w:w="794" w:type="dxa"/>
            <w:tcMar>
              <w:top w:w="17" w:type="dxa"/>
              <w:left w:w="113" w:type="dxa"/>
              <w:bottom w:w="17" w:type="dxa"/>
              <w:right w:w="113" w:type="dxa"/>
            </w:tcMar>
          </w:tcPr>
          <w:p w14:paraId="0A198B45"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11009815" w14:textId="68B18BDE" w:rsidR="002164DC" w:rsidRPr="00807DBD" w:rsidRDefault="002164DC" w:rsidP="002164DC">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(14,988)</w:t>
            </w:r>
          </w:p>
        </w:tc>
        <w:tc>
          <w:tcPr>
            <w:tcW w:w="794" w:type="dxa"/>
            <w:tcMar>
              <w:top w:w="17" w:type="dxa"/>
              <w:left w:w="113" w:type="dxa"/>
              <w:bottom w:w="17" w:type="dxa"/>
              <w:right w:w="113" w:type="dxa"/>
            </w:tcMar>
          </w:tcPr>
          <w:p w14:paraId="5ED71214" w14:textId="731A1198"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(17,223)</w:t>
            </w:r>
          </w:p>
        </w:tc>
        <w:tc>
          <w:tcPr>
            <w:tcW w:w="850" w:type="dxa"/>
            <w:tcMar>
              <w:top w:w="17" w:type="dxa"/>
              <w:left w:w="113" w:type="dxa"/>
              <w:bottom w:w="17" w:type="dxa"/>
              <w:right w:w="113" w:type="dxa"/>
            </w:tcMar>
          </w:tcPr>
          <w:p w14:paraId="7BDD68CC" w14:textId="56A400B2"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(16,367)</w:t>
            </w:r>
          </w:p>
        </w:tc>
      </w:tr>
      <w:tr w:rsidR="00807DBD" w:rsidRPr="00807DBD" w14:paraId="154356F6" w14:textId="77777777" w:rsidTr="00744A0F">
        <w:trPr>
          <w:gridAfter w:val="1"/>
          <w:wAfter w:w="109" w:type="dxa"/>
          <w:trHeight w:val="170"/>
        </w:trPr>
        <w:tc>
          <w:tcPr>
            <w:tcW w:w="4082" w:type="dxa"/>
            <w:tcMar>
              <w:top w:w="17" w:type="dxa"/>
              <w:left w:w="80" w:type="dxa"/>
              <w:bottom w:w="17" w:type="dxa"/>
              <w:right w:w="80" w:type="dxa"/>
            </w:tcMar>
          </w:tcPr>
          <w:p w14:paraId="3DDEBBEA" w14:textId="4D5473FF" w:rsidR="002164DC" w:rsidRPr="00807DBD" w:rsidRDefault="002164DC" w:rsidP="002164DC">
            <w:pPr>
              <w:suppressAutoHyphens/>
              <w:autoSpaceDE w:val="0"/>
              <w:autoSpaceDN w:val="0"/>
              <w:adjustRightInd w:val="0"/>
              <w:spacing w:after="0" w:line="240" w:lineRule="auto"/>
              <w:textAlignment w:val="center"/>
              <w:rPr>
                <w:rFonts w:cs="Futura PT Book"/>
                <w:color w:val="292929"/>
                <w:sz w:val="14"/>
                <w:szCs w:val="14"/>
                <w:lang w:val="en-US"/>
              </w:rPr>
            </w:pPr>
            <w:r w:rsidRPr="00807DBD">
              <w:rPr>
                <w:color w:val="292929"/>
                <w:sz w:val="14"/>
                <w:szCs w:val="14"/>
              </w:rPr>
              <w:t>Interest payments on lease liabilities</w:t>
            </w:r>
          </w:p>
        </w:tc>
        <w:tc>
          <w:tcPr>
            <w:tcW w:w="794" w:type="dxa"/>
            <w:tcBorders>
              <w:right w:val="single" w:sz="8" w:space="0" w:color="FFFFFF" w:themeColor="background2"/>
            </w:tcBorders>
            <w:tcMar>
              <w:top w:w="17" w:type="dxa"/>
              <w:left w:w="113" w:type="dxa"/>
              <w:bottom w:w="17" w:type="dxa"/>
              <w:right w:w="113" w:type="dxa"/>
            </w:tcMar>
          </w:tcPr>
          <w:p w14:paraId="24DBD25B"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021B870" w14:textId="7E4FA4E7" w:rsidR="002164DC" w:rsidRPr="00807DBD" w:rsidRDefault="002164DC" w:rsidP="002164DC">
            <w:pPr>
              <w:autoSpaceDE w:val="0"/>
              <w:autoSpaceDN w:val="0"/>
              <w:adjustRightInd w:val="0"/>
              <w:spacing w:after="0" w:line="240" w:lineRule="auto"/>
              <w:jc w:val="right"/>
              <w:rPr>
                <w:rFonts w:asciiTheme="majorHAnsi" w:hAnsiTheme="majorHAnsi"/>
                <w:color w:val="292929"/>
                <w:sz w:val="14"/>
                <w:szCs w:val="14"/>
              </w:rPr>
            </w:pPr>
            <w:r w:rsidRPr="00807DBD">
              <w:rPr>
                <w:rFonts w:asciiTheme="majorHAnsi" w:hAnsiTheme="majorHAnsi"/>
                <w:color w:val="292929"/>
                <w:sz w:val="14"/>
                <w:szCs w:val="14"/>
              </w:rPr>
              <w:t>(75)</w:t>
            </w: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8AD7030" w14:textId="4A21DF84"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 - </w:t>
            </w:r>
          </w:p>
        </w:tc>
        <w:tc>
          <w:tcPr>
            <w:tcW w:w="850" w:type="dxa"/>
            <w:tcBorders>
              <w:left w:val="single" w:sz="8" w:space="0" w:color="FFFFFF" w:themeColor="background2"/>
              <w:bottom w:val="single" w:sz="4" w:space="0" w:color="292929"/>
            </w:tcBorders>
            <w:tcMar>
              <w:top w:w="17" w:type="dxa"/>
              <w:left w:w="113" w:type="dxa"/>
              <w:bottom w:w="17" w:type="dxa"/>
              <w:right w:w="113" w:type="dxa"/>
            </w:tcMar>
          </w:tcPr>
          <w:p w14:paraId="40B5B090" w14:textId="6CBB93D7"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 xml:space="preserve"> - </w:t>
            </w:r>
          </w:p>
        </w:tc>
      </w:tr>
      <w:tr w:rsidR="00807DBD" w:rsidRPr="00807DBD" w14:paraId="5261DB3A" w14:textId="77777777" w:rsidTr="00744A0F">
        <w:trPr>
          <w:gridAfter w:val="1"/>
          <w:wAfter w:w="109" w:type="dxa"/>
          <w:trHeight w:val="170"/>
        </w:trPr>
        <w:tc>
          <w:tcPr>
            <w:tcW w:w="4082" w:type="dxa"/>
            <w:tcMar>
              <w:top w:w="17" w:type="dxa"/>
              <w:left w:w="80" w:type="dxa"/>
              <w:bottom w:w="17" w:type="dxa"/>
              <w:right w:w="80" w:type="dxa"/>
            </w:tcMar>
          </w:tcPr>
          <w:p w14:paraId="536BDC41" w14:textId="6E91B15E"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used</w:t>
            </w:r>
          </w:p>
        </w:tc>
        <w:tc>
          <w:tcPr>
            <w:tcW w:w="794" w:type="dxa"/>
            <w:tcBorders>
              <w:right w:val="single" w:sz="8" w:space="0" w:color="FFFFFF" w:themeColor="background2"/>
            </w:tcBorders>
            <w:tcMar>
              <w:top w:w="17" w:type="dxa"/>
              <w:left w:w="113" w:type="dxa"/>
              <w:bottom w:w="17" w:type="dxa"/>
              <w:right w:w="113" w:type="dxa"/>
            </w:tcMar>
          </w:tcPr>
          <w:p w14:paraId="6BED8EFD" w14:textId="77777777"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39376E6" w14:textId="601A7044"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(15,898)</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B451A1E" w14:textId="1088A8FE"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(17,991)</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4507AC18" w14:textId="339305B3"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(17,217)</w:t>
            </w:r>
          </w:p>
        </w:tc>
      </w:tr>
      <w:tr w:rsidR="00807DBD" w:rsidRPr="00807DBD" w14:paraId="7F289002" w14:textId="77777777" w:rsidTr="00744A0F">
        <w:trPr>
          <w:gridAfter w:val="1"/>
          <w:wAfter w:w="109" w:type="dxa"/>
          <w:trHeight w:val="170"/>
        </w:trPr>
        <w:tc>
          <w:tcPr>
            <w:tcW w:w="4082" w:type="dxa"/>
            <w:tcMar>
              <w:top w:w="17" w:type="dxa"/>
              <w:left w:w="80" w:type="dxa"/>
              <w:bottom w:w="17" w:type="dxa"/>
              <w:right w:w="80" w:type="dxa"/>
            </w:tcMar>
          </w:tcPr>
          <w:p w14:paraId="0F2416FE" w14:textId="682986BC"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Net cash from /(used by) operating activities</w:t>
            </w:r>
          </w:p>
        </w:tc>
        <w:tc>
          <w:tcPr>
            <w:tcW w:w="794" w:type="dxa"/>
            <w:tcBorders>
              <w:right w:val="single" w:sz="8" w:space="0" w:color="FFFFFF" w:themeColor="background2"/>
            </w:tcBorders>
            <w:tcMar>
              <w:top w:w="17" w:type="dxa"/>
              <w:left w:w="113" w:type="dxa"/>
              <w:bottom w:w="17" w:type="dxa"/>
              <w:right w:w="113" w:type="dxa"/>
            </w:tcMar>
          </w:tcPr>
          <w:p w14:paraId="7692B65B"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56AC814" w14:textId="6C4AE02B"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2,589 </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C8A8D65" w14:textId="3CA3F923"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216 </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0A5F2559" w14:textId="1D03A492"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415 </w:t>
            </w:r>
          </w:p>
        </w:tc>
      </w:tr>
      <w:tr w:rsidR="00807DBD" w:rsidRPr="00807DBD" w14:paraId="01D645DA" w14:textId="77777777" w:rsidTr="00744A0F">
        <w:trPr>
          <w:gridAfter w:val="1"/>
          <w:wAfter w:w="109" w:type="dxa"/>
          <w:trHeight w:val="170"/>
        </w:trPr>
        <w:tc>
          <w:tcPr>
            <w:tcW w:w="4082" w:type="dxa"/>
            <w:tcMar>
              <w:top w:w="17" w:type="dxa"/>
              <w:left w:w="80" w:type="dxa"/>
              <w:bottom w:w="17" w:type="dxa"/>
              <w:right w:w="80" w:type="dxa"/>
            </w:tcMar>
          </w:tcPr>
          <w:p w14:paraId="17628D89" w14:textId="77777777" w:rsidR="000B011F" w:rsidRPr="00807DBD" w:rsidRDefault="000B011F" w:rsidP="00C10B33">
            <w:pPr>
              <w:autoSpaceDE w:val="0"/>
              <w:autoSpaceDN w:val="0"/>
              <w:adjustRightInd w:val="0"/>
              <w:spacing w:after="0" w:line="240" w:lineRule="auto"/>
              <w:rPr>
                <w:color w:val="292929"/>
                <w:sz w:val="14"/>
                <w:szCs w:val="14"/>
              </w:rPr>
            </w:pPr>
          </w:p>
        </w:tc>
        <w:tc>
          <w:tcPr>
            <w:tcW w:w="794" w:type="dxa"/>
            <w:tcBorders>
              <w:right w:val="single" w:sz="8" w:space="0" w:color="FFFFFF" w:themeColor="background2"/>
            </w:tcBorders>
            <w:tcMar>
              <w:top w:w="17" w:type="dxa"/>
              <w:left w:w="113" w:type="dxa"/>
              <w:bottom w:w="17" w:type="dxa"/>
              <w:right w:w="113" w:type="dxa"/>
            </w:tcMar>
          </w:tcPr>
          <w:p w14:paraId="3ADC718C" w14:textId="77777777" w:rsidR="000B011F" w:rsidRPr="00807DBD" w:rsidRDefault="000B011F" w:rsidP="00C10B33">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35FCEB37" w14:textId="77777777" w:rsidR="000B011F" w:rsidRPr="00807DBD" w:rsidRDefault="000B011F" w:rsidP="00C10B33">
            <w:pPr>
              <w:autoSpaceDE w:val="0"/>
              <w:autoSpaceDN w:val="0"/>
              <w:adjustRightInd w:val="0"/>
              <w:spacing w:after="0" w:line="240" w:lineRule="auto"/>
              <w:jc w:val="right"/>
              <w:rPr>
                <w:rFonts w:asciiTheme="majorHAnsi" w:hAnsiTheme="majorHAnsi"/>
                <w:color w:val="292929"/>
                <w:sz w:val="14"/>
                <w:szCs w:val="14"/>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42D87146" w14:textId="77777777" w:rsidR="000B011F" w:rsidRPr="00807DBD" w:rsidRDefault="000B011F" w:rsidP="00C10B33">
            <w:pPr>
              <w:autoSpaceDE w:val="0"/>
              <w:autoSpaceDN w:val="0"/>
              <w:adjustRightInd w:val="0"/>
              <w:spacing w:after="0" w:line="240" w:lineRule="auto"/>
              <w:jc w:val="right"/>
              <w:rPr>
                <w:color w:val="292929"/>
                <w:sz w:val="14"/>
                <w:szCs w:val="14"/>
              </w:rPr>
            </w:pPr>
          </w:p>
        </w:tc>
        <w:tc>
          <w:tcPr>
            <w:tcW w:w="850" w:type="dxa"/>
            <w:tcBorders>
              <w:top w:val="single" w:sz="4" w:space="0" w:color="292929"/>
              <w:left w:val="single" w:sz="8" w:space="0" w:color="FFFFFF" w:themeColor="background2"/>
            </w:tcBorders>
            <w:tcMar>
              <w:top w:w="17" w:type="dxa"/>
              <w:left w:w="113" w:type="dxa"/>
              <w:bottom w:w="17" w:type="dxa"/>
              <w:right w:w="113" w:type="dxa"/>
            </w:tcMar>
          </w:tcPr>
          <w:p w14:paraId="047E7189" w14:textId="77777777" w:rsidR="000B011F" w:rsidRPr="00807DBD" w:rsidRDefault="000B011F" w:rsidP="00C10B33">
            <w:pPr>
              <w:autoSpaceDE w:val="0"/>
              <w:autoSpaceDN w:val="0"/>
              <w:adjustRightInd w:val="0"/>
              <w:spacing w:after="0" w:line="240" w:lineRule="auto"/>
              <w:jc w:val="right"/>
              <w:rPr>
                <w:color w:val="292929"/>
                <w:sz w:val="14"/>
                <w:szCs w:val="14"/>
              </w:rPr>
            </w:pPr>
          </w:p>
        </w:tc>
      </w:tr>
      <w:tr w:rsidR="00807DBD" w:rsidRPr="00807DBD" w14:paraId="431A6FB4" w14:textId="77777777" w:rsidTr="00583F11">
        <w:trPr>
          <w:gridAfter w:val="1"/>
          <w:wAfter w:w="109" w:type="dxa"/>
          <w:trHeight w:val="170"/>
        </w:trPr>
        <w:tc>
          <w:tcPr>
            <w:tcW w:w="4082" w:type="dxa"/>
            <w:tcMar>
              <w:top w:w="17" w:type="dxa"/>
              <w:left w:w="80" w:type="dxa"/>
              <w:bottom w:w="17" w:type="dxa"/>
              <w:right w:w="80" w:type="dxa"/>
            </w:tcMar>
          </w:tcPr>
          <w:p w14:paraId="14426EB3" w14:textId="1D6B60EE" w:rsidR="006E52E0" w:rsidRPr="00807DBD" w:rsidRDefault="006E52E0" w:rsidP="006E52E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INVESTING ACTIVITIES</w:t>
            </w:r>
          </w:p>
        </w:tc>
        <w:tc>
          <w:tcPr>
            <w:tcW w:w="794" w:type="dxa"/>
            <w:tcMar>
              <w:top w:w="17" w:type="dxa"/>
              <w:left w:w="113" w:type="dxa"/>
              <w:bottom w:w="17" w:type="dxa"/>
              <w:right w:w="113" w:type="dxa"/>
            </w:tcMar>
          </w:tcPr>
          <w:p w14:paraId="539D8CD7" w14:textId="77777777"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p>
        </w:tc>
        <w:tc>
          <w:tcPr>
            <w:tcW w:w="794" w:type="dxa"/>
            <w:tcMar>
              <w:top w:w="17" w:type="dxa"/>
              <w:left w:w="113" w:type="dxa"/>
              <w:bottom w:w="17" w:type="dxa"/>
              <w:right w:w="113" w:type="dxa"/>
            </w:tcMar>
          </w:tcPr>
          <w:p w14:paraId="5E30ED58" w14:textId="77777777" w:rsidR="006E52E0" w:rsidRPr="00807DBD" w:rsidRDefault="006E52E0" w:rsidP="006E52E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794" w:type="dxa"/>
            <w:tcMar>
              <w:top w:w="17" w:type="dxa"/>
              <w:left w:w="113" w:type="dxa"/>
              <w:bottom w:w="17" w:type="dxa"/>
              <w:right w:w="113" w:type="dxa"/>
            </w:tcMar>
          </w:tcPr>
          <w:p w14:paraId="160E2FA0" w14:textId="77777777"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850" w:type="dxa"/>
            <w:tcMar>
              <w:top w:w="17" w:type="dxa"/>
              <w:left w:w="113" w:type="dxa"/>
              <w:bottom w:w="17" w:type="dxa"/>
              <w:right w:w="113" w:type="dxa"/>
            </w:tcMar>
          </w:tcPr>
          <w:p w14:paraId="3945BAC2" w14:textId="77777777"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807DBD" w:rsidRPr="00807DBD" w14:paraId="2B51D00A" w14:textId="77777777" w:rsidTr="00583F11">
        <w:trPr>
          <w:gridAfter w:val="1"/>
          <w:wAfter w:w="109" w:type="dxa"/>
          <w:trHeight w:val="170"/>
        </w:trPr>
        <w:tc>
          <w:tcPr>
            <w:tcW w:w="4082" w:type="dxa"/>
            <w:tcMar>
              <w:top w:w="17" w:type="dxa"/>
              <w:left w:w="80" w:type="dxa"/>
              <w:bottom w:w="17" w:type="dxa"/>
              <w:right w:w="80" w:type="dxa"/>
            </w:tcMar>
          </w:tcPr>
          <w:p w14:paraId="683C3450" w14:textId="2834F812" w:rsidR="006E52E0" w:rsidRPr="00807DBD" w:rsidRDefault="006E52E0" w:rsidP="006E52E0">
            <w:pPr>
              <w:suppressAutoHyphens/>
              <w:autoSpaceDE w:val="0"/>
              <w:autoSpaceDN w:val="0"/>
              <w:adjustRightInd w:val="0"/>
              <w:spacing w:after="0" w:line="240" w:lineRule="auto"/>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794" w:type="dxa"/>
            <w:tcMar>
              <w:top w:w="17" w:type="dxa"/>
              <w:left w:w="113" w:type="dxa"/>
              <w:bottom w:w="17" w:type="dxa"/>
              <w:right w:w="113" w:type="dxa"/>
            </w:tcMar>
          </w:tcPr>
          <w:p w14:paraId="68AFDECA" w14:textId="77777777" w:rsidR="006E52E0" w:rsidRPr="00807DBD" w:rsidRDefault="006E52E0" w:rsidP="006E52E0">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3E02E3A5" w14:textId="04DBE2A8" w:rsidR="006E52E0" w:rsidRPr="00807DBD" w:rsidRDefault="006E52E0" w:rsidP="006E52E0">
            <w:pPr>
              <w:suppressAutoHyphens/>
              <w:autoSpaceDE w:val="0"/>
              <w:autoSpaceDN w:val="0"/>
              <w:adjustRightInd w:val="0"/>
              <w:spacing w:after="0" w:line="240" w:lineRule="auto"/>
              <w:jc w:val="right"/>
              <w:textAlignment w:val="center"/>
              <w:rPr>
                <w:rFonts w:asciiTheme="majorHAnsi" w:hAnsiTheme="majorHAnsi" w:cs="Futura PT Book"/>
                <w:color w:val="292929"/>
                <w:sz w:val="14"/>
                <w:szCs w:val="14"/>
                <w:lang w:val="en-US"/>
              </w:rPr>
            </w:pPr>
          </w:p>
        </w:tc>
        <w:tc>
          <w:tcPr>
            <w:tcW w:w="794" w:type="dxa"/>
            <w:tcMar>
              <w:top w:w="17" w:type="dxa"/>
              <w:left w:w="113" w:type="dxa"/>
              <w:bottom w:w="17" w:type="dxa"/>
              <w:right w:w="113" w:type="dxa"/>
            </w:tcMar>
          </w:tcPr>
          <w:p w14:paraId="0FE3F8E0" w14:textId="02930779"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c>
          <w:tcPr>
            <w:tcW w:w="850" w:type="dxa"/>
            <w:tcMar>
              <w:top w:w="17" w:type="dxa"/>
              <w:left w:w="113" w:type="dxa"/>
              <w:bottom w:w="17" w:type="dxa"/>
              <w:right w:w="113" w:type="dxa"/>
            </w:tcMar>
            <w:vAlign w:val="center"/>
          </w:tcPr>
          <w:p w14:paraId="37CF6B3D" w14:textId="5D926886"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807DBD" w:rsidRPr="00807DBD" w14:paraId="0E5BC287" w14:textId="77777777" w:rsidTr="00583F11">
        <w:trPr>
          <w:gridAfter w:val="1"/>
          <w:wAfter w:w="109" w:type="dxa"/>
          <w:trHeight w:val="170"/>
        </w:trPr>
        <w:tc>
          <w:tcPr>
            <w:tcW w:w="4082" w:type="dxa"/>
            <w:tcMar>
              <w:top w:w="17" w:type="dxa"/>
              <w:left w:w="80" w:type="dxa"/>
              <w:bottom w:w="17" w:type="dxa"/>
              <w:right w:w="80" w:type="dxa"/>
            </w:tcMar>
          </w:tcPr>
          <w:p w14:paraId="7CA6D10B" w14:textId="131D8390" w:rsidR="002164DC" w:rsidRPr="00807DBD" w:rsidRDefault="002164DC" w:rsidP="002164DC">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Purchase of computer software</w:t>
            </w:r>
          </w:p>
        </w:tc>
        <w:tc>
          <w:tcPr>
            <w:tcW w:w="794" w:type="dxa"/>
            <w:tcMar>
              <w:top w:w="17" w:type="dxa"/>
              <w:left w:w="113" w:type="dxa"/>
              <w:bottom w:w="17" w:type="dxa"/>
              <w:right w:w="113" w:type="dxa"/>
            </w:tcMar>
          </w:tcPr>
          <w:p w14:paraId="26AE82CA"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0FDC5986" w14:textId="37AE3A1D"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 </w:t>
            </w:r>
          </w:p>
        </w:tc>
        <w:tc>
          <w:tcPr>
            <w:tcW w:w="794" w:type="dxa"/>
            <w:tcMar>
              <w:top w:w="17" w:type="dxa"/>
              <w:left w:w="113" w:type="dxa"/>
              <w:bottom w:w="17" w:type="dxa"/>
              <w:right w:w="113" w:type="dxa"/>
            </w:tcMar>
          </w:tcPr>
          <w:p w14:paraId="136330DD" w14:textId="69278EEF"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(10)</w:t>
            </w:r>
          </w:p>
        </w:tc>
        <w:tc>
          <w:tcPr>
            <w:tcW w:w="850" w:type="dxa"/>
            <w:tcMar>
              <w:top w:w="17" w:type="dxa"/>
              <w:left w:w="113" w:type="dxa"/>
              <w:bottom w:w="17" w:type="dxa"/>
              <w:right w:w="113" w:type="dxa"/>
            </w:tcMar>
          </w:tcPr>
          <w:p w14:paraId="5F565730" w14:textId="09E01E5A"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 </w:t>
            </w:r>
          </w:p>
        </w:tc>
      </w:tr>
      <w:tr w:rsidR="00807DBD" w:rsidRPr="00807DBD" w14:paraId="48F04F8E" w14:textId="77777777" w:rsidTr="00744A0F">
        <w:trPr>
          <w:gridAfter w:val="1"/>
          <w:wAfter w:w="109" w:type="dxa"/>
          <w:trHeight w:val="170"/>
        </w:trPr>
        <w:tc>
          <w:tcPr>
            <w:tcW w:w="4082" w:type="dxa"/>
            <w:tcMar>
              <w:top w:w="17" w:type="dxa"/>
              <w:left w:w="80" w:type="dxa"/>
              <w:bottom w:w="17" w:type="dxa"/>
              <w:right w:w="80" w:type="dxa"/>
            </w:tcMar>
          </w:tcPr>
          <w:p w14:paraId="714272B5" w14:textId="175C0DED" w:rsidR="002164DC" w:rsidRPr="00807DBD" w:rsidRDefault="002164DC" w:rsidP="002164DC">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Purchase of leasehold improvements</w:t>
            </w:r>
          </w:p>
        </w:tc>
        <w:tc>
          <w:tcPr>
            <w:tcW w:w="794" w:type="dxa"/>
            <w:tcBorders>
              <w:right w:val="single" w:sz="8" w:space="0" w:color="FFFFFF" w:themeColor="background2"/>
            </w:tcBorders>
            <w:tcMar>
              <w:top w:w="17" w:type="dxa"/>
              <w:left w:w="113" w:type="dxa"/>
              <w:bottom w:w="17" w:type="dxa"/>
              <w:right w:w="113" w:type="dxa"/>
            </w:tcMar>
          </w:tcPr>
          <w:p w14:paraId="1D377667"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3C60F94" w14:textId="31F83457"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(1,728)</w:t>
            </w: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0508985" w14:textId="2DA34995"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(22)</w:t>
            </w:r>
          </w:p>
        </w:tc>
        <w:tc>
          <w:tcPr>
            <w:tcW w:w="850" w:type="dxa"/>
            <w:tcBorders>
              <w:left w:val="single" w:sz="8" w:space="0" w:color="FFFFFF" w:themeColor="background2"/>
              <w:bottom w:val="single" w:sz="4" w:space="0" w:color="292929"/>
            </w:tcBorders>
            <w:tcMar>
              <w:top w:w="17" w:type="dxa"/>
              <w:left w:w="113" w:type="dxa"/>
              <w:bottom w:w="17" w:type="dxa"/>
              <w:right w:w="113" w:type="dxa"/>
            </w:tcMar>
          </w:tcPr>
          <w:p w14:paraId="7CB86464" w14:textId="75F91425"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(1,300)</w:t>
            </w:r>
          </w:p>
        </w:tc>
      </w:tr>
      <w:tr w:rsidR="00807DBD" w:rsidRPr="00807DBD" w14:paraId="14202956" w14:textId="77777777" w:rsidTr="00744A0F">
        <w:trPr>
          <w:gridAfter w:val="1"/>
          <w:wAfter w:w="109" w:type="dxa"/>
          <w:trHeight w:val="170"/>
        </w:trPr>
        <w:tc>
          <w:tcPr>
            <w:tcW w:w="4082" w:type="dxa"/>
            <w:tcMar>
              <w:top w:w="17" w:type="dxa"/>
              <w:left w:w="80" w:type="dxa"/>
              <w:bottom w:w="17" w:type="dxa"/>
              <w:right w:w="80" w:type="dxa"/>
            </w:tcMar>
          </w:tcPr>
          <w:p w14:paraId="4628E4E9" w14:textId="261CED24"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794" w:type="dxa"/>
            <w:tcBorders>
              <w:right w:val="single" w:sz="8" w:space="0" w:color="FFFFFF" w:themeColor="background2"/>
            </w:tcBorders>
            <w:tcMar>
              <w:top w:w="17" w:type="dxa"/>
              <w:left w:w="113" w:type="dxa"/>
              <w:bottom w:w="17" w:type="dxa"/>
              <w:right w:w="113" w:type="dxa"/>
            </w:tcMar>
          </w:tcPr>
          <w:p w14:paraId="29E28ED2"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38DCF66" w14:textId="110097A6"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(1,728)</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25A7657" w14:textId="05510D58"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(32)</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037AABDF" w14:textId="212C4673"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(1,300)</w:t>
            </w:r>
          </w:p>
        </w:tc>
      </w:tr>
      <w:tr w:rsidR="00807DBD" w:rsidRPr="00807DBD" w14:paraId="0E176FA6" w14:textId="77777777" w:rsidTr="00744A0F">
        <w:trPr>
          <w:gridAfter w:val="1"/>
          <w:wAfter w:w="109" w:type="dxa"/>
          <w:trHeight w:val="170"/>
        </w:trPr>
        <w:tc>
          <w:tcPr>
            <w:tcW w:w="4082" w:type="dxa"/>
            <w:tcMar>
              <w:top w:w="17" w:type="dxa"/>
              <w:left w:w="80" w:type="dxa"/>
              <w:bottom w:w="17" w:type="dxa"/>
              <w:right w:w="80" w:type="dxa"/>
            </w:tcMar>
          </w:tcPr>
          <w:p w14:paraId="30DE78DF" w14:textId="3EC24FAD"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Net cash from /(used by) investing activities</w:t>
            </w:r>
          </w:p>
        </w:tc>
        <w:tc>
          <w:tcPr>
            <w:tcW w:w="794" w:type="dxa"/>
            <w:tcBorders>
              <w:right w:val="single" w:sz="8" w:space="0" w:color="FFFFFF" w:themeColor="background2"/>
            </w:tcBorders>
            <w:tcMar>
              <w:top w:w="17" w:type="dxa"/>
              <w:left w:w="113" w:type="dxa"/>
              <w:bottom w:w="17" w:type="dxa"/>
              <w:right w:w="113" w:type="dxa"/>
            </w:tcMar>
          </w:tcPr>
          <w:p w14:paraId="61CFD86E"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DAED07E" w14:textId="5EC68615"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(1,728)</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6817E7D" w14:textId="1179970E"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(32)</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20DE600C" w14:textId="3A9774EE"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(1,300)</w:t>
            </w:r>
          </w:p>
        </w:tc>
      </w:tr>
      <w:tr w:rsidR="00807DBD" w:rsidRPr="00807DBD" w14:paraId="4E41A4CF" w14:textId="77777777" w:rsidTr="00744A0F">
        <w:trPr>
          <w:gridAfter w:val="1"/>
          <w:wAfter w:w="109" w:type="dxa"/>
          <w:trHeight w:val="170"/>
        </w:trPr>
        <w:tc>
          <w:tcPr>
            <w:tcW w:w="4082" w:type="dxa"/>
            <w:tcMar>
              <w:top w:w="17" w:type="dxa"/>
              <w:left w:w="80" w:type="dxa"/>
              <w:bottom w:w="17" w:type="dxa"/>
              <w:right w:w="80" w:type="dxa"/>
            </w:tcMar>
          </w:tcPr>
          <w:p w14:paraId="3422EB21" w14:textId="4B0F7141" w:rsidR="000B011F" w:rsidRPr="00807DBD" w:rsidRDefault="000B011F" w:rsidP="00C10B33">
            <w:pPr>
              <w:suppressAutoHyphens/>
              <w:autoSpaceDE w:val="0"/>
              <w:autoSpaceDN w:val="0"/>
              <w:adjustRightInd w:val="0"/>
              <w:spacing w:after="0" w:line="240" w:lineRule="auto"/>
              <w:textAlignment w:val="center"/>
              <w:rPr>
                <w:color w:val="292929"/>
                <w:sz w:val="14"/>
                <w:szCs w:val="14"/>
              </w:rPr>
            </w:pPr>
          </w:p>
        </w:tc>
        <w:tc>
          <w:tcPr>
            <w:tcW w:w="794" w:type="dxa"/>
            <w:tcBorders>
              <w:right w:val="single" w:sz="8" w:space="0" w:color="FFFFFF" w:themeColor="background2"/>
            </w:tcBorders>
            <w:tcMar>
              <w:top w:w="17" w:type="dxa"/>
              <w:left w:w="113" w:type="dxa"/>
              <w:bottom w:w="17" w:type="dxa"/>
              <w:right w:w="113" w:type="dxa"/>
            </w:tcMar>
          </w:tcPr>
          <w:p w14:paraId="3AA310D4" w14:textId="77777777" w:rsidR="000B011F" w:rsidRPr="00807DBD" w:rsidRDefault="000B011F" w:rsidP="00C10B33">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1CC96591" w14:textId="77777777" w:rsidR="000B011F" w:rsidRPr="00807DBD" w:rsidRDefault="000B011F" w:rsidP="00C10B33">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754A2944" w14:textId="77777777" w:rsidR="000B011F" w:rsidRPr="00807DBD" w:rsidRDefault="000B011F" w:rsidP="00C10B33">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850" w:type="dxa"/>
            <w:tcBorders>
              <w:top w:val="single" w:sz="4" w:space="0" w:color="292929"/>
              <w:left w:val="single" w:sz="8" w:space="0" w:color="FFFFFF" w:themeColor="background2"/>
            </w:tcBorders>
            <w:tcMar>
              <w:top w:w="17" w:type="dxa"/>
              <w:left w:w="113" w:type="dxa"/>
              <w:bottom w:w="17" w:type="dxa"/>
              <w:right w:w="113" w:type="dxa"/>
            </w:tcMar>
          </w:tcPr>
          <w:p w14:paraId="391DFB62" w14:textId="77777777" w:rsidR="000B011F" w:rsidRPr="00807DBD" w:rsidRDefault="000B011F" w:rsidP="00C10B33">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807DBD" w:rsidRPr="00807DBD" w14:paraId="1D9232D1" w14:textId="77777777" w:rsidTr="00583F11">
        <w:trPr>
          <w:gridAfter w:val="1"/>
          <w:wAfter w:w="109" w:type="dxa"/>
          <w:trHeight w:val="170"/>
        </w:trPr>
        <w:tc>
          <w:tcPr>
            <w:tcW w:w="4082" w:type="dxa"/>
            <w:tcMar>
              <w:top w:w="17" w:type="dxa"/>
              <w:left w:w="80" w:type="dxa"/>
              <w:bottom w:w="17" w:type="dxa"/>
              <w:right w:w="80" w:type="dxa"/>
            </w:tcMar>
          </w:tcPr>
          <w:p w14:paraId="475C7A9B" w14:textId="3E590B05" w:rsidR="006E52E0" w:rsidRPr="00807DBD" w:rsidRDefault="006E52E0" w:rsidP="006E52E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FINANCING ACTIVITIES</w:t>
            </w:r>
          </w:p>
        </w:tc>
        <w:tc>
          <w:tcPr>
            <w:tcW w:w="794" w:type="dxa"/>
            <w:tcMar>
              <w:top w:w="17" w:type="dxa"/>
              <w:left w:w="113" w:type="dxa"/>
              <w:bottom w:w="17" w:type="dxa"/>
              <w:right w:w="113" w:type="dxa"/>
            </w:tcMar>
          </w:tcPr>
          <w:p w14:paraId="41D86B3E" w14:textId="77777777" w:rsidR="006E52E0" w:rsidRPr="00807DBD" w:rsidRDefault="006E52E0" w:rsidP="006E52E0">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269708AF" w14:textId="36C2D5F2" w:rsidR="006E52E0" w:rsidRPr="00807DBD" w:rsidRDefault="006E52E0" w:rsidP="006E52E0">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794" w:type="dxa"/>
            <w:tcMar>
              <w:top w:w="17" w:type="dxa"/>
              <w:left w:w="113" w:type="dxa"/>
              <w:bottom w:w="17" w:type="dxa"/>
              <w:right w:w="113" w:type="dxa"/>
            </w:tcMar>
          </w:tcPr>
          <w:p w14:paraId="0B34EF47" w14:textId="05619C9F" w:rsidR="006E52E0" w:rsidRPr="00807DBD" w:rsidRDefault="006E52E0" w:rsidP="006E52E0">
            <w:pPr>
              <w:suppressAutoHyphens/>
              <w:autoSpaceDE w:val="0"/>
              <w:autoSpaceDN w:val="0"/>
              <w:adjustRightInd w:val="0"/>
              <w:spacing w:after="0" w:line="240" w:lineRule="auto"/>
              <w:jc w:val="right"/>
              <w:textAlignment w:val="center"/>
              <w:rPr>
                <w:color w:val="292929"/>
                <w:sz w:val="14"/>
                <w:szCs w:val="14"/>
              </w:rPr>
            </w:pPr>
          </w:p>
        </w:tc>
        <w:tc>
          <w:tcPr>
            <w:tcW w:w="850" w:type="dxa"/>
            <w:tcMar>
              <w:top w:w="17" w:type="dxa"/>
              <w:left w:w="113" w:type="dxa"/>
              <w:bottom w:w="17" w:type="dxa"/>
              <w:right w:w="113" w:type="dxa"/>
            </w:tcMar>
            <w:vAlign w:val="center"/>
          </w:tcPr>
          <w:p w14:paraId="08CC3822" w14:textId="0CC2248E"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807DBD" w:rsidRPr="00807DBD" w14:paraId="018EE6D9" w14:textId="77777777" w:rsidTr="00583F11">
        <w:trPr>
          <w:gridAfter w:val="1"/>
          <w:wAfter w:w="109" w:type="dxa"/>
          <w:trHeight w:val="170"/>
        </w:trPr>
        <w:tc>
          <w:tcPr>
            <w:tcW w:w="4082" w:type="dxa"/>
            <w:tcMar>
              <w:top w:w="17" w:type="dxa"/>
              <w:left w:w="80" w:type="dxa"/>
              <w:bottom w:w="17" w:type="dxa"/>
              <w:right w:w="80" w:type="dxa"/>
            </w:tcMar>
          </w:tcPr>
          <w:p w14:paraId="0CB433D3" w14:textId="56C19A23" w:rsidR="006E52E0" w:rsidRPr="00807DBD" w:rsidRDefault="006E52E0" w:rsidP="006E52E0">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Cash used</w:t>
            </w:r>
          </w:p>
        </w:tc>
        <w:tc>
          <w:tcPr>
            <w:tcW w:w="794" w:type="dxa"/>
            <w:tcMar>
              <w:top w:w="17" w:type="dxa"/>
              <w:left w:w="113" w:type="dxa"/>
              <w:bottom w:w="17" w:type="dxa"/>
              <w:right w:w="113" w:type="dxa"/>
            </w:tcMar>
          </w:tcPr>
          <w:p w14:paraId="7834EC75" w14:textId="77777777" w:rsidR="006E52E0" w:rsidRPr="00807DBD" w:rsidRDefault="006E52E0" w:rsidP="006E52E0">
            <w:pPr>
              <w:autoSpaceDE w:val="0"/>
              <w:autoSpaceDN w:val="0"/>
              <w:adjustRightInd w:val="0"/>
              <w:spacing w:after="0" w:line="240" w:lineRule="auto"/>
              <w:jc w:val="right"/>
              <w:rPr>
                <w:color w:val="292929"/>
                <w:sz w:val="14"/>
                <w:szCs w:val="14"/>
              </w:rPr>
            </w:pPr>
          </w:p>
        </w:tc>
        <w:tc>
          <w:tcPr>
            <w:tcW w:w="794" w:type="dxa"/>
            <w:tcMar>
              <w:top w:w="17" w:type="dxa"/>
              <w:left w:w="113" w:type="dxa"/>
              <w:bottom w:w="17" w:type="dxa"/>
              <w:right w:w="113" w:type="dxa"/>
            </w:tcMar>
          </w:tcPr>
          <w:p w14:paraId="2160374C" w14:textId="3F2DCF7B" w:rsidR="006E52E0" w:rsidRPr="00807DBD" w:rsidRDefault="006E52E0" w:rsidP="006E52E0">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794" w:type="dxa"/>
            <w:tcMar>
              <w:top w:w="17" w:type="dxa"/>
              <w:left w:w="113" w:type="dxa"/>
              <w:bottom w:w="17" w:type="dxa"/>
              <w:right w:w="113" w:type="dxa"/>
            </w:tcMar>
          </w:tcPr>
          <w:p w14:paraId="03361C94" w14:textId="7555818B" w:rsidR="006E52E0" w:rsidRPr="00807DBD" w:rsidRDefault="006E52E0" w:rsidP="002164DC">
            <w:pPr>
              <w:suppressAutoHyphens/>
              <w:autoSpaceDE w:val="0"/>
              <w:autoSpaceDN w:val="0"/>
              <w:adjustRightInd w:val="0"/>
              <w:spacing w:after="0" w:line="240" w:lineRule="auto"/>
              <w:jc w:val="center"/>
              <w:textAlignment w:val="center"/>
              <w:rPr>
                <w:color w:val="292929"/>
                <w:sz w:val="14"/>
                <w:szCs w:val="14"/>
              </w:rPr>
            </w:pPr>
            <w:r w:rsidRPr="00807DBD">
              <w:rPr>
                <w:color w:val="292929"/>
                <w:sz w:val="14"/>
                <w:szCs w:val="14"/>
              </w:rPr>
              <w:t xml:space="preserve"> </w:t>
            </w:r>
          </w:p>
        </w:tc>
        <w:tc>
          <w:tcPr>
            <w:tcW w:w="850" w:type="dxa"/>
            <w:tcMar>
              <w:top w:w="17" w:type="dxa"/>
              <w:left w:w="113" w:type="dxa"/>
              <w:bottom w:w="17" w:type="dxa"/>
              <w:right w:w="113" w:type="dxa"/>
            </w:tcMar>
          </w:tcPr>
          <w:p w14:paraId="4DF3158F" w14:textId="799654D7" w:rsidR="006E52E0" w:rsidRPr="00807DBD" w:rsidRDefault="006E52E0" w:rsidP="006E52E0">
            <w:pPr>
              <w:suppressAutoHyphens/>
              <w:autoSpaceDE w:val="0"/>
              <w:autoSpaceDN w:val="0"/>
              <w:adjustRightInd w:val="0"/>
              <w:spacing w:after="0" w:line="240" w:lineRule="auto"/>
              <w:jc w:val="right"/>
              <w:textAlignment w:val="center"/>
              <w:rPr>
                <w:rFonts w:cs="Futura PT Book"/>
                <w:color w:val="292929"/>
                <w:sz w:val="14"/>
                <w:szCs w:val="14"/>
                <w:lang w:val="en-US"/>
              </w:rPr>
            </w:pPr>
          </w:p>
        </w:tc>
      </w:tr>
      <w:tr w:rsidR="00807DBD" w:rsidRPr="00807DBD" w14:paraId="2773038E" w14:textId="77777777" w:rsidTr="00744A0F">
        <w:trPr>
          <w:gridAfter w:val="1"/>
          <w:wAfter w:w="109" w:type="dxa"/>
          <w:trHeight w:val="170"/>
        </w:trPr>
        <w:tc>
          <w:tcPr>
            <w:tcW w:w="4082" w:type="dxa"/>
            <w:tcMar>
              <w:top w:w="17" w:type="dxa"/>
              <w:left w:w="80" w:type="dxa"/>
              <w:bottom w:w="17" w:type="dxa"/>
              <w:right w:w="80" w:type="dxa"/>
            </w:tcMar>
          </w:tcPr>
          <w:p w14:paraId="623AB96B" w14:textId="5C431ABD" w:rsidR="002164DC" w:rsidRPr="00807DBD" w:rsidRDefault="002164DC" w:rsidP="002164DC">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Principal payments of lease liabilities</w:t>
            </w:r>
          </w:p>
        </w:tc>
        <w:tc>
          <w:tcPr>
            <w:tcW w:w="794" w:type="dxa"/>
            <w:tcBorders>
              <w:right w:val="single" w:sz="8" w:space="0" w:color="FFFFFF" w:themeColor="background2"/>
            </w:tcBorders>
            <w:tcMar>
              <w:top w:w="17" w:type="dxa"/>
              <w:left w:w="113" w:type="dxa"/>
              <w:bottom w:w="17" w:type="dxa"/>
              <w:right w:w="113" w:type="dxa"/>
            </w:tcMar>
          </w:tcPr>
          <w:p w14:paraId="01E82C9F"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3047A2C" w14:textId="6CEAEF50" w:rsidR="002164DC" w:rsidRPr="00807DBD" w:rsidRDefault="00564AEA"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Pr>
                <w:rFonts w:asciiTheme="majorHAnsi" w:hAnsiTheme="majorHAnsi"/>
                <w:color w:val="292929"/>
                <w:sz w:val="14"/>
                <w:szCs w:val="14"/>
              </w:rPr>
              <w:t>(</w:t>
            </w:r>
            <w:r w:rsidR="002164DC" w:rsidRPr="00807DBD">
              <w:rPr>
                <w:rFonts w:asciiTheme="majorHAnsi" w:hAnsiTheme="majorHAnsi"/>
                <w:color w:val="292929"/>
                <w:sz w:val="14"/>
                <w:szCs w:val="14"/>
              </w:rPr>
              <w:t>638</w:t>
            </w:r>
            <w:r>
              <w:rPr>
                <w:rFonts w:asciiTheme="majorHAnsi" w:hAnsiTheme="majorHAnsi"/>
                <w:color w:val="292929"/>
                <w:sz w:val="14"/>
                <w:szCs w:val="14"/>
              </w:rPr>
              <w:t>)</w:t>
            </w:r>
            <w:r w:rsidR="002164DC" w:rsidRPr="00807DBD">
              <w:rPr>
                <w:rFonts w:asciiTheme="majorHAnsi" w:hAnsiTheme="majorHAnsi"/>
                <w:color w:val="292929"/>
                <w:sz w:val="14"/>
                <w:szCs w:val="14"/>
              </w:rPr>
              <w:t xml:space="preserve"> </w:t>
            </w: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DCFBC7C" w14:textId="57FA87EA"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w:t>
            </w:r>
          </w:p>
        </w:tc>
        <w:tc>
          <w:tcPr>
            <w:tcW w:w="850" w:type="dxa"/>
            <w:tcBorders>
              <w:left w:val="single" w:sz="8" w:space="0" w:color="FFFFFF" w:themeColor="background2"/>
              <w:bottom w:val="single" w:sz="4" w:space="0" w:color="292929"/>
            </w:tcBorders>
            <w:tcMar>
              <w:top w:w="17" w:type="dxa"/>
              <w:left w:w="113" w:type="dxa"/>
              <w:bottom w:w="17" w:type="dxa"/>
              <w:right w:w="113" w:type="dxa"/>
            </w:tcMar>
            <w:vAlign w:val="center"/>
          </w:tcPr>
          <w:p w14:paraId="457EAB00" w14:textId="06577691"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w:t>
            </w:r>
          </w:p>
        </w:tc>
      </w:tr>
      <w:tr w:rsidR="00807DBD" w:rsidRPr="00807DBD" w14:paraId="0AFA37B6" w14:textId="77777777" w:rsidTr="00744A0F">
        <w:trPr>
          <w:gridAfter w:val="1"/>
          <w:wAfter w:w="109" w:type="dxa"/>
          <w:trHeight w:val="170"/>
        </w:trPr>
        <w:tc>
          <w:tcPr>
            <w:tcW w:w="4082" w:type="dxa"/>
            <w:tcMar>
              <w:top w:w="17" w:type="dxa"/>
              <w:left w:w="80" w:type="dxa"/>
              <w:bottom w:w="17" w:type="dxa"/>
              <w:right w:w="80" w:type="dxa"/>
            </w:tcMar>
          </w:tcPr>
          <w:p w14:paraId="025C2F4A" w14:textId="769E04BF"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794" w:type="dxa"/>
            <w:tcBorders>
              <w:right w:val="single" w:sz="8" w:space="0" w:color="FFFFFF" w:themeColor="background2"/>
            </w:tcBorders>
            <w:tcMar>
              <w:top w:w="17" w:type="dxa"/>
              <w:left w:w="113" w:type="dxa"/>
              <w:bottom w:w="17" w:type="dxa"/>
              <w:right w:w="113" w:type="dxa"/>
            </w:tcMar>
          </w:tcPr>
          <w:p w14:paraId="258ECF0D"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2A9DCCB" w14:textId="6F963E8D" w:rsidR="002164DC" w:rsidRPr="00807DBD" w:rsidRDefault="00564AEA"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Pr>
                <w:rFonts w:asciiTheme="majorHAnsi" w:hAnsiTheme="majorHAnsi"/>
                <w:color w:val="292929"/>
                <w:sz w:val="14"/>
                <w:szCs w:val="14"/>
              </w:rPr>
              <w:t>(</w:t>
            </w:r>
            <w:r w:rsidR="002164DC" w:rsidRPr="00807DBD">
              <w:rPr>
                <w:rFonts w:asciiTheme="majorHAnsi" w:hAnsiTheme="majorHAnsi"/>
                <w:color w:val="292929"/>
                <w:sz w:val="14"/>
                <w:szCs w:val="14"/>
              </w:rPr>
              <w:t>638</w:t>
            </w:r>
            <w:r>
              <w:rPr>
                <w:rFonts w:asciiTheme="majorHAnsi" w:hAnsiTheme="majorHAnsi"/>
                <w:color w:val="292929"/>
                <w:sz w:val="14"/>
                <w:szCs w:val="14"/>
              </w:rPr>
              <w:t>)</w:t>
            </w:r>
            <w:r w:rsidR="002164DC" w:rsidRPr="00807DBD">
              <w:rPr>
                <w:rFonts w:asciiTheme="majorHAnsi" w:hAnsiTheme="majorHAnsi"/>
                <w:color w:val="292929"/>
                <w:sz w:val="14"/>
                <w:szCs w:val="14"/>
              </w:rPr>
              <w:t xml:space="preserve"> </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9885BFE" w14:textId="413D0C40"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vAlign w:val="center"/>
          </w:tcPr>
          <w:p w14:paraId="7F3E1009" w14:textId="646C3D77"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rFonts w:cs="Futura PT Book"/>
                <w:color w:val="292929"/>
                <w:sz w:val="14"/>
                <w:szCs w:val="14"/>
                <w:lang w:val="en-US"/>
              </w:rPr>
              <w:t>-</w:t>
            </w:r>
          </w:p>
        </w:tc>
      </w:tr>
      <w:tr w:rsidR="00807DBD" w:rsidRPr="00807DBD" w14:paraId="199D4565" w14:textId="77777777" w:rsidTr="00744A0F">
        <w:trPr>
          <w:gridAfter w:val="1"/>
          <w:wAfter w:w="109" w:type="dxa"/>
          <w:trHeight w:val="170"/>
        </w:trPr>
        <w:tc>
          <w:tcPr>
            <w:tcW w:w="4082" w:type="dxa"/>
            <w:tcMar>
              <w:top w:w="17" w:type="dxa"/>
              <w:left w:w="80" w:type="dxa"/>
              <w:bottom w:w="17" w:type="dxa"/>
              <w:right w:w="80" w:type="dxa"/>
            </w:tcMar>
          </w:tcPr>
          <w:p w14:paraId="3C380022" w14:textId="6CC4C654"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Net cash from/(used by) financing activities</w:t>
            </w:r>
          </w:p>
        </w:tc>
        <w:tc>
          <w:tcPr>
            <w:tcW w:w="794" w:type="dxa"/>
            <w:tcBorders>
              <w:right w:val="single" w:sz="8" w:space="0" w:color="FFFFFF" w:themeColor="background2"/>
            </w:tcBorders>
            <w:tcMar>
              <w:top w:w="17" w:type="dxa"/>
              <w:left w:w="113" w:type="dxa"/>
              <w:bottom w:w="17" w:type="dxa"/>
              <w:right w:w="113" w:type="dxa"/>
            </w:tcMar>
          </w:tcPr>
          <w:p w14:paraId="4B69E8F9"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91B8361" w14:textId="3148FC0F"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(638)</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F8C01CB" w14:textId="5E0BD0D5"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 </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692DB59D" w14:textId="277EDF31"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 xml:space="preserve"> -</w:t>
            </w:r>
          </w:p>
        </w:tc>
      </w:tr>
      <w:tr w:rsidR="00807DBD" w:rsidRPr="00807DBD" w14:paraId="295482C1" w14:textId="77777777" w:rsidTr="00744A0F">
        <w:trPr>
          <w:gridAfter w:val="1"/>
          <w:wAfter w:w="109" w:type="dxa"/>
          <w:trHeight w:val="170"/>
        </w:trPr>
        <w:tc>
          <w:tcPr>
            <w:tcW w:w="4082" w:type="dxa"/>
            <w:tcMar>
              <w:top w:w="17" w:type="dxa"/>
              <w:left w:w="80" w:type="dxa"/>
              <w:bottom w:w="17" w:type="dxa"/>
              <w:right w:w="80" w:type="dxa"/>
            </w:tcMar>
          </w:tcPr>
          <w:p w14:paraId="3C4E4268" w14:textId="77777777" w:rsidR="000B011F" w:rsidRPr="00807DBD" w:rsidRDefault="000B011F" w:rsidP="00C10B33">
            <w:pPr>
              <w:suppressAutoHyphens/>
              <w:autoSpaceDE w:val="0"/>
              <w:autoSpaceDN w:val="0"/>
              <w:adjustRightInd w:val="0"/>
              <w:spacing w:after="0" w:line="240" w:lineRule="auto"/>
              <w:textAlignment w:val="center"/>
              <w:rPr>
                <w:color w:val="292929"/>
                <w:sz w:val="14"/>
                <w:szCs w:val="14"/>
              </w:rPr>
            </w:pPr>
          </w:p>
        </w:tc>
        <w:tc>
          <w:tcPr>
            <w:tcW w:w="794" w:type="dxa"/>
            <w:tcBorders>
              <w:right w:val="single" w:sz="8" w:space="0" w:color="FFFFFF" w:themeColor="background2"/>
            </w:tcBorders>
            <w:tcMar>
              <w:top w:w="17" w:type="dxa"/>
              <w:left w:w="113" w:type="dxa"/>
              <w:bottom w:w="17" w:type="dxa"/>
              <w:right w:w="113" w:type="dxa"/>
            </w:tcMar>
          </w:tcPr>
          <w:p w14:paraId="21566E58" w14:textId="77777777" w:rsidR="000B011F" w:rsidRPr="00807DBD" w:rsidRDefault="000B011F" w:rsidP="00C10B33">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0BD3E24A" w14:textId="77777777" w:rsidR="000B011F" w:rsidRPr="00807DBD" w:rsidRDefault="000B011F" w:rsidP="00C10B33">
            <w:pPr>
              <w:suppressAutoHyphens/>
              <w:autoSpaceDE w:val="0"/>
              <w:autoSpaceDN w:val="0"/>
              <w:adjustRightInd w:val="0"/>
              <w:spacing w:after="0" w:line="240" w:lineRule="auto"/>
              <w:jc w:val="right"/>
              <w:textAlignment w:val="center"/>
              <w:rPr>
                <w:rFonts w:asciiTheme="majorHAnsi" w:hAnsiTheme="majorHAnsi"/>
                <w:color w:val="292929"/>
                <w:sz w:val="14"/>
                <w:szCs w:val="14"/>
              </w:rPr>
            </w:pPr>
          </w:p>
        </w:tc>
        <w:tc>
          <w:tcPr>
            <w:tcW w:w="794"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5A9CECD3" w14:textId="77777777" w:rsidR="000B011F" w:rsidRPr="00807DBD" w:rsidRDefault="000B011F" w:rsidP="00C10B33">
            <w:pPr>
              <w:suppressAutoHyphens/>
              <w:autoSpaceDE w:val="0"/>
              <w:autoSpaceDN w:val="0"/>
              <w:adjustRightInd w:val="0"/>
              <w:spacing w:after="0" w:line="240" w:lineRule="auto"/>
              <w:jc w:val="right"/>
              <w:textAlignment w:val="center"/>
              <w:rPr>
                <w:color w:val="292929"/>
                <w:sz w:val="14"/>
                <w:szCs w:val="14"/>
              </w:rPr>
            </w:pPr>
          </w:p>
        </w:tc>
        <w:tc>
          <w:tcPr>
            <w:tcW w:w="850" w:type="dxa"/>
            <w:tcBorders>
              <w:top w:val="single" w:sz="4" w:space="0" w:color="292929"/>
              <w:left w:val="single" w:sz="8" w:space="0" w:color="FFFFFF" w:themeColor="background2"/>
            </w:tcBorders>
            <w:tcMar>
              <w:top w:w="17" w:type="dxa"/>
              <w:left w:w="113" w:type="dxa"/>
              <w:bottom w:w="17" w:type="dxa"/>
              <w:right w:w="113" w:type="dxa"/>
            </w:tcMar>
          </w:tcPr>
          <w:p w14:paraId="5136407B" w14:textId="77777777" w:rsidR="000B011F" w:rsidRPr="00807DBD" w:rsidRDefault="000B011F" w:rsidP="00C10B33">
            <w:pPr>
              <w:suppressAutoHyphens/>
              <w:autoSpaceDE w:val="0"/>
              <w:autoSpaceDN w:val="0"/>
              <w:adjustRightInd w:val="0"/>
              <w:spacing w:after="0" w:line="240" w:lineRule="auto"/>
              <w:jc w:val="right"/>
              <w:textAlignment w:val="center"/>
              <w:rPr>
                <w:color w:val="292929"/>
                <w:sz w:val="14"/>
                <w:szCs w:val="14"/>
              </w:rPr>
            </w:pPr>
          </w:p>
        </w:tc>
      </w:tr>
      <w:tr w:rsidR="00807DBD" w:rsidRPr="00807DBD" w14:paraId="6935CD69" w14:textId="77777777" w:rsidTr="00744A0F">
        <w:trPr>
          <w:gridAfter w:val="1"/>
          <w:wAfter w:w="109" w:type="dxa"/>
          <w:trHeight w:val="170"/>
        </w:trPr>
        <w:tc>
          <w:tcPr>
            <w:tcW w:w="4082" w:type="dxa"/>
            <w:tcMar>
              <w:top w:w="17" w:type="dxa"/>
              <w:left w:w="80" w:type="dxa"/>
              <w:bottom w:w="17" w:type="dxa"/>
              <w:right w:w="80" w:type="dxa"/>
            </w:tcMar>
          </w:tcPr>
          <w:p w14:paraId="4FA56A7B" w14:textId="0804D478"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Net increase in cash held</w:t>
            </w:r>
          </w:p>
        </w:tc>
        <w:tc>
          <w:tcPr>
            <w:tcW w:w="794" w:type="dxa"/>
            <w:tcBorders>
              <w:right w:val="single" w:sz="8" w:space="0" w:color="FFFFFF" w:themeColor="background2"/>
            </w:tcBorders>
            <w:tcMar>
              <w:top w:w="17" w:type="dxa"/>
              <w:left w:w="113" w:type="dxa"/>
              <w:bottom w:w="17" w:type="dxa"/>
              <w:right w:w="113" w:type="dxa"/>
            </w:tcMar>
          </w:tcPr>
          <w:p w14:paraId="17F2D17E"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95B9C53" w14:textId="0DC24487"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223 </w:t>
            </w:r>
          </w:p>
        </w:tc>
        <w:tc>
          <w:tcPr>
            <w:tcW w:w="794"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A88F5EB" w14:textId="592BA95A"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184 </w:t>
            </w:r>
          </w:p>
        </w:tc>
        <w:tc>
          <w:tcPr>
            <w:tcW w:w="850" w:type="dxa"/>
            <w:tcBorders>
              <w:left w:val="single" w:sz="8" w:space="0" w:color="FFFFFF" w:themeColor="background2"/>
              <w:bottom w:val="single" w:sz="4" w:space="0" w:color="292929"/>
            </w:tcBorders>
            <w:tcMar>
              <w:top w:w="17" w:type="dxa"/>
              <w:left w:w="113" w:type="dxa"/>
              <w:bottom w:w="17" w:type="dxa"/>
              <w:right w:w="113" w:type="dxa"/>
            </w:tcMar>
          </w:tcPr>
          <w:p w14:paraId="634F0313" w14:textId="2B9C43BB" w:rsidR="002164DC" w:rsidRPr="00807DBD" w:rsidRDefault="002164DC" w:rsidP="002164DC">
            <w:pPr>
              <w:suppressAutoHyphens/>
              <w:autoSpaceDE w:val="0"/>
              <w:autoSpaceDN w:val="0"/>
              <w:adjustRightInd w:val="0"/>
              <w:spacing w:after="0" w:line="240" w:lineRule="auto"/>
              <w:jc w:val="right"/>
              <w:textAlignment w:val="center"/>
              <w:rPr>
                <w:rFonts w:cs="Futura PT Book"/>
                <w:color w:val="292929"/>
                <w:sz w:val="14"/>
                <w:szCs w:val="14"/>
                <w:lang w:val="en-US"/>
              </w:rPr>
            </w:pPr>
            <w:r w:rsidRPr="00807DBD">
              <w:rPr>
                <w:color w:val="292929"/>
                <w:sz w:val="14"/>
                <w:szCs w:val="14"/>
              </w:rPr>
              <w:t>(885)</w:t>
            </w:r>
          </w:p>
        </w:tc>
      </w:tr>
      <w:tr w:rsidR="00807DBD" w:rsidRPr="00807DBD" w14:paraId="5AF34D42" w14:textId="77777777" w:rsidTr="00744A0F">
        <w:trPr>
          <w:gridAfter w:val="1"/>
          <w:wAfter w:w="109" w:type="dxa"/>
          <w:trHeight w:val="170"/>
        </w:trPr>
        <w:tc>
          <w:tcPr>
            <w:tcW w:w="4082" w:type="dxa"/>
            <w:tcMar>
              <w:top w:w="17" w:type="dxa"/>
              <w:left w:w="80" w:type="dxa"/>
              <w:bottom w:w="17" w:type="dxa"/>
              <w:right w:w="80" w:type="dxa"/>
            </w:tcMar>
          </w:tcPr>
          <w:p w14:paraId="5016295C" w14:textId="094D046F" w:rsidR="002164DC" w:rsidRPr="00807DBD" w:rsidRDefault="002164DC" w:rsidP="002164DC">
            <w:pPr>
              <w:suppressAutoHyphens/>
              <w:autoSpaceDE w:val="0"/>
              <w:autoSpaceDN w:val="0"/>
              <w:adjustRightInd w:val="0"/>
              <w:spacing w:after="0" w:line="240" w:lineRule="auto"/>
              <w:textAlignment w:val="center"/>
              <w:rPr>
                <w:color w:val="292929"/>
                <w:sz w:val="14"/>
                <w:szCs w:val="14"/>
              </w:rPr>
            </w:pPr>
            <w:r w:rsidRPr="00807DBD">
              <w:rPr>
                <w:color w:val="292929"/>
                <w:sz w:val="14"/>
                <w:szCs w:val="14"/>
              </w:rPr>
              <w:t>Cash and cash equivalents at the beginning of the reporting period</w:t>
            </w:r>
          </w:p>
        </w:tc>
        <w:tc>
          <w:tcPr>
            <w:tcW w:w="794" w:type="dxa"/>
            <w:tcBorders>
              <w:right w:val="single" w:sz="8" w:space="0" w:color="FFFFFF" w:themeColor="background2"/>
            </w:tcBorders>
            <w:tcMar>
              <w:top w:w="17" w:type="dxa"/>
              <w:left w:w="113" w:type="dxa"/>
              <w:bottom w:w="17" w:type="dxa"/>
              <w:right w:w="113" w:type="dxa"/>
            </w:tcMar>
          </w:tcPr>
          <w:p w14:paraId="7D3D7DB1" w14:textId="77777777" w:rsidR="002164DC" w:rsidRPr="00807DBD" w:rsidRDefault="002164DC" w:rsidP="002164DC">
            <w:pPr>
              <w:autoSpaceDE w:val="0"/>
              <w:autoSpaceDN w:val="0"/>
              <w:adjustRightInd w:val="0"/>
              <w:spacing w:after="0" w:line="240" w:lineRule="auto"/>
              <w:jc w:val="right"/>
              <w:rPr>
                <w:color w:val="292929"/>
                <w:sz w:val="14"/>
                <w:szCs w:val="14"/>
              </w:rPr>
            </w:pP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3B0BF63F" w14:textId="51D2BB35"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13,896 </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4F2ADF8" w14:textId="37239329"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13,712 </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7D08F030" w14:textId="2053D1FA"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13,970 </w:t>
            </w:r>
          </w:p>
        </w:tc>
      </w:tr>
      <w:tr w:rsidR="00807DBD" w:rsidRPr="00807DBD" w14:paraId="397AEA28" w14:textId="77777777" w:rsidTr="00744A0F">
        <w:trPr>
          <w:gridAfter w:val="1"/>
          <w:wAfter w:w="109" w:type="dxa"/>
          <w:trHeight w:val="170"/>
        </w:trPr>
        <w:tc>
          <w:tcPr>
            <w:tcW w:w="4082" w:type="dxa"/>
            <w:tcMar>
              <w:top w:w="17" w:type="dxa"/>
              <w:left w:w="80" w:type="dxa"/>
              <w:bottom w:w="17" w:type="dxa"/>
              <w:right w:w="80" w:type="dxa"/>
            </w:tcMar>
          </w:tcPr>
          <w:p w14:paraId="42E7C580" w14:textId="747EB369" w:rsidR="002164DC" w:rsidRPr="00807DBD" w:rsidRDefault="002164DC" w:rsidP="002164DC">
            <w:pPr>
              <w:suppressAutoHyphens/>
              <w:autoSpaceDE w:val="0"/>
              <w:autoSpaceDN w:val="0"/>
              <w:adjustRightInd w:val="0"/>
              <w:spacing w:after="0" w:line="240" w:lineRule="auto"/>
              <w:textAlignment w:val="center"/>
              <w:rPr>
                <w:rFonts w:asciiTheme="majorHAnsi" w:hAnsiTheme="majorHAnsi"/>
                <w:color w:val="292929"/>
                <w:sz w:val="14"/>
                <w:szCs w:val="14"/>
              </w:rPr>
            </w:pPr>
            <w:r w:rsidRPr="00807DBD">
              <w:rPr>
                <w:rFonts w:asciiTheme="majorHAnsi" w:hAnsiTheme="majorHAnsi"/>
                <w:color w:val="292929"/>
                <w:sz w:val="14"/>
                <w:szCs w:val="14"/>
              </w:rPr>
              <w:t>Cash and cash equivalents at the end of the reporting period</w:t>
            </w:r>
          </w:p>
        </w:tc>
        <w:tc>
          <w:tcPr>
            <w:tcW w:w="794" w:type="dxa"/>
            <w:tcBorders>
              <w:right w:val="single" w:sz="8" w:space="0" w:color="FFFFFF" w:themeColor="background2"/>
            </w:tcBorders>
            <w:tcMar>
              <w:top w:w="17" w:type="dxa"/>
              <w:left w:w="113" w:type="dxa"/>
              <w:bottom w:w="17" w:type="dxa"/>
              <w:right w:w="113" w:type="dxa"/>
            </w:tcMar>
          </w:tcPr>
          <w:p w14:paraId="5090A840" w14:textId="1B73B3E1" w:rsidR="002164DC" w:rsidRPr="00807DBD" w:rsidRDefault="002164DC" w:rsidP="002164DC">
            <w:pPr>
              <w:autoSpaceDE w:val="0"/>
              <w:autoSpaceDN w:val="0"/>
              <w:adjustRightInd w:val="0"/>
              <w:spacing w:after="0" w:line="240" w:lineRule="auto"/>
              <w:jc w:val="right"/>
              <w:rPr>
                <w:color w:val="292929"/>
                <w:sz w:val="14"/>
                <w:szCs w:val="14"/>
              </w:rPr>
            </w:pPr>
            <w:r w:rsidRPr="00807DBD">
              <w:rPr>
                <w:color w:val="292929"/>
                <w:sz w:val="14"/>
                <w:szCs w:val="14"/>
              </w:rPr>
              <w:t>2.1A</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893768A" w14:textId="61B0E074" w:rsidR="002164DC" w:rsidRPr="00807DBD" w:rsidRDefault="002164DC" w:rsidP="002164DC">
            <w:pPr>
              <w:suppressAutoHyphens/>
              <w:autoSpaceDE w:val="0"/>
              <w:autoSpaceDN w:val="0"/>
              <w:adjustRightInd w:val="0"/>
              <w:spacing w:after="0" w:line="240" w:lineRule="auto"/>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14,119 </w:t>
            </w:r>
          </w:p>
        </w:tc>
        <w:tc>
          <w:tcPr>
            <w:tcW w:w="794"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2C377D6D" w14:textId="7CB1C08E"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13,896 </w:t>
            </w:r>
          </w:p>
        </w:tc>
        <w:tc>
          <w:tcPr>
            <w:tcW w:w="850"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67D38AA6" w14:textId="23F3CA64" w:rsidR="002164DC" w:rsidRPr="00807DBD" w:rsidRDefault="002164DC" w:rsidP="002164DC">
            <w:pPr>
              <w:suppressAutoHyphens/>
              <w:autoSpaceDE w:val="0"/>
              <w:autoSpaceDN w:val="0"/>
              <w:adjustRightInd w:val="0"/>
              <w:spacing w:after="0" w:line="240" w:lineRule="auto"/>
              <w:jc w:val="right"/>
              <w:textAlignment w:val="center"/>
              <w:rPr>
                <w:color w:val="292929"/>
                <w:sz w:val="14"/>
                <w:szCs w:val="14"/>
              </w:rPr>
            </w:pPr>
            <w:r w:rsidRPr="00807DBD">
              <w:rPr>
                <w:color w:val="292929"/>
                <w:sz w:val="14"/>
                <w:szCs w:val="14"/>
              </w:rPr>
              <w:t xml:space="preserve">13,085 </w:t>
            </w:r>
          </w:p>
        </w:tc>
      </w:tr>
      <w:tr w:rsidR="00744A0F" w:rsidRPr="00744A0F" w14:paraId="72E1A798" w14:textId="77777777" w:rsidTr="00744A0F">
        <w:trPr>
          <w:gridAfter w:val="1"/>
          <w:wAfter w:w="109" w:type="dxa"/>
          <w:trHeight w:val="57"/>
        </w:trPr>
        <w:tc>
          <w:tcPr>
            <w:tcW w:w="4082" w:type="dxa"/>
            <w:tcBorders>
              <w:bottom w:val="single" w:sz="8" w:space="0" w:color="FFFFFF" w:themeColor="background2"/>
            </w:tcBorders>
            <w:tcMar>
              <w:top w:w="17" w:type="dxa"/>
              <w:left w:w="80" w:type="dxa"/>
              <w:bottom w:w="17" w:type="dxa"/>
              <w:right w:w="80" w:type="dxa"/>
            </w:tcMar>
          </w:tcPr>
          <w:p w14:paraId="43ADB026" w14:textId="77777777" w:rsidR="00744A0F" w:rsidRPr="00744A0F" w:rsidRDefault="00744A0F" w:rsidP="002164DC">
            <w:pPr>
              <w:suppressAutoHyphens/>
              <w:autoSpaceDE w:val="0"/>
              <w:autoSpaceDN w:val="0"/>
              <w:adjustRightInd w:val="0"/>
              <w:spacing w:after="0" w:line="240" w:lineRule="auto"/>
              <w:textAlignment w:val="center"/>
              <w:rPr>
                <w:rFonts w:asciiTheme="majorHAnsi" w:hAnsiTheme="majorHAnsi"/>
                <w:color w:val="292929"/>
                <w:sz w:val="4"/>
                <w:szCs w:val="4"/>
              </w:rPr>
            </w:pPr>
          </w:p>
        </w:tc>
        <w:tc>
          <w:tcPr>
            <w:tcW w:w="794" w:type="dxa"/>
            <w:tcBorders>
              <w:bottom w:val="single" w:sz="8" w:space="0" w:color="FFFFFF" w:themeColor="background2"/>
              <w:right w:val="single" w:sz="8" w:space="0" w:color="FFFFFF" w:themeColor="background2"/>
            </w:tcBorders>
            <w:tcMar>
              <w:top w:w="17" w:type="dxa"/>
              <w:left w:w="113" w:type="dxa"/>
              <w:bottom w:w="17" w:type="dxa"/>
              <w:right w:w="113" w:type="dxa"/>
            </w:tcMar>
          </w:tcPr>
          <w:p w14:paraId="794B7978" w14:textId="77777777" w:rsidR="00744A0F" w:rsidRPr="00744A0F" w:rsidRDefault="00744A0F" w:rsidP="002164DC">
            <w:pPr>
              <w:autoSpaceDE w:val="0"/>
              <w:autoSpaceDN w:val="0"/>
              <w:adjustRightInd w:val="0"/>
              <w:spacing w:after="0" w:line="240" w:lineRule="auto"/>
              <w:jc w:val="right"/>
              <w:rPr>
                <w:color w:val="292929"/>
                <w:sz w:val="4"/>
                <w:szCs w:val="4"/>
              </w:rPr>
            </w:pPr>
          </w:p>
        </w:tc>
        <w:tc>
          <w:tcPr>
            <w:tcW w:w="794" w:type="dxa"/>
            <w:tcBorders>
              <w:top w:val="single" w:sz="4" w:space="0" w:color="292929"/>
              <w:left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5F7FDE5D" w14:textId="77777777" w:rsidR="00744A0F" w:rsidRPr="00744A0F" w:rsidRDefault="00744A0F" w:rsidP="002164DC">
            <w:pPr>
              <w:suppressAutoHyphens/>
              <w:autoSpaceDE w:val="0"/>
              <w:autoSpaceDN w:val="0"/>
              <w:adjustRightInd w:val="0"/>
              <w:spacing w:after="0" w:line="240" w:lineRule="auto"/>
              <w:jc w:val="right"/>
              <w:textAlignment w:val="center"/>
              <w:rPr>
                <w:rFonts w:asciiTheme="majorHAnsi" w:hAnsiTheme="majorHAnsi"/>
                <w:color w:val="292929"/>
                <w:sz w:val="4"/>
                <w:szCs w:val="4"/>
              </w:rPr>
            </w:pPr>
          </w:p>
        </w:tc>
        <w:tc>
          <w:tcPr>
            <w:tcW w:w="794" w:type="dxa"/>
            <w:tcBorders>
              <w:top w:val="single" w:sz="4" w:space="0" w:color="292929"/>
              <w:left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478273AC" w14:textId="77777777" w:rsidR="00744A0F" w:rsidRPr="00744A0F" w:rsidRDefault="00744A0F" w:rsidP="002164DC">
            <w:pPr>
              <w:suppressAutoHyphens/>
              <w:autoSpaceDE w:val="0"/>
              <w:autoSpaceDN w:val="0"/>
              <w:adjustRightInd w:val="0"/>
              <w:spacing w:after="0" w:line="240" w:lineRule="auto"/>
              <w:jc w:val="right"/>
              <w:textAlignment w:val="center"/>
              <w:rPr>
                <w:color w:val="292929"/>
                <w:sz w:val="4"/>
                <w:szCs w:val="4"/>
              </w:rPr>
            </w:pPr>
          </w:p>
        </w:tc>
        <w:tc>
          <w:tcPr>
            <w:tcW w:w="850"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729C57CF" w14:textId="77777777" w:rsidR="00744A0F" w:rsidRPr="00744A0F" w:rsidRDefault="00744A0F" w:rsidP="002164DC">
            <w:pPr>
              <w:suppressAutoHyphens/>
              <w:autoSpaceDE w:val="0"/>
              <w:autoSpaceDN w:val="0"/>
              <w:adjustRightInd w:val="0"/>
              <w:spacing w:after="0" w:line="240" w:lineRule="auto"/>
              <w:jc w:val="right"/>
              <w:textAlignment w:val="center"/>
              <w:rPr>
                <w:color w:val="292929"/>
                <w:sz w:val="4"/>
                <w:szCs w:val="4"/>
              </w:rPr>
            </w:pPr>
          </w:p>
        </w:tc>
      </w:tr>
      <w:tr w:rsidR="00807DBD" w:rsidRPr="00807DBD" w14:paraId="31DD107B" w14:textId="77777777" w:rsidTr="00744A0F">
        <w:trPr>
          <w:trHeight w:val="300"/>
        </w:trPr>
        <w:tc>
          <w:tcPr>
            <w:tcW w:w="7423" w:type="dxa"/>
            <w:gridSpan w:val="6"/>
            <w:tcBorders>
              <w:left w:val="single" w:sz="4" w:space="0" w:color="FFFFFF" w:themeColor="background2"/>
            </w:tcBorders>
            <w:tcMar>
              <w:top w:w="17" w:type="dxa"/>
              <w:left w:w="80" w:type="dxa"/>
              <w:bottom w:w="17" w:type="dxa"/>
              <w:right w:w="80" w:type="dxa"/>
            </w:tcMar>
            <w:vAlign w:val="center"/>
          </w:tcPr>
          <w:p w14:paraId="3B75D0EE" w14:textId="77777777" w:rsidR="000B011F" w:rsidRPr="00807DBD" w:rsidRDefault="000B011F" w:rsidP="00C10B33">
            <w:pPr>
              <w:suppressAutoHyphens/>
              <w:autoSpaceDE w:val="0"/>
              <w:autoSpaceDN w:val="0"/>
              <w:adjustRightInd w:val="0"/>
              <w:spacing w:after="0" w:line="240" w:lineRule="auto"/>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0D3EC376" w14:textId="77777777" w:rsidR="00EE6F03" w:rsidRPr="00DD1691" w:rsidRDefault="00EE6F03" w:rsidP="00EE6F03">
      <w:pPr>
        <w:pStyle w:val="H4"/>
        <w:rPr>
          <w:sz w:val="18"/>
        </w:rPr>
      </w:pPr>
      <w:r w:rsidRPr="00DD1691">
        <w:rPr>
          <w:sz w:val="18"/>
        </w:rPr>
        <w:t>Budget Variances Commentary</w:t>
      </w:r>
    </w:p>
    <w:p w14:paraId="5CA28F70" w14:textId="5FEFCAAA" w:rsidR="00EE6F03" w:rsidRPr="00DD1691" w:rsidRDefault="00EE6F03" w:rsidP="00DD1691">
      <w:pPr>
        <w:pStyle w:val="Body"/>
        <w:spacing w:after="60"/>
        <w:rPr>
          <w:b/>
          <w:bCs/>
          <w:sz w:val="14"/>
          <w:szCs w:val="14"/>
        </w:rPr>
      </w:pPr>
      <w:r w:rsidRPr="00DD1691">
        <w:rPr>
          <w:b/>
          <w:bCs/>
          <w:sz w:val="14"/>
          <w:szCs w:val="14"/>
        </w:rPr>
        <w:t>Statement of Changes in Cash Flow</w:t>
      </w:r>
    </w:p>
    <w:p w14:paraId="66C4ACEB" w14:textId="09E542A2" w:rsidR="00974E28" w:rsidRPr="00DD1691" w:rsidRDefault="00EE6F03" w:rsidP="00DD1691">
      <w:pPr>
        <w:pStyle w:val="Body"/>
        <w:spacing w:after="60"/>
        <w:rPr>
          <w:sz w:val="14"/>
          <w:szCs w:val="14"/>
        </w:rPr>
      </w:pPr>
      <w:r w:rsidRPr="00DD1691">
        <w:rPr>
          <w:sz w:val="14"/>
          <w:szCs w:val="14"/>
        </w:rPr>
        <w:t>The closing cash balance of $14.119m was $1.034m higher than the budgeted amount of $13.085m primarily due to the current period surplus, noting the budget is derived on a break-</w:t>
      </w:r>
      <w:r w:rsidR="0085557D" w:rsidRPr="00DD1691">
        <w:rPr>
          <w:rFonts w:ascii="Arial" w:hAnsi="Arial" w:cs="Arial" w:hint="cs"/>
          <w:sz w:val="14"/>
          <w:szCs w:val="14"/>
          <w:rtl/>
        </w:rPr>
        <w:t>‍</w:t>
      </w:r>
      <w:r w:rsidRPr="00DD1691">
        <w:rPr>
          <w:sz w:val="14"/>
          <w:szCs w:val="14"/>
        </w:rPr>
        <w:t>even</w:t>
      </w:r>
      <w:r w:rsidR="0085557D" w:rsidRPr="00DD1691">
        <w:rPr>
          <w:sz w:val="14"/>
          <w:szCs w:val="14"/>
        </w:rPr>
        <w:t> </w:t>
      </w:r>
      <w:r w:rsidRPr="00DD1691">
        <w:rPr>
          <w:sz w:val="14"/>
          <w:szCs w:val="14"/>
        </w:rPr>
        <w:t>assumption.</w:t>
      </w:r>
    </w:p>
    <w:p w14:paraId="1526C1D6" w14:textId="77777777" w:rsidR="00115A9C" w:rsidRDefault="00115A9C" w:rsidP="00646163">
      <w:pPr>
        <w:pStyle w:val="Body"/>
        <w:sectPr w:rsidR="00115A9C" w:rsidSect="00B20BE1">
          <w:footnotePr>
            <w:pos w:val="beneathText"/>
          </w:footnotePr>
          <w:pgSz w:w="9979" w:h="14175" w:code="13"/>
          <w:pgMar w:top="1134" w:right="1418" w:bottom="992" w:left="1418" w:header="709" w:footer="709" w:gutter="0"/>
          <w:cols w:space="623"/>
          <w:docGrid w:linePitch="360"/>
        </w:sectPr>
      </w:pPr>
    </w:p>
    <w:p w14:paraId="2170BA82" w14:textId="77777777" w:rsidR="000E2690" w:rsidRDefault="00243F7B" w:rsidP="00243F7B">
      <w:pPr>
        <w:pStyle w:val="H2Financials"/>
        <w:spacing w:before="0" w:beforeAutospacing="0"/>
        <w:sectPr w:rsidR="000E2690" w:rsidSect="00B20BE1">
          <w:footnotePr>
            <w:pos w:val="beneathText"/>
          </w:footnotePr>
          <w:pgSz w:w="9979" w:h="14175" w:code="13"/>
          <w:pgMar w:top="1134" w:right="1418" w:bottom="992" w:left="1418" w:header="709" w:footer="709" w:gutter="0"/>
          <w:cols w:space="623"/>
          <w:docGrid w:linePitch="360"/>
        </w:sectPr>
      </w:pPr>
      <w:bookmarkStart w:id="120" w:name="_Toc48828398"/>
      <w:bookmarkStart w:id="121" w:name="Overview"/>
      <w:r>
        <w:lastRenderedPageBreak/>
        <w:t>Overview</w:t>
      </w:r>
      <w:bookmarkEnd w:id="120"/>
    </w:p>
    <w:p w14:paraId="5BE3A9C6" w14:textId="7E412265" w:rsidR="00243F7B" w:rsidRDefault="00243F7B" w:rsidP="00243F7B">
      <w:pPr>
        <w:pStyle w:val="H3Financials"/>
      </w:pPr>
      <w:bookmarkStart w:id="122" w:name="_Toc48575876"/>
      <w:bookmarkStart w:id="123" w:name="_Toc48576197"/>
      <w:bookmarkStart w:id="124" w:name="_Toc48828399"/>
      <w:bookmarkEnd w:id="121"/>
      <w:r>
        <w:t>Objectives of the Independent Hospital Pricing</w:t>
      </w:r>
      <w:r w:rsidR="000E2690">
        <w:t> </w:t>
      </w:r>
      <w:r>
        <w:t>Authority</w:t>
      </w:r>
      <w:bookmarkEnd w:id="122"/>
      <w:bookmarkEnd w:id="123"/>
      <w:bookmarkEnd w:id="124"/>
    </w:p>
    <w:p w14:paraId="6373C9C2" w14:textId="428C5EFF" w:rsidR="00270251" w:rsidRDefault="00243F7B" w:rsidP="00646163">
      <w:pPr>
        <w:pStyle w:val="Body"/>
      </w:pPr>
      <w:r w:rsidRPr="00243F7B">
        <w:t xml:space="preserve">The Independent Hospital Pricing Authority (IHPA) is a corporate Commonwealth entity under the </w:t>
      </w:r>
      <w:r w:rsidRPr="00052F15">
        <w:rPr>
          <w:i/>
          <w:iCs/>
        </w:rPr>
        <w:t>Public Governance, Performance and Accountability Act 2013</w:t>
      </w:r>
      <w:r w:rsidRPr="00243F7B">
        <w:t xml:space="preserve"> (PGPA Act).</w:t>
      </w:r>
    </w:p>
    <w:p w14:paraId="1E2542C4" w14:textId="490E6682" w:rsidR="00243F7B" w:rsidRDefault="00243F7B" w:rsidP="00646163">
      <w:pPr>
        <w:pStyle w:val="Body"/>
      </w:pPr>
      <w:r w:rsidRPr="00243F7B">
        <w:t xml:space="preserve">IHPA's role and functions are set out in the </w:t>
      </w:r>
      <w:r w:rsidRPr="00477B01">
        <w:rPr>
          <w:i/>
          <w:iCs/>
        </w:rPr>
        <w:t>National Health Reform Act 2011</w:t>
      </w:r>
      <w:r w:rsidRPr="00243F7B">
        <w:t>.</w:t>
      </w:r>
    </w:p>
    <w:p w14:paraId="7C7D48AF" w14:textId="6FCD2123" w:rsidR="00243F7B" w:rsidRDefault="00243F7B" w:rsidP="00243F7B">
      <w:pPr>
        <w:pStyle w:val="Body"/>
      </w:pPr>
      <w:r>
        <w:t>IHPA’s functions include to:</w:t>
      </w:r>
    </w:p>
    <w:p w14:paraId="6D5A58C8" w14:textId="687ACFCD" w:rsidR="00243F7B" w:rsidRDefault="003130B0" w:rsidP="00243F7B">
      <w:pPr>
        <w:pStyle w:val="Bullets"/>
      </w:pPr>
      <w:r>
        <w:t>d</w:t>
      </w:r>
      <w:r w:rsidR="00243F7B">
        <w:t>etermine the National Efficient Price and National Efficient Cost for public hospital services</w:t>
      </w:r>
    </w:p>
    <w:p w14:paraId="3E0CF08F" w14:textId="6FD034C7" w:rsidR="00243F7B" w:rsidRDefault="003130B0" w:rsidP="00243F7B">
      <w:pPr>
        <w:pStyle w:val="Bullets"/>
      </w:pPr>
      <w:r>
        <w:t>d</w:t>
      </w:r>
      <w:r w:rsidR="00243F7B">
        <w:t>evelop national classifications for Activity Based Funding</w:t>
      </w:r>
    </w:p>
    <w:p w14:paraId="487F74E6" w14:textId="43B3EC3E" w:rsidR="00243F7B" w:rsidRDefault="003130B0" w:rsidP="00243F7B">
      <w:pPr>
        <w:pStyle w:val="Bulletslast"/>
      </w:pPr>
      <w:r>
        <w:t>r</w:t>
      </w:r>
      <w:r w:rsidR="00243F7B">
        <w:t>esolve disputes on cost-shifting and cross-border issues.</w:t>
      </w:r>
    </w:p>
    <w:p w14:paraId="613D9E51" w14:textId="44B5AA55" w:rsidR="00243F7B" w:rsidRDefault="00243F7B" w:rsidP="00243F7B">
      <w:pPr>
        <w:pStyle w:val="Body"/>
      </w:pPr>
      <w:r w:rsidRPr="00243F7B">
        <w:t>IHPA is structured to meet the following outcome: promote improved efficiency in, and</w:t>
      </w:r>
      <w:r w:rsidR="00B51710">
        <w:t> </w:t>
      </w:r>
      <w:r w:rsidRPr="00243F7B">
        <w:t>access to, public</w:t>
      </w:r>
      <w:r w:rsidR="00366BA6">
        <w:t> </w:t>
      </w:r>
      <w:r w:rsidRPr="00243F7B">
        <w:t>hospital services primarily through setting the national efficient price and levels of block funding for hospital</w:t>
      </w:r>
      <w:r w:rsidR="00B51710">
        <w:t> </w:t>
      </w:r>
      <w:r w:rsidRPr="00243F7B">
        <w:t>activities.</w:t>
      </w:r>
    </w:p>
    <w:p w14:paraId="7CFE01B4" w14:textId="13EE9A9D" w:rsidR="00366BA6" w:rsidRDefault="00366BA6" w:rsidP="00243F7B">
      <w:pPr>
        <w:pStyle w:val="Body"/>
      </w:pPr>
      <w:r w:rsidRPr="00366BA6">
        <w:t>The continued existence of the entity in its present form, and with its present programs, is</w:t>
      </w:r>
      <w:r w:rsidR="00B51710">
        <w:t> </w:t>
      </w:r>
      <w:r w:rsidRPr="00366BA6">
        <w:t>dependent on</w:t>
      </w:r>
      <w:r>
        <w:t> </w:t>
      </w:r>
      <w:r w:rsidR="003130B0">
        <w:t>g</w:t>
      </w:r>
      <w:r w:rsidRPr="00366BA6">
        <w:t>overnment policy and on continuing funding by Parliament for the entity's administration and</w:t>
      </w:r>
      <w:r>
        <w:t> </w:t>
      </w:r>
      <w:r w:rsidRPr="00366BA6">
        <w:t>programs.</w:t>
      </w:r>
    </w:p>
    <w:p w14:paraId="35807CA6" w14:textId="1B8B48C4" w:rsidR="000E2690" w:rsidRDefault="004843D3" w:rsidP="004843D3">
      <w:pPr>
        <w:pStyle w:val="H3Financials"/>
      </w:pPr>
      <w:r>
        <w:br w:type="column"/>
      </w:r>
      <w:bookmarkStart w:id="125" w:name="_Toc48575877"/>
      <w:bookmarkStart w:id="126" w:name="_Toc48576198"/>
      <w:bookmarkStart w:id="127" w:name="_Toc48828400"/>
      <w:r w:rsidR="000E2690" w:rsidRPr="004843D3">
        <w:t>The basis of preparation</w:t>
      </w:r>
      <w:bookmarkEnd w:id="125"/>
      <w:bookmarkEnd w:id="126"/>
      <w:bookmarkEnd w:id="127"/>
    </w:p>
    <w:p w14:paraId="118FBCF6" w14:textId="41CE86C0" w:rsidR="000E2690" w:rsidRDefault="004843D3" w:rsidP="00243F7B">
      <w:pPr>
        <w:pStyle w:val="Body"/>
      </w:pPr>
      <w:r w:rsidRPr="004843D3">
        <w:t>The financial statements are general purpose financial statements and are required by section 42 of the PGPA Act.</w:t>
      </w:r>
    </w:p>
    <w:p w14:paraId="2B145469" w14:textId="78ABF68D" w:rsidR="004843D3" w:rsidRDefault="004843D3" w:rsidP="00243F7B">
      <w:pPr>
        <w:pStyle w:val="Body"/>
      </w:pPr>
      <w:r w:rsidRPr="004843D3">
        <w:t>The financial statements have been prepared in accordance with the:</w:t>
      </w:r>
    </w:p>
    <w:p w14:paraId="781E7648" w14:textId="07735D40" w:rsidR="004843D3" w:rsidRDefault="004843D3" w:rsidP="004843D3">
      <w:pPr>
        <w:pStyle w:val="AlphabetListL2"/>
        <w:numPr>
          <w:ilvl w:val="0"/>
          <w:numId w:val="33"/>
        </w:numPr>
      </w:pPr>
      <w:r w:rsidRPr="004843D3">
        <w:t>Public Governance, Performance and Accountability (Financial Reporting) Rule 2015 (FRR)</w:t>
      </w:r>
      <w:r w:rsidR="003130B0">
        <w:t>,</w:t>
      </w:r>
      <w:r w:rsidRPr="004843D3">
        <w:t xml:space="preserve"> and </w:t>
      </w:r>
    </w:p>
    <w:p w14:paraId="48FF1AFA" w14:textId="7DDD82C6" w:rsidR="004843D3" w:rsidRDefault="004843D3" w:rsidP="004843D3">
      <w:pPr>
        <w:pStyle w:val="AlphabetListL2"/>
        <w:numPr>
          <w:ilvl w:val="0"/>
          <w:numId w:val="33"/>
        </w:numPr>
      </w:pPr>
      <w:r w:rsidRPr="004843D3">
        <w:t xml:space="preserve">Australian Accounting Standards and Interpretations </w:t>
      </w:r>
      <w:r w:rsidR="003130B0">
        <w:t>—</w:t>
      </w:r>
      <w:r w:rsidRPr="004843D3">
        <w:t xml:space="preserve"> Reduced Disclosure Requirements issued by the Australian Accounting Standards Board (AASB) that apply for the reporting period.</w:t>
      </w:r>
    </w:p>
    <w:p w14:paraId="513D6BC2" w14:textId="77777777" w:rsidR="002550CF" w:rsidRDefault="004843D3" w:rsidP="00243F7B">
      <w:pPr>
        <w:pStyle w:val="Body"/>
      </w:pPr>
      <w:r w:rsidRPr="004843D3">
        <w:t>The financial statements have been prepared on an accrual basis and in accordance with the historical cost convention, except for certain assets and liabilities at fair value.</w:t>
      </w:r>
      <w:r w:rsidR="003130B0">
        <w:t xml:space="preserve"> </w:t>
      </w:r>
    </w:p>
    <w:p w14:paraId="0DD5C844" w14:textId="33F175B5" w:rsidR="004843D3" w:rsidRDefault="004843D3" w:rsidP="00243F7B">
      <w:pPr>
        <w:pStyle w:val="Body"/>
      </w:pPr>
      <w:r w:rsidRPr="004843D3">
        <w:t>Except where stated, no allowance is made for the effect of changing prices on the results or the financial position. The financial statements are presented in Australian dollars and values are rounded to the nearest thousand dollars, unless otherwise specified.</w:t>
      </w:r>
    </w:p>
    <w:p w14:paraId="059E3A39" w14:textId="77777777" w:rsidR="00270251" w:rsidRDefault="00270251" w:rsidP="00646163">
      <w:pPr>
        <w:pStyle w:val="Body"/>
      </w:pPr>
    </w:p>
    <w:p w14:paraId="25ABB3D6" w14:textId="77777777" w:rsidR="00270251" w:rsidRDefault="00270251" w:rsidP="00646163">
      <w:pPr>
        <w:pStyle w:val="Body"/>
        <w:sectPr w:rsidR="00270251" w:rsidSect="000E2690">
          <w:footnotePr>
            <w:pos w:val="beneathText"/>
          </w:footnotePr>
          <w:type w:val="continuous"/>
          <w:pgSz w:w="9979" w:h="14175" w:code="13"/>
          <w:pgMar w:top="1134" w:right="1418" w:bottom="992" w:left="1418" w:header="709" w:footer="709" w:gutter="0"/>
          <w:cols w:num="2" w:space="623"/>
          <w:docGrid w:linePitch="360"/>
        </w:sectPr>
      </w:pPr>
    </w:p>
    <w:p w14:paraId="4851995F" w14:textId="78B2F8A1" w:rsidR="00270251" w:rsidRDefault="004843D3" w:rsidP="00E807D4">
      <w:pPr>
        <w:pStyle w:val="H3Financials"/>
        <w:spacing w:before="0"/>
      </w:pPr>
      <w:bookmarkStart w:id="128" w:name="_Toc48575878"/>
      <w:bookmarkStart w:id="129" w:name="_Toc48576199"/>
      <w:bookmarkStart w:id="130" w:name="_Toc48828401"/>
      <w:r w:rsidRPr="004843D3">
        <w:lastRenderedPageBreak/>
        <w:t>Significant changes affecting IHPA during 2019</w:t>
      </w:r>
      <w:r w:rsidR="00B51710">
        <w:t>–</w:t>
      </w:r>
      <w:r w:rsidRPr="004843D3">
        <w:t>20</w:t>
      </w:r>
      <w:bookmarkEnd w:id="128"/>
      <w:bookmarkEnd w:id="129"/>
      <w:bookmarkEnd w:id="130"/>
    </w:p>
    <w:p w14:paraId="50B428C4" w14:textId="593D3501" w:rsidR="004843D3" w:rsidRDefault="004843D3" w:rsidP="00646163">
      <w:pPr>
        <w:pStyle w:val="Body"/>
      </w:pPr>
      <w:r w:rsidRPr="004843D3">
        <w:t>No significant changes affecting IHPA have occurred in this reporting period.</w:t>
      </w:r>
    </w:p>
    <w:p w14:paraId="1C274BEB" w14:textId="395FF5E9" w:rsidR="004843D3" w:rsidRDefault="004843D3" w:rsidP="00AB0423">
      <w:pPr>
        <w:pStyle w:val="H3Financials"/>
      </w:pPr>
      <w:r w:rsidRPr="004843D3">
        <w:t>COVID-19 pandemic impacts</w:t>
      </w:r>
    </w:p>
    <w:p w14:paraId="380CE1C4" w14:textId="4AD0ACE3" w:rsidR="004843D3" w:rsidRDefault="004843D3" w:rsidP="00646163">
      <w:pPr>
        <w:pStyle w:val="Body"/>
      </w:pPr>
      <w:r w:rsidRPr="004843D3">
        <w:t>Due to state and territory hospital resources being reassigned to manage the COVID-19 pandemic, some forecast expenditure relating</w:t>
      </w:r>
      <w:r w:rsidR="00B51710">
        <w:t> </w:t>
      </w:r>
      <w:r w:rsidRPr="004843D3">
        <w:t>to the non-admitted costing study has</w:t>
      </w:r>
      <w:r w:rsidR="00B51710">
        <w:t> </w:t>
      </w:r>
      <w:r w:rsidRPr="004843D3">
        <w:t>been</w:t>
      </w:r>
      <w:r w:rsidR="00B51710">
        <w:t> </w:t>
      </w:r>
      <w:r w:rsidRPr="004843D3">
        <w:t>deferred until such time resources become</w:t>
      </w:r>
      <w:r w:rsidR="00B51710">
        <w:t> </w:t>
      </w:r>
      <w:r w:rsidRPr="004843D3">
        <w:t>available. There were no other financial impacts from</w:t>
      </w:r>
      <w:r w:rsidR="00161CD2">
        <w:t xml:space="preserve"> the pandemic</w:t>
      </w:r>
      <w:r w:rsidRPr="004843D3">
        <w:t>.</w:t>
      </w:r>
    </w:p>
    <w:p w14:paraId="74D7083C" w14:textId="5ABF7E6B" w:rsidR="004843D3" w:rsidRDefault="004843D3" w:rsidP="004843D3">
      <w:pPr>
        <w:pStyle w:val="H3Financials"/>
      </w:pPr>
      <w:bookmarkStart w:id="131" w:name="_Toc48575879"/>
      <w:bookmarkStart w:id="132" w:name="_Toc48576200"/>
      <w:bookmarkStart w:id="133" w:name="_Toc48828402"/>
      <w:r w:rsidRPr="004843D3">
        <w:t>New Accounting Standards</w:t>
      </w:r>
      <w:bookmarkEnd w:id="131"/>
      <w:bookmarkEnd w:id="132"/>
      <w:bookmarkEnd w:id="133"/>
    </w:p>
    <w:p w14:paraId="7F61C554" w14:textId="4FB1A464" w:rsidR="004843D3" w:rsidRPr="004843D3" w:rsidRDefault="004843D3" w:rsidP="00646163">
      <w:pPr>
        <w:pStyle w:val="Body"/>
        <w:rPr>
          <w:i/>
          <w:iCs/>
        </w:rPr>
      </w:pPr>
      <w:r w:rsidRPr="004843D3">
        <w:rPr>
          <w:i/>
          <w:iCs/>
        </w:rPr>
        <w:t>Adoption of new Australian Accounting Standard requirements</w:t>
      </w:r>
    </w:p>
    <w:p w14:paraId="6CFC637F" w14:textId="0F7D6012" w:rsidR="004843D3" w:rsidRDefault="004843D3" w:rsidP="00646163">
      <w:pPr>
        <w:pStyle w:val="Body"/>
      </w:pPr>
      <w:r w:rsidRPr="004843D3">
        <w:t>IHPA has adopted all new, revised and amending standards and interpretations that were issued by the Australian Accounting Standards Board (AASB) prior to the sign-off date and which are applicable to the current reporting period.</w:t>
      </w:r>
    </w:p>
    <w:p w14:paraId="58E576B3" w14:textId="14759E15" w:rsidR="00E807D4" w:rsidRDefault="004843D3" w:rsidP="00646163">
      <w:pPr>
        <w:pStyle w:val="Body"/>
      </w:pPr>
      <w:r w:rsidRPr="004843D3">
        <w:t>The following new, revised and amending standards and interpretations were issued by the AASB prior to the signing of the statement by the Chief Executive Officer and Chief Financial Officer:</w:t>
      </w:r>
      <w:r w:rsidR="00EF033C">
        <w:br w:type="column"/>
      </w:r>
    </w:p>
    <w:tbl>
      <w:tblPr>
        <w:tblW w:w="3552" w:type="dxa"/>
        <w:tblInd w:w="-8" w:type="dxa"/>
        <w:tblLayout w:type="fixed"/>
        <w:tblCellMar>
          <w:left w:w="0" w:type="dxa"/>
          <w:right w:w="113" w:type="dxa"/>
        </w:tblCellMar>
        <w:tblLook w:val="0000" w:firstRow="0" w:lastRow="0" w:firstColumn="0" w:lastColumn="0" w:noHBand="0" w:noVBand="0"/>
      </w:tblPr>
      <w:tblGrid>
        <w:gridCol w:w="1142"/>
        <w:gridCol w:w="2410"/>
      </w:tblGrid>
      <w:tr w:rsidR="00E807D4" w:rsidRPr="00FD57EB" w14:paraId="2782F377" w14:textId="77777777" w:rsidTr="002550CF">
        <w:trPr>
          <w:trHeight w:val="20"/>
        </w:trPr>
        <w:tc>
          <w:tcPr>
            <w:tcW w:w="1142" w:type="dxa"/>
            <w:tcBorders>
              <w:bottom w:val="single" w:sz="12" w:space="0" w:color="292929"/>
              <w:right w:val="single" w:sz="18" w:space="0" w:color="FFFFFF" w:themeColor="background2"/>
            </w:tcBorders>
            <w:shd w:val="clear" w:color="auto" w:fill="auto"/>
            <w:tcMar>
              <w:top w:w="113" w:type="dxa"/>
              <w:left w:w="113" w:type="dxa"/>
              <w:bottom w:w="113" w:type="dxa"/>
              <w:right w:w="113" w:type="dxa"/>
            </w:tcMar>
            <w:vAlign w:val="bottom"/>
          </w:tcPr>
          <w:p w14:paraId="739F3878" w14:textId="58DEF2B4" w:rsidR="00E807D4" w:rsidRPr="000E09C5" w:rsidRDefault="00E807D4" w:rsidP="004115E2">
            <w:pPr>
              <w:pStyle w:val="Body"/>
              <w:spacing w:after="0"/>
              <w:rPr>
                <w:rFonts w:asciiTheme="majorHAnsi" w:hAnsiTheme="majorHAnsi" w:cs="Futura PT Book"/>
                <w:color w:val="292929"/>
                <w:sz w:val="16"/>
                <w:szCs w:val="16"/>
                <w:lang w:val="en-US"/>
              </w:rPr>
            </w:pPr>
            <w:r>
              <w:br w:type="column"/>
            </w:r>
            <w:r>
              <w:br w:type="column"/>
            </w:r>
            <w:r>
              <w:br w:type="column"/>
            </w:r>
            <w:r w:rsidRPr="000E09C5">
              <w:rPr>
                <w:rFonts w:asciiTheme="majorHAnsi" w:hAnsiTheme="majorHAnsi"/>
                <w:color w:val="292929"/>
                <w:sz w:val="16"/>
                <w:szCs w:val="16"/>
                <w:lang w:val="en-US"/>
              </w:rPr>
              <w:t>New standard</w:t>
            </w:r>
          </w:p>
        </w:tc>
        <w:tc>
          <w:tcPr>
            <w:tcW w:w="2410" w:type="dxa"/>
            <w:tcBorders>
              <w:left w:val="single" w:sz="18" w:space="0" w:color="FFFFFF" w:themeColor="background2"/>
              <w:bottom w:val="single" w:sz="12" w:space="0" w:color="292929"/>
            </w:tcBorders>
            <w:shd w:val="clear" w:color="auto" w:fill="auto"/>
            <w:tcMar>
              <w:top w:w="113" w:type="dxa"/>
              <w:left w:w="113" w:type="dxa"/>
              <w:bottom w:w="113" w:type="dxa"/>
              <w:right w:w="113" w:type="dxa"/>
            </w:tcMar>
            <w:vAlign w:val="bottom"/>
          </w:tcPr>
          <w:p w14:paraId="3E463C45" w14:textId="77777777" w:rsidR="00E807D4" w:rsidRPr="000E09C5" w:rsidRDefault="00E807D4" w:rsidP="004115E2">
            <w:pPr>
              <w:pStyle w:val="Body"/>
              <w:spacing w:after="0"/>
              <w:rPr>
                <w:rFonts w:asciiTheme="majorHAnsi" w:hAnsiTheme="majorHAnsi" w:cs="Futura PT Book"/>
                <w:color w:val="292929"/>
                <w:sz w:val="16"/>
                <w:szCs w:val="16"/>
                <w:lang w:val="en-US"/>
              </w:rPr>
            </w:pPr>
            <w:r w:rsidRPr="000E09C5">
              <w:rPr>
                <w:rFonts w:asciiTheme="majorHAnsi" w:hAnsiTheme="majorHAnsi"/>
                <w:color w:val="292929"/>
                <w:sz w:val="16"/>
                <w:szCs w:val="16"/>
                <w:lang w:val="en-US"/>
              </w:rPr>
              <w:t>Expected impact</w:t>
            </w:r>
          </w:p>
        </w:tc>
      </w:tr>
      <w:tr w:rsidR="00E807D4" w:rsidRPr="00FD57EB" w14:paraId="24F9F296" w14:textId="77777777" w:rsidTr="00D87C90">
        <w:trPr>
          <w:trHeight w:val="20"/>
        </w:trPr>
        <w:tc>
          <w:tcPr>
            <w:tcW w:w="1142" w:type="dxa"/>
            <w:tcBorders>
              <w:top w:val="single" w:sz="12" w:space="0" w:color="292929"/>
              <w:bottom w:val="single" w:sz="4" w:space="0" w:color="A6A6A6" w:themeColor="background2" w:themeShade="A6"/>
              <w:right w:val="single" w:sz="18" w:space="0" w:color="FFFFFF" w:themeColor="background2"/>
            </w:tcBorders>
            <w:tcMar>
              <w:top w:w="113" w:type="dxa"/>
              <w:left w:w="113" w:type="dxa"/>
              <w:bottom w:w="113" w:type="dxa"/>
              <w:right w:w="113" w:type="dxa"/>
            </w:tcMar>
          </w:tcPr>
          <w:p w14:paraId="65C2F23F" w14:textId="77777777"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 xml:space="preserve">AASB 15 </w:t>
            </w:r>
            <w:r w:rsidRPr="00FD57EB">
              <w:rPr>
                <w:i/>
                <w:iCs/>
                <w:sz w:val="16"/>
                <w:szCs w:val="16"/>
              </w:rPr>
              <w:t>Revenue from Contracts with Customers</w:t>
            </w:r>
          </w:p>
        </w:tc>
        <w:tc>
          <w:tcPr>
            <w:tcW w:w="2410" w:type="dxa"/>
            <w:tcBorders>
              <w:top w:val="single" w:sz="12" w:space="0" w:color="292929"/>
              <w:left w:val="single" w:sz="18" w:space="0" w:color="FFFFFF" w:themeColor="background2"/>
              <w:bottom w:val="single" w:sz="4" w:space="0" w:color="A6A6A6" w:themeColor="background2" w:themeShade="A6"/>
            </w:tcBorders>
            <w:tcMar>
              <w:top w:w="113" w:type="dxa"/>
              <w:left w:w="113" w:type="dxa"/>
              <w:bottom w:w="113" w:type="dxa"/>
              <w:right w:w="113" w:type="dxa"/>
            </w:tcMar>
          </w:tcPr>
          <w:p w14:paraId="02D448D0" w14:textId="77777777"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No impact</w:t>
            </w:r>
          </w:p>
        </w:tc>
      </w:tr>
      <w:tr w:rsidR="00E807D4" w:rsidRPr="00FD57EB" w14:paraId="28DE1FBD" w14:textId="77777777" w:rsidTr="00D87C90">
        <w:trPr>
          <w:trHeight w:val="20"/>
        </w:trPr>
        <w:tc>
          <w:tcPr>
            <w:tcW w:w="1142" w:type="dxa"/>
            <w:tcBorders>
              <w:top w:val="single" w:sz="4" w:space="0" w:color="A6A6A6" w:themeColor="background2" w:themeShade="A6"/>
              <w:bottom w:val="single" w:sz="4" w:space="0" w:color="A6A6A6" w:themeColor="background2" w:themeShade="A6"/>
              <w:right w:val="single" w:sz="18" w:space="0" w:color="FFFFFF" w:themeColor="background2"/>
            </w:tcBorders>
            <w:tcMar>
              <w:top w:w="113" w:type="dxa"/>
              <w:left w:w="113" w:type="dxa"/>
              <w:bottom w:w="113" w:type="dxa"/>
              <w:right w:w="113" w:type="dxa"/>
            </w:tcMar>
          </w:tcPr>
          <w:p w14:paraId="23DC1F9D" w14:textId="77777777"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 xml:space="preserve">AASB 1058 </w:t>
            </w:r>
            <w:r w:rsidRPr="00FD57EB">
              <w:rPr>
                <w:i/>
                <w:iCs/>
                <w:sz w:val="16"/>
                <w:szCs w:val="16"/>
              </w:rPr>
              <w:t>Income of Not-for-Profit Entities</w:t>
            </w:r>
          </w:p>
        </w:tc>
        <w:tc>
          <w:tcPr>
            <w:tcW w:w="2410" w:type="dxa"/>
            <w:tcBorders>
              <w:top w:val="single" w:sz="4" w:space="0" w:color="A6A6A6" w:themeColor="background2" w:themeShade="A6"/>
              <w:left w:val="single" w:sz="18" w:space="0" w:color="FFFFFF" w:themeColor="background2"/>
              <w:bottom w:val="single" w:sz="4" w:space="0" w:color="A6A6A6" w:themeColor="background2" w:themeShade="A6"/>
            </w:tcBorders>
            <w:tcMar>
              <w:top w:w="113" w:type="dxa"/>
              <w:left w:w="113" w:type="dxa"/>
              <w:bottom w:w="113" w:type="dxa"/>
              <w:right w:w="113" w:type="dxa"/>
            </w:tcMar>
          </w:tcPr>
          <w:p w14:paraId="4EB5A094" w14:textId="77777777"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No impact</w:t>
            </w:r>
          </w:p>
        </w:tc>
      </w:tr>
      <w:tr w:rsidR="00E807D4" w:rsidRPr="00FD57EB" w14:paraId="3FE93456" w14:textId="77777777" w:rsidTr="00D87C90">
        <w:trPr>
          <w:trHeight w:val="20"/>
        </w:trPr>
        <w:tc>
          <w:tcPr>
            <w:tcW w:w="1142" w:type="dxa"/>
            <w:tcBorders>
              <w:top w:val="single" w:sz="4" w:space="0" w:color="A6A6A6" w:themeColor="background2" w:themeShade="A6"/>
              <w:bottom w:val="single" w:sz="4" w:space="0" w:color="A6A6A6" w:themeColor="background2" w:themeShade="A6"/>
              <w:right w:val="single" w:sz="18" w:space="0" w:color="FFFFFF" w:themeColor="background2"/>
            </w:tcBorders>
            <w:tcMar>
              <w:top w:w="113" w:type="dxa"/>
              <w:left w:w="113" w:type="dxa"/>
              <w:bottom w:w="113" w:type="dxa"/>
              <w:right w:w="113" w:type="dxa"/>
            </w:tcMar>
          </w:tcPr>
          <w:p w14:paraId="6C74648F" w14:textId="77777777"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 xml:space="preserve">AASB 16 </w:t>
            </w:r>
            <w:r w:rsidRPr="00FD57EB">
              <w:rPr>
                <w:i/>
                <w:iCs/>
                <w:sz w:val="16"/>
                <w:szCs w:val="16"/>
              </w:rPr>
              <w:t>Leases</w:t>
            </w:r>
          </w:p>
        </w:tc>
        <w:tc>
          <w:tcPr>
            <w:tcW w:w="2410" w:type="dxa"/>
            <w:tcBorders>
              <w:top w:val="single" w:sz="4" w:space="0" w:color="A6A6A6" w:themeColor="background2" w:themeShade="A6"/>
              <w:left w:val="single" w:sz="18" w:space="0" w:color="FFFFFF" w:themeColor="background2"/>
              <w:bottom w:val="single" w:sz="4" w:space="0" w:color="A6A6A6" w:themeColor="background2" w:themeShade="A6"/>
            </w:tcBorders>
            <w:tcMar>
              <w:top w:w="113" w:type="dxa"/>
              <w:left w:w="113" w:type="dxa"/>
              <w:bottom w:w="113" w:type="dxa"/>
              <w:right w:w="113" w:type="dxa"/>
            </w:tcMar>
          </w:tcPr>
          <w:p w14:paraId="4842A60E" w14:textId="660F79DC" w:rsidR="00E807D4" w:rsidRPr="00FD57EB" w:rsidRDefault="00E807D4" w:rsidP="004115E2">
            <w:pPr>
              <w:pStyle w:val="Body"/>
              <w:spacing w:after="0"/>
              <w:rPr>
                <w:rFonts w:ascii="Futura PT Book" w:hAnsi="Futura PT Book" w:cs="Futura PT Book"/>
                <w:color w:val="000000"/>
                <w:sz w:val="16"/>
                <w:szCs w:val="16"/>
                <w:lang w:val="en-US"/>
              </w:rPr>
            </w:pPr>
            <w:r w:rsidRPr="00FD57EB">
              <w:rPr>
                <w:sz w:val="16"/>
                <w:szCs w:val="16"/>
              </w:rPr>
              <w:t>On adoption of AASB 16, IHPA</w:t>
            </w:r>
            <w:r w:rsidR="006C28F8">
              <w:rPr>
                <w:sz w:val="16"/>
                <w:szCs w:val="16"/>
              </w:rPr>
              <w:t> </w:t>
            </w:r>
            <w:r w:rsidRPr="00FD57EB">
              <w:rPr>
                <w:sz w:val="16"/>
                <w:szCs w:val="16"/>
              </w:rPr>
              <w:t>recognised right-of-use assets and lease liabilities in relation to office space, which had previously been classified as an operating lease. As</w:t>
            </w:r>
            <w:r>
              <w:rPr>
                <w:sz w:val="16"/>
                <w:szCs w:val="16"/>
              </w:rPr>
              <w:t> </w:t>
            </w:r>
            <w:r w:rsidRPr="00FD57EB">
              <w:rPr>
                <w:sz w:val="16"/>
                <w:szCs w:val="16"/>
              </w:rPr>
              <w:t>a result finance costs (representing an interest charge on the lease liability using the incremental borrowing rate as at the date of initial application) have been recognised for the first time and will decrease over the term term.</w:t>
            </w:r>
            <w:r w:rsidR="006C28F8">
              <w:rPr>
                <w:sz w:val="16"/>
                <w:szCs w:val="16"/>
              </w:rPr>
              <w:t xml:space="preserve"> </w:t>
            </w:r>
            <w:r w:rsidRPr="00FD57EB">
              <w:rPr>
                <w:sz w:val="16"/>
                <w:szCs w:val="16"/>
              </w:rPr>
              <w:t xml:space="preserve">Further information on the application of AASB 16 </w:t>
            </w:r>
            <w:r w:rsidRPr="000807A5">
              <w:rPr>
                <w:i/>
                <w:iCs/>
                <w:sz w:val="16"/>
                <w:szCs w:val="16"/>
              </w:rPr>
              <w:t>Leases</w:t>
            </w:r>
            <w:r w:rsidRPr="00FD57EB">
              <w:rPr>
                <w:sz w:val="16"/>
                <w:szCs w:val="16"/>
              </w:rPr>
              <w:t xml:space="preserve"> and the impact on transition is provided below.</w:t>
            </w:r>
          </w:p>
        </w:tc>
      </w:tr>
      <w:tr w:rsidR="00CB5DB4" w:rsidRPr="00CB5DB4" w14:paraId="631148BD" w14:textId="77777777" w:rsidTr="00D87C90">
        <w:trPr>
          <w:trHeight w:val="57"/>
        </w:trPr>
        <w:tc>
          <w:tcPr>
            <w:tcW w:w="1142" w:type="dxa"/>
            <w:tcBorders>
              <w:top w:val="single" w:sz="4" w:space="0" w:color="A6A6A6" w:themeColor="background2" w:themeShade="A6"/>
              <w:bottom w:val="single" w:sz="8" w:space="0" w:color="FFFFFF" w:themeColor="background2"/>
              <w:right w:val="single" w:sz="18" w:space="0" w:color="FFFFFF" w:themeColor="background2"/>
            </w:tcBorders>
            <w:tcMar>
              <w:top w:w="113" w:type="dxa"/>
              <w:left w:w="113" w:type="dxa"/>
              <w:bottom w:w="113" w:type="dxa"/>
              <w:right w:w="113" w:type="dxa"/>
            </w:tcMar>
          </w:tcPr>
          <w:p w14:paraId="08F1DA95" w14:textId="77777777" w:rsidR="00CB5DB4" w:rsidRPr="00CB5DB4" w:rsidRDefault="00CB5DB4" w:rsidP="004115E2">
            <w:pPr>
              <w:pStyle w:val="Body"/>
              <w:spacing w:after="0"/>
              <w:rPr>
                <w:sz w:val="4"/>
                <w:szCs w:val="4"/>
              </w:rPr>
            </w:pPr>
          </w:p>
        </w:tc>
        <w:tc>
          <w:tcPr>
            <w:tcW w:w="2410" w:type="dxa"/>
            <w:tcBorders>
              <w:top w:val="single" w:sz="4" w:space="0" w:color="A6A6A6" w:themeColor="background2" w:themeShade="A6"/>
              <w:left w:val="single" w:sz="18" w:space="0" w:color="FFFFFF" w:themeColor="background2"/>
              <w:bottom w:val="single" w:sz="8" w:space="0" w:color="FFFFFF" w:themeColor="background2"/>
            </w:tcBorders>
            <w:tcMar>
              <w:top w:w="113" w:type="dxa"/>
              <w:left w:w="113" w:type="dxa"/>
              <w:bottom w:w="113" w:type="dxa"/>
              <w:right w:w="113" w:type="dxa"/>
            </w:tcMar>
          </w:tcPr>
          <w:p w14:paraId="415B351C" w14:textId="77777777" w:rsidR="00CB5DB4" w:rsidRPr="00CB5DB4" w:rsidRDefault="00CB5DB4" w:rsidP="004115E2">
            <w:pPr>
              <w:pStyle w:val="Body"/>
              <w:spacing w:after="0"/>
              <w:rPr>
                <w:sz w:val="4"/>
                <w:szCs w:val="4"/>
              </w:rPr>
            </w:pPr>
          </w:p>
        </w:tc>
      </w:tr>
    </w:tbl>
    <w:p w14:paraId="570EEA2B" w14:textId="21B14AE2" w:rsidR="00E807D4" w:rsidRDefault="00E807D4" w:rsidP="00646163">
      <w:pPr>
        <w:pStyle w:val="Body"/>
      </w:pPr>
    </w:p>
    <w:p w14:paraId="3EA31451" w14:textId="16E21280" w:rsidR="00270251" w:rsidRDefault="00FD57EB" w:rsidP="00646163">
      <w:pPr>
        <w:pStyle w:val="Body"/>
      </w:pPr>
      <w:r w:rsidRPr="00FD57EB">
        <w:t>All other new, revised and amending standards or interpretations that have been issued by the AASB prior to sign-off date that are applicable to future reporting periods are</w:t>
      </w:r>
      <w:r w:rsidR="00045DD8">
        <w:t> </w:t>
      </w:r>
      <w:r w:rsidRPr="00FD57EB">
        <w:t>not expected to have a future material financial impact on IHPA's financial statements.</w:t>
      </w:r>
    </w:p>
    <w:p w14:paraId="6182686E" w14:textId="77777777" w:rsidR="00FD57EB" w:rsidRDefault="00FD57EB" w:rsidP="00646163">
      <w:pPr>
        <w:pStyle w:val="Body"/>
      </w:pPr>
    </w:p>
    <w:p w14:paraId="4F51E709" w14:textId="77777777" w:rsidR="00FD57EB" w:rsidRDefault="00FD57EB" w:rsidP="00646163">
      <w:pPr>
        <w:pStyle w:val="Body"/>
        <w:sectPr w:rsidR="00FD57EB" w:rsidSect="004843D3">
          <w:footnotePr>
            <w:pos w:val="beneathText"/>
          </w:footnotePr>
          <w:pgSz w:w="9979" w:h="14175" w:code="13"/>
          <w:pgMar w:top="1134" w:right="1418" w:bottom="992" w:left="1418" w:header="709" w:footer="709" w:gutter="0"/>
          <w:cols w:num="2" w:space="623"/>
          <w:docGrid w:linePitch="360"/>
        </w:sectPr>
      </w:pPr>
    </w:p>
    <w:p w14:paraId="08C31A3D" w14:textId="52FFAB82" w:rsidR="00FD57EB" w:rsidRDefault="000E09C5" w:rsidP="00C76188">
      <w:pPr>
        <w:pStyle w:val="H3Financials"/>
        <w:spacing w:before="120"/>
        <w:ind w:right="-142"/>
      </w:pPr>
      <w:bookmarkStart w:id="134" w:name="_Toc48575880"/>
      <w:bookmarkStart w:id="135" w:name="_Toc48576201"/>
      <w:bookmarkStart w:id="136" w:name="_Toc48828403"/>
      <w:r w:rsidRPr="000E09C5">
        <w:lastRenderedPageBreak/>
        <w:t>Application of AASB</w:t>
      </w:r>
      <w:r>
        <w:t> </w:t>
      </w:r>
      <w:r w:rsidRPr="000E09C5">
        <w:t>16</w:t>
      </w:r>
      <w:r>
        <w:t> </w:t>
      </w:r>
      <w:r w:rsidRPr="000E09C5">
        <w:t>Leases</w:t>
      </w:r>
      <w:bookmarkEnd w:id="134"/>
      <w:bookmarkEnd w:id="135"/>
      <w:bookmarkEnd w:id="136"/>
    </w:p>
    <w:p w14:paraId="41DB9894" w14:textId="3B212ED9" w:rsidR="000E09C5" w:rsidRDefault="000E09C5" w:rsidP="00646163">
      <w:pPr>
        <w:pStyle w:val="Body"/>
      </w:pPr>
      <w:r w:rsidRPr="000E09C5">
        <w:t>On the 1 July 2019, IHPA adopted AASB 16 using the modified retrospective approach, under which the cumulative effect of initial application is recognised in retained earnings at 1 July 2019. Accordingly the comparative information presented for 2019 is not restated, that is, it is presented as previously reported under AASB 117 and related interpretations.</w:t>
      </w:r>
    </w:p>
    <w:p w14:paraId="65509D13" w14:textId="310FDCCE" w:rsidR="000E09C5" w:rsidRDefault="000E09C5" w:rsidP="000E09C5">
      <w:pPr>
        <w:pStyle w:val="H3Financials"/>
      </w:pPr>
      <w:bookmarkStart w:id="137" w:name="_Toc48575881"/>
      <w:bookmarkStart w:id="138" w:name="_Toc48576202"/>
      <w:bookmarkStart w:id="139" w:name="_Toc48828404"/>
      <w:r w:rsidRPr="000E09C5">
        <w:t>Impact on transition</w:t>
      </w:r>
      <w:bookmarkEnd w:id="137"/>
      <w:bookmarkEnd w:id="138"/>
      <w:bookmarkEnd w:id="139"/>
    </w:p>
    <w:p w14:paraId="48969D42" w14:textId="6896F277" w:rsidR="000E09C5" w:rsidRDefault="000E09C5" w:rsidP="00200B4B">
      <w:pPr>
        <w:pStyle w:val="Body"/>
        <w:ind w:right="-284"/>
      </w:pPr>
      <w:r w:rsidRPr="000E09C5">
        <w:t>On transition to AASB 16, IHPA recognised additional right-of-use assets and lease</w:t>
      </w:r>
      <w:r w:rsidR="00C76188">
        <w:t> </w:t>
      </w:r>
      <w:r w:rsidRPr="000E09C5">
        <w:t>liabilities and reduced lease payable to</w:t>
      </w:r>
      <w:r>
        <w:t> </w:t>
      </w:r>
      <w:r w:rsidRPr="000E09C5">
        <w:t>nil, recognising the difference in retained</w:t>
      </w:r>
      <w:r>
        <w:t> </w:t>
      </w:r>
      <w:r w:rsidRPr="000E09C5">
        <w:t>earnings. The impact on transition is</w:t>
      </w:r>
      <w:r>
        <w:t> </w:t>
      </w:r>
      <w:r w:rsidRPr="000E09C5">
        <w:t>summarised below:</w:t>
      </w:r>
    </w:p>
    <w:tbl>
      <w:tblPr>
        <w:tblW w:w="3174" w:type="dxa"/>
        <w:tblInd w:w="-8" w:type="dxa"/>
        <w:tblLayout w:type="fixed"/>
        <w:tblCellMar>
          <w:left w:w="0" w:type="dxa"/>
          <w:right w:w="0" w:type="dxa"/>
        </w:tblCellMar>
        <w:tblLook w:val="0000" w:firstRow="0" w:lastRow="0" w:firstColumn="0" w:lastColumn="0" w:noHBand="0" w:noVBand="0"/>
      </w:tblPr>
      <w:tblGrid>
        <w:gridCol w:w="2154"/>
        <w:gridCol w:w="1020"/>
      </w:tblGrid>
      <w:tr w:rsidR="000E09C5" w:rsidRPr="00FD57EB" w14:paraId="19735BF6" w14:textId="77777777" w:rsidTr="00D87C90">
        <w:trPr>
          <w:trHeight w:val="20"/>
        </w:trPr>
        <w:tc>
          <w:tcPr>
            <w:tcW w:w="2154" w:type="dxa"/>
            <w:tcBorders>
              <w:bottom w:val="single" w:sz="12" w:space="0" w:color="292929"/>
              <w:right w:val="single" w:sz="18" w:space="0" w:color="FFFFFF" w:themeColor="background2"/>
            </w:tcBorders>
            <w:shd w:val="clear" w:color="auto" w:fill="auto"/>
            <w:tcMar>
              <w:top w:w="57" w:type="dxa"/>
              <w:left w:w="113" w:type="dxa"/>
              <w:bottom w:w="57" w:type="dxa"/>
              <w:right w:w="113" w:type="dxa"/>
            </w:tcMar>
            <w:vAlign w:val="bottom"/>
          </w:tcPr>
          <w:p w14:paraId="47DF01B0" w14:textId="39FF3E81" w:rsidR="000E09C5" w:rsidRPr="00200B4B" w:rsidRDefault="000E09C5" w:rsidP="00C10B33">
            <w:pPr>
              <w:pStyle w:val="Body"/>
              <w:spacing w:after="0"/>
              <w:rPr>
                <w:rFonts w:asciiTheme="majorHAnsi" w:hAnsiTheme="majorHAnsi" w:cs="Futura PT Book"/>
                <w:color w:val="292929"/>
                <w:sz w:val="14"/>
                <w:szCs w:val="14"/>
                <w:lang w:val="en-US"/>
              </w:rPr>
            </w:pPr>
          </w:p>
        </w:tc>
        <w:tc>
          <w:tcPr>
            <w:tcW w:w="1020" w:type="dxa"/>
            <w:tcBorders>
              <w:left w:val="single" w:sz="18" w:space="0" w:color="FFFFFF" w:themeColor="background2"/>
              <w:bottom w:val="single" w:sz="12" w:space="0" w:color="292929"/>
            </w:tcBorders>
            <w:shd w:val="clear" w:color="auto" w:fill="auto"/>
            <w:tcMar>
              <w:top w:w="57" w:type="dxa"/>
              <w:left w:w="113" w:type="dxa"/>
              <w:bottom w:w="57" w:type="dxa"/>
              <w:right w:w="113" w:type="dxa"/>
            </w:tcMar>
            <w:vAlign w:val="bottom"/>
          </w:tcPr>
          <w:p w14:paraId="515087B7" w14:textId="52157B66" w:rsidR="000E09C5" w:rsidRPr="00200B4B" w:rsidRDefault="000E09C5" w:rsidP="000E09C5">
            <w:pPr>
              <w:pStyle w:val="Body"/>
              <w:spacing w:after="0"/>
              <w:jc w:val="right"/>
              <w:rPr>
                <w:rFonts w:asciiTheme="majorHAnsi" w:hAnsiTheme="majorHAnsi" w:cs="Futura PT Book"/>
                <w:color w:val="292929"/>
                <w:sz w:val="14"/>
                <w:szCs w:val="14"/>
                <w:lang w:val="en-US"/>
              </w:rPr>
            </w:pPr>
            <w:r w:rsidRPr="00200B4B">
              <w:rPr>
                <w:rFonts w:asciiTheme="majorHAnsi" w:hAnsiTheme="majorHAnsi"/>
                <w:color w:val="292929"/>
                <w:sz w:val="14"/>
                <w:szCs w:val="14"/>
                <w:lang w:val="en-US"/>
              </w:rPr>
              <w:t>1 July 2019</w:t>
            </w:r>
            <w:r w:rsidRPr="00200B4B">
              <w:rPr>
                <w:rFonts w:asciiTheme="majorHAnsi" w:hAnsiTheme="majorHAnsi"/>
                <w:color w:val="292929"/>
                <w:sz w:val="14"/>
                <w:szCs w:val="14"/>
                <w:lang w:val="en-US"/>
              </w:rPr>
              <w:br/>
              <w:t>$’000</w:t>
            </w:r>
          </w:p>
        </w:tc>
      </w:tr>
      <w:tr w:rsidR="000E09C5" w:rsidRPr="00FD57EB" w14:paraId="1FE05F12" w14:textId="77777777" w:rsidTr="00D87C90">
        <w:trPr>
          <w:trHeight w:val="20"/>
        </w:trPr>
        <w:tc>
          <w:tcPr>
            <w:tcW w:w="2154" w:type="dxa"/>
            <w:tcBorders>
              <w:top w:val="single" w:sz="12" w:space="0" w:color="292929"/>
              <w:bottom w:val="single" w:sz="4" w:space="0" w:color="A6A6A6" w:themeColor="background2" w:themeShade="A6"/>
              <w:right w:val="single" w:sz="18" w:space="0" w:color="FFFFFF" w:themeColor="background2"/>
            </w:tcBorders>
            <w:tcMar>
              <w:top w:w="85" w:type="dxa"/>
              <w:left w:w="113" w:type="dxa"/>
              <w:bottom w:w="85" w:type="dxa"/>
              <w:right w:w="113" w:type="dxa"/>
            </w:tcMar>
          </w:tcPr>
          <w:p w14:paraId="799BB618" w14:textId="676706FC" w:rsidR="000E09C5" w:rsidRPr="00200B4B" w:rsidRDefault="000E09C5" w:rsidP="00200B4B">
            <w:pPr>
              <w:pStyle w:val="Body"/>
              <w:spacing w:after="0" w:line="240" w:lineRule="auto"/>
              <w:rPr>
                <w:rFonts w:ascii="Futura PT Book" w:hAnsi="Futura PT Book" w:cs="Futura PT Book"/>
                <w:color w:val="000000"/>
                <w:sz w:val="14"/>
                <w:szCs w:val="14"/>
                <w:lang w:val="en-US"/>
              </w:rPr>
            </w:pPr>
            <w:r w:rsidRPr="00200B4B">
              <w:rPr>
                <w:sz w:val="14"/>
                <w:szCs w:val="14"/>
              </w:rPr>
              <w:t>Increase in Right-of-Use assets — office space (Buildings)</w:t>
            </w:r>
          </w:p>
        </w:tc>
        <w:tc>
          <w:tcPr>
            <w:tcW w:w="1020" w:type="dxa"/>
            <w:tcBorders>
              <w:top w:val="single" w:sz="12" w:space="0" w:color="292929"/>
              <w:left w:val="single" w:sz="18" w:space="0" w:color="FFFFFF" w:themeColor="background2"/>
              <w:bottom w:val="single" w:sz="4" w:space="0" w:color="A6A6A6" w:themeColor="background2" w:themeShade="A6"/>
            </w:tcBorders>
            <w:tcMar>
              <w:top w:w="85" w:type="dxa"/>
              <w:left w:w="113" w:type="dxa"/>
              <w:bottom w:w="85" w:type="dxa"/>
              <w:right w:w="113" w:type="dxa"/>
            </w:tcMar>
          </w:tcPr>
          <w:p w14:paraId="65A5ACBB" w14:textId="4432E91D" w:rsidR="000E09C5" w:rsidRPr="00200B4B" w:rsidRDefault="000E09C5"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 xml:space="preserve">6,884 </w:t>
            </w:r>
          </w:p>
        </w:tc>
      </w:tr>
      <w:tr w:rsidR="000E09C5" w:rsidRPr="00FD57EB" w14:paraId="3A917F77" w14:textId="77777777" w:rsidTr="00D87C90">
        <w:trPr>
          <w:trHeight w:val="20"/>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7DAC06E8" w14:textId="0F6F46EA" w:rsidR="000E09C5" w:rsidRPr="00200B4B" w:rsidRDefault="000E09C5" w:rsidP="00200B4B">
            <w:pPr>
              <w:pStyle w:val="Body"/>
              <w:spacing w:after="0" w:line="240" w:lineRule="auto"/>
              <w:rPr>
                <w:rFonts w:ascii="Futura PT Book" w:hAnsi="Futura PT Book" w:cs="Futura PT Book"/>
                <w:color w:val="000000"/>
                <w:sz w:val="14"/>
                <w:szCs w:val="14"/>
                <w:lang w:val="en-US"/>
              </w:rPr>
            </w:pPr>
            <w:r w:rsidRPr="00200B4B">
              <w:rPr>
                <w:sz w:val="14"/>
                <w:szCs w:val="14"/>
              </w:rPr>
              <w:t xml:space="preserve">Increase in </w:t>
            </w:r>
            <w:r w:rsidR="003130B0">
              <w:rPr>
                <w:sz w:val="14"/>
                <w:szCs w:val="14"/>
              </w:rPr>
              <w:t>l</w:t>
            </w:r>
            <w:r w:rsidRPr="00200B4B">
              <w:rPr>
                <w:sz w:val="14"/>
                <w:szCs w:val="14"/>
              </w:rPr>
              <w:t>ease liabilities</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4B91FC86" w14:textId="762356C9" w:rsidR="000E09C5" w:rsidRPr="00200B4B" w:rsidRDefault="000E09C5"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 xml:space="preserve">7,071 </w:t>
            </w:r>
          </w:p>
        </w:tc>
      </w:tr>
      <w:tr w:rsidR="000E09C5" w:rsidRPr="00FD57EB" w14:paraId="18A9D0D0" w14:textId="77777777" w:rsidTr="00D87C90">
        <w:trPr>
          <w:trHeight w:val="20"/>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640785F2" w14:textId="5E910129" w:rsidR="000E09C5" w:rsidRPr="00200B4B" w:rsidRDefault="000E09C5" w:rsidP="00200B4B">
            <w:pPr>
              <w:pStyle w:val="Body"/>
              <w:spacing w:after="0" w:line="240" w:lineRule="auto"/>
              <w:rPr>
                <w:sz w:val="14"/>
                <w:szCs w:val="14"/>
              </w:rPr>
            </w:pPr>
            <w:r w:rsidRPr="00200B4B">
              <w:rPr>
                <w:sz w:val="14"/>
                <w:szCs w:val="14"/>
              </w:rPr>
              <w:t xml:space="preserve">Reduction in </w:t>
            </w:r>
            <w:r w:rsidR="003130B0">
              <w:rPr>
                <w:sz w:val="14"/>
                <w:szCs w:val="14"/>
              </w:rPr>
              <w:t>l</w:t>
            </w:r>
            <w:r w:rsidRPr="00200B4B">
              <w:rPr>
                <w:sz w:val="14"/>
                <w:szCs w:val="14"/>
              </w:rPr>
              <w:t xml:space="preserve">ease </w:t>
            </w:r>
            <w:r w:rsidR="003130B0">
              <w:rPr>
                <w:sz w:val="14"/>
                <w:szCs w:val="14"/>
              </w:rPr>
              <w:t>p</w:t>
            </w:r>
            <w:r w:rsidRPr="00200B4B">
              <w:rPr>
                <w:sz w:val="14"/>
                <w:szCs w:val="14"/>
              </w:rPr>
              <w:t>ayable</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0FAA707B" w14:textId="44C55D86" w:rsidR="000E09C5" w:rsidRPr="00200B4B" w:rsidRDefault="000E09C5" w:rsidP="00200B4B">
            <w:pPr>
              <w:pStyle w:val="Body"/>
              <w:spacing w:after="0" w:line="240" w:lineRule="auto"/>
              <w:jc w:val="right"/>
              <w:rPr>
                <w:sz w:val="14"/>
                <w:szCs w:val="14"/>
              </w:rPr>
            </w:pPr>
            <w:r w:rsidRPr="00200B4B">
              <w:rPr>
                <w:sz w:val="14"/>
                <w:szCs w:val="14"/>
              </w:rPr>
              <w:t xml:space="preserve">64 </w:t>
            </w:r>
          </w:p>
        </w:tc>
      </w:tr>
      <w:tr w:rsidR="000E09C5" w:rsidRPr="00FD57EB" w14:paraId="340835A8" w14:textId="77777777" w:rsidTr="00D87C90">
        <w:trPr>
          <w:trHeight w:val="20"/>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7AD3C973" w14:textId="2EF6E918" w:rsidR="000E09C5" w:rsidRPr="00200B4B" w:rsidRDefault="000E09C5" w:rsidP="00200B4B">
            <w:pPr>
              <w:pStyle w:val="Body"/>
              <w:spacing w:after="0" w:line="240" w:lineRule="auto"/>
              <w:rPr>
                <w:rFonts w:ascii="Futura PT Book" w:hAnsi="Futura PT Book" w:cs="Futura PT Book"/>
                <w:color w:val="000000"/>
                <w:sz w:val="14"/>
                <w:szCs w:val="14"/>
                <w:lang w:val="en-US"/>
              </w:rPr>
            </w:pPr>
            <w:r w:rsidRPr="00200B4B">
              <w:rPr>
                <w:sz w:val="14"/>
                <w:szCs w:val="14"/>
              </w:rPr>
              <w:t xml:space="preserve">Reduction in </w:t>
            </w:r>
            <w:r w:rsidR="003130B0">
              <w:rPr>
                <w:sz w:val="14"/>
                <w:szCs w:val="14"/>
              </w:rPr>
              <w:t>r</w:t>
            </w:r>
            <w:r w:rsidRPr="00200B4B">
              <w:rPr>
                <w:sz w:val="14"/>
                <w:szCs w:val="14"/>
              </w:rPr>
              <w:t>etained earnings</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29E43D16" w14:textId="6E415B0F" w:rsidR="000E09C5" w:rsidRPr="00200B4B" w:rsidRDefault="000E09C5"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 xml:space="preserve">123 </w:t>
            </w:r>
          </w:p>
        </w:tc>
      </w:tr>
      <w:tr w:rsidR="00D87C90" w:rsidRPr="00D87C90" w14:paraId="04E2E383" w14:textId="77777777" w:rsidTr="00D87C90">
        <w:trPr>
          <w:trHeight w:val="20"/>
        </w:trPr>
        <w:tc>
          <w:tcPr>
            <w:tcW w:w="2154" w:type="dxa"/>
            <w:tcBorders>
              <w:top w:val="single" w:sz="4" w:space="0" w:color="A6A6A6" w:themeColor="background2" w:themeShade="A6"/>
              <w:bottom w:val="single" w:sz="18" w:space="0" w:color="FFFFFF" w:themeColor="background2"/>
              <w:right w:val="single" w:sz="18" w:space="0" w:color="FFFFFF" w:themeColor="background2"/>
            </w:tcBorders>
            <w:tcMar>
              <w:top w:w="85" w:type="dxa"/>
              <w:left w:w="113" w:type="dxa"/>
              <w:bottom w:w="85" w:type="dxa"/>
              <w:right w:w="113" w:type="dxa"/>
            </w:tcMar>
          </w:tcPr>
          <w:p w14:paraId="54188151" w14:textId="77777777" w:rsidR="00D87C90" w:rsidRPr="00D87C90" w:rsidRDefault="00D87C90" w:rsidP="00200B4B">
            <w:pPr>
              <w:pStyle w:val="Body"/>
              <w:spacing w:after="0" w:line="240" w:lineRule="auto"/>
              <w:rPr>
                <w:sz w:val="4"/>
                <w:szCs w:val="4"/>
              </w:rPr>
            </w:pPr>
          </w:p>
        </w:tc>
        <w:tc>
          <w:tcPr>
            <w:tcW w:w="1020" w:type="dxa"/>
            <w:tcBorders>
              <w:top w:val="single" w:sz="4" w:space="0" w:color="A6A6A6" w:themeColor="background2" w:themeShade="A6"/>
              <w:left w:val="single" w:sz="18" w:space="0" w:color="FFFFFF" w:themeColor="background2"/>
              <w:bottom w:val="single" w:sz="18" w:space="0" w:color="FFFFFF" w:themeColor="background2"/>
            </w:tcBorders>
            <w:tcMar>
              <w:top w:w="85" w:type="dxa"/>
              <w:left w:w="113" w:type="dxa"/>
              <w:bottom w:w="85" w:type="dxa"/>
              <w:right w:w="113" w:type="dxa"/>
            </w:tcMar>
          </w:tcPr>
          <w:p w14:paraId="4B25D17F" w14:textId="77777777" w:rsidR="00D87C90" w:rsidRPr="00D87C90" w:rsidRDefault="00D87C90" w:rsidP="00200B4B">
            <w:pPr>
              <w:pStyle w:val="Body"/>
              <w:spacing w:after="0" w:line="240" w:lineRule="auto"/>
              <w:jc w:val="right"/>
              <w:rPr>
                <w:sz w:val="4"/>
                <w:szCs w:val="4"/>
              </w:rPr>
            </w:pPr>
          </w:p>
        </w:tc>
      </w:tr>
    </w:tbl>
    <w:p w14:paraId="3C74203A" w14:textId="42D1E3AB" w:rsidR="000E09C5" w:rsidRDefault="000E09C5" w:rsidP="00C76188">
      <w:pPr>
        <w:pStyle w:val="Body"/>
        <w:ind w:right="-142"/>
      </w:pPr>
      <w:r w:rsidRPr="000E09C5">
        <w:t>The following table reconciles IHPA's minimum lease commitments disclosed in IHPA's 30</w:t>
      </w:r>
      <w:r>
        <w:t> </w:t>
      </w:r>
      <w:r w:rsidRPr="000E09C5">
        <w:t>June</w:t>
      </w:r>
      <w:r>
        <w:t> </w:t>
      </w:r>
      <w:r w:rsidRPr="000E09C5">
        <w:t>2019 annual financial statements to the</w:t>
      </w:r>
      <w:r w:rsidR="00C76188">
        <w:t> </w:t>
      </w:r>
      <w:r w:rsidRPr="000E09C5">
        <w:t>amount of lease liabilities recognised on 1</w:t>
      </w:r>
      <w:r>
        <w:t> </w:t>
      </w:r>
      <w:r w:rsidRPr="000E09C5">
        <w:t>July</w:t>
      </w:r>
      <w:r w:rsidR="00C76188">
        <w:t> </w:t>
      </w:r>
      <w:r w:rsidRPr="000E09C5">
        <w:t>2019:</w:t>
      </w:r>
    </w:p>
    <w:tbl>
      <w:tblPr>
        <w:tblW w:w="3174" w:type="dxa"/>
        <w:tblInd w:w="-8" w:type="dxa"/>
        <w:tblLayout w:type="fixed"/>
        <w:tblCellMar>
          <w:left w:w="0" w:type="dxa"/>
          <w:right w:w="0" w:type="dxa"/>
        </w:tblCellMar>
        <w:tblLook w:val="0000" w:firstRow="0" w:lastRow="0" w:firstColumn="0" w:lastColumn="0" w:noHBand="0" w:noVBand="0"/>
      </w:tblPr>
      <w:tblGrid>
        <w:gridCol w:w="2154"/>
        <w:gridCol w:w="1020"/>
      </w:tblGrid>
      <w:tr w:rsidR="001C529E" w:rsidRPr="00FD57EB" w14:paraId="52A53802" w14:textId="77777777" w:rsidTr="00D87C90">
        <w:trPr>
          <w:trHeight w:val="20"/>
        </w:trPr>
        <w:tc>
          <w:tcPr>
            <w:tcW w:w="2154" w:type="dxa"/>
            <w:tcBorders>
              <w:bottom w:val="single" w:sz="12" w:space="0" w:color="292929"/>
              <w:right w:val="single" w:sz="18" w:space="0" w:color="FFFFFF" w:themeColor="background2"/>
            </w:tcBorders>
            <w:shd w:val="clear" w:color="auto" w:fill="auto"/>
            <w:tcMar>
              <w:top w:w="57" w:type="dxa"/>
              <w:left w:w="113" w:type="dxa"/>
              <w:bottom w:w="57" w:type="dxa"/>
              <w:right w:w="113" w:type="dxa"/>
            </w:tcMar>
            <w:vAlign w:val="bottom"/>
          </w:tcPr>
          <w:p w14:paraId="019F2CF0" w14:textId="77777777" w:rsidR="001C529E" w:rsidRPr="00200B4B" w:rsidRDefault="001C529E" w:rsidP="00C10B33">
            <w:pPr>
              <w:pStyle w:val="Body"/>
              <w:spacing w:after="0"/>
              <w:rPr>
                <w:rFonts w:asciiTheme="majorHAnsi" w:hAnsiTheme="majorHAnsi" w:cs="Futura PT Book"/>
                <w:color w:val="292929"/>
                <w:sz w:val="14"/>
                <w:szCs w:val="14"/>
                <w:lang w:val="en-US"/>
              </w:rPr>
            </w:pPr>
          </w:p>
        </w:tc>
        <w:tc>
          <w:tcPr>
            <w:tcW w:w="1020" w:type="dxa"/>
            <w:tcBorders>
              <w:left w:val="single" w:sz="18" w:space="0" w:color="FFFFFF" w:themeColor="background2"/>
              <w:bottom w:val="single" w:sz="12" w:space="0" w:color="292929"/>
            </w:tcBorders>
            <w:shd w:val="clear" w:color="auto" w:fill="auto"/>
            <w:tcMar>
              <w:top w:w="57" w:type="dxa"/>
              <w:left w:w="113" w:type="dxa"/>
              <w:bottom w:w="57" w:type="dxa"/>
              <w:right w:w="113" w:type="dxa"/>
            </w:tcMar>
            <w:vAlign w:val="bottom"/>
          </w:tcPr>
          <w:p w14:paraId="528BA77D" w14:textId="77777777" w:rsidR="001C529E" w:rsidRPr="00200B4B" w:rsidRDefault="001C529E" w:rsidP="00C10B33">
            <w:pPr>
              <w:pStyle w:val="Body"/>
              <w:spacing w:after="0"/>
              <w:jc w:val="right"/>
              <w:rPr>
                <w:rFonts w:asciiTheme="majorHAnsi" w:hAnsiTheme="majorHAnsi" w:cs="Futura PT Book"/>
                <w:color w:val="292929"/>
                <w:sz w:val="14"/>
                <w:szCs w:val="14"/>
                <w:lang w:val="en-US"/>
              </w:rPr>
            </w:pPr>
            <w:r w:rsidRPr="00200B4B">
              <w:rPr>
                <w:rFonts w:asciiTheme="majorHAnsi" w:hAnsiTheme="majorHAnsi"/>
                <w:color w:val="292929"/>
                <w:sz w:val="14"/>
                <w:szCs w:val="14"/>
                <w:lang w:val="en-US"/>
              </w:rPr>
              <w:t>1 July 2019</w:t>
            </w:r>
            <w:r w:rsidRPr="00200B4B">
              <w:rPr>
                <w:rFonts w:asciiTheme="majorHAnsi" w:hAnsiTheme="majorHAnsi"/>
                <w:color w:val="292929"/>
                <w:sz w:val="14"/>
                <w:szCs w:val="14"/>
                <w:lang w:val="en-US"/>
              </w:rPr>
              <w:br/>
              <w:t>$’000</w:t>
            </w:r>
          </w:p>
        </w:tc>
      </w:tr>
      <w:tr w:rsidR="001C529E" w:rsidRPr="00FD57EB" w14:paraId="7FA44FD0" w14:textId="77777777" w:rsidTr="00D87C90">
        <w:trPr>
          <w:trHeight w:val="113"/>
        </w:trPr>
        <w:tc>
          <w:tcPr>
            <w:tcW w:w="2154" w:type="dxa"/>
            <w:tcBorders>
              <w:top w:val="single" w:sz="12" w:space="0" w:color="292929"/>
              <w:bottom w:val="single" w:sz="4" w:space="0" w:color="A6A6A6" w:themeColor="background2" w:themeShade="A6"/>
              <w:right w:val="single" w:sz="18" w:space="0" w:color="FFFFFF" w:themeColor="background2"/>
            </w:tcBorders>
            <w:tcMar>
              <w:top w:w="85" w:type="dxa"/>
              <w:left w:w="113" w:type="dxa"/>
              <w:bottom w:w="85" w:type="dxa"/>
              <w:right w:w="113" w:type="dxa"/>
            </w:tcMar>
          </w:tcPr>
          <w:p w14:paraId="2762829D" w14:textId="0E54E75F" w:rsidR="001C529E" w:rsidRPr="00200B4B" w:rsidRDefault="001C529E" w:rsidP="00200B4B">
            <w:pPr>
              <w:pStyle w:val="Body"/>
              <w:spacing w:after="0" w:line="240" w:lineRule="auto"/>
              <w:rPr>
                <w:rFonts w:ascii="Futura PT Book" w:hAnsi="Futura PT Book" w:cs="Futura PT Book"/>
                <w:color w:val="000000"/>
                <w:sz w:val="14"/>
                <w:szCs w:val="14"/>
                <w:lang w:val="en-US"/>
              </w:rPr>
            </w:pPr>
            <w:r w:rsidRPr="00200B4B">
              <w:rPr>
                <w:sz w:val="14"/>
                <w:szCs w:val="14"/>
              </w:rPr>
              <w:t>Minimum operating lease commitment at 30 June 2019</w:t>
            </w:r>
          </w:p>
        </w:tc>
        <w:tc>
          <w:tcPr>
            <w:tcW w:w="1020" w:type="dxa"/>
            <w:tcBorders>
              <w:top w:val="single" w:sz="12" w:space="0" w:color="292929"/>
              <w:left w:val="single" w:sz="18" w:space="0" w:color="FFFFFF" w:themeColor="background2"/>
              <w:bottom w:val="single" w:sz="4" w:space="0" w:color="A6A6A6" w:themeColor="background2" w:themeShade="A6"/>
            </w:tcBorders>
            <w:tcMar>
              <w:top w:w="85" w:type="dxa"/>
              <w:left w:w="113" w:type="dxa"/>
              <w:bottom w:w="85" w:type="dxa"/>
              <w:right w:w="113" w:type="dxa"/>
            </w:tcMar>
          </w:tcPr>
          <w:p w14:paraId="09398B5E" w14:textId="482144F0" w:rsidR="001C529E" w:rsidRPr="00200B4B" w:rsidRDefault="001C529E"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 xml:space="preserve">2,996 </w:t>
            </w:r>
          </w:p>
        </w:tc>
      </w:tr>
      <w:tr w:rsidR="001C529E" w:rsidRPr="00FD57EB" w14:paraId="45A379EF" w14:textId="77777777" w:rsidTr="00D87C90">
        <w:trPr>
          <w:trHeight w:val="113"/>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5D96E761" w14:textId="3BC3CC6B" w:rsidR="001C529E" w:rsidRPr="00200B4B" w:rsidRDefault="001C529E" w:rsidP="00200B4B">
            <w:pPr>
              <w:pStyle w:val="Body"/>
              <w:spacing w:after="0" w:line="240" w:lineRule="auto"/>
              <w:rPr>
                <w:rFonts w:ascii="Futura PT Book" w:hAnsi="Futura PT Book" w:cs="Futura PT Book"/>
                <w:color w:val="000000"/>
                <w:sz w:val="14"/>
                <w:szCs w:val="14"/>
                <w:lang w:val="en-US"/>
              </w:rPr>
            </w:pPr>
            <w:r w:rsidRPr="00200B4B">
              <w:rPr>
                <w:sz w:val="14"/>
                <w:szCs w:val="14"/>
              </w:rPr>
              <w:t>Plus: Effect of extension options reasonably certain to be exercised</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01376828" w14:textId="33A8A609" w:rsidR="001C529E" w:rsidRPr="00200B4B" w:rsidRDefault="001C529E"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 xml:space="preserve">4,450 </w:t>
            </w:r>
          </w:p>
        </w:tc>
      </w:tr>
      <w:tr w:rsidR="001C529E" w:rsidRPr="00FD57EB" w14:paraId="0FC1A9A7" w14:textId="77777777" w:rsidTr="00026A72">
        <w:trPr>
          <w:trHeight w:val="113"/>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2B899088" w14:textId="6CA8FC5D" w:rsidR="001C529E" w:rsidRPr="00200B4B" w:rsidRDefault="001C529E" w:rsidP="00200B4B">
            <w:pPr>
              <w:pStyle w:val="Body"/>
              <w:spacing w:after="0" w:line="240" w:lineRule="auto"/>
              <w:rPr>
                <w:sz w:val="14"/>
                <w:szCs w:val="14"/>
              </w:rPr>
            </w:pPr>
            <w:r w:rsidRPr="00200B4B">
              <w:rPr>
                <w:sz w:val="14"/>
                <w:szCs w:val="14"/>
              </w:rPr>
              <w:t>Undiscounted lease payments</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577A7404" w14:textId="3C41CE23" w:rsidR="001C529E" w:rsidRPr="00200B4B" w:rsidRDefault="001C529E" w:rsidP="00200B4B">
            <w:pPr>
              <w:pStyle w:val="Body"/>
              <w:spacing w:after="0" w:line="240" w:lineRule="auto"/>
              <w:jc w:val="right"/>
              <w:rPr>
                <w:sz w:val="14"/>
                <w:szCs w:val="14"/>
              </w:rPr>
            </w:pPr>
            <w:r w:rsidRPr="00200B4B">
              <w:rPr>
                <w:sz w:val="14"/>
                <w:szCs w:val="14"/>
              </w:rPr>
              <w:t>7,446</w:t>
            </w:r>
          </w:p>
        </w:tc>
      </w:tr>
      <w:tr w:rsidR="001C529E" w:rsidRPr="00FD57EB" w14:paraId="420189BE" w14:textId="77777777" w:rsidTr="00D87C90">
        <w:trPr>
          <w:trHeight w:val="113"/>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13962A3C" w14:textId="0912D764" w:rsidR="001C529E" w:rsidRPr="00200B4B" w:rsidRDefault="001C529E" w:rsidP="00200B4B">
            <w:pPr>
              <w:pStyle w:val="Body"/>
              <w:spacing w:after="0" w:line="240" w:lineRule="auto"/>
              <w:rPr>
                <w:rFonts w:ascii="Futura PT Book" w:hAnsi="Futura PT Book" w:cs="Futura PT Book"/>
                <w:color w:val="000000"/>
                <w:sz w:val="14"/>
                <w:szCs w:val="14"/>
                <w:lang w:val="en-US"/>
              </w:rPr>
            </w:pPr>
            <w:r w:rsidRPr="00200B4B">
              <w:rPr>
                <w:sz w:val="14"/>
                <w:szCs w:val="14"/>
              </w:rPr>
              <w:t>Less: Effect of discounting using the incremental borrowing rate as at the date of initial application</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02DF0CFA" w14:textId="2D311A04" w:rsidR="001C529E" w:rsidRPr="00200B4B" w:rsidRDefault="001C529E" w:rsidP="00200B4B">
            <w:pPr>
              <w:pStyle w:val="Body"/>
              <w:spacing w:after="0" w:line="240" w:lineRule="auto"/>
              <w:jc w:val="right"/>
              <w:rPr>
                <w:rFonts w:ascii="Futura PT Book" w:hAnsi="Futura PT Book" w:cs="Futura PT Book"/>
                <w:color w:val="000000"/>
                <w:sz w:val="14"/>
                <w:szCs w:val="14"/>
                <w:lang w:val="en-US"/>
              </w:rPr>
            </w:pPr>
            <w:r w:rsidRPr="00200B4B">
              <w:rPr>
                <w:sz w:val="14"/>
                <w:szCs w:val="14"/>
              </w:rPr>
              <w:t>(375)</w:t>
            </w:r>
          </w:p>
        </w:tc>
      </w:tr>
      <w:tr w:rsidR="001C529E" w:rsidRPr="00FD57EB" w14:paraId="757D64A9" w14:textId="77777777" w:rsidTr="00026A72">
        <w:trPr>
          <w:trHeight w:val="113"/>
        </w:trPr>
        <w:tc>
          <w:tcPr>
            <w:tcW w:w="2154" w:type="dxa"/>
            <w:tcBorders>
              <w:top w:val="single" w:sz="4" w:space="0" w:color="A6A6A6" w:themeColor="background2" w:themeShade="A6"/>
              <w:bottom w:val="single" w:sz="4" w:space="0" w:color="A6A6A6" w:themeColor="background2" w:themeShade="A6"/>
              <w:right w:val="single" w:sz="18" w:space="0" w:color="FFFFFF" w:themeColor="background2"/>
            </w:tcBorders>
            <w:tcMar>
              <w:top w:w="85" w:type="dxa"/>
              <w:left w:w="113" w:type="dxa"/>
              <w:bottom w:w="85" w:type="dxa"/>
              <w:right w:w="113" w:type="dxa"/>
            </w:tcMar>
          </w:tcPr>
          <w:p w14:paraId="374F09B8" w14:textId="210CBD29" w:rsidR="001C529E" w:rsidRPr="00200B4B" w:rsidRDefault="001C529E" w:rsidP="00200B4B">
            <w:pPr>
              <w:pStyle w:val="Body"/>
              <w:spacing w:after="0" w:line="240" w:lineRule="auto"/>
              <w:rPr>
                <w:sz w:val="14"/>
                <w:szCs w:val="14"/>
              </w:rPr>
            </w:pPr>
            <w:r w:rsidRPr="00200B4B">
              <w:rPr>
                <w:sz w:val="14"/>
                <w:szCs w:val="14"/>
              </w:rPr>
              <w:t>Lease liabilities recognised at 1</w:t>
            </w:r>
            <w:r w:rsidR="00026A72">
              <w:rPr>
                <w:sz w:val="14"/>
                <w:szCs w:val="14"/>
              </w:rPr>
              <w:t> </w:t>
            </w:r>
            <w:r w:rsidRPr="00200B4B">
              <w:rPr>
                <w:sz w:val="14"/>
                <w:szCs w:val="14"/>
              </w:rPr>
              <w:t>July</w:t>
            </w:r>
            <w:r w:rsidR="00026A72">
              <w:rPr>
                <w:sz w:val="14"/>
                <w:szCs w:val="14"/>
              </w:rPr>
              <w:t> </w:t>
            </w:r>
            <w:r w:rsidRPr="00200B4B">
              <w:rPr>
                <w:sz w:val="14"/>
                <w:szCs w:val="14"/>
              </w:rPr>
              <w:t>2019</w:t>
            </w:r>
          </w:p>
        </w:tc>
        <w:tc>
          <w:tcPr>
            <w:tcW w:w="1020" w:type="dxa"/>
            <w:tcBorders>
              <w:top w:val="single" w:sz="4" w:space="0" w:color="A6A6A6" w:themeColor="background2" w:themeShade="A6"/>
              <w:left w:val="single" w:sz="18" w:space="0" w:color="FFFFFF" w:themeColor="background2"/>
              <w:bottom w:val="single" w:sz="4" w:space="0" w:color="A6A6A6" w:themeColor="background2" w:themeShade="A6"/>
            </w:tcBorders>
            <w:tcMar>
              <w:top w:w="85" w:type="dxa"/>
              <w:left w:w="113" w:type="dxa"/>
              <w:bottom w:w="85" w:type="dxa"/>
              <w:right w:w="113" w:type="dxa"/>
            </w:tcMar>
          </w:tcPr>
          <w:p w14:paraId="6E34AA7D" w14:textId="0A44229A" w:rsidR="001C529E" w:rsidRPr="00200B4B" w:rsidRDefault="001C529E" w:rsidP="00200B4B">
            <w:pPr>
              <w:pStyle w:val="Body"/>
              <w:spacing w:after="0" w:line="240" w:lineRule="auto"/>
              <w:jc w:val="right"/>
              <w:rPr>
                <w:sz w:val="14"/>
                <w:szCs w:val="14"/>
              </w:rPr>
            </w:pPr>
            <w:r w:rsidRPr="00200B4B">
              <w:rPr>
                <w:sz w:val="14"/>
                <w:szCs w:val="14"/>
              </w:rPr>
              <w:t>7,071</w:t>
            </w:r>
          </w:p>
        </w:tc>
      </w:tr>
      <w:tr w:rsidR="00026A72" w:rsidRPr="00FD57EB" w14:paraId="06C1E16C" w14:textId="77777777" w:rsidTr="00026A72">
        <w:trPr>
          <w:trHeight w:val="20"/>
        </w:trPr>
        <w:tc>
          <w:tcPr>
            <w:tcW w:w="2154" w:type="dxa"/>
            <w:tcBorders>
              <w:top w:val="single" w:sz="4" w:space="0" w:color="A6A6A6" w:themeColor="background2" w:themeShade="A6"/>
              <w:right w:val="single" w:sz="18" w:space="0" w:color="FFFFFF" w:themeColor="background2"/>
            </w:tcBorders>
            <w:tcMar>
              <w:top w:w="85" w:type="dxa"/>
              <w:left w:w="113" w:type="dxa"/>
              <w:bottom w:w="85" w:type="dxa"/>
              <w:right w:w="113" w:type="dxa"/>
            </w:tcMar>
          </w:tcPr>
          <w:p w14:paraId="31E5BB3E" w14:textId="77777777" w:rsidR="00026A72" w:rsidRPr="00026A72" w:rsidRDefault="00026A72" w:rsidP="00200B4B">
            <w:pPr>
              <w:pStyle w:val="Body"/>
              <w:spacing w:after="0" w:line="240" w:lineRule="auto"/>
              <w:rPr>
                <w:sz w:val="4"/>
                <w:szCs w:val="4"/>
              </w:rPr>
            </w:pPr>
          </w:p>
        </w:tc>
        <w:tc>
          <w:tcPr>
            <w:tcW w:w="1020" w:type="dxa"/>
            <w:tcBorders>
              <w:top w:val="single" w:sz="4" w:space="0" w:color="A6A6A6" w:themeColor="background2" w:themeShade="A6"/>
              <w:left w:val="single" w:sz="18" w:space="0" w:color="FFFFFF" w:themeColor="background2"/>
            </w:tcBorders>
            <w:tcMar>
              <w:top w:w="85" w:type="dxa"/>
              <w:left w:w="113" w:type="dxa"/>
              <w:bottom w:w="85" w:type="dxa"/>
              <w:right w:w="113" w:type="dxa"/>
            </w:tcMar>
          </w:tcPr>
          <w:p w14:paraId="554D04E6" w14:textId="77777777" w:rsidR="00026A72" w:rsidRPr="00026A72" w:rsidRDefault="00026A72" w:rsidP="00200B4B">
            <w:pPr>
              <w:pStyle w:val="Body"/>
              <w:spacing w:after="0" w:line="240" w:lineRule="auto"/>
              <w:jc w:val="right"/>
              <w:rPr>
                <w:sz w:val="4"/>
                <w:szCs w:val="4"/>
              </w:rPr>
            </w:pPr>
          </w:p>
        </w:tc>
      </w:tr>
    </w:tbl>
    <w:p w14:paraId="5B507C17" w14:textId="77777777" w:rsidR="00F17B48" w:rsidRDefault="00F17B48" w:rsidP="00C76188">
      <w:pPr>
        <w:pStyle w:val="H3Financials"/>
        <w:spacing w:before="120"/>
      </w:pPr>
      <w:bookmarkStart w:id="140" w:name="_Toc48575882"/>
      <w:bookmarkStart w:id="141" w:name="_Toc48576203"/>
      <w:bookmarkStart w:id="142" w:name="_Toc48828405"/>
      <w:r w:rsidRPr="00F17B48">
        <w:t>Significant accounting judgements and estimates</w:t>
      </w:r>
      <w:bookmarkEnd w:id="140"/>
      <w:bookmarkEnd w:id="141"/>
      <w:bookmarkEnd w:id="142"/>
    </w:p>
    <w:p w14:paraId="39B57558" w14:textId="6A0162BD" w:rsidR="00F17B48" w:rsidRDefault="00F17B48" w:rsidP="00F17B48">
      <w:pPr>
        <w:pStyle w:val="Body"/>
      </w:pPr>
      <w:r w:rsidRPr="00F17B48">
        <w:t>Except where specifically identified and</w:t>
      </w:r>
      <w:r w:rsidR="00B51710">
        <w:t> </w:t>
      </w:r>
      <w:r w:rsidRPr="00F17B48">
        <w:t>disclosed, IHPA has determined that no accounting assumptions and estimates have a significant risk of causing a material adjustment to carrying amounts of assets and liabilities within the next accounting period.</w:t>
      </w:r>
    </w:p>
    <w:p w14:paraId="3ADC3149" w14:textId="383D6040" w:rsidR="00FD57EB" w:rsidRDefault="00F17B48" w:rsidP="00F17B48">
      <w:pPr>
        <w:pStyle w:val="H3Financials"/>
      </w:pPr>
      <w:bookmarkStart w:id="143" w:name="_Toc48575883"/>
      <w:bookmarkStart w:id="144" w:name="_Toc48576204"/>
      <w:bookmarkStart w:id="145" w:name="_Toc48828406"/>
      <w:r w:rsidRPr="00F17B48">
        <w:t>Comparative figures</w:t>
      </w:r>
      <w:bookmarkEnd w:id="143"/>
      <w:bookmarkEnd w:id="144"/>
      <w:bookmarkEnd w:id="145"/>
    </w:p>
    <w:p w14:paraId="0401F73C" w14:textId="5D779452" w:rsidR="00F17B48" w:rsidRDefault="00F17B48" w:rsidP="00646163">
      <w:pPr>
        <w:pStyle w:val="Body"/>
      </w:pPr>
      <w:r w:rsidRPr="00F17B48">
        <w:t>Comparative figures have been adjusted, where required, to conform to changes in presentation of the financial statements.</w:t>
      </w:r>
    </w:p>
    <w:p w14:paraId="4F81FA82" w14:textId="7342B1DD" w:rsidR="00F17B48" w:rsidRDefault="00F17B48" w:rsidP="00F17B48">
      <w:pPr>
        <w:pStyle w:val="H3Financials"/>
      </w:pPr>
      <w:bookmarkStart w:id="146" w:name="_Toc48575884"/>
      <w:bookmarkStart w:id="147" w:name="_Toc48576205"/>
      <w:bookmarkStart w:id="148" w:name="_Toc48828407"/>
      <w:r w:rsidRPr="00F17B48">
        <w:t>Taxation</w:t>
      </w:r>
      <w:bookmarkEnd w:id="146"/>
      <w:bookmarkEnd w:id="147"/>
      <w:bookmarkEnd w:id="148"/>
    </w:p>
    <w:p w14:paraId="73D17D7A" w14:textId="6262B7FB" w:rsidR="00F17B48" w:rsidRDefault="00F17B48" w:rsidP="00646163">
      <w:pPr>
        <w:pStyle w:val="Body"/>
      </w:pPr>
      <w:r w:rsidRPr="00F17B48">
        <w:t>IHPA is exempt from all forms of taxation, except Fringe Benefits Tax (FBT) and the Goods and Services Tax (GST).</w:t>
      </w:r>
    </w:p>
    <w:p w14:paraId="00390CA0" w14:textId="3F24DEC2" w:rsidR="00F17B48" w:rsidRDefault="00F17B48" w:rsidP="00646163">
      <w:pPr>
        <w:pStyle w:val="Body"/>
      </w:pPr>
      <w:r w:rsidRPr="00F17B48">
        <w:t>Revenues, expenses, assets and liabilities are recognised net of GST, except where the amount of GST incurred is not recoverable from the Australian Taxation Office.</w:t>
      </w:r>
    </w:p>
    <w:p w14:paraId="04829F5B" w14:textId="59860384" w:rsidR="00F17B48" w:rsidRDefault="00F17B48" w:rsidP="00F17B48">
      <w:pPr>
        <w:pStyle w:val="H3Financials"/>
      </w:pPr>
      <w:bookmarkStart w:id="149" w:name="_Toc48575885"/>
      <w:bookmarkStart w:id="150" w:name="_Toc48576206"/>
      <w:bookmarkStart w:id="151" w:name="_Toc48828408"/>
      <w:r w:rsidRPr="00F17B48">
        <w:t>Events after the reporting</w:t>
      </w:r>
      <w:r>
        <w:t> </w:t>
      </w:r>
      <w:r w:rsidRPr="00F17B48">
        <w:t>period</w:t>
      </w:r>
      <w:bookmarkEnd w:id="149"/>
      <w:bookmarkEnd w:id="150"/>
      <w:bookmarkEnd w:id="151"/>
    </w:p>
    <w:p w14:paraId="27461F75" w14:textId="392C00ED" w:rsidR="00F17B48" w:rsidRDefault="00F17B48" w:rsidP="00646163">
      <w:pPr>
        <w:pStyle w:val="Body"/>
      </w:pPr>
      <w:r w:rsidRPr="00F17B48">
        <w:t xml:space="preserve">No events have occurred since the reporting date which have had a </w:t>
      </w:r>
      <w:r w:rsidRPr="00F17B48">
        <w:lastRenderedPageBreak/>
        <w:t>material impact on the financial statements.</w:t>
      </w:r>
    </w:p>
    <w:p w14:paraId="6AA4EB3C" w14:textId="77777777" w:rsidR="005000E5" w:rsidRDefault="005000E5" w:rsidP="00646163">
      <w:pPr>
        <w:pStyle w:val="Body"/>
        <w:sectPr w:rsidR="005000E5" w:rsidSect="004843D3">
          <w:footnotePr>
            <w:pos w:val="beneathText"/>
          </w:footnotePr>
          <w:pgSz w:w="9979" w:h="14175" w:code="13"/>
          <w:pgMar w:top="1134" w:right="1418" w:bottom="992" w:left="1418" w:header="709" w:footer="709" w:gutter="0"/>
          <w:cols w:num="2" w:space="623"/>
          <w:docGrid w:linePitch="360"/>
        </w:sectPr>
      </w:pPr>
    </w:p>
    <w:p w14:paraId="2C4B5989" w14:textId="09E9E2FC" w:rsidR="005000E5" w:rsidRDefault="005000E5" w:rsidP="00C76188">
      <w:pPr>
        <w:pStyle w:val="H2Financials"/>
      </w:pPr>
      <w:bookmarkStart w:id="152" w:name="_Toc48828409"/>
      <w:bookmarkStart w:id="153" w:name="Notestothefinancialstatements"/>
      <w:r>
        <w:lastRenderedPageBreak/>
        <w:t>Notes to the financial statements</w:t>
      </w:r>
      <w:bookmarkEnd w:id="152"/>
    </w:p>
    <w:p w14:paraId="22CA5BFA" w14:textId="10CD3A89" w:rsidR="005000E5" w:rsidRDefault="005000E5" w:rsidP="005000E5">
      <w:pPr>
        <w:pStyle w:val="H3Financials"/>
      </w:pPr>
      <w:bookmarkStart w:id="154" w:name="_Toc48828410"/>
      <w:bookmarkStart w:id="155" w:name="Financialperformance"/>
      <w:bookmarkEnd w:id="153"/>
      <w:r>
        <w:t>Financial performance</w:t>
      </w:r>
      <w:bookmarkEnd w:id="154"/>
    </w:p>
    <w:bookmarkEnd w:id="155"/>
    <w:p w14:paraId="6E3AC518" w14:textId="3B41D085" w:rsidR="005000E5" w:rsidRDefault="005000E5" w:rsidP="00646163">
      <w:pPr>
        <w:pStyle w:val="Body"/>
      </w:pPr>
      <w:r w:rsidRPr="005000E5">
        <w:t>This section analyses the financial performance of IHPA for the year ended 30 June 2020.</w:t>
      </w:r>
    </w:p>
    <w:p w14:paraId="66E94D24" w14:textId="2571AD55" w:rsidR="005000E5" w:rsidRDefault="009470A1" w:rsidP="009470A1">
      <w:pPr>
        <w:pStyle w:val="H4Financials"/>
      </w:pPr>
      <w:bookmarkStart w:id="156" w:name="Note11"/>
      <w:bookmarkStart w:id="157" w:name="_Toc48828411"/>
      <w:r>
        <w:t>Note 1.1</w:t>
      </w:r>
      <w:bookmarkEnd w:id="156"/>
      <w:r>
        <w:t xml:space="preserve"> Expenses</w:t>
      </w:r>
      <w:bookmarkEnd w:id="157"/>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A0028C" w:rsidRPr="00A0028C" w14:paraId="49A6BA48" w14:textId="77777777" w:rsidTr="00C70916">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411A65DF" w14:textId="77777777" w:rsidR="009470A1" w:rsidRPr="00A0028C" w:rsidRDefault="009470A1"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2CC2E8AA" w14:textId="4907DC90" w:rsidR="009470A1" w:rsidRPr="00A0028C" w:rsidRDefault="009470A1"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A0028C">
              <w:rPr>
                <w:rFonts w:asciiTheme="majorHAnsi" w:hAnsiTheme="majorHAnsi" w:cs="Futura PT Heavy"/>
                <w:color w:val="1C1C1C"/>
                <w:sz w:val="16"/>
                <w:szCs w:val="16"/>
                <w:lang w:val="en-US"/>
              </w:rPr>
              <w:t>2020</w:t>
            </w:r>
            <w:r w:rsidRPr="00A0028C">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4C6494A1" w14:textId="1120A2C2" w:rsidR="009470A1" w:rsidRPr="00A0028C" w:rsidRDefault="009470A1"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A0028C">
              <w:rPr>
                <w:rFonts w:asciiTheme="majorHAnsi" w:hAnsiTheme="majorHAnsi" w:cs="Futura PT Heavy"/>
                <w:color w:val="1C1C1C"/>
                <w:sz w:val="16"/>
                <w:szCs w:val="16"/>
                <w:lang w:val="en-US"/>
              </w:rPr>
              <w:t>2019</w:t>
            </w:r>
            <w:r w:rsidRPr="00A0028C">
              <w:rPr>
                <w:rFonts w:asciiTheme="majorHAnsi" w:hAnsiTheme="majorHAnsi" w:cs="Futura PT Heavy"/>
                <w:color w:val="1C1C1C"/>
                <w:sz w:val="16"/>
                <w:szCs w:val="16"/>
                <w:lang w:val="en-US"/>
              </w:rPr>
              <w:br/>
              <w:t>$’000</w:t>
            </w:r>
          </w:p>
        </w:tc>
      </w:tr>
      <w:tr w:rsidR="00A0028C" w:rsidRPr="00A0028C" w14:paraId="469C0F5A"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C45352C" w14:textId="480690A8" w:rsidR="009470A1" w:rsidRPr="00A0028C" w:rsidRDefault="009470A1" w:rsidP="009470A1">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bookmarkStart w:id="158" w:name="_Hlk48559090"/>
            <w:r w:rsidRPr="00A0028C">
              <w:rPr>
                <w:rFonts w:asciiTheme="majorHAnsi" w:hAnsiTheme="majorHAnsi"/>
                <w:color w:val="1C1C1C"/>
                <w:sz w:val="14"/>
                <w:szCs w:val="14"/>
              </w:rPr>
              <w:t>Note 1.1A: Employee Benefits</w:t>
            </w:r>
          </w:p>
        </w:tc>
        <w:tc>
          <w:tcPr>
            <w:tcW w:w="992"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2615AABC" w14:textId="77777777" w:rsidR="009470A1" w:rsidRPr="00A0028C" w:rsidRDefault="009470A1" w:rsidP="009470A1">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2843A84B" w14:textId="77777777" w:rsidR="009470A1" w:rsidRPr="00A0028C" w:rsidRDefault="009470A1" w:rsidP="009470A1">
            <w:pPr>
              <w:autoSpaceDE w:val="0"/>
              <w:autoSpaceDN w:val="0"/>
              <w:adjustRightInd w:val="0"/>
              <w:spacing w:after="0" w:line="240" w:lineRule="auto"/>
              <w:jc w:val="right"/>
              <w:rPr>
                <w:color w:val="1C1C1C"/>
                <w:sz w:val="14"/>
                <w:szCs w:val="14"/>
              </w:rPr>
            </w:pPr>
          </w:p>
        </w:tc>
      </w:tr>
      <w:bookmarkEnd w:id="158"/>
      <w:tr w:rsidR="00A0028C" w:rsidRPr="00A0028C" w14:paraId="241DBE0B" w14:textId="77777777" w:rsidTr="00C70916">
        <w:trPr>
          <w:trHeight w:val="170"/>
        </w:trPr>
        <w:tc>
          <w:tcPr>
            <w:tcW w:w="5111" w:type="dxa"/>
            <w:tcBorders>
              <w:top w:val="single" w:sz="4" w:space="0" w:color="FFFFFF" w:themeColor="background2"/>
              <w:left w:val="single" w:sz="4" w:space="0" w:color="FFFFFF" w:themeColor="background2"/>
              <w:right w:val="single" w:sz="4" w:space="0" w:color="FFFFFF" w:themeColor="background2"/>
            </w:tcBorders>
            <w:tcMar>
              <w:top w:w="17" w:type="dxa"/>
              <w:left w:w="80" w:type="dxa"/>
              <w:bottom w:w="17" w:type="dxa"/>
              <w:right w:w="80" w:type="dxa"/>
            </w:tcMar>
          </w:tcPr>
          <w:p w14:paraId="6C05BBD2" w14:textId="7502BC08" w:rsidR="009470A1" w:rsidRPr="00A0028C" w:rsidRDefault="009470A1" w:rsidP="009470A1">
            <w:pPr>
              <w:suppressAutoHyphens/>
              <w:autoSpaceDE w:val="0"/>
              <w:autoSpaceDN w:val="0"/>
              <w:adjustRightInd w:val="0"/>
              <w:spacing w:after="0" w:line="240" w:lineRule="auto"/>
              <w:textAlignment w:val="center"/>
              <w:rPr>
                <w:rFonts w:cs="Futura PT Book"/>
                <w:color w:val="1C1C1C"/>
                <w:sz w:val="14"/>
                <w:szCs w:val="14"/>
                <w:lang w:val="en-US"/>
              </w:rPr>
            </w:pPr>
            <w:r w:rsidRPr="00A0028C">
              <w:rPr>
                <w:color w:val="1C1C1C"/>
                <w:sz w:val="14"/>
                <w:szCs w:val="14"/>
              </w:rPr>
              <w:t>Wages and salaries</w:t>
            </w:r>
          </w:p>
        </w:tc>
        <w:tc>
          <w:tcPr>
            <w:tcW w:w="992" w:type="dxa"/>
            <w:tcBorders>
              <w:top w:val="single" w:sz="4" w:space="0" w:color="FFFFFF" w:themeColor="background2"/>
              <w:left w:val="single" w:sz="4" w:space="0" w:color="FFFFFF" w:themeColor="background2"/>
            </w:tcBorders>
            <w:tcMar>
              <w:top w:w="17" w:type="dxa"/>
              <w:left w:w="113" w:type="dxa"/>
              <w:bottom w:w="17" w:type="dxa"/>
              <w:right w:w="113" w:type="dxa"/>
            </w:tcMar>
          </w:tcPr>
          <w:p w14:paraId="3303561C" w14:textId="3039843C" w:rsidR="009470A1" w:rsidRPr="00A0028C" w:rsidRDefault="009470A1" w:rsidP="009470A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A0028C">
              <w:rPr>
                <w:rFonts w:asciiTheme="majorHAnsi" w:hAnsiTheme="majorHAnsi" w:cs="Futura PT Book"/>
                <w:color w:val="1C1C1C"/>
                <w:sz w:val="14"/>
                <w:szCs w:val="14"/>
                <w:lang w:val="en-US"/>
              </w:rPr>
              <w:t>527</w:t>
            </w:r>
          </w:p>
        </w:tc>
        <w:tc>
          <w:tcPr>
            <w:tcW w:w="993" w:type="dxa"/>
            <w:tcMar>
              <w:top w:w="17" w:type="dxa"/>
              <w:left w:w="113" w:type="dxa"/>
              <w:bottom w:w="17" w:type="dxa"/>
              <w:right w:w="113" w:type="dxa"/>
            </w:tcMar>
          </w:tcPr>
          <w:p w14:paraId="220B3C87" w14:textId="45F7264F" w:rsidR="009470A1" w:rsidRPr="00A0028C" w:rsidRDefault="0091649C" w:rsidP="009470A1">
            <w:pPr>
              <w:suppressAutoHyphens/>
              <w:autoSpaceDE w:val="0"/>
              <w:autoSpaceDN w:val="0"/>
              <w:adjustRightInd w:val="0"/>
              <w:spacing w:after="0" w:line="240" w:lineRule="auto"/>
              <w:jc w:val="right"/>
              <w:textAlignment w:val="center"/>
              <w:rPr>
                <w:rFonts w:cs="Futura PT Book"/>
                <w:color w:val="1C1C1C"/>
                <w:sz w:val="14"/>
                <w:szCs w:val="14"/>
                <w:lang w:val="en-US"/>
              </w:rPr>
            </w:pPr>
            <w:r w:rsidRPr="00A0028C">
              <w:rPr>
                <w:color w:val="1C1C1C"/>
                <w:sz w:val="14"/>
                <w:szCs w:val="14"/>
              </w:rPr>
              <w:t>545</w:t>
            </w:r>
            <w:r w:rsidR="009470A1" w:rsidRPr="00A0028C">
              <w:rPr>
                <w:color w:val="1C1C1C"/>
                <w:sz w:val="14"/>
                <w:szCs w:val="14"/>
              </w:rPr>
              <w:t xml:space="preserve"> </w:t>
            </w:r>
          </w:p>
        </w:tc>
      </w:tr>
      <w:tr w:rsidR="00A0028C" w:rsidRPr="00A0028C" w14:paraId="554CA29F" w14:textId="77777777" w:rsidTr="00C70916">
        <w:trPr>
          <w:trHeight w:val="170"/>
        </w:trPr>
        <w:tc>
          <w:tcPr>
            <w:tcW w:w="5111" w:type="dxa"/>
            <w:tcMar>
              <w:top w:w="17" w:type="dxa"/>
              <w:left w:w="80" w:type="dxa"/>
              <w:bottom w:w="17" w:type="dxa"/>
              <w:right w:w="80" w:type="dxa"/>
            </w:tcMar>
          </w:tcPr>
          <w:p w14:paraId="24106BE9" w14:textId="3008662A" w:rsidR="009470A1" w:rsidRPr="00A0028C" w:rsidRDefault="009470A1" w:rsidP="009470A1">
            <w:pPr>
              <w:suppressAutoHyphens/>
              <w:autoSpaceDE w:val="0"/>
              <w:autoSpaceDN w:val="0"/>
              <w:adjustRightInd w:val="0"/>
              <w:spacing w:after="0" w:line="240" w:lineRule="auto"/>
              <w:textAlignment w:val="center"/>
              <w:rPr>
                <w:rFonts w:cs="Futura PT Book"/>
                <w:color w:val="1C1C1C"/>
                <w:sz w:val="14"/>
                <w:szCs w:val="14"/>
                <w:lang w:val="en-US"/>
              </w:rPr>
            </w:pPr>
            <w:r w:rsidRPr="00A0028C">
              <w:rPr>
                <w:color w:val="1C1C1C"/>
                <w:sz w:val="14"/>
                <w:szCs w:val="14"/>
              </w:rPr>
              <w:t>Superannuation</w:t>
            </w:r>
          </w:p>
        </w:tc>
        <w:tc>
          <w:tcPr>
            <w:tcW w:w="992" w:type="dxa"/>
            <w:tcMar>
              <w:top w:w="17" w:type="dxa"/>
              <w:left w:w="113" w:type="dxa"/>
              <w:bottom w:w="17" w:type="dxa"/>
              <w:right w:w="113" w:type="dxa"/>
            </w:tcMar>
          </w:tcPr>
          <w:p w14:paraId="2508A12A" w14:textId="77777777" w:rsidR="009470A1" w:rsidRPr="00A0028C" w:rsidRDefault="009470A1" w:rsidP="009470A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571B81BA" w14:textId="35858834" w:rsidR="009470A1" w:rsidRPr="00A0028C" w:rsidRDefault="009470A1" w:rsidP="009470A1">
            <w:pPr>
              <w:suppressAutoHyphens/>
              <w:autoSpaceDE w:val="0"/>
              <w:autoSpaceDN w:val="0"/>
              <w:adjustRightInd w:val="0"/>
              <w:spacing w:after="0" w:line="240" w:lineRule="auto"/>
              <w:jc w:val="right"/>
              <w:textAlignment w:val="center"/>
              <w:rPr>
                <w:rFonts w:cs="Futura PT Book"/>
                <w:color w:val="1C1C1C"/>
                <w:sz w:val="14"/>
                <w:szCs w:val="14"/>
                <w:lang w:val="en-US"/>
              </w:rPr>
            </w:pPr>
          </w:p>
        </w:tc>
      </w:tr>
      <w:tr w:rsidR="00A0028C" w:rsidRPr="00A0028C" w14:paraId="26687A92" w14:textId="77777777" w:rsidTr="00C70916">
        <w:trPr>
          <w:trHeight w:val="170"/>
        </w:trPr>
        <w:tc>
          <w:tcPr>
            <w:tcW w:w="5111" w:type="dxa"/>
            <w:tcMar>
              <w:top w:w="17" w:type="dxa"/>
              <w:left w:w="80" w:type="dxa"/>
              <w:bottom w:w="17" w:type="dxa"/>
              <w:right w:w="80" w:type="dxa"/>
            </w:tcMar>
          </w:tcPr>
          <w:p w14:paraId="780796BC" w14:textId="480AEA10" w:rsidR="009470A1" w:rsidRPr="00A0028C" w:rsidRDefault="009470A1" w:rsidP="009470A1">
            <w:pPr>
              <w:suppressAutoHyphens/>
              <w:autoSpaceDE w:val="0"/>
              <w:autoSpaceDN w:val="0"/>
              <w:adjustRightInd w:val="0"/>
              <w:spacing w:after="0" w:line="240" w:lineRule="auto"/>
              <w:ind w:left="113"/>
              <w:textAlignment w:val="center"/>
              <w:rPr>
                <w:rFonts w:cs="Futura PT Book"/>
                <w:color w:val="1C1C1C"/>
                <w:sz w:val="14"/>
                <w:szCs w:val="14"/>
                <w:lang w:val="en-US"/>
              </w:rPr>
            </w:pPr>
            <w:r w:rsidRPr="00A0028C">
              <w:rPr>
                <w:color w:val="1C1C1C"/>
                <w:sz w:val="14"/>
                <w:szCs w:val="14"/>
              </w:rPr>
              <w:t>Defined contribution plans</w:t>
            </w:r>
          </w:p>
        </w:tc>
        <w:tc>
          <w:tcPr>
            <w:tcW w:w="992" w:type="dxa"/>
            <w:tcMar>
              <w:top w:w="17" w:type="dxa"/>
              <w:left w:w="113" w:type="dxa"/>
              <w:bottom w:w="17" w:type="dxa"/>
              <w:right w:w="113" w:type="dxa"/>
            </w:tcMar>
          </w:tcPr>
          <w:p w14:paraId="562E967E" w14:textId="7F4D6160" w:rsidR="009470A1" w:rsidRPr="00A0028C" w:rsidRDefault="009470A1" w:rsidP="009470A1">
            <w:pPr>
              <w:autoSpaceDE w:val="0"/>
              <w:autoSpaceDN w:val="0"/>
              <w:adjustRightInd w:val="0"/>
              <w:spacing w:after="0" w:line="240" w:lineRule="auto"/>
              <w:jc w:val="right"/>
              <w:rPr>
                <w:rFonts w:asciiTheme="majorHAnsi" w:hAnsiTheme="majorHAnsi"/>
                <w:color w:val="1C1C1C"/>
                <w:sz w:val="14"/>
                <w:szCs w:val="14"/>
              </w:rPr>
            </w:pPr>
            <w:r w:rsidRPr="00A0028C">
              <w:rPr>
                <w:rFonts w:asciiTheme="majorHAnsi" w:hAnsiTheme="majorHAnsi"/>
                <w:color w:val="1C1C1C"/>
                <w:sz w:val="14"/>
                <w:szCs w:val="14"/>
              </w:rPr>
              <w:t>61</w:t>
            </w:r>
          </w:p>
        </w:tc>
        <w:tc>
          <w:tcPr>
            <w:tcW w:w="993" w:type="dxa"/>
            <w:tcMar>
              <w:top w:w="17" w:type="dxa"/>
              <w:left w:w="113" w:type="dxa"/>
              <w:bottom w:w="17" w:type="dxa"/>
              <w:right w:w="113" w:type="dxa"/>
            </w:tcMar>
          </w:tcPr>
          <w:p w14:paraId="545044B3" w14:textId="5E0B6CFD" w:rsidR="009470A1" w:rsidRPr="00A0028C" w:rsidRDefault="00B205D3" w:rsidP="009470A1">
            <w:pPr>
              <w:autoSpaceDE w:val="0"/>
              <w:autoSpaceDN w:val="0"/>
              <w:adjustRightInd w:val="0"/>
              <w:spacing w:after="0" w:line="240" w:lineRule="auto"/>
              <w:jc w:val="right"/>
              <w:rPr>
                <w:color w:val="1C1C1C"/>
                <w:sz w:val="14"/>
                <w:szCs w:val="14"/>
              </w:rPr>
            </w:pPr>
            <w:r w:rsidRPr="00A0028C">
              <w:rPr>
                <w:color w:val="1C1C1C"/>
                <w:sz w:val="14"/>
                <w:szCs w:val="14"/>
              </w:rPr>
              <w:t>60</w:t>
            </w:r>
            <w:r w:rsidR="009470A1" w:rsidRPr="00A0028C">
              <w:rPr>
                <w:color w:val="1C1C1C"/>
                <w:sz w:val="14"/>
                <w:szCs w:val="14"/>
              </w:rPr>
              <w:t xml:space="preserve"> </w:t>
            </w:r>
          </w:p>
        </w:tc>
      </w:tr>
      <w:tr w:rsidR="00A0028C" w:rsidRPr="00A0028C" w14:paraId="36C54582" w14:textId="77777777" w:rsidTr="00C70916">
        <w:trPr>
          <w:trHeight w:val="170"/>
        </w:trPr>
        <w:tc>
          <w:tcPr>
            <w:tcW w:w="5111" w:type="dxa"/>
            <w:tcMar>
              <w:top w:w="17" w:type="dxa"/>
              <w:left w:w="80" w:type="dxa"/>
              <w:bottom w:w="17" w:type="dxa"/>
              <w:right w:w="80" w:type="dxa"/>
            </w:tcMar>
          </w:tcPr>
          <w:p w14:paraId="1132E9F7" w14:textId="6712E436" w:rsidR="009470A1" w:rsidRPr="00A0028C" w:rsidRDefault="009470A1" w:rsidP="009470A1">
            <w:pPr>
              <w:suppressAutoHyphens/>
              <w:autoSpaceDE w:val="0"/>
              <w:autoSpaceDN w:val="0"/>
              <w:adjustRightInd w:val="0"/>
              <w:spacing w:after="0" w:line="240" w:lineRule="auto"/>
              <w:textAlignment w:val="center"/>
              <w:rPr>
                <w:rFonts w:cs="Futura PT Book"/>
                <w:color w:val="1C1C1C"/>
                <w:sz w:val="14"/>
                <w:szCs w:val="14"/>
                <w:lang w:val="en-US"/>
              </w:rPr>
            </w:pPr>
            <w:r w:rsidRPr="00A0028C">
              <w:rPr>
                <w:color w:val="1C1C1C"/>
                <w:sz w:val="14"/>
                <w:szCs w:val="14"/>
              </w:rPr>
              <w:t>Leave and other entitlements</w:t>
            </w:r>
          </w:p>
        </w:tc>
        <w:tc>
          <w:tcPr>
            <w:tcW w:w="992" w:type="dxa"/>
            <w:tcMar>
              <w:top w:w="17" w:type="dxa"/>
              <w:left w:w="113" w:type="dxa"/>
              <w:bottom w:w="17" w:type="dxa"/>
              <w:right w:w="113" w:type="dxa"/>
            </w:tcMar>
          </w:tcPr>
          <w:p w14:paraId="694661AC" w14:textId="7C0A2C8C" w:rsidR="009470A1" w:rsidRPr="00A0028C" w:rsidRDefault="009470A1" w:rsidP="009470A1">
            <w:pPr>
              <w:autoSpaceDE w:val="0"/>
              <w:autoSpaceDN w:val="0"/>
              <w:adjustRightInd w:val="0"/>
              <w:spacing w:after="0" w:line="240" w:lineRule="auto"/>
              <w:jc w:val="right"/>
              <w:rPr>
                <w:rFonts w:asciiTheme="majorHAnsi" w:hAnsiTheme="majorHAnsi"/>
                <w:color w:val="1C1C1C"/>
                <w:sz w:val="14"/>
                <w:szCs w:val="14"/>
              </w:rPr>
            </w:pPr>
            <w:r w:rsidRPr="00A0028C">
              <w:rPr>
                <w:rFonts w:asciiTheme="majorHAnsi" w:hAnsiTheme="majorHAnsi"/>
                <w:color w:val="1C1C1C"/>
                <w:sz w:val="14"/>
                <w:szCs w:val="14"/>
              </w:rPr>
              <w:t>267</w:t>
            </w:r>
          </w:p>
        </w:tc>
        <w:tc>
          <w:tcPr>
            <w:tcW w:w="993" w:type="dxa"/>
            <w:tcMar>
              <w:top w:w="17" w:type="dxa"/>
              <w:left w:w="113" w:type="dxa"/>
              <w:bottom w:w="17" w:type="dxa"/>
              <w:right w:w="113" w:type="dxa"/>
            </w:tcMar>
          </w:tcPr>
          <w:p w14:paraId="4C1E057C" w14:textId="77611EB1" w:rsidR="009470A1" w:rsidRPr="00A0028C" w:rsidRDefault="00B205D3" w:rsidP="009470A1">
            <w:pPr>
              <w:autoSpaceDE w:val="0"/>
              <w:autoSpaceDN w:val="0"/>
              <w:adjustRightInd w:val="0"/>
              <w:spacing w:after="0" w:line="240" w:lineRule="auto"/>
              <w:jc w:val="right"/>
              <w:rPr>
                <w:color w:val="1C1C1C"/>
                <w:sz w:val="14"/>
                <w:szCs w:val="14"/>
              </w:rPr>
            </w:pPr>
            <w:r w:rsidRPr="00A0028C">
              <w:rPr>
                <w:color w:val="1C1C1C"/>
                <w:sz w:val="14"/>
                <w:szCs w:val="14"/>
              </w:rPr>
              <w:t>2</w:t>
            </w:r>
            <w:r w:rsidR="009470A1" w:rsidRPr="00A0028C">
              <w:rPr>
                <w:color w:val="1C1C1C"/>
                <w:sz w:val="14"/>
                <w:szCs w:val="14"/>
              </w:rPr>
              <w:t xml:space="preserve">67 </w:t>
            </w:r>
          </w:p>
        </w:tc>
      </w:tr>
      <w:tr w:rsidR="00A0028C" w:rsidRPr="00A0028C" w14:paraId="5B10E4B2" w14:textId="77777777" w:rsidTr="00B80308">
        <w:trPr>
          <w:trHeight w:val="170"/>
        </w:trPr>
        <w:tc>
          <w:tcPr>
            <w:tcW w:w="5111" w:type="dxa"/>
            <w:tcMar>
              <w:top w:w="17" w:type="dxa"/>
              <w:left w:w="80" w:type="dxa"/>
              <w:bottom w:w="17" w:type="dxa"/>
              <w:right w:w="80" w:type="dxa"/>
            </w:tcMar>
          </w:tcPr>
          <w:p w14:paraId="49084F70" w14:textId="0B9FF48C" w:rsidR="009470A1" w:rsidRPr="00A0028C" w:rsidRDefault="009470A1" w:rsidP="009470A1">
            <w:pPr>
              <w:suppressAutoHyphens/>
              <w:autoSpaceDE w:val="0"/>
              <w:autoSpaceDN w:val="0"/>
              <w:adjustRightInd w:val="0"/>
              <w:spacing w:after="0" w:line="240" w:lineRule="auto"/>
              <w:textAlignment w:val="center"/>
              <w:rPr>
                <w:rFonts w:cs="Futura PT Book"/>
                <w:color w:val="1C1C1C"/>
                <w:sz w:val="14"/>
                <w:szCs w:val="14"/>
                <w:lang w:val="en-US"/>
              </w:rPr>
            </w:pPr>
            <w:r w:rsidRPr="00A0028C">
              <w:rPr>
                <w:color w:val="1C1C1C"/>
                <w:sz w:val="14"/>
                <w:szCs w:val="14"/>
              </w:rPr>
              <w:t>Wages and salaries for staff provided by Department of Health</w:t>
            </w:r>
          </w:p>
        </w:tc>
        <w:tc>
          <w:tcPr>
            <w:tcW w:w="992" w:type="dxa"/>
            <w:tcBorders>
              <w:bottom w:val="single" w:sz="4" w:space="0" w:color="292929"/>
              <w:right w:val="single" w:sz="8" w:space="0" w:color="FFFFFF" w:themeColor="background2"/>
            </w:tcBorders>
            <w:tcMar>
              <w:top w:w="17" w:type="dxa"/>
              <w:left w:w="113" w:type="dxa"/>
              <w:bottom w:w="17" w:type="dxa"/>
              <w:right w:w="113" w:type="dxa"/>
            </w:tcMar>
          </w:tcPr>
          <w:p w14:paraId="5EDC52E7" w14:textId="277E79C2" w:rsidR="009470A1" w:rsidRPr="00A0028C" w:rsidRDefault="009470A1" w:rsidP="009470A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A0028C">
              <w:rPr>
                <w:rFonts w:asciiTheme="majorHAnsi" w:hAnsiTheme="majorHAnsi" w:cs="Futura PT Book"/>
                <w:color w:val="1C1C1C"/>
                <w:sz w:val="14"/>
                <w:szCs w:val="14"/>
                <w:lang w:val="en-US"/>
              </w:rPr>
              <w:t>7,128</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4565523E" w14:textId="19F2D928" w:rsidR="009470A1" w:rsidRPr="00A0028C" w:rsidRDefault="00B205D3" w:rsidP="009470A1">
            <w:pPr>
              <w:suppressAutoHyphens/>
              <w:autoSpaceDE w:val="0"/>
              <w:autoSpaceDN w:val="0"/>
              <w:adjustRightInd w:val="0"/>
              <w:spacing w:after="0" w:line="240" w:lineRule="auto"/>
              <w:jc w:val="right"/>
              <w:textAlignment w:val="center"/>
              <w:rPr>
                <w:rFonts w:cs="Futura PT Book"/>
                <w:color w:val="1C1C1C"/>
                <w:sz w:val="14"/>
                <w:szCs w:val="14"/>
                <w:lang w:val="en-US"/>
              </w:rPr>
            </w:pPr>
            <w:r w:rsidRPr="00A0028C">
              <w:rPr>
                <w:color w:val="1C1C1C"/>
                <w:sz w:val="14"/>
                <w:szCs w:val="14"/>
              </w:rPr>
              <w:t>5,891</w:t>
            </w:r>
          </w:p>
        </w:tc>
      </w:tr>
      <w:tr w:rsidR="00A0028C" w:rsidRPr="00A0028C" w14:paraId="2421CD1A" w14:textId="77777777" w:rsidTr="00B80308">
        <w:trPr>
          <w:trHeight w:val="170"/>
        </w:trPr>
        <w:tc>
          <w:tcPr>
            <w:tcW w:w="5111" w:type="dxa"/>
            <w:tcMar>
              <w:top w:w="17" w:type="dxa"/>
              <w:left w:w="80" w:type="dxa"/>
              <w:bottom w:w="17" w:type="dxa"/>
              <w:right w:w="80" w:type="dxa"/>
            </w:tcMar>
          </w:tcPr>
          <w:p w14:paraId="32226824" w14:textId="3AFB525F" w:rsidR="009470A1" w:rsidRPr="00A0028C" w:rsidRDefault="009470A1" w:rsidP="009470A1">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A0028C">
              <w:rPr>
                <w:rFonts w:asciiTheme="majorHAnsi" w:hAnsiTheme="majorHAnsi"/>
                <w:color w:val="1C1C1C"/>
                <w:sz w:val="14"/>
                <w:szCs w:val="14"/>
              </w:rPr>
              <w:t>Total employee benefits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6D0200FF" w14:textId="44E2B672" w:rsidR="009470A1" w:rsidRPr="00A0028C" w:rsidRDefault="009470A1" w:rsidP="009470A1">
            <w:pPr>
              <w:autoSpaceDE w:val="0"/>
              <w:autoSpaceDN w:val="0"/>
              <w:adjustRightInd w:val="0"/>
              <w:spacing w:after="0" w:line="240" w:lineRule="auto"/>
              <w:jc w:val="right"/>
              <w:rPr>
                <w:rFonts w:asciiTheme="majorHAnsi" w:hAnsiTheme="majorHAnsi"/>
                <w:color w:val="1C1C1C"/>
                <w:sz w:val="14"/>
                <w:szCs w:val="14"/>
              </w:rPr>
            </w:pPr>
            <w:r w:rsidRPr="00A0028C">
              <w:rPr>
                <w:rFonts w:asciiTheme="majorHAnsi" w:hAnsiTheme="majorHAnsi"/>
                <w:color w:val="1C1C1C"/>
                <w:sz w:val="14"/>
                <w:szCs w:val="14"/>
              </w:rPr>
              <w:t>7,983</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00ED2144" w14:textId="44D9E08E" w:rsidR="009470A1" w:rsidRPr="00A0028C" w:rsidRDefault="00B205D3" w:rsidP="009470A1">
            <w:pPr>
              <w:suppressAutoHyphens/>
              <w:autoSpaceDE w:val="0"/>
              <w:autoSpaceDN w:val="0"/>
              <w:adjustRightInd w:val="0"/>
              <w:spacing w:after="0" w:line="240" w:lineRule="auto"/>
              <w:jc w:val="right"/>
              <w:textAlignment w:val="center"/>
              <w:rPr>
                <w:rFonts w:cs="Futura PT Book"/>
                <w:color w:val="1C1C1C"/>
                <w:sz w:val="14"/>
                <w:szCs w:val="14"/>
                <w:lang w:val="en-US"/>
              </w:rPr>
            </w:pPr>
            <w:r w:rsidRPr="00A0028C">
              <w:rPr>
                <w:color w:val="1C1C1C"/>
                <w:sz w:val="14"/>
                <w:szCs w:val="14"/>
              </w:rPr>
              <w:t>6,763</w:t>
            </w:r>
            <w:r w:rsidR="009470A1" w:rsidRPr="00A0028C">
              <w:rPr>
                <w:color w:val="1C1C1C"/>
                <w:sz w:val="14"/>
                <w:szCs w:val="14"/>
              </w:rPr>
              <w:t xml:space="preserve"> </w:t>
            </w:r>
          </w:p>
        </w:tc>
      </w:tr>
      <w:tr w:rsidR="00A0028C" w:rsidRPr="00A0028C" w14:paraId="184C2052" w14:textId="77777777" w:rsidTr="00B80308">
        <w:trPr>
          <w:trHeight w:val="57"/>
        </w:trPr>
        <w:tc>
          <w:tcPr>
            <w:tcW w:w="5111" w:type="dxa"/>
            <w:tcBorders>
              <w:bottom w:val="single" w:sz="8" w:space="0" w:color="FFFFFF" w:themeColor="background2"/>
            </w:tcBorders>
            <w:tcMar>
              <w:top w:w="17" w:type="dxa"/>
              <w:left w:w="80" w:type="dxa"/>
              <w:bottom w:w="17" w:type="dxa"/>
              <w:right w:w="80" w:type="dxa"/>
            </w:tcMar>
          </w:tcPr>
          <w:p w14:paraId="3FB91B61" w14:textId="77777777" w:rsidR="00B80308" w:rsidRPr="00A0028C" w:rsidRDefault="00B80308" w:rsidP="009470A1">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292929"/>
              <w:bottom w:val="single" w:sz="8" w:space="0" w:color="FFFFFF" w:themeColor="background2"/>
              <w:right w:val="single" w:sz="8" w:space="0" w:color="FFFFFF" w:themeColor="background2"/>
            </w:tcBorders>
            <w:tcMar>
              <w:top w:w="17" w:type="dxa"/>
              <w:left w:w="113" w:type="dxa"/>
              <w:bottom w:w="17" w:type="dxa"/>
              <w:right w:w="113" w:type="dxa"/>
            </w:tcMar>
          </w:tcPr>
          <w:p w14:paraId="3B5C1DB3" w14:textId="77777777" w:rsidR="00B80308" w:rsidRPr="00A0028C" w:rsidRDefault="00B80308" w:rsidP="009470A1">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57EC1E1D" w14:textId="77777777" w:rsidR="00B80308" w:rsidRPr="00A0028C" w:rsidRDefault="00B80308" w:rsidP="009470A1">
            <w:pPr>
              <w:suppressAutoHyphens/>
              <w:autoSpaceDE w:val="0"/>
              <w:autoSpaceDN w:val="0"/>
              <w:adjustRightInd w:val="0"/>
              <w:spacing w:after="0" w:line="240" w:lineRule="auto"/>
              <w:jc w:val="right"/>
              <w:textAlignment w:val="center"/>
              <w:rPr>
                <w:color w:val="1C1C1C"/>
                <w:sz w:val="4"/>
                <w:szCs w:val="4"/>
              </w:rPr>
            </w:pPr>
          </w:p>
        </w:tc>
      </w:tr>
    </w:tbl>
    <w:p w14:paraId="24897E5B" w14:textId="6D9E0A1C" w:rsidR="005000E5" w:rsidRDefault="005000E5" w:rsidP="00646163">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5300C0" w14:paraId="3BE10CC2" w14:textId="77777777" w:rsidTr="005300C0">
        <w:tc>
          <w:tcPr>
            <w:tcW w:w="5000" w:type="pct"/>
          </w:tcPr>
          <w:p w14:paraId="05F6BAE0" w14:textId="77777777" w:rsidR="005300C0" w:rsidRPr="005300C0" w:rsidRDefault="005300C0" w:rsidP="00303955">
            <w:pPr>
              <w:pStyle w:val="Body"/>
              <w:spacing w:after="120" w:line="288" w:lineRule="auto"/>
              <w:rPr>
                <w:rFonts w:asciiTheme="majorHAnsi" w:hAnsiTheme="majorHAnsi"/>
              </w:rPr>
            </w:pPr>
            <w:bookmarkStart w:id="159" w:name="_Hlk48554702"/>
            <w:r w:rsidRPr="005300C0">
              <w:rPr>
                <w:rFonts w:asciiTheme="majorHAnsi" w:hAnsiTheme="majorHAnsi"/>
              </w:rPr>
              <w:t>Accounting Policy</w:t>
            </w:r>
          </w:p>
          <w:p w14:paraId="656BCD2F" w14:textId="77777777" w:rsidR="005300C0" w:rsidRPr="00303955" w:rsidRDefault="005300C0" w:rsidP="00303955">
            <w:pPr>
              <w:pStyle w:val="Body"/>
              <w:spacing w:after="120" w:line="288" w:lineRule="auto"/>
              <w:rPr>
                <w:b/>
                <w:bCs/>
              </w:rPr>
            </w:pPr>
            <w:r w:rsidRPr="00303955">
              <w:rPr>
                <w:b/>
                <w:bCs/>
              </w:rPr>
              <w:t>Employee benefits</w:t>
            </w:r>
          </w:p>
          <w:p w14:paraId="71D2B7C6" w14:textId="4ABD5D52" w:rsidR="005300C0" w:rsidRDefault="005300C0" w:rsidP="003A4CA6">
            <w:pPr>
              <w:pStyle w:val="Body"/>
              <w:spacing w:line="288" w:lineRule="auto"/>
            </w:pPr>
            <w:r>
              <w:t xml:space="preserve">Accounting policies for employee benefits is contained in the People and </w:t>
            </w:r>
            <w:r w:rsidR="000E7C54">
              <w:t>R</w:t>
            </w:r>
            <w:r>
              <w:t>elationships section.</w:t>
            </w:r>
          </w:p>
        </w:tc>
      </w:tr>
      <w:bookmarkEnd w:id="159"/>
    </w:tbl>
    <w:p w14:paraId="62F6CDDB" w14:textId="77777777" w:rsidR="005300C0" w:rsidRDefault="005300C0" w:rsidP="00646163">
      <w:pPr>
        <w:pStyle w:val="Body"/>
      </w:pPr>
    </w:p>
    <w:p w14:paraId="36042D1F" w14:textId="77777777" w:rsidR="009470A1" w:rsidRDefault="009470A1" w:rsidP="00646163">
      <w:pPr>
        <w:pStyle w:val="Body"/>
      </w:pPr>
    </w:p>
    <w:p w14:paraId="06CDE548" w14:textId="23E1A6D7" w:rsidR="005000E5" w:rsidRDefault="005000E5" w:rsidP="00646163">
      <w:pPr>
        <w:pStyle w:val="Body"/>
        <w:sectPr w:rsidR="005000E5" w:rsidSect="005000E5">
          <w:footnotePr>
            <w:pos w:val="beneathText"/>
          </w:footnotePr>
          <w:pgSz w:w="9979" w:h="14175" w:code="13"/>
          <w:pgMar w:top="1134" w:right="1418" w:bottom="992" w:left="1418" w:header="709" w:footer="709" w:gutter="0"/>
          <w:cols w:space="623"/>
          <w:docGrid w:linePitch="360"/>
        </w:sectPr>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CA7A0D" w:rsidRPr="00CA7A0D" w14:paraId="3DDB2036" w14:textId="77777777" w:rsidTr="00C70916">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2868B550" w14:textId="77777777" w:rsidR="0092004D" w:rsidRPr="00CA7A0D" w:rsidRDefault="0092004D"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54008E89" w14:textId="77777777" w:rsidR="0092004D" w:rsidRPr="00CA7A0D" w:rsidRDefault="0092004D"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CA7A0D">
              <w:rPr>
                <w:rFonts w:asciiTheme="majorHAnsi" w:hAnsiTheme="majorHAnsi" w:cs="Futura PT Heavy"/>
                <w:color w:val="1C1C1C"/>
                <w:sz w:val="16"/>
                <w:szCs w:val="16"/>
                <w:lang w:val="en-US"/>
              </w:rPr>
              <w:t>2020</w:t>
            </w:r>
            <w:r w:rsidRPr="00CA7A0D">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346911C2" w14:textId="77777777" w:rsidR="0092004D" w:rsidRPr="00CA7A0D" w:rsidRDefault="0092004D"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CA7A0D">
              <w:rPr>
                <w:rFonts w:asciiTheme="majorHAnsi" w:hAnsiTheme="majorHAnsi" w:cs="Futura PT Heavy"/>
                <w:color w:val="1C1C1C"/>
                <w:sz w:val="16"/>
                <w:szCs w:val="16"/>
                <w:lang w:val="en-US"/>
              </w:rPr>
              <w:t>2019</w:t>
            </w:r>
            <w:r w:rsidRPr="00CA7A0D">
              <w:rPr>
                <w:rFonts w:asciiTheme="majorHAnsi" w:hAnsiTheme="majorHAnsi" w:cs="Futura PT Heavy"/>
                <w:color w:val="1C1C1C"/>
                <w:sz w:val="16"/>
                <w:szCs w:val="16"/>
                <w:lang w:val="en-US"/>
              </w:rPr>
              <w:br/>
              <w:t>$’000</w:t>
            </w:r>
          </w:p>
        </w:tc>
      </w:tr>
      <w:tr w:rsidR="00CA7A0D" w:rsidRPr="00CA7A0D" w14:paraId="67BC70F2"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4F86A567" w14:textId="706123FF" w:rsidR="00490E71" w:rsidRPr="00CA7A0D" w:rsidRDefault="00490E71"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CA7A0D">
              <w:rPr>
                <w:rFonts w:asciiTheme="majorHAnsi" w:hAnsiTheme="majorHAnsi"/>
                <w:color w:val="1C1C1C"/>
                <w:sz w:val="14"/>
                <w:szCs w:val="14"/>
              </w:rPr>
              <w:t>Note 1.1B: Suppliers</w:t>
            </w:r>
          </w:p>
        </w:tc>
        <w:tc>
          <w:tcPr>
            <w:tcW w:w="992" w:type="dxa"/>
            <w:tcBorders>
              <w:top w:val="single" w:sz="12" w:space="0" w:color="292929"/>
              <w:left w:val="single" w:sz="4" w:space="0" w:color="FFFFFF" w:themeColor="background2"/>
              <w:right w:val="single" w:sz="18" w:space="0" w:color="FFFFFF" w:themeColor="background2"/>
            </w:tcBorders>
            <w:tcMar>
              <w:top w:w="17" w:type="dxa"/>
              <w:left w:w="113" w:type="dxa"/>
              <w:bottom w:w="17" w:type="dxa"/>
              <w:right w:w="113" w:type="dxa"/>
            </w:tcMar>
          </w:tcPr>
          <w:p w14:paraId="7B844678" w14:textId="77777777" w:rsidR="00490E71" w:rsidRPr="00CA7A0D" w:rsidRDefault="00490E71"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1C905292" w14:textId="77777777" w:rsidR="00490E71" w:rsidRPr="00CA7A0D" w:rsidRDefault="00490E71" w:rsidP="00C10B33">
            <w:pPr>
              <w:autoSpaceDE w:val="0"/>
              <w:autoSpaceDN w:val="0"/>
              <w:adjustRightInd w:val="0"/>
              <w:spacing w:after="0" w:line="240" w:lineRule="auto"/>
              <w:jc w:val="right"/>
              <w:rPr>
                <w:color w:val="1C1C1C"/>
                <w:sz w:val="14"/>
                <w:szCs w:val="14"/>
              </w:rPr>
            </w:pPr>
          </w:p>
        </w:tc>
      </w:tr>
      <w:tr w:rsidR="00CA7A0D" w:rsidRPr="00CA7A0D" w14:paraId="13D0F6C7" w14:textId="77777777" w:rsidTr="00C70916">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1A6F7E34" w14:textId="4B4556DB" w:rsidR="0092004D" w:rsidRPr="00CA7A0D" w:rsidRDefault="0092004D" w:rsidP="0092004D">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CA7A0D">
              <w:rPr>
                <w:rFonts w:asciiTheme="majorHAnsi" w:hAnsiTheme="majorHAnsi"/>
                <w:color w:val="1C1C1C"/>
                <w:sz w:val="14"/>
                <w:szCs w:val="14"/>
              </w:rPr>
              <w:t>Goods and services supplied or rendered</w:t>
            </w:r>
          </w:p>
        </w:tc>
        <w:tc>
          <w:tcPr>
            <w:tcW w:w="992" w:type="dxa"/>
            <w:tcBorders>
              <w:left w:val="single" w:sz="4" w:space="0" w:color="FFFFFF" w:themeColor="background2"/>
              <w:bottom w:val="single" w:sz="4" w:space="0" w:color="FFFFFF" w:themeColor="background2"/>
            </w:tcBorders>
            <w:tcMar>
              <w:top w:w="17" w:type="dxa"/>
              <w:left w:w="113" w:type="dxa"/>
              <w:bottom w:w="17" w:type="dxa"/>
              <w:right w:w="113" w:type="dxa"/>
            </w:tcMar>
          </w:tcPr>
          <w:p w14:paraId="4249486A" w14:textId="77777777"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106BD4D7" w14:textId="77777777" w:rsidR="0092004D" w:rsidRPr="00CA7A0D" w:rsidRDefault="0092004D" w:rsidP="0092004D">
            <w:pPr>
              <w:autoSpaceDE w:val="0"/>
              <w:autoSpaceDN w:val="0"/>
              <w:adjustRightInd w:val="0"/>
              <w:spacing w:after="0" w:line="240" w:lineRule="auto"/>
              <w:jc w:val="right"/>
              <w:rPr>
                <w:color w:val="1C1C1C"/>
                <w:sz w:val="14"/>
                <w:szCs w:val="14"/>
              </w:rPr>
            </w:pPr>
          </w:p>
        </w:tc>
      </w:tr>
      <w:tr w:rsidR="00CA7A0D" w:rsidRPr="00CA7A0D" w14:paraId="0FBD9DC5" w14:textId="77777777" w:rsidTr="00C70916">
        <w:trPr>
          <w:trHeight w:val="170"/>
        </w:trPr>
        <w:tc>
          <w:tcPr>
            <w:tcW w:w="5111" w:type="dxa"/>
            <w:tcBorders>
              <w:top w:val="single" w:sz="4" w:space="0" w:color="FFFFFF" w:themeColor="background2"/>
              <w:left w:val="single" w:sz="4" w:space="0" w:color="FFFFFF" w:themeColor="background2"/>
              <w:right w:val="single" w:sz="4" w:space="0" w:color="FFFFFF" w:themeColor="background2"/>
            </w:tcBorders>
            <w:tcMar>
              <w:top w:w="17" w:type="dxa"/>
              <w:left w:w="80" w:type="dxa"/>
              <w:bottom w:w="17" w:type="dxa"/>
              <w:right w:w="80" w:type="dxa"/>
            </w:tcMar>
          </w:tcPr>
          <w:p w14:paraId="5297EC62" w14:textId="35F56060"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Consultants</w:t>
            </w:r>
          </w:p>
        </w:tc>
        <w:tc>
          <w:tcPr>
            <w:tcW w:w="992" w:type="dxa"/>
            <w:tcBorders>
              <w:top w:val="single" w:sz="4" w:space="0" w:color="FFFFFF" w:themeColor="background2"/>
              <w:left w:val="single" w:sz="4" w:space="0" w:color="FFFFFF" w:themeColor="background2"/>
            </w:tcBorders>
            <w:tcMar>
              <w:top w:w="17" w:type="dxa"/>
              <w:left w:w="113" w:type="dxa"/>
              <w:bottom w:w="17" w:type="dxa"/>
              <w:right w:w="113" w:type="dxa"/>
            </w:tcMar>
          </w:tcPr>
          <w:p w14:paraId="29545F5E" w14:textId="651699D7" w:rsidR="0092004D" w:rsidRPr="00CA7A0D" w:rsidRDefault="0092004D" w:rsidP="0092004D">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CA7A0D">
              <w:rPr>
                <w:rFonts w:asciiTheme="majorHAnsi" w:hAnsiTheme="majorHAnsi"/>
                <w:color w:val="1C1C1C"/>
                <w:sz w:val="14"/>
                <w:szCs w:val="14"/>
              </w:rPr>
              <w:t xml:space="preserve">4,244 </w:t>
            </w:r>
          </w:p>
        </w:tc>
        <w:tc>
          <w:tcPr>
            <w:tcW w:w="993" w:type="dxa"/>
            <w:tcMar>
              <w:top w:w="17" w:type="dxa"/>
              <w:left w:w="113" w:type="dxa"/>
              <w:bottom w:w="17" w:type="dxa"/>
              <w:right w:w="113" w:type="dxa"/>
            </w:tcMar>
          </w:tcPr>
          <w:p w14:paraId="24DB64FA" w14:textId="25B8FB81" w:rsidR="0092004D" w:rsidRPr="00CA7A0D" w:rsidRDefault="0092004D" w:rsidP="0092004D">
            <w:pPr>
              <w:suppressAutoHyphens/>
              <w:autoSpaceDE w:val="0"/>
              <w:autoSpaceDN w:val="0"/>
              <w:adjustRightInd w:val="0"/>
              <w:spacing w:after="0" w:line="240" w:lineRule="auto"/>
              <w:jc w:val="right"/>
              <w:textAlignment w:val="center"/>
              <w:rPr>
                <w:rFonts w:cs="Futura PT Book"/>
                <w:color w:val="1C1C1C"/>
                <w:sz w:val="14"/>
                <w:szCs w:val="14"/>
                <w:lang w:val="en-US"/>
              </w:rPr>
            </w:pPr>
            <w:r w:rsidRPr="00CA7A0D">
              <w:rPr>
                <w:color w:val="1C1C1C"/>
                <w:sz w:val="14"/>
                <w:szCs w:val="14"/>
              </w:rPr>
              <w:t xml:space="preserve">7,330 </w:t>
            </w:r>
          </w:p>
        </w:tc>
      </w:tr>
      <w:tr w:rsidR="00CA7A0D" w:rsidRPr="00CA7A0D" w14:paraId="273D3598" w14:textId="77777777" w:rsidTr="00C70916">
        <w:trPr>
          <w:trHeight w:val="170"/>
        </w:trPr>
        <w:tc>
          <w:tcPr>
            <w:tcW w:w="5111" w:type="dxa"/>
            <w:tcMar>
              <w:top w:w="17" w:type="dxa"/>
              <w:left w:w="80" w:type="dxa"/>
              <w:bottom w:w="17" w:type="dxa"/>
              <w:right w:w="80" w:type="dxa"/>
            </w:tcMar>
          </w:tcPr>
          <w:p w14:paraId="785A44F6" w14:textId="21C2E995"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Contractors</w:t>
            </w:r>
          </w:p>
        </w:tc>
        <w:tc>
          <w:tcPr>
            <w:tcW w:w="992" w:type="dxa"/>
            <w:tcMar>
              <w:top w:w="17" w:type="dxa"/>
              <w:left w:w="113" w:type="dxa"/>
              <w:bottom w:w="17" w:type="dxa"/>
              <w:right w:w="113" w:type="dxa"/>
            </w:tcMar>
          </w:tcPr>
          <w:p w14:paraId="3A148CA0" w14:textId="2F18B183" w:rsidR="0092004D" w:rsidRPr="00CA7A0D" w:rsidRDefault="0092004D" w:rsidP="0092004D">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CA7A0D">
              <w:rPr>
                <w:rFonts w:asciiTheme="majorHAnsi" w:hAnsiTheme="majorHAnsi"/>
                <w:color w:val="1C1C1C"/>
                <w:sz w:val="14"/>
                <w:szCs w:val="14"/>
              </w:rPr>
              <w:t xml:space="preserve">3,955 </w:t>
            </w:r>
          </w:p>
        </w:tc>
        <w:tc>
          <w:tcPr>
            <w:tcW w:w="993" w:type="dxa"/>
            <w:tcMar>
              <w:top w:w="17" w:type="dxa"/>
              <w:left w:w="113" w:type="dxa"/>
              <w:bottom w:w="17" w:type="dxa"/>
              <w:right w:w="113" w:type="dxa"/>
            </w:tcMar>
          </w:tcPr>
          <w:p w14:paraId="4163A852" w14:textId="30022208" w:rsidR="0092004D" w:rsidRPr="00CA7A0D" w:rsidRDefault="0092004D" w:rsidP="0092004D">
            <w:pPr>
              <w:suppressAutoHyphens/>
              <w:autoSpaceDE w:val="0"/>
              <w:autoSpaceDN w:val="0"/>
              <w:adjustRightInd w:val="0"/>
              <w:spacing w:after="0" w:line="240" w:lineRule="auto"/>
              <w:jc w:val="right"/>
              <w:textAlignment w:val="center"/>
              <w:rPr>
                <w:rFonts w:cs="Futura PT Book"/>
                <w:color w:val="1C1C1C"/>
                <w:sz w:val="14"/>
                <w:szCs w:val="14"/>
                <w:lang w:val="en-US"/>
              </w:rPr>
            </w:pPr>
            <w:r w:rsidRPr="00CA7A0D">
              <w:rPr>
                <w:color w:val="1C1C1C"/>
                <w:sz w:val="14"/>
                <w:szCs w:val="14"/>
              </w:rPr>
              <w:t xml:space="preserve">3,932 </w:t>
            </w:r>
          </w:p>
        </w:tc>
      </w:tr>
      <w:tr w:rsidR="00CA7A0D" w:rsidRPr="00CA7A0D" w14:paraId="140857F6" w14:textId="77777777" w:rsidTr="00C70916">
        <w:trPr>
          <w:trHeight w:val="170"/>
        </w:trPr>
        <w:tc>
          <w:tcPr>
            <w:tcW w:w="5111" w:type="dxa"/>
            <w:tcMar>
              <w:top w:w="17" w:type="dxa"/>
              <w:left w:w="80" w:type="dxa"/>
              <w:bottom w:w="17" w:type="dxa"/>
              <w:right w:w="80" w:type="dxa"/>
            </w:tcMar>
          </w:tcPr>
          <w:p w14:paraId="723DDFF5" w14:textId="697CA1E6"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IT services</w:t>
            </w:r>
          </w:p>
        </w:tc>
        <w:tc>
          <w:tcPr>
            <w:tcW w:w="992" w:type="dxa"/>
            <w:tcMar>
              <w:top w:w="17" w:type="dxa"/>
              <w:left w:w="113" w:type="dxa"/>
              <w:bottom w:w="17" w:type="dxa"/>
              <w:right w:w="113" w:type="dxa"/>
            </w:tcMar>
          </w:tcPr>
          <w:p w14:paraId="4AC5AEBE" w14:textId="08C69D78"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3,764 </w:t>
            </w:r>
          </w:p>
        </w:tc>
        <w:tc>
          <w:tcPr>
            <w:tcW w:w="993" w:type="dxa"/>
            <w:tcMar>
              <w:top w:w="17" w:type="dxa"/>
              <w:left w:w="113" w:type="dxa"/>
              <w:bottom w:w="17" w:type="dxa"/>
              <w:right w:w="113" w:type="dxa"/>
            </w:tcMar>
          </w:tcPr>
          <w:p w14:paraId="1CCD88DD" w14:textId="2576DA38" w:rsidR="0092004D" w:rsidRPr="00CA7A0D" w:rsidRDefault="0092004D" w:rsidP="0092004D">
            <w:pPr>
              <w:autoSpaceDE w:val="0"/>
              <w:autoSpaceDN w:val="0"/>
              <w:adjustRightInd w:val="0"/>
              <w:spacing w:after="0" w:line="240" w:lineRule="auto"/>
              <w:jc w:val="right"/>
              <w:rPr>
                <w:color w:val="1C1C1C"/>
                <w:sz w:val="14"/>
                <w:szCs w:val="14"/>
              </w:rPr>
            </w:pPr>
            <w:r w:rsidRPr="00CA7A0D">
              <w:rPr>
                <w:color w:val="1C1C1C"/>
                <w:sz w:val="14"/>
                <w:szCs w:val="14"/>
              </w:rPr>
              <w:t xml:space="preserve">2,750 </w:t>
            </w:r>
          </w:p>
        </w:tc>
      </w:tr>
      <w:tr w:rsidR="00CA7A0D" w:rsidRPr="00CA7A0D" w14:paraId="1B5BF59B" w14:textId="77777777" w:rsidTr="00C70916">
        <w:trPr>
          <w:trHeight w:val="170"/>
        </w:trPr>
        <w:tc>
          <w:tcPr>
            <w:tcW w:w="5111" w:type="dxa"/>
            <w:tcMar>
              <w:top w:w="17" w:type="dxa"/>
              <w:left w:w="80" w:type="dxa"/>
              <w:bottom w:w="17" w:type="dxa"/>
              <w:right w:w="80" w:type="dxa"/>
            </w:tcMar>
          </w:tcPr>
          <w:p w14:paraId="1F232B65" w14:textId="7B706C27"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Travel</w:t>
            </w:r>
          </w:p>
        </w:tc>
        <w:tc>
          <w:tcPr>
            <w:tcW w:w="992" w:type="dxa"/>
            <w:tcMar>
              <w:top w:w="17" w:type="dxa"/>
              <w:left w:w="113" w:type="dxa"/>
              <w:bottom w:w="17" w:type="dxa"/>
              <w:right w:w="113" w:type="dxa"/>
            </w:tcMar>
          </w:tcPr>
          <w:p w14:paraId="23448FEB" w14:textId="2C76974C"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211 </w:t>
            </w:r>
          </w:p>
        </w:tc>
        <w:tc>
          <w:tcPr>
            <w:tcW w:w="993" w:type="dxa"/>
            <w:tcMar>
              <w:top w:w="17" w:type="dxa"/>
              <w:left w:w="113" w:type="dxa"/>
              <w:bottom w:w="17" w:type="dxa"/>
              <w:right w:w="113" w:type="dxa"/>
            </w:tcMar>
          </w:tcPr>
          <w:p w14:paraId="1851F620" w14:textId="65A7AABF" w:rsidR="0092004D" w:rsidRPr="00CA7A0D" w:rsidRDefault="0092004D" w:rsidP="0092004D">
            <w:pPr>
              <w:autoSpaceDE w:val="0"/>
              <w:autoSpaceDN w:val="0"/>
              <w:adjustRightInd w:val="0"/>
              <w:spacing w:after="0" w:line="240" w:lineRule="auto"/>
              <w:jc w:val="right"/>
              <w:rPr>
                <w:color w:val="1C1C1C"/>
                <w:sz w:val="14"/>
                <w:szCs w:val="14"/>
              </w:rPr>
            </w:pPr>
            <w:r w:rsidRPr="00CA7A0D">
              <w:rPr>
                <w:color w:val="1C1C1C"/>
                <w:sz w:val="14"/>
                <w:szCs w:val="14"/>
              </w:rPr>
              <w:t xml:space="preserve">371 </w:t>
            </w:r>
          </w:p>
        </w:tc>
      </w:tr>
      <w:tr w:rsidR="00CA7A0D" w:rsidRPr="00CA7A0D" w14:paraId="03FC60AA" w14:textId="77777777" w:rsidTr="00C70916">
        <w:trPr>
          <w:trHeight w:val="170"/>
        </w:trPr>
        <w:tc>
          <w:tcPr>
            <w:tcW w:w="5111" w:type="dxa"/>
            <w:tcMar>
              <w:top w:w="17" w:type="dxa"/>
              <w:left w:w="80" w:type="dxa"/>
              <w:bottom w:w="17" w:type="dxa"/>
              <w:right w:w="80" w:type="dxa"/>
            </w:tcMar>
          </w:tcPr>
          <w:p w14:paraId="31E9F5D4" w14:textId="3DDBBD0D"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Training</w:t>
            </w:r>
          </w:p>
        </w:tc>
        <w:tc>
          <w:tcPr>
            <w:tcW w:w="992" w:type="dxa"/>
            <w:tcMar>
              <w:top w:w="17" w:type="dxa"/>
              <w:left w:w="113" w:type="dxa"/>
              <w:bottom w:w="17" w:type="dxa"/>
              <w:right w:w="113" w:type="dxa"/>
            </w:tcMar>
          </w:tcPr>
          <w:p w14:paraId="77889A88" w14:textId="2B07CBA9" w:rsidR="0092004D" w:rsidRPr="00CA7A0D" w:rsidRDefault="0092004D" w:rsidP="0092004D">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CA7A0D">
              <w:rPr>
                <w:rFonts w:asciiTheme="majorHAnsi" w:hAnsiTheme="majorHAnsi"/>
                <w:color w:val="1C1C1C"/>
                <w:sz w:val="14"/>
                <w:szCs w:val="14"/>
              </w:rPr>
              <w:t xml:space="preserve">168 </w:t>
            </w:r>
          </w:p>
        </w:tc>
        <w:tc>
          <w:tcPr>
            <w:tcW w:w="993" w:type="dxa"/>
            <w:tcMar>
              <w:top w:w="17" w:type="dxa"/>
              <w:left w:w="113" w:type="dxa"/>
              <w:bottom w:w="17" w:type="dxa"/>
              <w:right w:w="113" w:type="dxa"/>
            </w:tcMar>
          </w:tcPr>
          <w:p w14:paraId="4E9D4F69" w14:textId="157E757B" w:rsidR="0092004D" w:rsidRPr="00CA7A0D" w:rsidRDefault="0092004D" w:rsidP="0092004D">
            <w:pPr>
              <w:suppressAutoHyphens/>
              <w:autoSpaceDE w:val="0"/>
              <w:autoSpaceDN w:val="0"/>
              <w:adjustRightInd w:val="0"/>
              <w:spacing w:after="0" w:line="240" w:lineRule="auto"/>
              <w:jc w:val="right"/>
              <w:textAlignment w:val="center"/>
              <w:rPr>
                <w:rFonts w:cs="Futura PT Book"/>
                <w:color w:val="1C1C1C"/>
                <w:sz w:val="14"/>
                <w:szCs w:val="14"/>
                <w:lang w:val="en-US"/>
              </w:rPr>
            </w:pPr>
            <w:r w:rsidRPr="00CA7A0D">
              <w:rPr>
                <w:color w:val="1C1C1C"/>
                <w:sz w:val="14"/>
                <w:szCs w:val="14"/>
              </w:rPr>
              <w:t xml:space="preserve">170 </w:t>
            </w:r>
          </w:p>
        </w:tc>
      </w:tr>
      <w:tr w:rsidR="00CA7A0D" w:rsidRPr="00CA7A0D" w14:paraId="4EB32109" w14:textId="77777777" w:rsidTr="00C70916">
        <w:trPr>
          <w:trHeight w:val="170"/>
        </w:trPr>
        <w:tc>
          <w:tcPr>
            <w:tcW w:w="5111" w:type="dxa"/>
            <w:tcMar>
              <w:top w:w="17" w:type="dxa"/>
              <w:left w:w="80" w:type="dxa"/>
              <w:bottom w:w="17" w:type="dxa"/>
              <w:right w:w="80" w:type="dxa"/>
            </w:tcMar>
          </w:tcPr>
          <w:p w14:paraId="0415145B" w14:textId="6E48A499" w:rsidR="0092004D" w:rsidRPr="00CA7A0D" w:rsidRDefault="0092004D" w:rsidP="0092004D">
            <w:pPr>
              <w:suppressAutoHyphens/>
              <w:autoSpaceDE w:val="0"/>
              <w:autoSpaceDN w:val="0"/>
              <w:adjustRightInd w:val="0"/>
              <w:spacing w:after="0" w:line="240" w:lineRule="auto"/>
              <w:textAlignment w:val="center"/>
              <w:rPr>
                <w:rFonts w:cs="Futura PT Book"/>
                <w:color w:val="1C1C1C"/>
                <w:sz w:val="14"/>
                <w:szCs w:val="14"/>
                <w:lang w:val="en-US"/>
              </w:rPr>
            </w:pPr>
            <w:r w:rsidRPr="00CA7A0D">
              <w:rPr>
                <w:color w:val="1C1C1C"/>
                <w:sz w:val="14"/>
                <w:szCs w:val="14"/>
              </w:rPr>
              <w:t>Publishing materials</w:t>
            </w:r>
          </w:p>
        </w:tc>
        <w:tc>
          <w:tcPr>
            <w:tcW w:w="992" w:type="dxa"/>
            <w:tcMar>
              <w:top w:w="17" w:type="dxa"/>
              <w:left w:w="113" w:type="dxa"/>
              <w:bottom w:w="17" w:type="dxa"/>
              <w:right w:w="113" w:type="dxa"/>
            </w:tcMar>
          </w:tcPr>
          <w:p w14:paraId="37BA9C2F" w14:textId="1CB4841E"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175 </w:t>
            </w:r>
          </w:p>
        </w:tc>
        <w:tc>
          <w:tcPr>
            <w:tcW w:w="993" w:type="dxa"/>
            <w:tcMar>
              <w:top w:w="17" w:type="dxa"/>
              <w:left w:w="113" w:type="dxa"/>
              <w:bottom w:w="17" w:type="dxa"/>
              <w:right w:w="113" w:type="dxa"/>
            </w:tcMar>
          </w:tcPr>
          <w:p w14:paraId="0D06889A" w14:textId="1BB1B23A" w:rsidR="0092004D" w:rsidRPr="00CA7A0D" w:rsidRDefault="0092004D" w:rsidP="0092004D">
            <w:pPr>
              <w:suppressAutoHyphens/>
              <w:autoSpaceDE w:val="0"/>
              <w:autoSpaceDN w:val="0"/>
              <w:adjustRightInd w:val="0"/>
              <w:spacing w:after="0" w:line="240" w:lineRule="auto"/>
              <w:jc w:val="right"/>
              <w:textAlignment w:val="center"/>
              <w:rPr>
                <w:rFonts w:cs="Futura PT Book"/>
                <w:color w:val="1C1C1C"/>
                <w:sz w:val="14"/>
                <w:szCs w:val="14"/>
                <w:lang w:val="en-US"/>
              </w:rPr>
            </w:pPr>
            <w:r w:rsidRPr="00CA7A0D">
              <w:rPr>
                <w:color w:val="1C1C1C"/>
                <w:sz w:val="14"/>
                <w:szCs w:val="14"/>
              </w:rPr>
              <w:t xml:space="preserve">512 </w:t>
            </w:r>
          </w:p>
        </w:tc>
      </w:tr>
      <w:tr w:rsidR="00CA7A0D" w:rsidRPr="00CA7A0D" w14:paraId="1B66BA57" w14:textId="77777777" w:rsidTr="00C70916">
        <w:trPr>
          <w:trHeight w:val="170"/>
        </w:trPr>
        <w:tc>
          <w:tcPr>
            <w:tcW w:w="5111" w:type="dxa"/>
            <w:tcMar>
              <w:top w:w="17" w:type="dxa"/>
              <w:left w:w="80" w:type="dxa"/>
              <w:bottom w:w="17" w:type="dxa"/>
              <w:right w:w="80" w:type="dxa"/>
            </w:tcMar>
          </w:tcPr>
          <w:p w14:paraId="6E1319CA" w14:textId="73DF71F9" w:rsidR="0092004D" w:rsidRPr="00CA7A0D" w:rsidRDefault="0092004D" w:rsidP="0092004D">
            <w:pPr>
              <w:suppressAutoHyphens/>
              <w:autoSpaceDE w:val="0"/>
              <w:autoSpaceDN w:val="0"/>
              <w:adjustRightInd w:val="0"/>
              <w:spacing w:after="0" w:line="240" w:lineRule="auto"/>
              <w:textAlignment w:val="center"/>
              <w:rPr>
                <w:color w:val="1C1C1C"/>
                <w:sz w:val="14"/>
                <w:szCs w:val="14"/>
              </w:rPr>
            </w:pPr>
            <w:r w:rsidRPr="00CA7A0D">
              <w:rPr>
                <w:color w:val="1C1C1C"/>
                <w:sz w:val="14"/>
                <w:szCs w:val="14"/>
              </w:rPr>
              <w:t>Legal and audit expenses</w:t>
            </w:r>
          </w:p>
        </w:tc>
        <w:tc>
          <w:tcPr>
            <w:tcW w:w="992" w:type="dxa"/>
            <w:tcMar>
              <w:top w:w="17" w:type="dxa"/>
              <w:left w:w="113" w:type="dxa"/>
              <w:bottom w:w="17" w:type="dxa"/>
              <w:right w:w="113" w:type="dxa"/>
            </w:tcMar>
          </w:tcPr>
          <w:p w14:paraId="6DD14FCB" w14:textId="543D27DF"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179 </w:t>
            </w:r>
          </w:p>
        </w:tc>
        <w:tc>
          <w:tcPr>
            <w:tcW w:w="993" w:type="dxa"/>
            <w:tcMar>
              <w:top w:w="17" w:type="dxa"/>
              <w:left w:w="113" w:type="dxa"/>
              <w:bottom w:w="17" w:type="dxa"/>
              <w:right w:w="113" w:type="dxa"/>
            </w:tcMar>
          </w:tcPr>
          <w:p w14:paraId="11EF10DD" w14:textId="0B0F0901" w:rsidR="0092004D" w:rsidRPr="00CA7A0D" w:rsidRDefault="0092004D" w:rsidP="0092004D">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200 </w:t>
            </w:r>
          </w:p>
        </w:tc>
      </w:tr>
      <w:tr w:rsidR="00CA7A0D" w:rsidRPr="00CA7A0D" w14:paraId="19A43B99" w14:textId="77777777" w:rsidTr="00C70916">
        <w:trPr>
          <w:trHeight w:val="170"/>
        </w:trPr>
        <w:tc>
          <w:tcPr>
            <w:tcW w:w="5111" w:type="dxa"/>
            <w:tcMar>
              <w:top w:w="17" w:type="dxa"/>
              <w:left w:w="80" w:type="dxa"/>
              <w:bottom w:w="17" w:type="dxa"/>
              <w:right w:w="80" w:type="dxa"/>
            </w:tcMar>
          </w:tcPr>
          <w:p w14:paraId="5668405D" w14:textId="5E2448FA" w:rsidR="0092004D" w:rsidRPr="00CA7A0D" w:rsidRDefault="0092004D" w:rsidP="0092004D">
            <w:pPr>
              <w:suppressAutoHyphens/>
              <w:autoSpaceDE w:val="0"/>
              <w:autoSpaceDN w:val="0"/>
              <w:adjustRightInd w:val="0"/>
              <w:spacing w:after="0" w:line="240" w:lineRule="auto"/>
              <w:textAlignment w:val="center"/>
              <w:rPr>
                <w:color w:val="1C1C1C"/>
                <w:sz w:val="14"/>
                <w:szCs w:val="14"/>
              </w:rPr>
            </w:pPr>
            <w:r w:rsidRPr="00CA7A0D">
              <w:rPr>
                <w:color w:val="1C1C1C"/>
                <w:sz w:val="14"/>
                <w:szCs w:val="14"/>
              </w:rPr>
              <w:t>Conferences and seminars</w:t>
            </w:r>
          </w:p>
        </w:tc>
        <w:tc>
          <w:tcPr>
            <w:tcW w:w="992" w:type="dxa"/>
            <w:tcMar>
              <w:top w:w="17" w:type="dxa"/>
              <w:left w:w="113" w:type="dxa"/>
              <w:bottom w:w="17" w:type="dxa"/>
              <w:right w:w="113" w:type="dxa"/>
            </w:tcMar>
          </w:tcPr>
          <w:p w14:paraId="787A1A1B" w14:textId="492F7FF6"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158 </w:t>
            </w:r>
          </w:p>
        </w:tc>
        <w:tc>
          <w:tcPr>
            <w:tcW w:w="993" w:type="dxa"/>
            <w:tcMar>
              <w:top w:w="17" w:type="dxa"/>
              <w:left w:w="113" w:type="dxa"/>
              <w:bottom w:w="17" w:type="dxa"/>
              <w:right w:w="113" w:type="dxa"/>
            </w:tcMar>
          </w:tcPr>
          <w:p w14:paraId="7F487457" w14:textId="5AD92C1A" w:rsidR="0092004D" w:rsidRPr="00CA7A0D" w:rsidRDefault="0092004D" w:rsidP="0092004D">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633 </w:t>
            </w:r>
          </w:p>
        </w:tc>
      </w:tr>
      <w:tr w:rsidR="00CA7A0D" w:rsidRPr="00CA7A0D" w14:paraId="4F932B43"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7E1098E2" w14:textId="311091D6" w:rsidR="0092004D" w:rsidRPr="00CA7A0D" w:rsidRDefault="0092004D" w:rsidP="0092004D">
            <w:pPr>
              <w:suppressAutoHyphens/>
              <w:autoSpaceDE w:val="0"/>
              <w:autoSpaceDN w:val="0"/>
              <w:adjustRightInd w:val="0"/>
              <w:spacing w:after="0" w:line="240" w:lineRule="auto"/>
              <w:textAlignment w:val="center"/>
              <w:rPr>
                <w:color w:val="1C1C1C"/>
                <w:sz w:val="14"/>
                <w:szCs w:val="14"/>
              </w:rPr>
            </w:pPr>
            <w:r w:rsidRPr="00CA7A0D">
              <w:rPr>
                <w:color w:val="1C1C1C"/>
                <w:sz w:val="14"/>
                <w:szCs w:val="14"/>
              </w:rPr>
              <w:t>Other</w:t>
            </w:r>
          </w:p>
        </w:tc>
        <w:tc>
          <w:tcPr>
            <w:tcW w:w="992"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DC60A77" w14:textId="3E4CD410"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367 </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118C5485" w14:textId="587DB8E3" w:rsidR="0092004D" w:rsidRPr="00CA7A0D" w:rsidRDefault="0092004D" w:rsidP="0092004D">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381 </w:t>
            </w:r>
          </w:p>
        </w:tc>
      </w:tr>
      <w:tr w:rsidR="00CA7A0D" w:rsidRPr="00CA7A0D" w14:paraId="53D9F50B"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679E5E29" w14:textId="63B7919C" w:rsidR="0092004D" w:rsidRPr="00CA7A0D" w:rsidRDefault="0092004D" w:rsidP="0092004D">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rFonts w:asciiTheme="majorHAnsi" w:hAnsiTheme="majorHAnsi"/>
                <w:color w:val="1C1C1C"/>
                <w:sz w:val="14"/>
                <w:szCs w:val="14"/>
              </w:rPr>
              <w:t>Total goods and services supplied or rendered</w:t>
            </w:r>
          </w:p>
        </w:tc>
        <w:tc>
          <w:tcPr>
            <w:tcW w:w="992"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18F4122" w14:textId="24703F88" w:rsidR="0092004D" w:rsidRPr="00CA7A0D" w:rsidRDefault="0092004D" w:rsidP="0092004D">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13,221 </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2FC280F5" w14:textId="6A2AB554" w:rsidR="0092004D" w:rsidRPr="00CA7A0D" w:rsidRDefault="0092004D" w:rsidP="0092004D">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16,279 </w:t>
            </w:r>
          </w:p>
        </w:tc>
      </w:tr>
      <w:tr w:rsidR="00CA7A0D" w:rsidRPr="00CA7A0D" w14:paraId="35E18674"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6BEDFE92" w14:textId="77777777" w:rsidR="005357A7" w:rsidRPr="00CA7A0D" w:rsidRDefault="005357A7" w:rsidP="0092004D">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244C0D18" w14:textId="77777777" w:rsidR="005357A7" w:rsidRPr="00CA7A0D" w:rsidRDefault="005357A7" w:rsidP="0092004D">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292929"/>
              <w:left w:val="single" w:sz="8" w:space="0" w:color="FFFFFF" w:themeColor="background2"/>
            </w:tcBorders>
            <w:tcMar>
              <w:top w:w="17" w:type="dxa"/>
              <w:left w:w="113" w:type="dxa"/>
              <w:bottom w:w="17" w:type="dxa"/>
              <w:right w:w="113" w:type="dxa"/>
            </w:tcMar>
          </w:tcPr>
          <w:p w14:paraId="149F147C" w14:textId="77777777" w:rsidR="005357A7" w:rsidRPr="00CA7A0D" w:rsidRDefault="005357A7" w:rsidP="0092004D">
            <w:pPr>
              <w:suppressAutoHyphens/>
              <w:autoSpaceDE w:val="0"/>
              <w:autoSpaceDN w:val="0"/>
              <w:adjustRightInd w:val="0"/>
              <w:spacing w:after="0" w:line="240" w:lineRule="auto"/>
              <w:jc w:val="right"/>
              <w:textAlignment w:val="center"/>
              <w:rPr>
                <w:color w:val="1C1C1C"/>
                <w:sz w:val="14"/>
                <w:szCs w:val="14"/>
              </w:rPr>
            </w:pPr>
          </w:p>
        </w:tc>
      </w:tr>
      <w:tr w:rsidR="00CA7A0D" w:rsidRPr="00CA7A0D" w14:paraId="58D857A1" w14:textId="77777777" w:rsidTr="00C70916">
        <w:trPr>
          <w:trHeight w:val="170"/>
        </w:trPr>
        <w:tc>
          <w:tcPr>
            <w:tcW w:w="5111" w:type="dxa"/>
            <w:tcMar>
              <w:top w:w="17" w:type="dxa"/>
              <w:left w:w="80" w:type="dxa"/>
              <w:bottom w:w="17" w:type="dxa"/>
              <w:right w:w="80" w:type="dxa"/>
            </w:tcMar>
          </w:tcPr>
          <w:p w14:paraId="27DDCD36" w14:textId="1D05540F" w:rsidR="004A793A" w:rsidRPr="00CA7A0D" w:rsidRDefault="004A793A" w:rsidP="004A793A">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color w:val="1C1C1C"/>
                <w:sz w:val="14"/>
                <w:szCs w:val="14"/>
              </w:rPr>
              <w:t>Goods supplied</w:t>
            </w:r>
          </w:p>
        </w:tc>
        <w:tc>
          <w:tcPr>
            <w:tcW w:w="992" w:type="dxa"/>
            <w:tcMar>
              <w:top w:w="17" w:type="dxa"/>
              <w:left w:w="113" w:type="dxa"/>
              <w:bottom w:w="17" w:type="dxa"/>
              <w:right w:w="113" w:type="dxa"/>
            </w:tcMar>
          </w:tcPr>
          <w:p w14:paraId="031649A4" w14:textId="329F6B71" w:rsidR="004A793A" w:rsidRPr="00CA7A0D" w:rsidRDefault="004A793A" w:rsidP="004A793A">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307 </w:t>
            </w:r>
          </w:p>
        </w:tc>
        <w:tc>
          <w:tcPr>
            <w:tcW w:w="993" w:type="dxa"/>
            <w:tcMar>
              <w:top w:w="17" w:type="dxa"/>
              <w:left w:w="113" w:type="dxa"/>
              <w:bottom w:w="17" w:type="dxa"/>
              <w:right w:w="113" w:type="dxa"/>
            </w:tcMar>
          </w:tcPr>
          <w:p w14:paraId="0913D4D3" w14:textId="20B97033" w:rsidR="004A793A" w:rsidRPr="00CA7A0D" w:rsidRDefault="004A793A" w:rsidP="004A793A">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658 </w:t>
            </w:r>
          </w:p>
        </w:tc>
      </w:tr>
      <w:tr w:rsidR="00CA7A0D" w:rsidRPr="00CA7A0D" w14:paraId="027650AF"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2991BE84" w14:textId="70767E6A" w:rsidR="004A793A" w:rsidRPr="00CA7A0D" w:rsidRDefault="004A793A" w:rsidP="004A793A">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color w:val="1C1C1C"/>
                <w:sz w:val="14"/>
                <w:szCs w:val="14"/>
              </w:rPr>
              <w:t xml:space="preserve">Services rendered </w:t>
            </w:r>
          </w:p>
        </w:tc>
        <w:tc>
          <w:tcPr>
            <w:tcW w:w="992"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746A206" w14:textId="28E991F0" w:rsidR="004A793A" w:rsidRPr="00CA7A0D" w:rsidRDefault="004A793A" w:rsidP="004A793A">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12,914 </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4BC29260" w14:textId="0512284D" w:rsidR="004A793A" w:rsidRPr="00CA7A0D" w:rsidRDefault="004A793A" w:rsidP="004A793A">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15,621 </w:t>
            </w:r>
          </w:p>
        </w:tc>
      </w:tr>
      <w:tr w:rsidR="00CA7A0D" w:rsidRPr="00CA7A0D" w14:paraId="78A34A31"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3203B76D" w14:textId="0CDCA6D7" w:rsidR="004A793A" w:rsidRPr="00CA7A0D" w:rsidRDefault="004A793A" w:rsidP="004A793A">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rFonts w:asciiTheme="majorHAnsi" w:hAnsiTheme="majorHAnsi"/>
                <w:color w:val="1C1C1C"/>
                <w:sz w:val="14"/>
                <w:szCs w:val="14"/>
              </w:rPr>
              <w:t>Total goods and services supplied or rendered</w:t>
            </w:r>
          </w:p>
        </w:tc>
        <w:tc>
          <w:tcPr>
            <w:tcW w:w="992"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3A09E86" w14:textId="23906D65" w:rsidR="004A793A" w:rsidRPr="00CA7A0D" w:rsidRDefault="004A793A" w:rsidP="004A793A">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13,221 </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3EE50EC" w14:textId="24A0C84C" w:rsidR="004A793A" w:rsidRPr="00CA7A0D" w:rsidRDefault="004A793A" w:rsidP="004A793A">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16,279 </w:t>
            </w:r>
          </w:p>
        </w:tc>
      </w:tr>
      <w:tr w:rsidR="00CA7A0D" w:rsidRPr="00CA7A0D" w14:paraId="54472F7E"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6B5AF336" w14:textId="77777777" w:rsidR="00CE4F40" w:rsidRPr="00CA7A0D" w:rsidRDefault="00CE4F40" w:rsidP="004A793A">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1B314FD6" w14:textId="77777777" w:rsidR="00CE4F40" w:rsidRPr="00CA7A0D" w:rsidRDefault="00CE4F40" w:rsidP="004A793A">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292929"/>
              <w:left w:val="single" w:sz="8" w:space="0" w:color="FFFFFF" w:themeColor="background2"/>
            </w:tcBorders>
            <w:tcMar>
              <w:top w:w="17" w:type="dxa"/>
              <w:left w:w="113" w:type="dxa"/>
              <w:bottom w:w="17" w:type="dxa"/>
              <w:right w:w="113" w:type="dxa"/>
            </w:tcMar>
          </w:tcPr>
          <w:p w14:paraId="4DD089E7" w14:textId="77777777" w:rsidR="00CE4F40" w:rsidRPr="00CA7A0D" w:rsidRDefault="00CE4F40" w:rsidP="004A793A">
            <w:pPr>
              <w:suppressAutoHyphens/>
              <w:autoSpaceDE w:val="0"/>
              <w:autoSpaceDN w:val="0"/>
              <w:adjustRightInd w:val="0"/>
              <w:spacing w:after="0" w:line="240" w:lineRule="auto"/>
              <w:jc w:val="right"/>
              <w:textAlignment w:val="center"/>
              <w:rPr>
                <w:color w:val="1C1C1C"/>
                <w:sz w:val="14"/>
                <w:szCs w:val="14"/>
              </w:rPr>
            </w:pPr>
          </w:p>
        </w:tc>
      </w:tr>
      <w:tr w:rsidR="00CA7A0D" w:rsidRPr="00CA7A0D" w14:paraId="3356A512" w14:textId="77777777" w:rsidTr="00C70916">
        <w:trPr>
          <w:trHeight w:val="170"/>
        </w:trPr>
        <w:tc>
          <w:tcPr>
            <w:tcW w:w="5111" w:type="dxa"/>
            <w:tcMar>
              <w:top w:w="17" w:type="dxa"/>
              <w:left w:w="80" w:type="dxa"/>
              <w:bottom w:w="17" w:type="dxa"/>
              <w:right w:w="80" w:type="dxa"/>
            </w:tcMar>
          </w:tcPr>
          <w:p w14:paraId="763D308A" w14:textId="6A5237C8" w:rsidR="00497BDE" w:rsidRPr="00CA7A0D" w:rsidRDefault="00497BDE" w:rsidP="00497BDE">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rFonts w:asciiTheme="majorHAnsi" w:hAnsiTheme="majorHAnsi"/>
                <w:color w:val="1C1C1C"/>
                <w:sz w:val="14"/>
                <w:szCs w:val="14"/>
              </w:rPr>
              <w:t>Other suppliers</w:t>
            </w:r>
          </w:p>
        </w:tc>
        <w:tc>
          <w:tcPr>
            <w:tcW w:w="992" w:type="dxa"/>
            <w:tcMar>
              <w:top w:w="17" w:type="dxa"/>
              <w:left w:w="113" w:type="dxa"/>
              <w:bottom w:w="17" w:type="dxa"/>
              <w:right w:w="113" w:type="dxa"/>
            </w:tcMar>
          </w:tcPr>
          <w:p w14:paraId="247C07DC" w14:textId="77777777" w:rsidR="00497BDE" w:rsidRPr="00CA7A0D" w:rsidRDefault="00497BDE" w:rsidP="00497BDE">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454641C9" w14:textId="77777777" w:rsidR="00497BDE" w:rsidRPr="00CA7A0D" w:rsidRDefault="00497BDE" w:rsidP="00497BDE">
            <w:pPr>
              <w:suppressAutoHyphens/>
              <w:autoSpaceDE w:val="0"/>
              <w:autoSpaceDN w:val="0"/>
              <w:adjustRightInd w:val="0"/>
              <w:spacing w:after="0" w:line="240" w:lineRule="auto"/>
              <w:jc w:val="right"/>
              <w:textAlignment w:val="center"/>
              <w:rPr>
                <w:color w:val="1C1C1C"/>
                <w:sz w:val="14"/>
                <w:szCs w:val="14"/>
              </w:rPr>
            </w:pPr>
          </w:p>
        </w:tc>
      </w:tr>
      <w:tr w:rsidR="00CA7A0D" w:rsidRPr="00CA7A0D" w14:paraId="14530983" w14:textId="77777777" w:rsidTr="00C70916">
        <w:trPr>
          <w:trHeight w:val="170"/>
        </w:trPr>
        <w:tc>
          <w:tcPr>
            <w:tcW w:w="5111" w:type="dxa"/>
            <w:tcMar>
              <w:top w:w="17" w:type="dxa"/>
              <w:left w:w="80" w:type="dxa"/>
              <w:bottom w:w="17" w:type="dxa"/>
              <w:right w:w="80" w:type="dxa"/>
            </w:tcMar>
          </w:tcPr>
          <w:p w14:paraId="5975637C" w14:textId="6F32D0CA" w:rsidR="00392618" w:rsidRPr="00CA7A0D" w:rsidRDefault="00392618" w:rsidP="00392618">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color w:val="1C1C1C"/>
                <w:sz w:val="14"/>
                <w:szCs w:val="14"/>
              </w:rPr>
              <w:t>Operating lease rentals in connection with minimum lease payments</w:t>
            </w:r>
          </w:p>
        </w:tc>
        <w:tc>
          <w:tcPr>
            <w:tcW w:w="992" w:type="dxa"/>
            <w:tcMar>
              <w:top w:w="17" w:type="dxa"/>
              <w:left w:w="113" w:type="dxa"/>
              <w:bottom w:w="17" w:type="dxa"/>
              <w:right w:w="113" w:type="dxa"/>
            </w:tcMar>
          </w:tcPr>
          <w:p w14:paraId="0776643E" w14:textId="5C9CADB9" w:rsidR="00392618" w:rsidRPr="00CA7A0D" w:rsidRDefault="00392618" w:rsidP="00392618">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 - </w:t>
            </w:r>
          </w:p>
        </w:tc>
        <w:tc>
          <w:tcPr>
            <w:tcW w:w="993" w:type="dxa"/>
            <w:tcMar>
              <w:top w:w="17" w:type="dxa"/>
              <w:left w:w="113" w:type="dxa"/>
              <w:bottom w:w="17" w:type="dxa"/>
              <w:right w:w="113" w:type="dxa"/>
            </w:tcMar>
          </w:tcPr>
          <w:p w14:paraId="63F049FB" w14:textId="75066D75" w:rsidR="00392618" w:rsidRPr="00CA7A0D" w:rsidRDefault="00392618" w:rsidP="00392618">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751 </w:t>
            </w:r>
          </w:p>
        </w:tc>
      </w:tr>
      <w:tr w:rsidR="00CA7A0D" w:rsidRPr="00CA7A0D" w14:paraId="041621D3"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1AE7EDD1" w14:textId="1EA62AF9" w:rsidR="00392618" w:rsidRPr="00CA7A0D" w:rsidRDefault="00392618" w:rsidP="00392618">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color w:val="1C1C1C"/>
                <w:sz w:val="14"/>
                <w:szCs w:val="14"/>
              </w:rPr>
              <w:t>Workers</w:t>
            </w:r>
            <w:r w:rsidR="000E7C54" w:rsidRPr="00CA7A0D">
              <w:rPr>
                <w:color w:val="1C1C1C"/>
                <w:sz w:val="14"/>
                <w:szCs w:val="14"/>
              </w:rPr>
              <w:t>’</w:t>
            </w:r>
            <w:r w:rsidRPr="00CA7A0D">
              <w:rPr>
                <w:color w:val="1C1C1C"/>
                <w:sz w:val="14"/>
                <w:szCs w:val="14"/>
              </w:rPr>
              <w:t xml:space="preserve"> compensation expenses</w:t>
            </w:r>
          </w:p>
        </w:tc>
        <w:tc>
          <w:tcPr>
            <w:tcW w:w="992"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E9B182F" w14:textId="01C17BDC" w:rsidR="00392618" w:rsidRPr="00CA7A0D" w:rsidRDefault="00392618" w:rsidP="00392618">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3 </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2EFB91D3" w14:textId="12A21E90" w:rsidR="00392618" w:rsidRPr="00CA7A0D" w:rsidRDefault="00392618" w:rsidP="00392618">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4 </w:t>
            </w:r>
          </w:p>
        </w:tc>
      </w:tr>
      <w:tr w:rsidR="00CA7A0D" w:rsidRPr="00CA7A0D" w14:paraId="61244AB9"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1F8C1699" w14:textId="6749DBED" w:rsidR="00392618" w:rsidRPr="00CA7A0D" w:rsidRDefault="00392618" w:rsidP="00392618">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rFonts w:asciiTheme="majorHAnsi" w:hAnsiTheme="majorHAnsi"/>
                <w:color w:val="1C1C1C"/>
                <w:sz w:val="14"/>
                <w:szCs w:val="14"/>
              </w:rPr>
              <w:t>Total other suppliers</w:t>
            </w:r>
          </w:p>
        </w:tc>
        <w:tc>
          <w:tcPr>
            <w:tcW w:w="992"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5C4BB4EF" w14:textId="76B95EBE" w:rsidR="00392618" w:rsidRPr="00CA7A0D" w:rsidRDefault="00392618" w:rsidP="00392618">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3 </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F692E5B" w14:textId="707B33EE" w:rsidR="00392618" w:rsidRPr="00CA7A0D" w:rsidRDefault="00392618" w:rsidP="00392618">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755 </w:t>
            </w:r>
          </w:p>
        </w:tc>
      </w:tr>
      <w:tr w:rsidR="00CA7A0D" w:rsidRPr="00CA7A0D" w14:paraId="680D4EF8"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2B7F490A" w14:textId="1786FFBF" w:rsidR="00392618" w:rsidRPr="00CA7A0D" w:rsidRDefault="00392618" w:rsidP="00392618">
            <w:pPr>
              <w:suppressAutoHyphens/>
              <w:autoSpaceDE w:val="0"/>
              <w:autoSpaceDN w:val="0"/>
              <w:adjustRightInd w:val="0"/>
              <w:spacing w:after="0" w:line="240" w:lineRule="auto"/>
              <w:textAlignment w:val="center"/>
              <w:rPr>
                <w:rFonts w:asciiTheme="majorHAnsi" w:hAnsiTheme="majorHAnsi"/>
                <w:color w:val="1C1C1C"/>
                <w:sz w:val="14"/>
                <w:szCs w:val="14"/>
              </w:rPr>
            </w:pPr>
            <w:r w:rsidRPr="00CA7A0D">
              <w:rPr>
                <w:rFonts w:asciiTheme="majorHAnsi" w:hAnsiTheme="majorHAnsi"/>
                <w:color w:val="1C1C1C"/>
                <w:sz w:val="14"/>
                <w:szCs w:val="14"/>
              </w:rPr>
              <w:t>Total suppliers</w:t>
            </w:r>
          </w:p>
        </w:tc>
        <w:tc>
          <w:tcPr>
            <w:tcW w:w="992"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4D21C1A0" w14:textId="4074853A" w:rsidR="00392618" w:rsidRPr="00CA7A0D" w:rsidRDefault="00392618" w:rsidP="00392618">
            <w:pPr>
              <w:autoSpaceDE w:val="0"/>
              <w:autoSpaceDN w:val="0"/>
              <w:adjustRightInd w:val="0"/>
              <w:spacing w:after="0" w:line="240" w:lineRule="auto"/>
              <w:jc w:val="right"/>
              <w:rPr>
                <w:rFonts w:asciiTheme="majorHAnsi" w:hAnsiTheme="majorHAnsi"/>
                <w:color w:val="1C1C1C"/>
                <w:sz w:val="14"/>
                <w:szCs w:val="14"/>
              </w:rPr>
            </w:pPr>
            <w:r w:rsidRPr="00CA7A0D">
              <w:rPr>
                <w:rFonts w:asciiTheme="majorHAnsi" w:hAnsiTheme="majorHAnsi"/>
                <w:color w:val="1C1C1C"/>
                <w:sz w:val="14"/>
                <w:szCs w:val="14"/>
              </w:rPr>
              <w:t xml:space="preserve">13,224 </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230DEB6C" w14:textId="41842573" w:rsidR="00392618" w:rsidRPr="00CA7A0D" w:rsidRDefault="00392618" w:rsidP="00392618">
            <w:pPr>
              <w:suppressAutoHyphens/>
              <w:autoSpaceDE w:val="0"/>
              <w:autoSpaceDN w:val="0"/>
              <w:adjustRightInd w:val="0"/>
              <w:spacing w:after="0" w:line="240" w:lineRule="auto"/>
              <w:jc w:val="right"/>
              <w:textAlignment w:val="center"/>
              <w:rPr>
                <w:color w:val="1C1C1C"/>
                <w:sz w:val="14"/>
                <w:szCs w:val="14"/>
              </w:rPr>
            </w:pPr>
            <w:r w:rsidRPr="00CA7A0D">
              <w:rPr>
                <w:color w:val="1C1C1C"/>
                <w:sz w:val="14"/>
                <w:szCs w:val="14"/>
              </w:rPr>
              <w:t xml:space="preserve">17,034 </w:t>
            </w:r>
          </w:p>
        </w:tc>
      </w:tr>
      <w:tr w:rsidR="00CA7A0D" w:rsidRPr="00CA7A0D" w14:paraId="7BCA9C62" w14:textId="77777777" w:rsidTr="00B80308">
        <w:trPr>
          <w:trHeight w:val="170"/>
        </w:trPr>
        <w:tc>
          <w:tcPr>
            <w:tcW w:w="5111" w:type="dxa"/>
            <w:tcBorders>
              <w:right w:val="single" w:sz="8" w:space="0" w:color="FFFFFF" w:themeColor="background2"/>
            </w:tcBorders>
            <w:tcMar>
              <w:top w:w="17" w:type="dxa"/>
              <w:left w:w="80" w:type="dxa"/>
              <w:bottom w:w="17" w:type="dxa"/>
              <w:right w:w="80" w:type="dxa"/>
            </w:tcMar>
          </w:tcPr>
          <w:p w14:paraId="6B8D12AE" w14:textId="77777777" w:rsidR="00CC599C" w:rsidRPr="00CA7A0D" w:rsidRDefault="00CC599C" w:rsidP="00392618">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1E12983F" w14:textId="77777777" w:rsidR="00CC599C" w:rsidRPr="00CA7A0D" w:rsidRDefault="00CC599C" w:rsidP="00392618">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292929"/>
              <w:left w:val="single" w:sz="8" w:space="0" w:color="FFFFFF" w:themeColor="background2"/>
            </w:tcBorders>
            <w:tcMar>
              <w:top w:w="17" w:type="dxa"/>
              <w:left w:w="113" w:type="dxa"/>
              <w:bottom w:w="17" w:type="dxa"/>
              <w:right w:w="113" w:type="dxa"/>
            </w:tcMar>
          </w:tcPr>
          <w:p w14:paraId="4A676641" w14:textId="77777777" w:rsidR="00CC599C" w:rsidRPr="00CA7A0D" w:rsidRDefault="00CC599C" w:rsidP="00392618">
            <w:pPr>
              <w:suppressAutoHyphens/>
              <w:autoSpaceDE w:val="0"/>
              <w:autoSpaceDN w:val="0"/>
              <w:adjustRightInd w:val="0"/>
              <w:spacing w:after="0" w:line="240" w:lineRule="auto"/>
              <w:jc w:val="right"/>
              <w:textAlignment w:val="center"/>
              <w:rPr>
                <w:color w:val="1C1C1C"/>
                <w:sz w:val="14"/>
                <w:szCs w:val="14"/>
              </w:rPr>
            </w:pPr>
          </w:p>
        </w:tc>
      </w:tr>
      <w:tr w:rsidR="00CA7A0D" w:rsidRPr="00CA7A0D" w14:paraId="4E0EFFA1" w14:textId="77777777" w:rsidTr="00C70916">
        <w:trPr>
          <w:trHeight w:val="170"/>
        </w:trPr>
        <w:tc>
          <w:tcPr>
            <w:tcW w:w="7096" w:type="dxa"/>
            <w:gridSpan w:val="3"/>
            <w:tcMar>
              <w:top w:w="17" w:type="dxa"/>
              <w:left w:w="80" w:type="dxa"/>
              <w:bottom w:w="17" w:type="dxa"/>
              <w:right w:w="80" w:type="dxa"/>
            </w:tcMar>
          </w:tcPr>
          <w:p w14:paraId="04BC7CDE" w14:textId="3B6C9C01" w:rsidR="00061F6E" w:rsidRPr="00CA7A0D" w:rsidRDefault="00061F6E" w:rsidP="00061F6E">
            <w:pPr>
              <w:suppressAutoHyphens/>
              <w:autoSpaceDE w:val="0"/>
              <w:autoSpaceDN w:val="0"/>
              <w:adjustRightInd w:val="0"/>
              <w:spacing w:after="0" w:line="240" w:lineRule="auto"/>
              <w:textAlignment w:val="center"/>
              <w:rPr>
                <w:color w:val="1C1C1C"/>
                <w:sz w:val="14"/>
                <w:szCs w:val="14"/>
              </w:rPr>
            </w:pPr>
            <w:r w:rsidRPr="00CA7A0D">
              <w:rPr>
                <w:rFonts w:asciiTheme="majorHAnsi" w:hAnsiTheme="majorHAnsi"/>
                <w:color w:val="1C1C1C"/>
                <w:sz w:val="14"/>
                <w:szCs w:val="14"/>
              </w:rPr>
              <w:t>Leasing commitments</w:t>
            </w:r>
            <w:r w:rsidRPr="00CA7A0D">
              <w:rPr>
                <w:rFonts w:asciiTheme="majorHAnsi" w:hAnsiTheme="majorHAnsi"/>
                <w:color w:val="1C1C1C"/>
                <w:sz w:val="14"/>
                <w:szCs w:val="14"/>
              </w:rPr>
              <w:br/>
            </w:r>
            <w:r w:rsidRPr="00CA7A0D">
              <w:rPr>
                <w:color w:val="1C1C1C"/>
                <w:sz w:val="14"/>
                <w:szCs w:val="14"/>
              </w:rPr>
              <w:t>On the 1 June 2018, IHPA in its capacity as lessee entered into a</w:t>
            </w:r>
            <w:r w:rsidR="006A65A9">
              <w:rPr>
                <w:color w:val="1C1C1C"/>
                <w:sz w:val="14"/>
                <w:szCs w:val="14"/>
              </w:rPr>
              <w:t xml:space="preserve"> </w:t>
            </w:r>
            <w:r w:rsidRPr="00CA7A0D">
              <w:rPr>
                <w:color w:val="1C1C1C"/>
                <w:sz w:val="14"/>
                <w:szCs w:val="14"/>
              </w:rPr>
              <w:t>5 year lease (with 5 year extension option) for office space. The lease is subject to an annual cost increase and is not able to be cancelled.</w:t>
            </w:r>
          </w:p>
        </w:tc>
      </w:tr>
    </w:tbl>
    <w:p w14:paraId="1CEE0079" w14:textId="32623112" w:rsidR="00F17B48" w:rsidRDefault="00F17B48" w:rsidP="00646163">
      <w:pPr>
        <w:pStyle w:val="Body"/>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6A65A9" w:rsidRPr="006A65A9" w14:paraId="4327ACA6" w14:textId="77777777" w:rsidTr="00C70916">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098B9EE5" w14:textId="77777777" w:rsidR="00565C78" w:rsidRPr="006A65A9" w:rsidRDefault="00565C78"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4C5B803F" w14:textId="77777777" w:rsidR="00565C78" w:rsidRPr="006A65A9" w:rsidRDefault="00565C78"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6A65A9">
              <w:rPr>
                <w:rFonts w:asciiTheme="majorHAnsi" w:hAnsiTheme="majorHAnsi" w:cs="Futura PT Heavy"/>
                <w:color w:val="1C1C1C"/>
                <w:sz w:val="16"/>
                <w:szCs w:val="16"/>
                <w:lang w:val="en-US"/>
              </w:rPr>
              <w:t>2020</w:t>
            </w:r>
            <w:r w:rsidRPr="006A65A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6D53CE8B" w14:textId="77777777" w:rsidR="00565C78" w:rsidRPr="006A65A9" w:rsidRDefault="00565C78"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6A65A9">
              <w:rPr>
                <w:rFonts w:asciiTheme="majorHAnsi" w:hAnsiTheme="majorHAnsi" w:cs="Futura PT Heavy"/>
                <w:color w:val="1C1C1C"/>
                <w:sz w:val="16"/>
                <w:szCs w:val="16"/>
                <w:lang w:val="en-US"/>
              </w:rPr>
              <w:t>2019</w:t>
            </w:r>
            <w:r w:rsidRPr="006A65A9">
              <w:rPr>
                <w:rFonts w:asciiTheme="majorHAnsi" w:hAnsiTheme="majorHAnsi" w:cs="Futura PT Heavy"/>
                <w:color w:val="1C1C1C"/>
                <w:sz w:val="16"/>
                <w:szCs w:val="16"/>
                <w:lang w:val="en-US"/>
              </w:rPr>
              <w:br/>
              <w:t>$’000</w:t>
            </w:r>
          </w:p>
        </w:tc>
      </w:tr>
      <w:tr w:rsidR="006A65A9" w:rsidRPr="006A65A9" w14:paraId="173AD6EA"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383A944E" w14:textId="655F1CBA" w:rsidR="007B1433" w:rsidRPr="006A65A9" w:rsidRDefault="007B1433" w:rsidP="00C10B33">
            <w:pPr>
              <w:suppressAutoHyphens/>
              <w:autoSpaceDE w:val="0"/>
              <w:autoSpaceDN w:val="0"/>
              <w:adjustRightInd w:val="0"/>
              <w:spacing w:after="0" w:line="240" w:lineRule="auto"/>
              <w:textAlignment w:val="center"/>
              <w:rPr>
                <w:color w:val="1C1C1C"/>
                <w:sz w:val="14"/>
                <w:szCs w:val="14"/>
              </w:rPr>
            </w:pPr>
            <w:r w:rsidRPr="006A65A9">
              <w:rPr>
                <w:rFonts w:asciiTheme="majorHAnsi" w:hAnsiTheme="majorHAnsi"/>
                <w:color w:val="1C1C1C"/>
                <w:sz w:val="14"/>
                <w:szCs w:val="14"/>
              </w:rPr>
              <w:t>Note 1.1C: Finance Costs</w:t>
            </w:r>
          </w:p>
        </w:tc>
        <w:tc>
          <w:tcPr>
            <w:tcW w:w="992"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3A584FC0" w14:textId="77777777" w:rsidR="007B1433" w:rsidRPr="006A65A9" w:rsidRDefault="007B1433"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bottom w:val="single" w:sz="4" w:space="0" w:color="FFFFFF" w:themeColor="background2"/>
            </w:tcBorders>
            <w:tcMar>
              <w:top w:w="17" w:type="dxa"/>
              <w:left w:w="113" w:type="dxa"/>
              <w:bottom w:w="17" w:type="dxa"/>
              <w:right w:w="113" w:type="dxa"/>
            </w:tcMar>
          </w:tcPr>
          <w:p w14:paraId="68F8434D" w14:textId="77777777" w:rsidR="007B1433" w:rsidRPr="006A65A9" w:rsidRDefault="007B1433" w:rsidP="00C10B33">
            <w:pPr>
              <w:autoSpaceDE w:val="0"/>
              <w:autoSpaceDN w:val="0"/>
              <w:adjustRightInd w:val="0"/>
              <w:spacing w:after="0" w:line="240" w:lineRule="auto"/>
              <w:jc w:val="right"/>
              <w:rPr>
                <w:color w:val="1C1C1C"/>
                <w:sz w:val="14"/>
                <w:szCs w:val="14"/>
              </w:rPr>
            </w:pPr>
          </w:p>
        </w:tc>
      </w:tr>
      <w:tr w:rsidR="006A65A9" w:rsidRPr="006A65A9" w14:paraId="10E6DFA2" w14:textId="77777777" w:rsidTr="00B80308">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4172369" w14:textId="5060C7A5" w:rsidR="00565C78" w:rsidRPr="006A65A9" w:rsidRDefault="00565C78" w:rsidP="00C10B33">
            <w:pPr>
              <w:suppressAutoHyphens/>
              <w:autoSpaceDE w:val="0"/>
              <w:autoSpaceDN w:val="0"/>
              <w:adjustRightInd w:val="0"/>
              <w:spacing w:after="0" w:line="240" w:lineRule="auto"/>
              <w:textAlignment w:val="center"/>
              <w:rPr>
                <w:rFonts w:cs="Futura PT Book"/>
                <w:color w:val="1C1C1C"/>
                <w:sz w:val="14"/>
                <w:szCs w:val="14"/>
                <w:lang w:val="en-US"/>
              </w:rPr>
            </w:pPr>
            <w:r w:rsidRPr="006A65A9">
              <w:rPr>
                <w:color w:val="1C1C1C"/>
                <w:sz w:val="14"/>
                <w:szCs w:val="14"/>
              </w:rPr>
              <w:t>Interest on lease liabilities (office space lease)</w:t>
            </w:r>
          </w:p>
        </w:tc>
        <w:tc>
          <w:tcPr>
            <w:tcW w:w="992" w:type="dxa"/>
            <w:tcBorders>
              <w:top w:val="single" w:sz="4" w:space="0" w:color="FFFFFF" w:themeColor="background2"/>
              <w:left w:val="single" w:sz="4"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66B65B71" w14:textId="454FA936" w:rsidR="00565C78" w:rsidRPr="006A65A9" w:rsidRDefault="00565C78" w:rsidP="00C10B33">
            <w:pPr>
              <w:autoSpaceDE w:val="0"/>
              <w:autoSpaceDN w:val="0"/>
              <w:adjustRightInd w:val="0"/>
              <w:spacing w:after="0" w:line="240" w:lineRule="auto"/>
              <w:jc w:val="right"/>
              <w:rPr>
                <w:rFonts w:asciiTheme="majorHAnsi" w:hAnsiTheme="majorHAnsi"/>
                <w:color w:val="1C1C1C"/>
                <w:sz w:val="14"/>
                <w:szCs w:val="14"/>
              </w:rPr>
            </w:pPr>
            <w:r w:rsidRPr="006A65A9">
              <w:rPr>
                <w:rFonts w:asciiTheme="majorHAnsi" w:hAnsiTheme="majorHAnsi"/>
                <w:color w:val="1C1C1C"/>
                <w:sz w:val="14"/>
                <w:szCs w:val="14"/>
              </w:rPr>
              <w:t>75</w:t>
            </w:r>
          </w:p>
        </w:tc>
        <w:tc>
          <w:tcPr>
            <w:tcW w:w="993" w:type="dxa"/>
            <w:tcBorders>
              <w:top w:val="single" w:sz="4" w:space="0" w:color="FFFFFF" w:themeColor="background2"/>
              <w:left w:val="single" w:sz="8" w:space="0" w:color="FFFFFF" w:themeColor="background2"/>
              <w:bottom w:val="single" w:sz="4" w:space="0" w:color="292929"/>
            </w:tcBorders>
            <w:tcMar>
              <w:top w:w="17" w:type="dxa"/>
              <w:left w:w="113" w:type="dxa"/>
              <w:bottom w:w="17" w:type="dxa"/>
              <w:right w:w="113" w:type="dxa"/>
            </w:tcMar>
          </w:tcPr>
          <w:p w14:paraId="7CDEF841" w14:textId="6E3EA342" w:rsidR="00565C78" w:rsidRPr="006A65A9" w:rsidRDefault="00565C78" w:rsidP="00C10B33">
            <w:pPr>
              <w:autoSpaceDE w:val="0"/>
              <w:autoSpaceDN w:val="0"/>
              <w:adjustRightInd w:val="0"/>
              <w:spacing w:after="0" w:line="240" w:lineRule="auto"/>
              <w:jc w:val="right"/>
              <w:rPr>
                <w:color w:val="1C1C1C"/>
                <w:sz w:val="14"/>
                <w:szCs w:val="14"/>
              </w:rPr>
            </w:pPr>
            <w:r w:rsidRPr="006A65A9">
              <w:rPr>
                <w:color w:val="1C1C1C"/>
                <w:sz w:val="14"/>
                <w:szCs w:val="14"/>
              </w:rPr>
              <w:t>-</w:t>
            </w:r>
          </w:p>
        </w:tc>
      </w:tr>
      <w:tr w:rsidR="006A65A9" w:rsidRPr="006A65A9" w14:paraId="7256CB11" w14:textId="77777777" w:rsidTr="00B80308">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041E13CF" w14:textId="5E6F035D" w:rsidR="00565C78" w:rsidRPr="006A65A9" w:rsidRDefault="00565C78"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6A65A9">
              <w:rPr>
                <w:rFonts w:asciiTheme="majorHAnsi" w:hAnsiTheme="majorHAnsi"/>
                <w:color w:val="1C1C1C"/>
                <w:sz w:val="14"/>
                <w:szCs w:val="14"/>
              </w:rPr>
              <w:t>Total finance costs</w:t>
            </w:r>
          </w:p>
        </w:tc>
        <w:tc>
          <w:tcPr>
            <w:tcW w:w="992" w:type="dxa"/>
            <w:tcBorders>
              <w:top w:val="single" w:sz="4" w:space="0" w:color="292929"/>
              <w:left w:val="single" w:sz="4"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10EAAA65" w14:textId="0DDCE4B5" w:rsidR="00565C78" w:rsidRPr="006A65A9" w:rsidRDefault="00565C78" w:rsidP="00C10B33">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6A65A9">
              <w:rPr>
                <w:rFonts w:asciiTheme="majorHAnsi" w:hAnsiTheme="majorHAnsi"/>
                <w:color w:val="1C1C1C"/>
                <w:sz w:val="14"/>
                <w:szCs w:val="14"/>
              </w:rPr>
              <w:t xml:space="preserve">75 </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15978F07" w14:textId="3DED7D11" w:rsidR="00565C78" w:rsidRPr="006A65A9" w:rsidRDefault="00565C78"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6A65A9">
              <w:rPr>
                <w:color w:val="1C1C1C"/>
                <w:sz w:val="14"/>
                <w:szCs w:val="14"/>
              </w:rPr>
              <w:t xml:space="preserve">- </w:t>
            </w:r>
          </w:p>
        </w:tc>
      </w:tr>
      <w:tr w:rsidR="006A65A9" w:rsidRPr="006A65A9" w14:paraId="4488A484" w14:textId="77777777" w:rsidTr="00B80308">
        <w:trPr>
          <w:trHeight w:val="170"/>
        </w:trPr>
        <w:tc>
          <w:tcPr>
            <w:tcW w:w="5111" w:type="dxa"/>
            <w:tcBorders>
              <w:top w:val="single" w:sz="4" w:space="0" w:color="FFFFFF" w:themeColor="background2"/>
              <w:left w:val="single" w:sz="4" w:space="0" w:color="FFFFFF" w:themeColor="background2"/>
              <w:right w:val="single" w:sz="4" w:space="0" w:color="FFFFFF" w:themeColor="background2"/>
            </w:tcBorders>
            <w:tcMar>
              <w:top w:w="17" w:type="dxa"/>
              <w:left w:w="80" w:type="dxa"/>
              <w:bottom w:w="17" w:type="dxa"/>
              <w:right w:w="80" w:type="dxa"/>
            </w:tcMar>
          </w:tcPr>
          <w:p w14:paraId="6E52578A" w14:textId="77777777" w:rsidR="00565C78" w:rsidRPr="006A65A9" w:rsidRDefault="00565C78" w:rsidP="00C10B33">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292929"/>
              <w:left w:val="single" w:sz="4" w:space="0" w:color="FFFFFF" w:themeColor="background2"/>
              <w:right w:val="single" w:sz="8" w:space="0" w:color="FFFFFF" w:themeColor="background2"/>
            </w:tcBorders>
            <w:tcMar>
              <w:top w:w="17" w:type="dxa"/>
              <w:left w:w="113" w:type="dxa"/>
              <w:bottom w:w="17" w:type="dxa"/>
              <w:right w:w="113" w:type="dxa"/>
            </w:tcMar>
          </w:tcPr>
          <w:p w14:paraId="67F545BD" w14:textId="77777777" w:rsidR="00565C78" w:rsidRPr="006A65A9" w:rsidRDefault="00565C78" w:rsidP="00C10B33">
            <w:pPr>
              <w:suppressAutoHyphens/>
              <w:autoSpaceDE w:val="0"/>
              <w:autoSpaceDN w:val="0"/>
              <w:adjustRightInd w:val="0"/>
              <w:spacing w:after="0" w:line="240" w:lineRule="auto"/>
              <w:jc w:val="right"/>
              <w:textAlignment w:val="center"/>
              <w:rPr>
                <w:rFonts w:asciiTheme="majorHAnsi" w:hAnsiTheme="majorHAnsi"/>
                <w:color w:val="1C1C1C"/>
                <w:sz w:val="14"/>
                <w:szCs w:val="14"/>
              </w:rPr>
            </w:pPr>
          </w:p>
        </w:tc>
        <w:tc>
          <w:tcPr>
            <w:tcW w:w="993" w:type="dxa"/>
            <w:tcBorders>
              <w:top w:val="single" w:sz="4" w:space="0" w:color="292929"/>
              <w:left w:val="single" w:sz="8" w:space="0" w:color="FFFFFF" w:themeColor="background2"/>
            </w:tcBorders>
            <w:tcMar>
              <w:top w:w="17" w:type="dxa"/>
              <w:left w:w="113" w:type="dxa"/>
              <w:bottom w:w="17" w:type="dxa"/>
              <w:right w:w="113" w:type="dxa"/>
            </w:tcMar>
          </w:tcPr>
          <w:p w14:paraId="47814032" w14:textId="77777777" w:rsidR="00565C78" w:rsidRPr="006A65A9" w:rsidRDefault="00565C78" w:rsidP="00C10B33">
            <w:pPr>
              <w:suppressAutoHyphens/>
              <w:autoSpaceDE w:val="0"/>
              <w:autoSpaceDN w:val="0"/>
              <w:adjustRightInd w:val="0"/>
              <w:spacing w:after="0" w:line="240" w:lineRule="auto"/>
              <w:jc w:val="right"/>
              <w:textAlignment w:val="center"/>
              <w:rPr>
                <w:color w:val="1C1C1C"/>
                <w:sz w:val="14"/>
                <w:szCs w:val="14"/>
              </w:rPr>
            </w:pPr>
          </w:p>
        </w:tc>
      </w:tr>
      <w:tr w:rsidR="006A65A9" w:rsidRPr="006A65A9" w14:paraId="51B96C91" w14:textId="77777777" w:rsidTr="00C70916">
        <w:trPr>
          <w:trHeight w:val="170"/>
        </w:trPr>
        <w:tc>
          <w:tcPr>
            <w:tcW w:w="7096" w:type="dxa"/>
            <w:gridSpan w:val="3"/>
            <w:tcBorders>
              <w:top w:val="single" w:sz="4" w:space="0" w:color="FFFFFF" w:themeColor="background2"/>
              <w:left w:val="single" w:sz="4" w:space="0" w:color="FFFFFF" w:themeColor="background2"/>
            </w:tcBorders>
            <w:tcMar>
              <w:top w:w="17" w:type="dxa"/>
              <w:left w:w="80" w:type="dxa"/>
              <w:bottom w:w="17" w:type="dxa"/>
              <w:right w:w="80" w:type="dxa"/>
            </w:tcMar>
          </w:tcPr>
          <w:p w14:paraId="0F949233" w14:textId="6BB46080" w:rsidR="00565C78" w:rsidRPr="006A65A9" w:rsidRDefault="00565C78" w:rsidP="00565C78">
            <w:pPr>
              <w:suppressAutoHyphens/>
              <w:autoSpaceDE w:val="0"/>
              <w:autoSpaceDN w:val="0"/>
              <w:adjustRightInd w:val="0"/>
              <w:spacing w:after="0" w:line="240" w:lineRule="auto"/>
              <w:textAlignment w:val="center"/>
              <w:rPr>
                <w:color w:val="1C1C1C"/>
                <w:sz w:val="14"/>
                <w:szCs w:val="14"/>
              </w:rPr>
            </w:pPr>
            <w:r w:rsidRPr="006A65A9">
              <w:rPr>
                <w:color w:val="1C1C1C"/>
                <w:sz w:val="14"/>
                <w:szCs w:val="14"/>
              </w:rPr>
              <w:t xml:space="preserve">The Entity has applied AASB 16 </w:t>
            </w:r>
            <w:r w:rsidR="001D3A04" w:rsidRPr="006A65A9">
              <w:rPr>
                <w:i/>
                <w:iCs/>
                <w:color w:val="1C1C1C"/>
                <w:sz w:val="14"/>
                <w:szCs w:val="14"/>
              </w:rPr>
              <w:t>Leases</w:t>
            </w:r>
            <w:r w:rsidR="001D3A04" w:rsidRPr="006A65A9">
              <w:rPr>
                <w:color w:val="1C1C1C"/>
                <w:sz w:val="14"/>
                <w:szCs w:val="14"/>
              </w:rPr>
              <w:t xml:space="preserve"> </w:t>
            </w:r>
            <w:r w:rsidRPr="006A65A9">
              <w:rPr>
                <w:color w:val="1C1C1C"/>
                <w:sz w:val="14"/>
                <w:szCs w:val="14"/>
              </w:rPr>
              <w:t>using the modified retrospective approach and therefore the comparative information has not been restated and continues to be reported under AASB 117. Refer to Overview section for accounting policy on leases.</w:t>
            </w:r>
          </w:p>
        </w:tc>
      </w:tr>
    </w:tbl>
    <w:p w14:paraId="592B5D55" w14:textId="402A149E" w:rsidR="004650EE" w:rsidRDefault="004650EE" w:rsidP="00646163">
      <w:pPr>
        <w:pStyle w:val="Body"/>
      </w:pPr>
    </w:p>
    <w:p w14:paraId="2C499D07" w14:textId="77777777" w:rsidR="00095A9D" w:rsidRDefault="00095A9D" w:rsidP="00646163">
      <w:pPr>
        <w:pStyle w:val="Body"/>
        <w:sectPr w:rsidR="00095A9D" w:rsidSect="00481983">
          <w:footnotePr>
            <w:pos w:val="beneathText"/>
          </w:footnotePr>
          <w:pgSz w:w="9979" w:h="14175" w:code="13"/>
          <w:pgMar w:top="1134" w:right="1418" w:bottom="992" w:left="1418" w:header="709" w:footer="709" w:gutter="0"/>
          <w:cols w:space="623"/>
          <w:docGrid w:linePitch="360"/>
        </w:sectPr>
      </w:pPr>
    </w:p>
    <w:p w14:paraId="51065647" w14:textId="39813AD2" w:rsidR="00954A86" w:rsidRDefault="00954A86" w:rsidP="00954A86">
      <w:pPr>
        <w:pStyle w:val="H4Financials"/>
      </w:pPr>
      <w:bookmarkStart w:id="160" w:name="Note12"/>
      <w:bookmarkStart w:id="161" w:name="_Toc48828412"/>
      <w:r>
        <w:lastRenderedPageBreak/>
        <w:t>Note 1.2</w:t>
      </w:r>
      <w:bookmarkEnd w:id="160"/>
      <w:r>
        <w:t xml:space="preserve"> Own-source revenue and gains</w:t>
      </w:r>
      <w:bookmarkEnd w:id="161"/>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F94637" w:rsidRPr="00F94637" w14:paraId="3075BA73" w14:textId="77777777" w:rsidTr="00182E91">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7B28D51B" w14:textId="77777777" w:rsidR="00954A86" w:rsidRPr="00F94637" w:rsidRDefault="00954A86"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68845B8D" w14:textId="77777777" w:rsidR="00954A86" w:rsidRPr="00F94637" w:rsidRDefault="00954A86"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F94637">
              <w:rPr>
                <w:rFonts w:asciiTheme="majorHAnsi" w:hAnsiTheme="majorHAnsi" w:cs="Futura PT Heavy"/>
                <w:color w:val="1C1C1C"/>
                <w:sz w:val="16"/>
                <w:szCs w:val="16"/>
                <w:lang w:val="en-US"/>
              </w:rPr>
              <w:t>2020</w:t>
            </w:r>
            <w:r w:rsidRPr="00F94637">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38B91C0C" w14:textId="77777777" w:rsidR="00954A86" w:rsidRPr="00F94637" w:rsidRDefault="00954A86"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F94637">
              <w:rPr>
                <w:rFonts w:asciiTheme="majorHAnsi" w:hAnsiTheme="majorHAnsi" w:cs="Futura PT Heavy"/>
                <w:color w:val="1C1C1C"/>
                <w:sz w:val="16"/>
                <w:szCs w:val="16"/>
                <w:lang w:val="en-US"/>
              </w:rPr>
              <w:t>2019</w:t>
            </w:r>
            <w:r w:rsidRPr="00F94637">
              <w:rPr>
                <w:rFonts w:asciiTheme="majorHAnsi" w:hAnsiTheme="majorHAnsi" w:cs="Futura PT Heavy"/>
                <w:color w:val="1C1C1C"/>
                <w:sz w:val="16"/>
                <w:szCs w:val="16"/>
                <w:lang w:val="en-US"/>
              </w:rPr>
              <w:br/>
              <w:t>$’000</w:t>
            </w:r>
          </w:p>
        </w:tc>
      </w:tr>
      <w:tr w:rsidR="00F94637" w:rsidRPr="00F94637" w14:paraId="0ACCBF5E" w14:textId="77777777" w:rsidTr="00182E91">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2F7E8932" w14:textId="5BA171B0" w:rsidR="00954A86" w:rsidRPr="00F94637" w:rsidRDefault="00954A86" w:rsidP="00954A86">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F94637">
              <w:rPr>
                <w:rFonts w:asciiTheme="majorHAnsi" w:hAnsiTheme="majorHAnsi"/>
                <w:color w:val="1C1C1C"/>
                <w:sz w:val="14"/>
                <w:szCs w:val="14"/>
              </w:rPr>
              <w:t>OWN-SOURCE REVENUE</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24621E94" w14:textId="77777777" w:rsidR="00954A86" w:rsidRPr="00F94637" w:rsidRDefault="00954A86" w:rsidP="00954A86">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633BDE51" w14:textId="77777777" w:rsidR="00954A86" w:rsidRPr="00F94637" w:rsidRDefault="00954A86" w:rsidP="00954A86">
            <w:pPr>
              <w:autoSpaceDE w:val="0"/>
              <w:autoSpaceDN w:val="0"/>
              <w:adjustRightInd w:val="0"/>
              <w:spacing w:after="0" w:line="240" w:lineRule="auto"/>
              <w:jc w:val="right"/>
              <w:rPr>
                <w:color w:val="1C1C1C"/>
                <w:sz w:val="14"/>
                <w:szCs w:val="14"/>
              </w:rPr>
            </w:pPr>
          </w:p>
        </w:tc>
      </w:tr>
      <w:tr w:rsidR="00F94637" w:rsidRPr="00F94637" w14:paraId="67317096" w14:textId="77777777" w:rsidTr="00182E91">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6BD628E0" w14:textId="5B93523D" w:rsidR="00954A86" w:rsidRPr="00F94637" w:rsidRDefault="00954A86" w:rsidP="00954A86">
            <w:pPr>
              <w:suppressAutoHyphens/>
              <w:autoSpaceDE w:val="0"/>
              <w:autoSpaceDN w:val="0"/>
              <w:adjustRightInd w:val="0"/>
              <w:spacing w:after="0" w:line="240" w:lineRule="auto"/>
              <w:textAlignment w:val="center"/>
              <w:rPr>
                <w:rFonts w:cs="Futura PT Book"/>
                <w:color w:val="1C1C1C"/>
                <w:sz w:val="14"/>
                <w:szCs w:val="14"/>
                <w:lang w:val="en-US"/>
              </w:rPr>
            </w:pPr>
          </w:p>
        </w:tc>
        <w:tc>
          <w:tcPr>
            <w:tcW w:w="992" w:type="dxa"/>
            <w:tcBorders>
              <w:top w:val="single" w:sz="4" w:space="0" w:color="FFFFFF" w:themeColor="background2"/>
            </w:tcBorders>
            <w:tcMar>
              <w:top w:w="17" w:type="dxa"/>
              <w:left w:w="113" w:type="dxa"/>
              <w:bottom w:w="17" w:type="dxa"/>
              <w:right w:w="113" w:type="dxa"/>
            </w:tcMar>
          </w:tcPr>
          <w:p w14:paraId="11EB0E44" w14:textId="24F7959D" w:rsidR="00954A86" w:rsidRPr="00F94637" w:rsidRDefault="00954A86" w:rsidP="00954A86">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018F07F8" w14:textId="119F251C" w:rsidR="00954A86" w:rsidRPr="00F94637" w:rsidRDefault="00954A86" w:rsidP="00954A86">
            <w:pPr>
              <w:suppressAutoHyphens/>
              <w:autoSpaceDE w:val="0"/>
              <w:autoSpaceDN w:val="0"/>
              <w:adjustRightInd w:val="0"/>
              <w:spacing w:after="0" w:line="240" w:lineRule="auto"/>
              <w:jc w:val="right"/>
              <w:textAlignment w:val="center"/>
              <w:rPr>
                <w:rFonts w:cs="Futura PT Book"/>
                <w:color w:val="1C1C1C"/>
                <w:sz w:val="14"/>
                <w:szCs w:val="14"/>
                <w:lang w:val="en-US"/>
              </w:rPr>
            </w:pPr>
          </w:p>
        </w:tc>
      </w:tr>
      <w:tr w:rsidR="00F94637" w:rsidRPr="00F94637" w14:paraId="794F9984" w14:textId="77777777" w:rsidTr="00182E91">
        <w:trPr>
          <w:trHeight w:val="170"/>
        </w:trPr>
        <w:tc>
          <w:tcPr>
            <w:tcW w:w="5111" w:type="dxa"/>
            <w:tcMar>
              <w:top w:w="17" w:type="dxa"/>
              <w:left w:w="80" w:type="dxa"/>
              <w:bottom w:w="17" w:type="dxa"/>
              <w:right w:w="80" w:type="dxa"/>
            </w:tcMar>
          </w:tcPr>
          <w:p w14:paraId="6EB90CDF" w14:textId="11465365" w:rsidR="00954A86" w:rsidRPr="00F94637" w:rsidRDefault="00954A86" w:rsidP="00954A86">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F94637">
              <w:rPr>
                <w:rFonts w:asciiTheme="majorHAnsi" w:hAnsiTheme="majorHAnsi"/>
                <w:color w:val="1C1C1C"/>
                <w:sz w:val="14"/>
                <w:szCs w:val="14"/>
              </w:rPr>
              <w:t>Note 1.2A: Sale of Goods and Rendering of Services</w:t>
            </w:r>
          </w:p>
        </w:tc>
        <w:tc>
          <w:tcPr>
            <w:tcW w:w="992" w:type="dxa"/>
            <w:tcMar>
              <w:top w:w="17" w:type="dxa"/>
              <w:left w:w="113" w:type="dxa"/>
              <w:bottom w:w="17" w:type="dxa"/>
              <w:right w:w="113" w:type="dxa"/>
            </w:tcMar>
          </w:tcPr>
          <w:p w14:paraId="4C2FBF45" w14:textId="77777777" w:rsidR="00954A86" w:rsidRPr="00F94637" w:rsidRDefault="00954A86" w:rsidP="00954A86">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5EC9A86F" w14:textId="6867FA5D" w:rsidR="00954A86" w:rsidRPr="00F94637" w:rsidRDefault="00954A86" w:rsidP="00954A86">
            <w:pPr>
              <w:suppressAutoHyphens/>
              <w:autoSpaceDE w:val="0"/>
              <w:autoSpaceDN w:val="0"/>
              <w:adjustRightInd w:val="0"/>
              <w:spacing w:after="0" w:line="240" w:lineRule="auto"/>
              <w:jc w:val="right"/>
              <w:textAlignment w:val="center"/>
              <w:rPr>
                <w:rFonts w:cs="Futura PT Book"/>
                <w:color w:val="1C1C1C"/>
                <w:sz w:val="14"/>
                <w:szCs w:val="14"/>
                <w:lang w:val="en-US"/>
              </w:rPr>
            </w:pPr>
          </w:p>
        </w:tc>
      </w:tr>
      <w:tr w:rsidR="00F94637" w:rsidRPr="00F94637" w14:paraId="020528FE" w14:textId="77777777" w:rsidTr="00182E91">
        <w:trPr>
          <w:trHeight w:val="170"/>
        </w:trPr>
        <w:tc>
          <w:tcPr>
            <w:tcW w:w="5111" w:type="dxa"/>
            <w:tcMar>
              <w:top w:w="17" w:type="dxa"/>
              <w:left w:w="80" w:type="dxa"/>
              <w:bottom w:w="17" w:type="dxa"/>
              <w:right w:w="80" w:type="dxa"/>
            </w:tcMar>
          </w:tcPr>
          <w:p w14:paraId="7DC14C11" w14:textId="7F8BDF9E" w:rsidR="00954A86" w:rsidRPr="00F94637" w:rsidRDefault="00954A86" w:rsidP="00954A86">
            <w:pPr>
              <w:suppressAutoHyphens/>
              <w:autoSpaceDE w:val="0"/>
              <w:autoSpaceDN w:val="0"/>
              <w:adjustRightInd w:val="0"/>
              <w:spacing w:after="0" w:line="240" w:lineRule="auto"/>
              <w:textAlignment w:val="center"/>
              <w:rPr>
                <w:rFonts w:cs="Futura PT Book"/>
                <w:color w:val="1C1C1C"/>
                <w:sz w:val="14"/>
                <w:szCs w:val="14"/>
                <w:lang w:val="en-US"/>
              </w:rPr>
            </w:pPr>
            <w:r w:rsidRPr="00F94637">
              <w:rPr>
                <w:color w:val="1C1C1C"/>
                <w:sz w:val="14"/>
                <w:szCs w:val="14"/>
              </w:rPr>
              <w:t>Sale of goods</w:t>
            </w:r>
          </w:p>
        </w:tc>
        <w:tc>
          <w:tcPr>
            <w:tcW w:w="992" w:type="dxa"/>
            <w:tcMar>
              <w:top w:w="17" w:type="dxa"/>
              <w:left w:w="113" w:type="dxa"/>
              <w:bottom w:w="17" w:type="dxa"/>
              <w:right w:w="113" w:type="dxa"/>
            </w:tcMar>
          </w:tcPr>
          <w:p w14:paraId="7B9036C3" w14:textId="69BCB620" w:rsidR="00954A86" w:rsidRPr="00F94637" w:rsidRDefault="00954A86" w:rsidP="00954A86">
            <w:pPr>
              <w:autoSpaceDE w:val="0"/>
              <w:autoSpaceDN w:val="0"/>
              <w:adjustRightInd w:val="0"/>
              <w:spacing w:after="0" w:line="240" w:lineRule="auto"/>
              <w:jc w:val="right"/>
              <w:rPr>
                <w:rFonts w:asciiTheme="majorHAnsi" w:hAnsiTheme="majorHAnsi"/>
                <w:color w:val="1C1C1C"/>
                <w:sz w:val="14"/>
                <w:szCs w:val="14"/>
              </w:rPr>
            </w:pPr>
            <w:r w:rsidRPr="00F94637">
              <w:rPr>
                <w:rFonts w:asciiTheme="majorHAnsi" w:hAnsiTheme="majorHAnsi"/>
                <w:color w:val="1C1C1C"/>
                <w:sz w:val="14"/>
                <w:szCs w:val="14"/>
              </w:rPr>
              <w:t>683</w:t>
            </w:r>
          </w:p>
        </w:tc>
        <w:tc>
          <w:tcPr>
            <w:tcW w:w="993" w:type="dxa"/>
            <w:tcMar>
              <w:top w:w="17" w:type="dxa"/>
              <w:left w:w="113" w:type="dxa"/>
              <w:bottom w:w="17" w:type="dxa"/>
              <w:right w:w="113" w:type="dxa"/>
            </w:tcMar>
          </w:tcPr>
          <w:p w14:paraId="6691CA27" w14:textId="6DE5529C" w:rsidR="00954A86" w:rsidRPr="00F94637" w:rsidRDefault="00954A86" w:rsidP="00954A86">
            <w:pPr>
              <w:autoSpaceDE w:val="0"/>
              <w:autoSpaceDN w:val="0"/>
              <w:adjustRightInd w:val="0"/>
              <w:spacing w:after="0" w:line="240" w:lineRule="auto"/>
              <w:jc w:val="right"/>
              <w:rPr>
                <w:color w:val="1C1C1C"/>
                <w:sz w:val="14"/>
                <w:szCs w:val="14"/>
              </w:rPr>
            </w:pPr>
            <w:r w:rsidRPr="00F94637">
              <w:rPr>
                <w:color w:val="1C1C1C"/>
                <w:sz w:val="14"/>
                <w:szCs w:val="14"/>
              </w:rPr>
              <w:t>1,719</w:t>
            </w:r>
          </w:p>
        </w:tc>
      </w:tr>
      <w:tr w:rsidR="00F94637" w:rsidRPr="00F94637" w14:paraId="462479F2" w14:textId="77777777" w:rsidTr="00182E91">
        <w:trPr>
          <w:trHeight w:val="170"/>
        </w:trPr>
        <w:tc>
          <w:tcPr>
            <w:tcW w:w="5111" w:type="dxa"/>
            <w:tcMar>
              <w:top w:w="17" w:type="dxa"/>
              <w:left w:w="80" w:type="dxa"/>
              <w:bottom w:w="17" w:type="dxa"/>
              <w:right w:w="80" w:type="dxa"/>
            </w:tcMar>
          </w:tcPr>
          <w:p w14:paraId="1B023E31" w14:textId="2F807963" w:rsidR="00954A86" w:rsidRPr="00F94637" w:rsidRDefault="00954A86" w:rsidP="00954A86">
            <w:pPr>
              <w:suppressAutoHyphens/>
              <w:autoSpaceDE w:val="0"/>
              <w:autoSpaceDN w:val="0"/>
              <w:adjustRightInd w:val="0"/>
              <w:spacing w:after="0" w:line="240" w:lineRule="auto"/>
              <w:textAlignment w:val="center"/>
              <w:rPr>
                <w:rFonts w:cs="Futura PT Book"/>
                <w:color w:val="1C1C1C"/>
                <w:sz w:val="14"/>
                <w:szCs w:val="14"/>
                <w:lang w:val="en-US"/>
              </w:rPr>
            </w:pPr>
            <w:r w:rsidRPr="00F94637">
              <w:rPr>
                <w:color w:val="1C1C1C"/>
                <w:sz w:val="14"/>
                <w:szCs w:val="14"/>
              </w:rPr>
              <w:t>Rendering of services</w:t>
            </w:r>
          </w:p>
        </w:tc>
        <w:tc>
          <w:tcPr>
            <w:tcW w:w="992" w:type="dxa"/>
            <w:tcBorders>
              <w:bottom w:val="single" w:sz="4" w:space="0" w:color="292929"/>
              <w:right w:val="single" w:sz="8" w:space="0" w:color="FFFFFF" w:themeColor="background2"/>
            </w:tcBorders>
            <w:tcMar>
              <w:top w:w="17" w:type="dxa"/>
              <w:left w:w="113" w:type="dxa"/>
              <w:bottom w:w="17" w:type="dxa"/>
              <w:right w:w="113" w:type="dxa"/>
            </w:tcMar>
          </w:tcPr>
          <w:p w14:paraId="40188DD5" w14:textId="634D40E7" w:rsidR="00954A86" w:rsidRPr="00F94637" w:rsidRDefault="00954A86" w:rsidP="00954A86">
            <w:pPr>
              <w:autoSpaceDE w:val="0"/>
              <w:autoSpaceDN w:val="0"/>
              <w:adjustRightInd w:val="0"/>
              <w:spacing w:after="0" w:line="240" w:lineRule="auto"/>
              <w:jc w:val="right"/>
              <w:rPr>
                <w:rFonts w:asciiTheme="majorHAnsi" w:hAnsiTheme="majorHAnsi"/>
                <w:color w:val="1C1C1C"/>
                <w:sz w:val="14"/>
                <w:szCs w:val="14"/>
              </w:rPr>
            </w:pPr>
            <w:r w:rsidRPr="00F94637">
              <w:rPr>
                <w:rFonts w:asciiTheme="majorHAnsi" w:hAnsiTheme="majorHAnsi"/>
                <w:color w:val="1C1C1C"/>
                <w:sz w:val="14"/>
                <w:szCs w:val="14"/>
              </w:rPr>
              <w:t>121</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0905FF6C" w14:textId="66B2A15D" w:rsidR="00954A86" w:rsidRPr="00F94637" w:rsidRDefault="00954A86" w:rsidP="00954A86">
            <w:pPr>
              <w:autoSpaceDE w:val="0"/>
              <w:autoSpaceDN w:val="0"/>
              <w:adjustRightInd w:val="0"/>
              <w:spacing w:after="0" w:line="240" w:lineRule="auto"/>
              <w:jc w:val="right"/>
              <w:rPr>
                <w:color w:val="1C1C1C"/>
                <w:sz w:val="14"/>
                <w:szCs w:val="14"/>
              </w:rPr>
            </w:pPr>
            <w:r w:rsidRPr="00F94637">
              <w:rPr>
                <w:color w:val="1C1C1C"/>
                <w:sz w:val="14"/>
                <w:szCs w:val="14"/>
              </w:rPr>
              <w:t>360</w:t>
            </w:r>
          </w:p>
        </w:tc>
      </w:tr>
      <w:tr w:rsidR="00F94637" w:rsidRPr="00F94637" w14:paraId="270DABB9" w14:textId="77777777" w:rsidTr="00182E91">
        <w:trPr>
          <w:trHeight w:val="170"/>
        </w:trPr>
        <w:tc>
          <w:tcPr>
            <w:tcW w:w="5111" w:type="dxa"/>
            <w:tcMar>
              <w:top w:w="17" w:type="dxa"/>
              <w:left w:w="80" w:type="dxa"/>
              <w:bottom w:w="17" w:type="dxa"/>
              <w:right w:w="80" w:type="dxa"/>
            </w:tcMar>
          </w:tcPr>
          <w:p w14:paraId="00671D19" w14:textId="7B5CF088" w:rsidR="00954A86" w:rsidRPr="00F94637" w:rsidRDefault="00954A86" w:rsidP="00954A86">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F94637">
              <w:rPr>
                <w:rFonts w:asciiTheme="majorHAnsi" w:hAnsiTheme="majorHAnsi"/>
                <w:color w:val="1C1C1C"/>
                <w:sz w:val="14"/>
                <w:szCs w:val="14"/>
              </w:rPr>
              <w:t>Total sale of goods and rendering of services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0ED3F5F1" w14:textId="44A4268E" w:rsidR="00954A86" w:rsidRPr="00F94637" w:rsidRDefault="00954A86" w:rsidP="00954A86">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F94637">
              <w:rPr>
                <w:rFonts w:asciiTheme="majorHAnsi" w:hAnsiTheme="majorHAnsi" w:cs="Futura PT Book"/>
                <w:color w:val="1C1C1C"/>
                <w:sz w:val="14"/>
                <w:szCs w:val="14"/>
                <w:lang w:val="en-US"/>
              </w:rPr>
              <w:t>804</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748ED852" w14:textId="195FF6B7" w:rsidR="00954A86" w:rsidRPr="00F94637" w:rsidRDefault="00954A86" w:rsidP="00954A86">
            <w:pPr>
              <w:suppressAutoHyphens/>
              <w:autoSpaceDE w:val="0"/>
              <w:autoSpaceDN w:val="0"/>
              <w:adjustRightInd w:val="0"/>
              <w:spacing w:after="0" w:line="240" w:lineRule="auto"/>
              <w:jc w:val="right"/>
              <w:textAlignment w:val="center"/>
              <w:rPr>
                <w:rFonts w:cs="Futura PT Book"/>
                <w:color w:val="1C1C1C"/>
                <w:sz w:val="14"/>
                <w:szCs w:val="14"/>
                <w:lang w:val="en-US"/>
              </w:rPr>
            </w:pPr>
            <w:r w:rsidRPr="00F94637">
              <w:rPr>
                <w:color w:val="1C1C1C"/>
                <w:sz w:val="14"/>
                <w:szCs w:val="14"/>
              </w:rPr>
              <w:t>2,079</w:t>
            </w:r>
          </w:p>
        </w:tc>
      </w:tr>
      <w:tr w:rsidR="00F94637" w:rsidRPr="00F94637" w14:paraId="78316720" w14:textId="77777777" w:rsidTr="00182E91">
        <w:trPr>
          <w:trHeight w:val="57"/>
        </w:trPr>
        <w:tc>
          <w:tcPr>
            <w:tcW w:w="5111" w:type="dxa"/>
            <w:tcBorders>
              <w:bottom w:val="single" w:sz="8" w:space="0" w:color="FFFFFF" w:themeColor="background2"/>
            </w:tcBorders>
            <w:tcMar>
              <w:top w:w="17" w:type="dxa"/>
              <w:left w:w="80" w:type="dxa"/>
              <w:bottom w:w="17" w:type="dxa"/>
              <w:right w:w="80" w:type="dxa"/>
            </w:tcMar>
          </w:tcPr>
          <w:p w14:paraId="0EDC0231" w14:textId="77777777" w:rsidR="00B80308" w:rsidRPr="00F94637" w:rsidRDefault="00B80308" w:rsidP="00954A86">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292929"/>
              <w:bottom w:val="single" w:sz="8" w:space="0" w:color="FFFFFF" w:themeColor="background2"/>
              <w:right w:val="single" w:sz="8" w:space="0" w:color="FFFFFF" w:themeColor="background2"/>
            </w:tcBorders>
            <w:tcMar>
              <w:top w:w="17" w:type="dxa"/>
              <w:left w:w="113" w:type="dxa"/>
              <w:bottom w:w="17" w:type="dxa"/>
              <w:right w:w="113" w:type="dxa"/>
            </w:tcMar>
          </w:tcPr>
          <w:p w14:paraId="294CB9F7" w14:textId="77777777" w:rsidR="00B80308" w:rsidRPr="00F94637" w:rsidRDefault="00B80308" w:rsidP="00954A86">
            <w:pPr>
              <w:suppressAutoHyphens/>
              <w:autoSpaceDE w:val="0"/>
              <w:autoSpaceDN w:val="0"/>
              <w:adjustRightInd w:val="0"/>
              <w:spacing w:after="0" w:line="240" w:lineRule="auto"/>
              <w:jc w:val="right"/>
              <w:textAlignment w:val="center"/>
              <w:rPr>
                <w:rFonts w:asciiTheme="majorHAnsi" w:hAnsiTheme="majorHAnsi" w:cs="Futura PT Book"/>
                <w:color w:val="1C1C1C"/>
                <w:sz w:val="4"/>
                <w:szCs w:val="4"/>
                <w:lang w:val="en-US"/>
              </w:rPr>
            </w:pPr>
          </w:p>
        </w:tc>
        <w:tc>
          <w:tcPr>
            <w:tcW w:w="993"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7F86F9FD" w14:textId="77777777" w:rsidR="00B80308" w:rsidRPr="00F94637" w:rsidRDefault="00B80308" w:rsidP="00954A86">
            <w:pPr>
              <w:suppressAutoHyphens/>
              <w:autoSpaceDE w:val="0"/>
              <w:autoSpaceDN w:val="0"/>
              <w:adjustRightInd w:val="0"/>
              <w:spacing w:after="0" w:line="240" w:lineRule="auto"/>
              <w:jc w:val="right"/>
              <w:textAlignment w:val="center"/>
              <w:rPr>
                <w:color w:val="1C1C1C"/>
                <w:sz w:val="4"/>
                <w:szCs w:val="4"/>
              </w:rPr>
            </w:pPr>
          </w:p>
        </w:tc>
      </w:tr>
    </w:tbl>
    <w:p w14:paraId="6FBEF26C" w14:textId="77777777" w:rsidR="00954A86" w:rsidRDefault="00954A86" w:rsidP="00954A86">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954A86" w14:paraId="0578A46A" w14:textId="77777777" w:rsidTr="00C10B33">
        <w:tc>
          <w:tcPr>
            <w:tcW w:w="5000" w:type="pct"/>
          </w:tcPr>
          <w:p w14:paraId="0B670FC6" w14:textId="77777777" w:rsidR="00954A86" w:rsidRPr="005300C0" w:rsidRDefault="00954A86" w:rsidP="00303955">
            <w:pPr>
              <w:pStyle w:val="Body"/>
              <w:spacing w:after="120" w:line="288" w:lineRule="auto"/>
              <w:rPr>
                <w:rFonts w:asciiTheme="majorHAnsi" w:hAnsiTheme="majorHAnsi"/>
              </w:rPr>
            </w:pPr>
            <w:r w:rsidRPr="005300C0">
              <w:rPr>
                <w:rFonts w:asciiTheme="majorHAnsi" w:hAnsiTheme="majorHAnsi"/>
              </w:rPr>
              <w:t>Accounting Policy</w:t>
            </w:r>
          </w:p>
          <w:p w14:paraId="64D26B02" w14:textId="77777777" w:rsidR="003A2C7B" w:rsidRPr="00303955" w:rsidRDefault="003A2C7B" w:rsidP="00303955">
            <w:pPr>
              <w:pStyle w:val="Body"/>
              <w:spacing w:after="120" w:line="288" w:lineRule="auto"/>
              <w:rPr>
                <w:b/>
                <w:bCs/>
              </w:rPr>
            </w:pPr>
            <w:r w:rsidRPr="00303955">
              <w:rPr>
                <w:b/>
                <w:bCs/>
              </w:rPr>
              <w:t>Sale of goods and rendering of services</w:t>
            </w:r>
          </w:p>
          <w:p w14:paraId="5631723E" w14:textId="77777777" w:rsidR="003A2C7B" w:rsidRDefault="003A2C7B" w:rsidP="003A2C7B">
            <w:pPr>
              <w:pStyle w:val="Body"/>
              <w:spacing w:after="80" w:line="288" w:lineRule="auto"/>
            </w:pPr>
            <w:r>
              <w:t>Revenue from the sale of goods is recognised when:</w:t>
            </w:r>
          </w:p>
          <w:p w14:paraId="41F8990A" w14:textId="00F55D92" w:rsidR="003A2C7B" w:rsidRDefault="003A2C7B" w:rsidP="003A2C7B">
            <w:pPr>
              <w:pStyle w:val="AlphabetListL2"/>
              <w:numPr>
                <w:ilvl w:val="0"/>
                <w:numId w:val="35"/>
              </w:numPr>
            </w:pPr>
            <w:r>
              <w:t>the risks and rewards of ownership have been transferred to the buyer</w:t>
            </w:r>
            <w:r w:rsidR="000E7C54">
              <w:t>,</w:t>
            </w:r>
            <w:r>
              <w:t xml:space="preserve"> and</w:t>
            </w:r>
          </w:p>
          <w:p w14:paraId="0DAA7E62" w14:textId="728A2258" w:rsidR="003A2C7B" w:rsidRDefault="003A2C7B" w:rsidP="003A2C7B">
            <w:pPr>
              <w:pStyle w:val="AlphabetListL2"/>
              <w:numPr>
                <w:ilvl w:val="0"/>
                <w:numId w:val="35"/>
              </w:numPr>
              <w:spacing w:after="240"/>
            </w:pPr>
            <w:r>
              <w:t>IHPA retains no managerial involvement or effective control over the goods.</w:t>
            </w:r>
          </w:p>
          <w:p w14:paraId="60BF1B70" w14:textId="2FF8EEA0" w:rsidR="003A2C7B" w:rsidRDefault="003A2C7B" w:rsidP="003A2C7B">
            <w:pPr>
              <w:pStyle w:val="Body"/>
              <w:spacing w:after="80" w:line="288" w:lineRule="auto"/>
            </w:pPr>
            <w:r>
              <w:t>Revenue from rendering of services is recognised by reference to the stage of completion at the reporting date.</w:t>
            </w:r>
            <w:r w:rsidR="006E737B">
              <w:t xml:space="preserve"> </w:t>
            </w:r>
            <w:r>
              <w:t>The revenue is recognised when the:</w:t>
            </w:r>
          </w:p>
          <w:p w14:paraId="1E8C8D7A" w14:textId="6313F5D2" w:rsidR="003A2C7B" w:rsidRDefault="003A2C7B" w:rsidP="003A2C7B">
            <w:pPr>
              <w:pStyle w:val="AlphabetListL2"/>
              <w:numPr>
                <w:ilvl w:val="0"/>
                <w:numId w:val="34"/>
              </w:numPr>
            </w:pPr>
            <w:r>
              <w:t>amount of revenue, stage of completion and transaction costs incurred can be reliably</w:t>
            </w:r>
            <w:r w:rsidR="006E737B">
              <w:t> </w:t>
            </w:r>
            <w:r>
              <w:t>measured</w:t>
            </w:r>
            <w:r w:rsidR="000E7C54">
              <w:t>,</w:t>
            </w:r>
            <w:r>
              <w:t xml:space="preserve"> and</w:t>
            </w:r>
          </w:p>
          <w:p w14:paraId="053BA417" w14:textId="691BDB4E" w:rsidR="003A2C7B" w:rsidRDefault="003A2C7B" w:rsidP="003A2C7B">
            <w:pPr>
              <w:pStyle w:val="AlphabetListL2"/>
              <w:numPr>
                <w:ilvl w:val="0"/>
                <w:numId w:val="34"/>
              </w:numPr>
              <w:spacing w:after="240"/>
            </w:pPr>
            <w:r>
              <w:t xml:space="preserve">probably economic benefits associated with the transactions will flow to </w:t>
            </w:r>
            <w:r w:rsidR="00642799">
              <w:t>IHPA</w:t>
            </w:r>
            <w:r>
              <w:t>.</w:t>
            </w:r>
          </w:p>
          <w:p w14:paraId="57641B8C" w14:textId="283B9D9A" w:rsidR="003A2C7B" w:rsidRDefault="003A2C7B" w:rsidP="003A2C7B">
            <w:pPr>
              <w:pStyle w:val="Body"/>
              <w:spacing w:after="80" w:line="288" w:lineRule="auto"/>
            </w:pPr>
            <w:r>
              <w:t>The stage of completion of contracts at the reporting date is determined by reference to the proportion that costs incurred to date bear to the estimated total costs of the transaction.</w:t>
            </w:r>
          </w:p>
          <w:p w14:paraId="00A999A9" w14:textId="3681AF17" w:rsidR="00954A86" w:rsidRDefault="003A2C7B" w:rsidP="003A2C7B">
            <w:pPr>
              <w:pStyle w:val="Body"/>
              <w:spacing w:after="80" w:line="288" w:lineRule="auto"/>
            </w:pPr>
            <w:r>
              <w:t>Receivables for goods and services, which have 30 day terms, are recognised at the nominal amounts due less any impairment allowance account. Collectability of debts is reviewed at the end of the reporting period. Allowances are made when collectability of the debt is no longer probable.</w:t>
            </w:r>
          </w:p>
        </w:tc>
      </w:tr>
    </w:tbl>
    <w:p w14:paraId="00483CF2" w14:textId="77777777" w:rsidR="00954A86" w:rsidRDefault="00954A86" w:rsidP="00954A86">
      <w:pPr>
        <w:pStyle w:val="Body"/>
      </w:pPr>
    </w:p>
    <w:p w14:paraId="2B224231" w14:textId="77777777" w:rsidR="00095A9D" w:rsidRDefault="00095A9D" w:rsidP="00646163">
      <w:pPr>
        <w:pStyle w:val="Body"/>
      </w:pPr>
    </w:p>
    <w:p w14:paraId="3EE20CB7" w14:textId="010EAD7D" w:rsidR="00095A9D" w:rsidRDefault="00095A9D" w:rsidP="00646163">
      <w:pPr>
        <w:pStyle w:val="Body"/>
        <w:sectPr w:rsidR="00095A9D" w:rsidSect="00481983">
          <w:footnotePr>
            <w:pos w:val="beneathText"/>
          </w:footnotePr>
          <w:pgSz w:w="9979" w:h="14175" w:code="13"/>
          <w:pgMar w:top="1134" w:right="1418" w:bottom="992" w:left="1418" w:header="709" w:footer="709" w:gutter="0"/>
          <w:cols w:space="623"/>
          <w:docGrid w:linePitch="360"/>
        </w:sectPr>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EA60FF" w:rsidRPr="00EA60FF" w14:paraId="7723CCA9" w14:textId="77777777" w:rsidTr="00AA4751">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29B80FEF" w14:textId="77777777" w:rsidR="00C90EF3" w:rsidRPr="00EA60FF" w:rsidRDefault="00C90EF3" w:rsidP="00C10B33">
            <w:pPr>
              <w:autoSpaceDE w:val="0"/>
              <w:autoSpaceDN w:val="0"/>
              <w:adjustRightInd w:val="0"/>
              <w:spacing w:after="0" w:line="240" w:lineRule="auto"/>
              <w:rPr>
                <w:rFonts w:ascii="Futura PT Book" w:hAnsi="Futura PT Book"/>
                <w:color w:val="1C1C1C"/>
                <w:sz w:val="24"/>
                <w:szCs w:val="24"/>
              </w:rPr>
            </w:pPr>
            <w:bookmarkStart w:id="162" w:name="_Hlk48559302"/>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1547FBE0" w14:textId="77777777" w:rsidR="00C90EF3" w:rsidRPr="00EA60FF" w:rsidRDefault="00C90EF3"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2020</w:t>
            </w:r>
            <w:r w:rsidRPr="00EA60F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05966EC2" w14:textId="77777777" w:rsidR="00C90EF3" w:rsidRPr="00EA60FF" w:rsidRDefault="00C90EF3"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2019</w:t>
            </w:r>
            <w:r w:rsidRPr="00EA60FF">
              <w:rPr>
                <w:rFonts w:asciiTheme="majorHAnsi" w:hAnsiTheme="majorHAnsi" w:cs="Futura PT Heavy"/>
                <w:color w:val="1C1C1C"/>
                <w:sz w:val="16"/>
                <w:szCs w:val="16"/>
                <w:lang w:val="en-US"/>
              </w:rPr>
              <w:br/>
              <w:t>$’000</w:t>
            </w:r>
          </w:p>
        </w:tc>
      </w:tr>
      <w:tr w:rsidR="00EA60FF" w:rsidRPr="00EA60FF" w14:paraId="442A69F3" w14:textId="77777777" w:rsidTr="002550CF">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6DBB1BCC" w14:textId="29D268B5" w:rsidR="00490E71" w:rsidRPr="00EA60FF" w:rsidRDefault="00490E71" w:rsidP="00C10B33">
            <w:pPr>
              <w:suppressAutoHyphens/>
              <w:autoSpaceDE w:val="0"/>
              <w:autoSpaceDN w:val="0"/>
              <w:adjustRightInd w:val="0"/>
              <w:spacing w:after="0" w:line="240" w:lineRule="auto"/>
              <w:textAlignment w:val="center"/>
              <w:rPr>
                <w:rFonts w:asciiTheme="majorHAnsi" w:hAnsiTheme="majorHAnsi"/>
                <w:color w:val="1C1C1C"/>
                <w:sz w:val="14"/>
                <w:szCs w:val="14"/>
              </w:rPr>
            </w:pPr>
            <w:r w:rsidRPr="00EA60FF">
              <w:rPr>
                <w:rFonts w:asciiTheme="majorHAnsi" w:hAnsiTheme="majorHAnsi"/>
                <w:color w:val="1C1C1C"/>
                <w:sz w:val="14"/>
                <w:szCs w:val="14"/>
              </w:rPr>
              <w:t>Note 1.2</w:t>
            </w:r>
            <w:r w:rsidR="005A2659" w:rsidRPr="00EA60FF">
              <w:rPr>
                <w:rFonts w:asciiTheme="majorHAnsi" w:hAnsiTheme="majorHAnsi"/>
                <w:color w:val="1C1C1C"/>
                <w:sz w:val="14"/>
                <w:szCs w:val="14"/>
              </w:rPr>
              <w:t>B</w:t>
            </w:r>
            <w:r w:rsidRPr="00EA60FF">
              <w:rPr>
                <w:rFonts w:asciiTheme="majorHAnsi" w:hAnsiTheme="majorHAnsi"/>
                <w:color w:val="1C1C1C"/>
                <w:sz w:val="14"/>
                <w:szCs w:val="14"/>
              </w:rPr>
              <w:t xml:space="preserve">: </w:t>
            </w:r>
            <w:r w:rsidR="005A2659" w:rsidRPr="00EA60FF">
              <w:rPr>
                <w:rFonts w:asciiTheme="majorHAnsi" w:hAnsiTheme="majorHAnsi"/>
                <w:color w:val="1C1C1C"/>
                <w:sz w:val="14"/>
                <w:szCs w:val="14"/>
              </w:rPr>
              <w:t>Resources received free of charge</w:t>
            </w:r>
          </w:p>
        </w:tc>
        <w:tc>
          <w:tcPr>
            <w:tcW w:w="992" w:type="dxa"/>
            <w:tcBorders>
              <w:top w:val="single" w:sz="12" w:space="0" w:color="292929"/>
              <w:right w:val="single" w:sz="18" w:space="0" w:color="FFFFFF" w:themeColor="background2"/>
            </w:tcBorders>
            <w:tcMar>
              <w:top w:w="17" w:type="dxa"/>
              <w:left w:w="113" w:type="dxa"/>
              <w:bottom w:w="17" w:type="dxa"/>
              <w:right w:w="113" w:type="dxa"/>
            </w:tcMar>
          </w:tcPr>
          <w:p w14:paraId="3E265998" w14:textId="77777777" w:rsidR="00490E71" w:rsidRPr="00EA60FF" w:rsidRDefault="00490E71"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6047F90E" w14:textId="77777777" w:rsidR="00490E71" w:rsidRPr="00EA60FF" w:rsidRDefault="00490E71" w:rsidP="00C10B33">
            <w:pPr>
              <w:autoSpaceDE w:val="0"/>
              <w:autoSpaceDN w:val="0"/>
              <w:adjustRightInd w:val="0"/>
              <w:spacing w:after="0" w:line="240" w:lineRule="auto"/>
              <w:jc w:val="right"/>
              <w:rPr>
                <w:color w:val="1C1C1C"/>
                <w:sz w:val="14"/>
                <w:szCs w:val="14"/>
              </w:rPr>
            </w:pPr>
          </w:p>
        </w:tc>
      </w:tr>
      <w:tr w:rsidR="00EA60FF" w:rsidRPr="00EA60FF" w14:paraId="5201F214" w14:textId="77777777" w:rsidTr="00AA4751">
        <w:trPr>
          <w:trHeight w:val="170"/>
        </w:trPr>
        <w:tc>
          <w:tcPr>
            <w:tcW w:w="5111" w:type="dxa"/>
            <w:tcBorders>
              <w:left w:val="single" w:sz="4" w:space="0" w:color="FFFFFF" w:themeColor="background2"/>
              <w:bottom w:val="single" w:sz="4" w:space="0" w:color="FFFFFF" w:themeColor="background2"/>
            </w:tcBorders>
            <w:tcMar>
              <w:top w:w="17" w:type="dxa"/>
              <w:left w:w="80" w:type="dxa"/>
              <w:bottom w:w="17" w:type="dxa"/>
              <w:right w:w="80" w:type="dxa"/>
            </w:tcMar>
          </w:tcPr>
          <w:p w14:paraId="336F5479" w14:textId="2BD9F04C" w:rsidR="00C90EF3" w:rsidRPr="00EA60FF" w:rsidRDefault="005A2659" w:rsidP="00C10B33">
            <w:pPr>
              <w:suppressAutoHyphens/>
              <w:autoSpaceDE w:val="0"/>
              <w:autoSpaceDN w:val="0"/>
              <w:adjustRightInd w:val="0"/>
              <w:spacing w:after="0" w:line="240" w:lineRule="auto"/>
              <w:textAlignment w:val="center"/>
              <w:rPr>
                <w:rFonts w:cs="Futura PT Book"/>
                <w:color w:val="1C1C1C"/>
                <w:sz w:val="14"/>
                <w:szCs w:val="14"/>
                <w:lang w:val="en-US"/>
              </w:rPr>
            </w:pPr>
            <w:r w:rsidRPr="00EA60FF">
              <w:rPr>
                <w:color w:val="1C1C1C"/>
                <w:sz w:val="14"/>
                <w:szCs w:val="14"/>
              </w:rPr>
              <w:t>Departmental contribution received free of charge</w:t>
            </w:r>
          </w:p>
        </w:tc>
        <w:tc>
          <w:tcPr>
            <w:tcW w:w="992" w:type="dxa"/>
            <w:tcBorders>
              <w:bottom w:val="single" w:sz="4" w:space="0" w:color="FFFFFF" w:themeColor="background2"/>
            </w:tcBorders>
            <w:tcMar>
              <w:top w:w="17" w:type="dxa"/>
              <w:left w:w="113" w:type="dxa"/>
              <w:bottom w:w="17" w:type="dxa"/>
              <w:right w:w="113" w:type="dxa"/>
            </w:tcMar>
          </w:tcPr>
          <w:p w14:paraId="51088125" w14:textId="57E47279" w:rsidR="00C90EF3" w:rsidRPr="00EA60FF" w:rsidRDefault="005A2659" w:rsidP="00C10B33">
            <w:pPr>
              <w:autoSpaceDE w:val="0"/>
              <w:autoSpaceDN w:val="0"/>
              <w:adjustRightInd w:val="0"/>
              <w:spacing w:after="0" w:line="240" w:lineRule="auto"/>
              <w:jc w:val="right"/>
              <w:rPr>
                <w:rFonts w:asciiTheme="majorHAnsi" w:hAnsiTheme="majorHAnsi"/>
                <w:color w:val="1C1C1C"/>
                <w:sz w:val="14"/>
                <w:szCs w:val="14"/>
              </w:rPr>
            </w:pPr>
            <w:r w:rsidRPr="00EA60FF">
              <w:rPr>
                <w:rFonts w:asciiTheme="majorHAnsi" w:hAnsiTheme="majorHAnsi"/>
                <w:color w:val="1C1C1C"/>
                <w:sz w:val="14"/>
                <w:szCs w:val="14"/>
              </w:rPr>
              <w:t>7,657</w:t>
            </w:r>
          </w:p>
        </w:tc>
        <w:tc>
          <w:tcPr>
            <w:tcW w:w="993" w:type="dxa"/>
            <w:tcMar>
              <w:top w:w="17" w:type="dxa"/>
              <w:left w:w="113" w:type="dxa"/>
              <w:bottom w:w="17" w:type="dxa"/>
              <w:right w:w="113" w:type="dxa"/>
            </w:tcMar>
          </w:tcPr>
          <w:p w14:paraId="4E4F4474" w14:textId="48EE1F4B" w:rsidR="00C90EF3" w:rsidRPr="00EA60FF" w:rsidRDefault="005A2659" w:rsidP="00C10B33">
            <w:pPr>
              <w:autoSpaceDE w:val="0"/>
              <w:autoSpaceDN w:val="0"/>
              <w:adjustRightInd w:val="0"/>
              <w:spacing w:after="0" w:line="240" w:lineRule="auto"/>
              <w:jc w:val="right"/>
              <w:rPr>
                <w:color w:val="1C1C1C"/>
                <w:sz w:val="14"/>
                <w:szCs w:val="14"/>
              </w:rPr>
            </w:pPr>
            <w:r w:rsidRPr="00EA60FF">
              <w:rPr>
                <w:color w:val="1C1C1C"/>
                <w:sz w:val="14"/>
                <w:szCs w:val="14"/>
              </w:rPr>
              <w:t>6,359</w:t>
            </w:r>
          </w:p>
        </w:tc>
      </w:tr>
      <w:tr w:rsidR="00EA60FF" w:rsidRPr="00EA60FF" w14:paraId="57AFD8EB" w14:textId="77777777" w:rsidTr="00723714">
        <w:trPr>
          <w:trHeight w:val="170"/>
        </w:trPr>
        <w:tc>
          <w:tcPr>
            <w:tcW w:w="5111" w:type="dxa"/>
            <w:tcBorders>
              <w:left w:val="single" w:sz="4" w:space="0" w:color="FFFFFF" w:themeColor="background2"/>
              <w:bottom w:val="single" w:sz="4" w:space="0" w:color="FFFFFF" w:themeColor="background2"/>
            </w:tcBorders>
            <w:tcMar>
              <w:top w:w="17" w:type="dxa"/>
              <w:left w:w="80" w:type="dxa"/>
              <w:bottom w:w="17" w:type="dxa"/>
              <w:right w:w="80" w:type="dxa"/>
            </w:tcMar>
          </w:tcPr>
          <w:p w14:paraId="4F23C527" w14:textId="628D25A7" w:rsidR="005A2659" w:rsidRPr="00EA60FF" w:rsidRDefault="005A2659" w:rsidP="00C10B33">
            <w:pPr>
              <w:suppressAutoHyphens/>
              <w:autoSpaceDE w:val="0"/>
              <w:autoSpaceDN w:val="0"/>
              <w:adjustRightInd w:val="0"/>
              <w:spacing w:after="0" w:line="240" w:lineRule="auto"/>
              <w:textAlignment w:val="center"/>
              <w:rPr>
                <w:color w:val="1C1C1C"/>
                <w:sz w:val="14"/>
                <w:szCs w:val="14"/>
              </w:rPr>
            </w:pPr>
            <w:r w:rsidRPr="00EA60FF">
              <w:rPr>
                <w:color w:val="1C1C1C"/>
                <w:sz w:val="14"/>
                <w:szCs w:val="14"/>
              </w:rPr>
              <w:t>Other resources received free of charge</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2A4F5272" w14:textId="4B7A63A3" w:rsidR="005A2659" w:rsidRPr="00EA60FF" w:rsidRDefault="005A2659" w:rsidP="00C10B33">
            <w:pPr>
              <w:autoSpaceDE w:val="0"/>
              <w:autoSpaceDN w:val="0"/>
              <w:adjustRightInd w:val="0"/>
              <w:spacing w:after="0" w:line="240" w:lineRule="auto"/>
              <w:jc w:val="right"/>
              <w:rPr>
                <w:rFonts w:asciiTheme="majorHAnsi" w:hAnsiTheme="majorHAnsi"/>
                <w:color w:val="1C1C1C"/>
                <w:sz w:val="14"/>
                <w:szCs w:val="14"/>
              </w:rPr>
            </w:pPr>
            <w:r w:rsidRPr="00EA60FF">
              <w:rPr>
                <w:rFonts w:asciiTheme="majorHAnsi" w:hAnsiTheme="majorHAnsi"/>
                <w:color w:val="1C1C1C"/>
                <w:sz w:val="14"/>
                <w:szCs w:val="14"/>
              </w:rPr>
              <w:t>65</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401A9AC2" w14:textId="39193863" w:rsidR="005A2659" w:rsidRPr="00EA60FF" w:rsidRDefault="005A2659" w:rsidP="00C10B33">
            <w:pPr>
              <w:autoSpaceDE w:val="0"/>
              <w:autoSpaceDN w:val="0"/>
              <w:adjustRightInd w:val="0"/>
              <w:spacing w:after="0" w:line="240" w:lineRule="auto"/>
              <w:jc w:val="right"/>
              <w:rPr>
                <w:color w:val="1C1C1C"/>
                <w:sz w:val="14"/>
                <w:szCs w:val="14"/>
              </w:rPr>
            </w:pPr>
            <w:r w:rsidRPr="00EA60FF">
              <w:rPr>
                <w:color w:val="1C1C1C"/>
                <w:sz w:val="14"/>
                <w:szCs w:val="14"/>
              </w:rPr>
              <w:t>64</w:t>
            </w:r>
          </w:p>
        </w:tc>
      </w:tr>
      <w:tr w:rsidR="00EA60FF" w:rsidRPr="00EA60FF" w14:paraId="19EEC5F3" w14:textId="77777777" w:rsidTr="00723714">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2FB0BE3C" w14:textId="7FFC6938" w:rsidR="00C90EF3" w:rsidRPr="00EA60FF" w:rsidRDefault="00C90EF3"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EA60FF">
              <w:rPr>
                <w:rFonts w:asciiTheme="majorHAnsi" w:hAnsiTheme="majorHAnsi"/>
                <w:color w:val="1C1C1C"/>
                <w:sz w:val="14"/>
                <w:szCs w:val="14"/>
              </w:rPr>
              <w:t xml:space="preserve">Total other </w:t>
            </w:r>
            <w:r w:rsidR="005A2659" w:rsidRPr="00EA60FF">
              <w:rPr>
                <w:rFonts w:asciiTheme="majorHAnsi" w:hAnsiTheme="majorHAnsi"/>
                <w:color w:val="1C1C1C"/>
                <w:sz w:val="14"/>
                <w:szCs w:val="14"/>
              </w:rPr>
              <w:t>revenue</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2A7EDCE3" w14:textId="4862199F" w:rsidR="00C90EF3" w:rsidRPr="00EA60FF" w:rsidRDefault="005A2659" w:rsidP="00C10B33">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EA60FF">
              <w:rPr>
                <w:rFonts w:asciiTheme="majorHAnsi" w:hAnsiTheme="majorHAnsi"/>
                <w:color w:val="1C1C1C"/>
                <w:sz w:val="14"/>
                <w:szCs w:val="14"/>
              </w:rPr>
              <w:t>7,722</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5FECC92E" w14:textId="79C5772E" w:rsidR="00C90EF3" w:rsidRPr="00EA60FF" w:rsidRDefault="005A2659"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EA60FF">
              <w:rPr>
                <w:color w:val="1C1C1C"/>
                <w:sz w:val="14"/>
                <w:szCs w:val="14"/>
              </w:rPr>
              <w:t>6,423</w:t>
            </w:r>
          </w:p>
        </w:tc>
      </w:tr>
      <w:tr w:rsidR="00EA60FF" w:rsidRPr="00EA60FF" w14:paraId="484AB332" w14:textId="77777777" w:rsidTr="00723714">
        <w:trPr>
          <w:trHeight w:val="57"/>
        </w:trPr>
        <w:tc>
          <w:tcPr>
            <w:tcW w:w="5111" w:type="dxa"/>
            <w:tcBorders>
              <w:top w:val="single" w:sz="4" w:space="0" w:color="FFFFFF" w:themeColor="background2"/>
              <w:left w:val="single" w:sz="4" w:space="0" w:color="FFFFFF" w:themeColor="background2"/>
              <w:bottom w:val="single" w:sz="8" w:space="0" w:color="FFFFFF" w:themeColor="background2"/>
            </w:tcBorders>
            <w:tcMar>
              <w:top w:w="17" w:type="dxa"/>
              <w:left w:w="80" w:type="dxa"/>
              <w:bottom w:w="17" w:type="dxa"/>
              <w:right w:w="80" w:type="dxa"/>
            </w:tcMar>
          </w:tcPr>
          <w:p w14:paraId="4D68D1CD" w14:textId="77777777" w:rsidR="00723714" w:rsidRPr="00EA60FF" w:rsidRDefault="00723714" w:rsidP="00C10B33">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494594E4" w14:textId="77777777" w:rsidR="00723714" w:rsidRPr="00EA60FF" w:rsidRDefault="00723714" w:rsidP="00C10B33">
            <w:pPr>
              <w:suppressAutoHyphens/>
              <w:autoSpaceDE w:val="0"/>
              <w:autoSpaceDN w:val="0"/>
              <w:adjustRightInd w:val="0"/>
              <w:spacing w:after="0" w:line="240" w:lineRule="auto"/>
              <w:jc w:val="right"/>
              <w:textAlignment w:val="center"/>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0D6DCC7E" w14:textId="77777777" w:rsidR="00723714" w:rsidRPr="00EA60FF" w:rsidRDefault="00723714" w:rsidP="00C10B33">
            <w:pPr>
              <w:suppressAutoHyphens/>
              <w:autoSpaceDE w:val="0"/>
              <w:autoSpaceDN w:val="0"/>
              <w:adjustRightInd w:val="0"/>
              <w:spacing w:after="0" w:line="240" w:lineRule="auto"/>
              <w:jc w:val="right"/>
              <w:textAlignment w:val="center"/>
              <w:rPr>
                <w:color w:val="1C1C1C"/>
                <w:sz w:val="4"/>
                <w:szCs w:val="4"/>
              </w:rPr>
            </w:pPr>
          </w:p>
        </w:tc>
      </w:tr>
      <w:bookmarkEnd w:id="162"/>
    </w:tbl>
    <w:p w14:paraId="2965B955" w14:textId="6FF9AC69" w:rsidR="00565C78" w:rsidRDefault="00565C78" w:rsidP="00646163">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E956FA" w14:paraId="48245379" w14:textId="77777777" w:rsidTr="00C10B33">
        <w:tc>
          <w:tcPr>
            <w:tcW w:w="5000" w:type="pct"/>
          </w:tcPr>
          <w:p w14:paraId="7EB74CDB" w14:textId="77777777" w:rsidR="00E956FA" w:rsidRPr="005300C0" w:rsidRDefault="00E956FA" w:rsidP="00303955">
            <w:pPr>
              <w:pStyle w:val="Body"/>
              <w:spacing w:after="120" w:line="288" w:lineRule="auto"/>
              <w:rPr>
                <w:rFonts w:asciiTheme="majorHAnsi" w:hAnsiTheme="majorHAnsi"/>
              </w:rPr>
            </w:pPr>
            <w:r w:rsidRPr="005300C0">
              <w:rPr>
                <w:rFonts w:asciiTheme="majorHAnsi" w:hAnsiTheme="majorHAnsi"/>
              </w:rPr>
              <w:t>Accounting Policy</w:t>
            </w:r>
          </w:p>
          <w:p w14:paraId="590C68BE" w14:textId="5C9801D1" w:rsidR="00E956FA" w:rsidRPr="00303955" w:rsidRDefault="00E956FA" w:rsidP="00303955">
            <w:pPr>
              <w:pStyle w:val="Body"/>
              <w:spacing w:after="120" w:line="288" w:lineRule="auto"/>
              <w:rPr>
                <w:b/>
                <w:bCs/>
              </w:rPr>
            </w:pPr>
            <w:r w:rsidRPr="00303955">
              <w:rPr>
                <w:b/>
                <w:bCs/>
              </w:rPr>
              <w:t xml:space="preserve">Revenue received free of charge </w:t>
            </w:r>
          </w:p>
          <w:p w14:paraId="4C1B2341" w14:textId="0ED91847" w:rsidR="00E956FA" w:rsidRDefault="00E956FA" w:rsidP="00C10B33">
            <w:pPr>
              <w:pStyle w:val="Body"/>
              <w:spacing w:line="288" w:lineRule="auto"/>
            </w:pPr>
            <w:r w:rsidRPr="00E956FA">
              <w:t>Resources received free of charge are recognised as revenue when, and only when, a fair value</w:t>
            </w:r>
            <w:r w:rsidR="00B11D0B">
              <w:t> </w:t>
            </w:r>
            <w:r w:rsidRPr="00E956FA">
              <w:t>can be reliably determined and the services would have been purchased if they had not been</w:t>
            </w:r>
            <w:r w:rsidR="00B11D0B">
              <w:t> </w:t>
            </w:r>
            <w:r w:rsidRPr="00E956FA">
              <w:t>donated.</w:t>
            </w:r>
            <w:r w:rsidR="00BB77E6">
              <w:t xml:space="preserve"> </w:t>
            </w:r>
            <w:r w:rsidRPr="00E956FA">
              <w:t>Use of those resources is recognised as an expense. Resources received free of charge are recorded as revenue</w:t>
            </w:r>
          </w:p>
        </w:tc>
      </w:tr>
    </w:tbl>
    <w:p w14:paraId="58583892" w14:textId="77777777" w:rsidR="00E956FA" w:rsidRDefault="00E956FA" w:rsidP="00646163">
      <w:pPr>
        <w:pStyle w:val="Body"/>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E351ED" w:rsidRPr="00E351ED" w14:paraId="036201C3" w14:textId="77777777" w:rsidTr="00AA4751">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5C1DF83A" w14:textId="77777777" w:rsidR="005A2659" w:rsidRPr="00E351ED" w:rsidRDefault="005A2659"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04C8AE9A" w14:textId="77777777" w:rsidR="005A2659" w:rsidRPr="00E351ED" w:rsidRDefault="005A2659"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2020</w:t>
            </w:r>
            <w:r w:rsidRPr="00E351ED">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21DF0225" w14:textId="77777777" w:rsidR="005A2659" w:rsidRPr="00E351ED" w:rsidRDefault="005A2659"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2019</w:t>
            </w:r>
            <w:r w:rsidRPr="00E351ED">
              <w:rPr>
                <w:rFonts w:asciiTheme="majorHAnsi" w:hAnsiTheme="majorHAnsi" w:cs="Futura PT Heavy"/>
                <w:color w:val="1C1C1C"/>
                <w:sz w:val="16"/>
                <w:szCs w:val="16"/>
                <w:lang w:val="en-US"/>
              </w:rPr>
              <w:br/>
              <w:t>$’000</w:t>
            </w:r>
          </w:p>
        </w:tc>
      </w:tr>
      <w:tr w:rsidR="00E351ED" w:rsidRPr="00E351ED" w14:paraId="777A593E" w14:textId="77777777" w:rsidTr="002550CF">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61EA51C8" w14:textId="77777777" w:rsidR="005A2659" w:rsidRPr="00E351ED" w:rsidRDefault="005A2659" w:rsidP="00C10B33">
            <w:pPr>
              <w:suppressAutoHyphens/>
              <w:autoSpaceDE w:val="0"/>
              <w:autoSpaceDN w:val="0"/>
              <w:adjustRightInd w:val="0"/>
              <w:spacing w:after="0" w:line="240" w:lineRule="auto"/>
              <w:textAlignment w:val="center"/>
              <w:rPr>
                <w:rFonts w:asciiTheme="majorHAnsi" w:hAnsiTheme="majorHAnsi"/>
                <w:color w:val="1C1C1C"/>
                <w:sz w:val="14"/>
                <w:szCs w:val="14"/>
              </w:rPr>
            </w:pPr>
            <w:r w:rsidRPr="00E351ED">
              <w:rPr>
                <w:rFonts w:asciiTheme="majorHAnsi" w:hAnsiTheme="majorHAnsi"/>
                <w:color w:val="1C1C1C"/>
                <w:sz w:val="14"/>
                <w:szCs w:val="14"/>
              </w:rPr>
              <w:t>Note 1.2C: Other gains</w:t>
            </w:r>
          </w:p>
        </w:tc>
        <w:tc>
          <w:tcPr>
            <w:tcW w:w="992" w:type="dxa"/>
            <w:tcBorders>
              <w:top w:val="single" w:sz="12" w:space="0" w:color="292929"/>
              <w:right w:val="single" w:sz="18" w:space="0" w:color="FFFFFF" w:themeColor="background2"/>
            </w:tcBorders>
            <w:tcMar>
              <w:top w:w="17" w:type="dxa"/>
              <w:left w:w="113" w:type="dxa"/>
              <w:bottom w:w="17" w:type="dxa"/>
              <w:right w:w="113" w:type="dxa"/>
            </w:tcMar>
          </w:tcPr>
          <w:p w14:paraId="75504B7B" w14:textId="77777777" w:rsidR="005A2659" w:rsidRPr="00E351ED" w:rsidRDefault="005A2659"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246CA81E" w14:textId="77777777" w:rsidR="005A2659" w:rsidRPr="00E351ED" w:rsidRDefault="005A2659" w:rsidP="00C10B33">
            <w:pPr>
              <w:autoSpaceDE w:val="0"/>
              <w:autoSpaceDN w:val="0"/>
              <w:adjustRightInd w:val="0"/>
              <w:spacing w:after="0" w:line="240" w:lineRule="auto"/>
              <w:jc w:val="right"/>
              <w:rPr>
                <w:color w:val="1C1C1C"/>
                <w:sz w:val="14"/>
                <w:szCs w:val="14"/>
              </w:rPr>
            </w:pPr>
          </w:p>
        </w:tc>
      </w:tr>
      <w:tr w:rsidR="00E351ED" w:rsidRPr="00E351ED" w14:paraId="5C0206E1" w14:textId="77777777" w:rsidTr="00723714">
        <w:trPr>
          <w:trHeight w:val="170"/>
        </w:trPr>
        <w:tc>
          <w:tcPr>
            <w:tcW w:w="5111" w:type="dxa"/>
            <w:tcBorders>
              <w:left w:val="single" w:sz="4" w:space="0" w:color="FFFFFF" w:themeColor="background2"/>
              <w:bottom w:val="single" w:sz="4" w:space="0" w:color="FFFFFF" w:themeColor="background2"/>
            </w:tcBorders>
            <w:tcMar>
              <w:top w:w="17" w:type="dxa"/>
              <w:left w:w="80" w:type="dxa"/>
              <w:bottom w:w="17" w:type="dxa"/>
              <w:right w:w="80" w:type="dxa"/>
            </w:tcMar>
          </w:tcPr>
          <w:p w14:paraId="2BBE9144" w14:textId="77777777" w:rsidR="005A2659" w:rsidRPr="00E351ED" w:rsidRDefault="005A2659" w:rsidP="00C10B33">
            <w:pPr>
              <w:suppressAutoHyphens/>
              <w:autoSpaceDE w:val="0"/>
              <w:autoSpaceDN w:val="0"/>
              <w:adjustRightInd w:val="0"/>
              <w:spacing w:after="0" w:line="240" w:lineRule="auto"/>
              <w:textAlignment w:val="center"/>
              <w:rPr>
                <w:rFonts w:cs="Futura PT Book"/>
                <w:color w:val="1C1C1C"/>
                <w:sz w:val="14"/>
                <w:szCs w:val="14"/>
                <w:lang w:val="en-US"/>
              </w:rPr>
            </w:pPr>
            <w:r w:rsidRPr="00E351ED">
              <w:rPr>
                <w:color w:val="1C1C1C"/>
                <w:sz w:val="14"/>
                <w:szCs w:val="14"/>
              </w:rPr>
              <w:t>Reversal of restoration provision / make-good asset</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48D7AD5A" w14:textId="77777777" w:rsidR="005A2659" w:rsidRPr="00E351ED" w:rsidRDefault="005A2659" w:rsidP="00C10B33">
            <w:pPr>
              <w:autoSpaceDE w:val="0"/>
              <w:autoSpaceDN w:val="0"/>
              <w:adjustRightInd w:val="0"/>
              <w:spacing w:after="0" w:line="240" w:lineRule="auto"/>
              <w:jc w:val="right"/>
              <w:rPr>
                <w:rFonts w:asciiTheme="majorHAnsi" w:hAnsiTheme="majorHAnsi"/>
                <w:color w:val="1C1C1C"/>
                <w:sz w:val="14"/>
                <w:szCs w:val="14"/>
              </w:rPr>
            </w:pPr>
            <w:r w:rsidRPr="00E351ED">
              <w:rPr>
                <w:rFonts w:asciiTheme="majorHAnsi" w:hAnsiTheme="majorHAnsi"/>
                <w:color w:val="1C1C1C"/>
                <w:sz w:val="14"/>
                <w:szCs w:val="14"/>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152232C2" w14:textId="77777777" w:rsidR="005A2659" w:rsidRPr="00E351ED" w:rsidRDefault="005A2659" w:rsidP="00C10B33">
            <w:pPr>
              <w:autoSpaceDE w:val="0"/>
              <w:autoSpaceDN w:val="0"/>
              <w:adjustRightInd w:val="0"/>
              <w:spacing w:after="0" w:line="240" w:lineRule="auto"/>
              <w:jc w:val="right"/>
              <w:rPr>
                <w:color w:val="1C1C1C"/>
                <w:sz w:val="14"/>
                <w:szCs w:val="14"/>
              </w:rPr>
            </w:pPr>
            <w:r w:rsidRPr="00E351ED">
              <w:rPr>
                <w:color w:val="1C1C1C"/>
                <w:sz w:val="14"/>
                <w:szCs w:val="14"/>
              </w:rPr>
              <w:t>27</w:t>
            </w:r>
          </w:p>
        </w:tc>
      </w:tr>
      <w:tr w:rsidR="00E351ED" w:rsidRPr="00E351ED" w14:paraId="4A35CFD0" w14:textId="77777777" w:rsidTr="00723714">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54CECDBD" w14:textId="77777777" w:rsidR="005A2659" w:rsidRPr="00E351ED" w:rsidRDefault="005A2659"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E351ED">
              <w:rPr>
                <w:rFonts w:asciiTheme="majorHAnsi" w:hAnsiTheme="majorHAnsi"/>
                <w:color w:val="1C1C1C"/>
                <w:sz w:val="14"/>
                <w:szCs w:val="14"/>
              </w:rPr>
              <w:t>Total other gains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1CB7A9FF" w14:textId="77777777" w:rsidR="005A2659" w:rsidRPr="00E351ED" w:rsidRDefault="005A2659" w:rsidP="00C10B33">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E351ED">
              <w:rPr>
                <w:rFonts w:asciiTheme="majorHAnsi" w:hAnsiTheme="majorHAnsi"/>
                <w:color w:val="1C1C1C"/>
                <w:sz w:val="14"/>
                <w:szCs w:val="14"/>
              </w:rPr>
              <w:t>-</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4D016969" w14:textId="77777777" w:rsidR="005A2659" w:rsidRPr="00E351ED" w:rsidRDefault="005A2659"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E351ED">
              <w:rPr>
                <w:color w:val="1C1C1C"/>
                <w:sz w:val="14"/>
                <w:szCs w:val="14"/>
              </w:rPr>
              <w:t>27</w:t>
            </w:r>
          </w:p>
        </w:tc>
      </w:tr>
      <w:tr w:rsidR="00E351ED" w:rsidRPr="00E351ED" w14:paraId="5E482F3A" w14:textId="77777777" w:rsidTr="00723714">
        <w:trPr>
          <w:trHeight w:val="57"/>
        </w:trPr>
        <w:tc>
          <w:tcPr>
            <w:tcW w:w="5111" w:type="dxa"/>
            <w:tcBorders>
              <w:top w:val="single" w:sz="4" w:space="0" w:color="FFFFFF" w:themeColor="background2"/>
              <w:left w:val="single" w:sz="4" w:space="0" w:color="FFFFFF" w:themeColor="background2"/>
              <w:bottom w:val="single" w:sz="8" w:space="0" w:color="FFFFFF" w:themeColor="background2"/>
            </w:tcBorders>
            <w:tcMar>
              <w:top w:w="17" w:type="dxa"/>
              <w:left w:w="80" w:type="dxa"/>
              <w:bottom w:w="17" w:type="dxa"/>
              <w:right w:w="80" w:type="dxa"/>
            </w:tcMar>
          </w:tcPr>
          <w:p w14:paraId="26F8837D" w14:textId="77777777" w:rsidR="00723714" w:rsidRPr="00E351ED" w:rsidRDefault="00723714" w:rsidP="00C10B33">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26D92296" w14:textId="77777777" w:rsidR="00723714" w:rsidRPr="00E351ED" w:rsidRDefault="00723714" w:rsidP="00C10B33">
            <w:pPr>
              <w:suppressAutoHyphens/>
              <w:autoSpaceDE w:val="0"/>
              <w:autoSpaceDN w:val="0"/>
              <w:adjustRightInd w:val="0"/>
              <w:spacing w:after="0" w:line="240" w:lineRule="auto"/>
              <w:jc w:val="right"/>
              <w:textAlignment w:val="center"/>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7310959A" w14:textId="77777777" w:rsidR="00723714" w:rsidRPr="00E351ED" w:rsidRDefault="00723714" w:rsidP="00C10B33">
            <w:pPr>
              <w:suppressAutoHyphens/>
              <w:autoSpaceDE w:val="0"/>
              <w:autoSpaceDN w:val="0"/>
              <w:adjustRightInd w:val="0"/>
              <w:spacing w:after="0" w:line="240" w:lineRule="auto"/>
              <w:jc w:val="right"/>
              <w:textAlignment w:val="center"/>
              <w:rPr>
                <w:color w:val="1C1C1C"/>
                <w:sz w:val="4"/>
                <w:szCs w:val="4"/>
              </w:rPr>
            </w:pPr>
          </w:p>
        </w:tc>
      </w:tr>
    </w:tbl>
    <w:p w14:paraId="0668163C" w14:textId="77777777" w:rsidR="005A2659" w:rsidRDefault="005A2659" w:rsidP="00646163">
      <w:pPr>
        <w:pStyle w:val="Body"/>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D506A8" w:rsidRPr="00D506A8" w14:paraId="0B8FD54C" w14:textId="77777777" w:rsidTr="00AA4751">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0E849010" w14:textId="77777777" w:rsidR="00C90EF3" w:rsidRPr="00D506A8" w:rsidRDefault="00C90EF3"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0E9771FC" w14:textId="77777777" w:rsidR="00C90EF3" w:rsidRPr="00D506A8" w:rsidRDefault="00C90EF3"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D506A8">
              <w:rPr>
                <w:rFonts w:asciiTheme="majorHAnsi" w:hAnsiTheme="majorHAnsi" w:cs="Futura PT Heavy"/>
                <w:color w:val="1C1C1C"/>
                <w:sz w:val="16"/>
                <w:szCs w:val="16"/>
                <w:lang w:val="en-US"/>
              </w:rPr>
              <w:t>2020</w:t>
            </w:r>
            <w:r w:rsidRPr="00D506A8">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62FC7E8D" w14:textId="77777777" w:rsidR="00C90EF3" w:rsidRPr="00D506A8" w:rsidRDefault="00C90EF3"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D506A8">
              <w:rPr>
                <w:rFonts w:asciiTheme="majorHAnsi" w:hAnsiTheme="majorHAnsi" w:cs="Futura PT Heavy"/>
                <w:color w:val="1C1C1C"/>
                <w:sz w:val="16"/>
                <w:szCs w:val="16"/>
                <w:lang w:val="en-US"/>
              </w:rPr>
              <w:t>2019</w:t>
            </w:r>
            <w:r w:rsidRPr="00D506A8">
              <w:rPr>
                <w:rFonts w:asciiTheme="majorHAnsi" w:hAnsiTheme="majorHAnsi" w:cs="Futura PT Heavy"/>
                <w:color w:val="1C1C1C"/>
                <w:sz w:val="16"/>
                <w:szCs w:val="16"/>
                <w:lang w:val="en-US"/>
              </w:rPr>
              <w:br/>
              <w:t>$’000</w:t>
            </w:r>
          </w:p>
        </w:tc>
      </w:tr>
      <w:tr w:rsidR="00D506A8" w:rsidRPr="00D506A8" w14:paraId="2FECB708" w14:textId="77777777" w:rsidTr="002550CF">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62E45BC1" w14:textId="062D5B54" w:rsidR="00490E71" w:rsidRPr="00D506A8" w:rsidRDefault="00490E71" w:rsidP="00C10B33">
            <w:pPr>
              <w:suppressAutoHyphens/>
              <w:autoSpaceDE w:val="0"/>
              <w:autoSpaceDN w:val="0"/>
              <w:adjustRightInd w:val="0"/>
              <w:spacing w:after="0" w:line="240" w:lineRule="auto"/>
              <w:textAlignment w:val="center"/>
              <w:rPr>
                <w:color w:val="1C1C1C"/>
                <w:sz w:val="14"/>
                <w:szCs w:val="14"/>
              </w:rPr>
            </w:pPr>
            <w:r w:rsidRPr="00D506A8">
              <w:rPr>
                <w:rFonts w:asciiTheme="majorHAnsi" w:hAnsiTheme="majorHAnsi"/>
                <w:color w:val="1C1C1C"/>
                <w:sz w:val="14"/>
                <w:szCs w:val="14"/>
              </w:rPr>
              <w:t>Note 1.2D: Revenue from Government</w:t>
            </w:r>
          </w:p>
        </w:tc>
        <w:tc>
          <w:tcPr>
            <w:tcW w:w="992" w:type="dxa"/>
            <w:tcBorders>
              <w:top w:val="single" w:sz="12" w:space="0" w:color="292929"/>
              <w:right w:val="single" w:sz="18" w:space="0" w:color="FFFFFF" w:themeColor="background2"/>
            </w:tcBorders>
            <w:tcMar>
              <w:top w:w="17" w:type="dxa"/>
              <w:left w:w="113" w:type="dxa"/>
              <w:bottom w:w="17" w:type="dxa"/>
              <w:right w:w="113" w:type="dxa"/>
            </w:tcMar>
          </w:tcPr>
          <w:p w14:paraId="6DA0F83E" w14:textId="77777777" w:rsidR="00490E71" w:rsidRPr="00D506A8" w:rsidRDefault="00490E71"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53604966" w14:textId="77777777" w:rsidR="00490E71" w:rsidRPr="00D506A8" w:rsidRDefault="00490E71" w:rsidP="00C10B33">
            <w:pPr>
              <w:autoSpaceDE w:val="0"/>
              <w:autoSpaceDN w:val="0"/>
              <w:adjustRightInd w:val="0"/>
              <w:spacing w:after="0" w:line="240" w:lineRule="auto"/>
              <w:jc w:val="right"/>
              <w:rPr>
                <w:color w:val="1C1C1C"/>
                <w:sz w:val="14"/>
                <w:szCs w:val="14"/>
              </w:rPr>
            </w:pPr>
          </w:p>
        </w:tc>
      </w:tr>
      <w:tr w:rsidR="00D506A8" w:rsidRPr="00D506A8" w14:paraId="0F018264" w14:textId="77777777" w:rsidTr="00723714">
        <w:trPr>
          <w:trHeight w:val="170"/>
        </w:trPr>
        <w:tc>
          <w:tcPr>
            <w:tcW w:w="5111" w:type="dxa"/>
            <w:tcBorders>
              <w:left w:val="single" w:sz="4" w:space="0" w:color="FFFFFF" w:themeColor="background2"/>
              <w:bottom w:val="single" w:sz="4" w:space="0" w:color="FFFFFF" w:themeColor="background2"/>
            </w:tcBorders>
            <w:tcMar>
              <w:top w:w="17" w:type="dxa"/>
              <w:left w:w="80" w:type="dxa"/>
              <w:bottom w:w="17" w:type="dxa"/>
              <w:right w:w="80" w:type="dxa"/>
            </w:tcMar>
          </w:tcPr>
          <w:p w14:paraId="27F67191" w14:textId="4480D4F7" w:rsidR="00C90EF3" w:rsidRPr="00D506A8" w:rsidRDefault="00C90EF3" w:rsidP="00C10B33">
            <w:pPr>
              <w:suppressAutoHyphens/>
              <w:autoSpaceDE w:val="0"/>
              <w:autoSpaceDN w:val="0"/>
              <w:adjustRightInd w:val="0"/>
              <w:spacing w:after="0" w:line="240" w:lineRule="auto"/>
              <w:textAlignment w:val="center"/>
              <w:rPr>
                <w:rFonts w:cs="Futura PT Book"/>
                <w:color w:val="1C1C1C"/>
                <w:sz w:val="14"/>
                <w:szCs w:val="14"/>
                <w:lang w:val="en-US"/>
              </w:rPr>
            </w:pPr>
            <w:r w:rsidRPr="00D506A8">
              <w:rPr>
                <w:color w:val="1C1C1C"/>
                <w:sz w:val="14"/>
                <w:szCs w:val="14"/>
              </w:rPr>
              <w:t>Amounts from Department of Health</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346FA0EB" w14:textId="070052B0" w:rsidR="00C90EF3" w:rsidRPr="00D506A8" w:rsidRDefault="00C90EF3" w:rsidP="00C10B33">
            <w:pPr>
              <w:autoSpaceDE w:val="0"/>
              <w:autoSpaceDN w:val="0"/>
              <w:adjustRightInd w:val="0"/>
              <w:spacing w:after="0" w:line="240" w:lineRule="auto"/>
              <w:jc w:val="right"/>
              <w:rPr>
                <w:rFonts w:asciiTheme="majorHAnsi" w:hAnsiTheme="majorHAnsi"/>
                <w:color w:val="1C1C1C"/>
                <w:sz w:val="14"/>
                <w:szCs w:val="14"/>
              </w:rPr>
            </w:pPr>
            <w:r w:rsidRPr="00D506A8">
              <w:rPr>
                <w:rFonts w:asciiTheme="majorHAnsi" w:hAnsiTheme="majorHAnsi"/>
                <w:color w:val="1C1C1C"/>
                <w:sz w:val="14"/>
                <w:szCs w:val="14"/>
              </w:rPr>
              <w:t>15,024</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397D17A9" w14:textId="037D36B7" w:rsidR="00C90EF3" w:rsidRPr="00D506A8" w:rsidRDefault="00C90EF3" w:rsidP="00C10B33">
            <w:pPr>
              <w:autoSpaceDE w:val="0"/>
              <w:autoSpaceDN w:val="0"/>
              <w:adjustRightInd w:val="0"/>
              <w:spacing w:after="0" w:line="240" w:lineRule="auto"/>
              <w:jc w:val="right"/>
              <w:rPr>
                <w:color w:val="1C1C1C"/>
                <w:sz w:val="14"/>
                <w:szCs w:val="14"/>
              </w:rPr>
            </w:pPr>
            <w:r w:rsidRPr="00D506A8">
              <w:rPr>
                <w:color w:val="1C1C1C"/>
                <w:sz w:val="14"/>
                <w:szCs w:val="14"/>
              </w:rPr>
              <w:t>15,487</w:t>
            </w:r>
          </w:p>
        </w:tc>
      </w:tr>
      <w:tr w:rsidR="00D506A8" w:rsidRPr="00D506A8" w14:paraId="3EE30D0D" w14:textId="77777777" w:rsidTr="00723714">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7F4018E" w14:textId="7917BFEB" w:rsidR="00C90EF3" w:rsidRPr="00D506A8" w:rsidRDefault="00C90EF3"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D506A8">
              <w:rPr>
                <w:rFonts w:asciiTheme="majorHAnsi" w:hAnsiTheme="majorHAnsi"/>
                <w:color w:val="1C1C1C"/>
                <w:sz w:val="14"/>
                <w:szCs w:val="14"/>
              </w:rPr>
              <w:t>Total revenue from Government</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76EC8C82" w14:textId="54B9C8D6" w:rsidR="00C90EF3" w:rsidRPr="00D506A8" w:rsidRDefault="00C90EF3" w:rsidP="00C10B33">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D506A8">
              <w:rPr>
                <w:rFonts w:asciiTheme="majorHAnsi" w:hAnsiTheme="majorHAnsi"/>
                <w:color w:val="1C1C1C"/>
                <w:sz w:val="14"/>
                <w:szCs w:val="14"/>
              </w:rPr>
              <w:t>15,024</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6BD754F4" w14:textId="030475E5" w:rsidR="00C90EF3" w:rsidRPr="00D506A8" w:rsidRDefault="00C90EF3"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D506A8">
              <w:rPr>
                <w:color w:val="1C1C1C"/>
                <w:sz w:val="14"/>
                <w:szCs w:val="14"/>
              </w:rPr>
              <w:t>15,487</w:t>
            </w:r>
          </w:p>
        </w:tc>
      </w:tr>
      <w:tr w:rsidR="00D506A8" w:rsidRPr="00D506A8" w14:paraId="5D6CE699" w14:textId="77777777" w:rsidTr="00723714">
        <w:trPr>
          <w:trHeight w:val="57"/>
        </w:trPr>
        <w:tc>
          <w:tcPr>
            <w:tcW w:w="5111" w:type="dxa"/>
            <w:tcBorders>
              <w:top w:val="single" w:sz="4" w:space="0" w:color="FFFFFF" w:themeColor="background2"/>
              <w:left w:val="single" w:sz="4" w:space="0" w:color="FFFFFF" w:themeColor="background2"/>
              <w:bottom w:val="single" w:sz="8" w:space="0" w:color="FFFFFF" w:themeColor="background2"/>
            </w:tcBorders>
            <w:tcMar>
              <w:top w:w="17" w:type="dxa"/>
              <w:left w:w="80" w:type="dxa"/>
              <w:bottom w:w="17" w:type="dxa"/>
              <w:right w:w="80" w:type="dxa"/>
            </w:tcMar>
          </w:tcPr>
          <w:p w14:paraId="62C78692" w14:textId="77777777" w:rsidR="00723714" w:rsidRPr="00D506A8" w:rsidRDefault="00723714" w:rsidP="00C10B33">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1B826B94" w14:textId="77777777" w:rsidR="00723714" w:rsidRPr="00D506A8" w:rsidRDefault="00723714" w:rsidP="00C10B33">
            <w:pPr>
              <w:suppressAutoHyphens/>
              <w:autoSpaceDE w:val="0"/>
              <w:autoSpaceDN w:val="0"/>
              <w:adjustRightInd w:val="0"/>
              <w:spacing w:after="0" w:line="240" w:lineRule="auto"/>
              <w:jc w:val="right"/>
              <w:textAlignment w:val="center"/>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7565CCC0" w14:textId="77777777" w:rsidR="00723714" w:rsidRPr="00D506A8" w:rsidRDefault="00723714" w:rsidP="00C10B33">
            <w:pPr>
              <w:suppressAutoHyphens/>
              <w:autoSpaceDE w:val="0"/>
              <w:autoSpaceDN w:val="0"/>
              <w:adjustRightInd w:val="0"/>
              <w:spacing w:after="0" w:line="240" w:lineRule="auto"/>
              <w:jc w:val="right"/>
              <w:textAlignment w:val="center"/>
              <w:rPr>
                <w:color w:val="1C1C1C"/>
                <w:sz w:val="4"/>
                <w:szCs w:val="4"/>
              </w:rPr>
            </w:pPr>
          </w:p>
        </w:tc>
      </w:tr>
    </w:tbl>
    <w:p w14:paraId="7FBC16FB" w14:textId="77777777" w:rsidR="00C90EF3" w:rsidRDefault="00C90EF3" w:rsidP="00646163">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C90EF3" w14:paraId="4811BE34" w14:textId="77777777" w:rsidTr="00C10B33">
        <w:tc>
          <w:tcPr>
            <w:tcW w:w="5000" w:type="pct"/>
          </w:tcPr>
          <w:p w14:paraId="4D5A11E5" w14:textId="77777777" w:rsidR="00C90EF3" w:rsidRPr="005300C0" w:rsidRDefault="00C90EF3" w:rsidP="00303955">
            <w:pPr>
              <w:pStyle w:val="Body"/>
              <w:spacing w:after="120" w:line="288" w:lineRule="auto"/>
              <w:rPr>
                <w:rFonts w:asciiTheme="majorHAnsi" w:hAnsiTheme="majorHAnsi"/>
              </w:rPr>
            </w:pPr>
            <w:bookmarkStart w:id="163" w:name="_Hlk48559425"/>
            <w:r w:rsidRPr="005300C0">
              <w:rPr>
                <w:rFonts w:asciiTheme="majorHAnsi" w:hAnsiTheme="majorHAnsi"/>
              </w:rPr>
              <w:t>Accounting Policy</w:t>
            </w:r>
          </w:p>
          <w:p w14:paraId="1E08CE70" w14:textId="77777777" w:rsidR="00C90EF3" w:rsidRPr="00303955" w:rsidRDefault="00C90EF3" w:rsidP="00303955">
            <w:pPr>
              <w:pStyle w:val="Body"/>
              <w:spacing w:after="120" w:line="288" w:lineRule="auto"/>
              <w:rPr>
                <w:b/>
                <w:bCs/>
              </w:rPr>
            </w:pPr>
            <w:r w:rsidRPr="00303955">
              <w:rPr>
                <w:b/>
                <w:bCs/>
              </w:rPr>
              <w:t xml:space="preserve">Revenue from Government </w:t>
            </w:r>
          </w:p>
          <w:p w14:paraId="65249916" w14:textId="39ED1D32" w:rsidR="00C90EF3" w:rsidRDefault="00C90EF3" w:rsidP="00C10B33">
            <w:pPr>
              <w:pStyle w:val="Body"/>
              <w:spacing w:line="288" w:lineRule="auto"/>
            </w:pPr>
            <w:r w:rsidRPr="00C90EF3">
              <w:t>Funding received or receivable from non-corporate Commonwealth entities is recognised as Revenue from Government by IHPA unless the funding is in the nature of an equity injection or a</w:t>
            </w:r>
            <w:r>
              <w:t> </w:t>
            </w:r>
            <w:r w:rsidRPr="00C90EF3">
              <w:t>loan.</w:t>
            </w:r>
          </w:p>
        </w:tc>
      </w:tr>
      <w:bookmarkEnd w:id="163"/>
    </w:tbl>
    <w:p w14:paraId="28C53561" w14:textId="5EC990DC" w:rsidR="00C90EF3" w:rsidRDefault="00C90EF3" w:rsidP="00646163">
      <w:pPr>
        <w:pStyle w:val="Body"/>
      </w:pPr>
    </w:p>
    <w:p w14:paraId="3CB35092" w14:textId="77777777" w:rsidR="00CA72D6" w:rsidRDefault="00CA72D6" w:rsidP="00646163">
      <w:pPr>
        <w:pStyle w:val="Body"/>
        <w:sectPr w:rsidR="00CA72D6" w:rsidSect="00481983">
          <w:footnotePr>
            <w:pos w:val="beneathText"/>
          </w:footnotePr>
          <w:pgSz w:w="9979" w:h="14175" w:code="13"/>
          <w:pgMar w:top="1134" w:right="1418" w:bottom="992" w:left="1418" w:header="709" w:footer="709" w:gutter="0"/>
          <w:cols w:space="623"/>
          <w:docGrid w:linePitch="360"/>
        </w:sectPr>
      </w:pPr>
    </w:p>
    <w:p w14:paraId="523435FE" w14:textId="2D872DE6" w:rsidR="00490E71" w:rsidRDefault="00490E71" w:rsidP="00490E71">
      <w:pPr>
        <w:pStyle w:val="H3Financials"/>
      </w:pPr>
      <w:bookmarkStart w:id="164" w:name="_Toc48828413"/>
      <w:bookmarkStart w:id="165" w:name="FinancialPosition"/>
      <w:r>
        <w:lastRenderedPageBreak/>
        <w:t>Financial position</w:t>
      </w:r>
      <w:bookmarkEnd w:id="164"/>
    </w:p>
    <w:bookmarkEnd w:id="165"/>
    <w:p w14:paraId="6DB63B0D" w14:textId="2E42F7BD" w:rsidR="00490E71" w:rsidRDefault="00490E71" w:rsidP="00490E71">
      <w:pPr>
        <w:pStyle w:val="Body"/>
        <w:rPr>
          <w:bCs/>
        </w:rPr>
      </w:pPr>
      <w:r w:rsidRPr="00490E71">
        <w:t>This section analyses the IHPA's assets used</w:t>
      </w:r>
      <w:r w:rsidR="001613B2">
        <w:t xml:space="preserve"> </w:t>
      </w:r>
      <w:r w:rsidRPr="00490E71">
        <w:t>to conduct its operations and the operating liabilities incurred as a result. Employee-related information is disclosed in the People and Relationships section.</w:t>
      </w:r>
    </w:p>
    <w:p w14:paraId="2C98C724" w14:textId="0FF42D11" w:rsidR="00490E71" w:rsidRDefault="00490E71" w:rsidP="00490E71">
      <w:pPr>
        <w:pStyle w:val="H4Financials"/>
      </w:pPr>
      <w:bookmarkStart w:id="166" w:name="Note21"/>
      <w:bookmarkStart w:id="167" w:name="_Toc48828414"/>
      <w:r>
        <w:t>Note 2.1</w:t>
      </w:r>
      <w:bookmarkEnd w:id="166"/>
      <w:r>
        <w:t xml:space="preserve"> Financial assets</w:t>
      </w:r>
      <w:bookmarkEnd w:id="167"/>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F31138" w:rsidRPr="00F31138" w14:paraId="6DAF595A" w14:textId="77777777" w:rsidTr="00C70916">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7C1C6DE4" w14:textId="77777777" w:rsidR="00490E71" w:rsidRPr="00F31138" w:rsidRDefault="00490E71" w:rsidP="00C10B33">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69B0BE69" w14:textId="77777777" w:rsidR="00490E71" w:rsidRPr="00F31138" w:rsidRDefault="00490E71"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2020</w:t>
            </w:r>
            <w:r w:rsidRPr="00F31138">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3C85A247" w14:textId="77777777" w:rsidR="00490E71" w:rsidRPr="00F31138" w:rsidRDefault="00490E71" w:rsidP="00C10B33">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2019</w:t>
            </w:r>
            <w:r w:rsidRPr="00F31138">
              <w:rPr>
                <w:rFonts w:asciiTheme="majorHAnsi" w:hAnsiTheme="majorHAnsi" w:cs="Futura PT Heavy"/>
                <w:color w:val="1C1C1C"/>
                <w:sz w:val="16"/>
                <w:szCs w:val="16"/>
                <w:lang w:val="en-US"/>
              </w:rPr>
              <w:br/>
              <w:t>$’000</w:t>
            </w:r>
          </w:p>
        </w:tc>
      </w:tr>
      <w:tr w:rsidR="00F31138" w:rsidRPr="00F31138" w14:paraId="34B9AB34"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7B03D08C" w14:textId="4F60F155" w:rsidR="00490E71" w:rsidRPr="00F31138" w:rsidRDefault="00C10B33"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Note 2.1A: Cash and Cash Equivalents</w:t>
            </w:r>
          </w:p>
        </w:tc>
        <w:tc>
          <w:tcPr>
            <w:tcW w:w="992"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5C6478A1" w14:textId="77777777" w:rsidR="00490E71" w:rsidRPr="00F31138" w:rsidRDefault="00490E71" w:rsidP="00C10B33">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15749660" w14:textId="77777777" w:rsidR="00490E71" w:rsidRPr="00F31138" w:rsidRDefault="00490E71" w:rsidP="00C10B33">
            <w:pPr>
              <w:autoSpaceDE w:val="0"/>
              <w:autoSpaceDN w:val="0"/>
              <w:adjustRightInd w:val="0"/>
              <w:spacing w:after="0" w:line="240" w:lineRule="auto"/>
              <w:jc w:val="right"/>
              <w:rPr>
                <w:color w:val="1C1C1C"/>
                <w:sz w:val="14"/>
                <w:szCs w:val="14"/>
              </w:rPr>
            </w:pPr>
          </w:p>
        </w:tc>
      </w:tr>
      <w:tr w:rsidR="00F31138" w:rsidRPr="00F31138" w14:paraId="3928053A" w14:textId="77777777" w:rsidTr="004115E2">
        <w:trPr>
          <w:trHeight w:val="170"/>
        </w:trPr>
        <w:tc>
          <w:tcPr>
            <w:tcW w:w="5111" w:type="dxa"/>
            <w:tcMar>
              <w:top w:w="17" w:type="dxa"/>
              <w:left w:w="80" w:type="dxa"/>
              <w:bottom w:w="17" w:type="dxa"/>
              <w:right w:w="80" w:type="dxa"/>
            </w:tcMar>
          </w:tcPr>
          <w:p w14:paraId="4592BB9F" w14:textId="52FDCA00" w:rsidR="00490E71" w:rsidRPr="00F31138" w:rsidRDefault="00C10B33" w:rsidP="00C10B33">
            <w:pPr>
              <w:suppressAutoHyphens/>
              <w:autoSpaceDE w:val="0"/>
              <w:autoSpaceDN w:val="0"/>
              <w:adjustRightInd w:val="0"/>
              <w:spacing w:after="0" w:line="240" w:lineRule="auto"/>
              <w:textAlignment w:val="center"/>
              <w:rPr>
                <w:rFonts w:cs="Futura PT Book"/>
                <w:color w:val="1C1C1C"/>
                <w:sz w:val="14"/>
                <w:szCs w:val="14"/>
                <w:lang w:val="en-US"/>
              </w:rPr>
            </w:pPr>
            <w:r w:rsidRPr="00F31138">
              <w:rPr>
                <w:color w:val="1C1C1C"/>
                <w:sz w:val="14"/>
                <w:szCs w:val="14"/>
              </w:rPr>
              <w:t>Cash on deposit</w:t>
            </w:r>
          </w:p>
        </w:tc>
        <w:tc>
          <w:tcPr>
            <w:tcW w:w="992" w:type="dxa"/>
            <w:tcBorders>
              <w:bottom w:val="single" w:sz="4" w:space="0" w:color="292929"/>
              <w:right w:val="single" w:sz="8" w:space="0" w:color="FFFFFF" w:themeColor="background2"/>
            </w:tcBorders>
            <w:tcMar>
              <w:top w:w="17" w:type="dxa"/>
              <w:left w:w="113" w:type="dxa"/>
              <w:bottom w:w="17" w:type="dxa"/>
              <w:right w:w="113" w:type="dxa"/>
            </w:tcMar>
          </w:tcPr>
          <w:p w14:paraId="2934A119" w14:textId="0D9999BD" w:rsidR="00490E71" w:rsidRPr="00F31138" w:rsidRDefault="0033705A" w:rsidP="00C10B33">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F31138">
              <w:rPr>
                <w:rFonts w:asciiTheme="majorHAnsi" w:hAnsiTheme="majorHAnsi" w:cs="Futura PT Book"/>
                <w:color w:val="1C1C1C"/>
                <w:sz w:val="14"/>
                <w:szCs w:val="14"/>
                <w:lang w:val="en-US"/>
              </w:rPr>
              <w:t>14,119</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631509DB" w14:textId="4F202294" w:rsidR="00490E71" w:rsidRPr="00F31138" w:rsidRDefault="0033705A"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F31138">
              <w:rPr>
                <w:color w:val="1C1C1C"/>
                <w:sz w:val="14"/>
                <w:szCs w:val="14"/>
              </w:rPr>
              <w:t>13,896</w:t>
            </w:r>
            <w:r w:rsidR="00490E71" w:rsidRPr="00F31138">
              <w:rPr>
                <w:color w:val="1C1C1C"/>
                <w:sz w:val="14"/>
                <w:szCs w:val="14"/>
              </w:rPr>
              <w:t xml:space="preserve"> </w:t>
            </w:r>
          </w:p>
        </w:tc>
      </w:tr>
      <w:tr w:rsidR="00F31138" w:rsidRPr="00F31138" w14:paraId="5E127C8D" w14:textId="77777777" w:rsidTr="004115E2">
        <w:trPr>
          <w:trHeight w:val="170"/>
        </w:trPr>
        <w:tc>
          <w:tcPr>
            <w:tcW w:w="5111" w:type="dxa"/>
            <w:tcMar>
              <w:top w:w="17" w:type="dxa"/>
              <w:left w:w="80" w:type="dxa"/>
              <w:bottom w:w="17" w:type="dxa"/>
              <w:right w:w="80" w:type="dxa"/>
            </w:tcMar>
          </w:tcPr>
          <w:p w14:paraId="4F5D66C6" w14:textId="1CBC3DF6" w:rsidR="00490E71" w:rsidRPr="00F31138" w:rsidRDefault="00C10B33" w:rsidP="00C10B33">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Total cash and cash equivalents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4D3C9890" w14:textId="5D0191B0" w:rsidR="00490E71" w:rsidRPr="00F31138" w:rsidRDefault="0033705A" w:rsidP="00C10B33">
            <w:pPr>
              <w:autoSpaceDE w:val="0"/>
              <w:autoSpaceDN w:val="0"/>
              <w:adjustRightInd w:val="0"/>
              <w:spacing w:after="0" w:line="240" w:lineRule="auto"/>
              <w:jc w:val="right"/>
              <w:rPr>
                <w:rFonts w:asciiTheme="majorHAnsi" w:hAnsiTheme="majorHAnsi"/>
                <w:color w:val="1C1C1C"/>
                <w:sz w:val="14"/>
                <w:szCs w:val="14"/>
              </w:rPr>
            </w:pPr>
            <w:r w:rsidRPr="00F31138">
              <w:rPr>
                <w:rFonts w:asciiTheme="majorHAnsi" w:hAnsiTheme="majorHAnsi"/>
                <w:color w:val="1C1C1C"/>
                <w:sz w:val="14"/>
                <w:szCs w:val="14"/>
              </w:rPr>
              <w:t>14,119</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28B5B5F7" w14:textId="607636D2" w:rsidR="00490E71" w:rsidRPr="00F31138" w:rsidRDefault="00490E71" w:rsidP="00C10B33">
            <w:pPr>
              <w:suppressAutoHyphens/>
              <w:autoSpaceDE w:val="0"/>
              <w:autoSpaceDN w:val="0"/>
              <w:adjustRightInd w:val="0"/>
              <w:spacing w:after="0" w:line="240" w:lineRule="auto"/>
              <w:jc w:val="right"/>
              <w:textAlignment w:val="center"/>
              <w:rPr>
                <w:rFonts w:cs="Futura PT Book"/>
                <w:color w:val="1C1C1C"/>
                <w:sz w:val="14"/>
                <w:szCs w:val="14"/>
                <w:lang w:val="en-US"/>
              </w:rPr>
            </w:pPr>
            <w:r w:rsidRPr="00F31138">
              <w:rPr>
                <w:color w:val="1C1C1C"/>
                <w:sz w:val="14"/>
                <w:szCs w:val="14"/>
              </w:rPr>
              <w:t>1</w:t>
            </w:r>
            <w:r w:rsidR="0033705A" w:rsidRPr="00F31138">
              <w:rPr>
                <w:color w:val="1C1C1C"/>
                <w:sz w:val="14"/>
                <w:szCs w:val="14"/>
              </w:rPr>
              <w:t>3,896</w:t>
            </w:r>
            <w:r w:rsidRPr="00F31138">
              <w:rPr>
                <w:color w:val="1C1C1C"/>
                <w:sz w:val="14"/>
                <w:szCs w:val="14"/>
              </w:rPr>
              <w:t xml:space="preserve"> </w:t>
            </w:r>
          </w:p>
        </w:tc>
      </w:tr>
      <w:tr w:rsidR="00F31138" w:rsidRPr="00F31138" w14:paraId="4A1C8942" w14:textId="77777777" w:rsidTr="004115E2">
        <w:trPr>
          <w:trHeight w:val="57"/>
        </w:trPr>
        <w:tc>
          <w:tcPr>
            <w:tcW w:w="5111" w:type="dxa"/>
            <w:tcBorders>
              <w:bottom w:val="single" w:sz="8" w:space="0" w:color="FFFFFF" w:themeColor="background2"/>
            </w:tcBorders>
            <w:tcMar>
              <w:top w:w="17" w:type="dxa"/>
              <w:left w:w="80" w:type="dxa"/>
              <w:bottom w:w="17" w:type="dxa"/>
              <w:right w:w="80" w:type="dxa"/>
            </w:tcMar>
          </w:tcPr>
          <w:p w14:paraId="6E54B8BE" w14:textId="77777777" w:rsidR="004115E2" w:rsidRPr="00F31138" w:rsidRDefault="004115E2" w:rsidP="00C10B33">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292929"/>
              <w:bottom w:val="single" w:sz="8" w:space="0" w:color="FFFFFF" w:themeColor="background2"/>
              <w:right w:val="single" w:sz="8" w:space="0" w:color="FFFFFF" w:themeColor="background2"/>
            </w:tcBorders>
            <w:tcMar>
              <w:top w:w="17" w:type="dxa"/>
              <w:left w:w="113" w:type="dxa"/>
              <w:bottom w:w="17" w:type="dxa"/>
              <w:right w:w="113" w:type="dxa"/>
            </w:tcMar>
          </w:tcPr>
          <w:p w14:paraId="4340478F" w14:textId="77777777" w:rsidR="004115E2" w:rsidRPr="00F31138" w:rsidRDefault="004115E2" w:rsidP="00C10B33">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14062094" w14:textId="77777777" w:rsidR="004115E2" w:rsidRPr="00F31138" w:rsidRDefault="004115E2" w:rsidP="00C10B33">
            <w:pPr>
              <w:suppressAutoHyphens/>
              <w:autoSpaceDE w:val="0"/>
              <w:autoSpaceDN w:val="0"/>
              <w:adjustRightInd w:val="0"/>
              <w:spacing w:after="0" w:line="240" w:lineRule="auto"/>
              <w:jc w:val="right"/>
              <w:textAlignment w:val="center"/>
              <w:rPr>
                <w:color w:val="1C1C1C"/>
                <w:sz w:val="4"/>
                <w:szCs w:val="4"/>
              </w:rPr>
            </w:pPr>
          </w:p>
        </w:tc>
      </w:tr>
    </w:tbl>
    <w:p w14:paraId="0641136E" w14:textId="77777777" w:rsidR="00490E71" w:rsidRDefault="00490E71" w:rsidP="00490E71">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490E71" w14:paraId="14ED52A6" w14:textId="77777777" w:rsidTr="00C10B33">
        <w:tc>
          <w:tcPr>
            <w:tcW w:w="5000" w:type="pct"/>
          </w:tcPr>
          <w:p w14:paraId="09930D26" w14:textId="77777777" w:rsidR="00490E71" w:rsidRPr="005300C0" w:rsidRDefault="00490E71" w:rsidP="00303955">
            <w:pPr>
              <w:pStyle w:val="Body"/>
              <w:spacing w:after="120" w:line="288" w:lineRule="auto"/>
              <w:rPr>
                <w:rFonts w:asciiTheme="majorHAnsi" w:hAnsiTheme="majorHAnsi"/>
              </w:rPr>
            </w:pPr>
            <w:r w:rsidRPr="005300C0">
              <w:rPr>
                <w:rFonts w:asciiTheme="majorHAnsi" w:hAnsiTheme="majorHAnsi"/>
              </w:rPr>
              <w:t>Accounting Policy</w:t>
            </w:r>
          </w:p>
          <w:p w14:paraId="696C2865" w14:textId="7A70B270" w:rsidR="00490E71" w:rsidRPr="00303955" w:rsidRDefault="0033705A" w:rsidP="00303955">
            <w:pPr>
              <w:pStyle w:val="Body"/>
              <w:spacing w:after="120" w:line="288" w:lineRule="auto"/>
              <w:rPr>
                <w:b/>
                <w:bCs/>
              </w:rPr>
            </w:pPr>
            <w:r w:rsidRPr="00303955">
              <w:rPr>
                <w:b/>
                <w:bCs/>
              </w:rPr>
              <w:t>Cash and cash equivalents</w:t>
            </w:r>
          </w:p>
          <w:p w14:paraId="0C367AC4" w14:textId="77777777" w:rsidR="0033705A" w:rsidRPr="0033705A" w:rsidRDefault="0033705A" w:rsidP="0033705A">
            <w:pPr>
              <w:pStyle w:val="Body"/>
              <w:spacing w:line="288" w:lineRule="auto"/>
            </w:pPr>
            <w:r w:rsidRPr="0033705A">
              <w:rPr>
                <w:lang w:val="en-AU"/>
              </w:rPr>
              <w:t xml:space="preserve">Cash is recognised at its nominal amount. Cash and cash equivalents includes:  </w:t>
            </w:r>
          </w:p>
          <w:p w14:paraId="211076E3" w14:textId="63A3FF77" w:rsidR="0033705A" w:rsidRPr="0033705A" w:rsidRDefault="0033705A" w:rsidP="0033705A">
            <w:pPr>
              <w:pStyle w:val="AlphabetListL2"/>
              <w:numPr>
                <w:ilvl w:val="0"/>
                <w:numId w:val="36"/>
              </w:numPr>
            </w:pPr>
            <w:r w:rsidRPr="0033705A">
              <w:rPr>
                <w:lang w:val="en-AU"/>
              </w:rPr>
              <w:t>cash on hand</w:t>
            </w:r>
            <w:r w:rsidR="000E7C54">
              <w:rPr>
                <w:lang w:val="en-AU"/>
              </w:rPr>
              <w:t>,</w:t>
            </w:r>
            <w:r w:rsidRPr="0033705A">
              <w:rPr>
                <w:lang w:val="en-AU"/>
              </w:rPr>
              <w:t xml:space="preserve"> and</w:t>
            </w:r>
          </w:p>
          <w:p w14:paraId="7556905E" w14:textId="79BA17D5" w:rsidR="00490E71" w:rsidRDefault="0033705A" w:rsidP="0033705A">
            <w:pPr>
              <w:pStyle w:val="AlphabetListL2"/>
              <w:numPr>
                <w:ilvl w:val="0"/>
                <w:numId w:val="36"/>
              </w:numPr>
            </w:pPr>
            <w:r w:rsidRPr="0033705A">
              <w:rPr>
                <w:lang w:val="en-AU"/>
              </w:rPr>
              <w:t>demand deposits in bank accounts with an original maturity of 3 months or less that are readily convertible to known amounts of cash and subject to insignificant risk of changes in value.</w:t>
            </w:r>
          </w:p>
        </w:tc>
      </w:tr>
    </w:tbl>
    <w:p w14:paraId="31F5E9ED" w14:textId="77777777" w:rsidR="000737B4" w:rsidRDefault="000737B4" w:rsidP="00646163">
      <w:pPr>
        <w:pStyle w:val="Body"/>
      </w:pPr>
    </w:p>
    <w:p w14:paraId="268B643C" w14:textId="77777777" w:rsidR="006D2CE9" w:rsidRDefault="006D2CE9" w:rsidP="00646163">
      <w:pPr>
        <w:pStyle w:val="Body"/>
      </w:pPr>
    </w:p>
    <w:p w14:paraId="5AD4594E" w14:textId="1F72DD3B" w:rsidR="00CA72D6" w:rsidRDefault="00CA72D6" w:rsidP="00646163">
      <w:pPr>
        <w:pStyle w:val="Body"/>
        <w:sectPr w:rsidR="00CA72D6" w:rsidSect="00481983">
          <w:footnotePr>
            <w:pos w:val="beneathText"/>
          </w:footnotePr>
          <w:pgSz w:w="9979" w:h="14175" w:code="13"/>
          <w:pgMar w:top="1134" w:right="1418" w:bottom="992" w:left="1418" w:header="709" w:footer="709" w:gutter="0"/>
          <w:cols w:space="623"/>
          <w:docGrid w:linePitch="360"/>
        </w:sectPr>
      </w:pP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7C2232" w:rsidRPr="007C2232" w14:paraId="6DEC724B" w14:textId="77777777" w:rsidTr="00D1579A">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23516840" w14:textId="77777777" w:rsidR="000737B4" w:rsidRPr="007C2232" w:rsidRDefault="000737B4" w:rsidP="003C700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05191E1E" w14:textId="77777777" w:rsidR="000737B4" w:rsidRPr="007C2232" w:rsidRDefault="000737B4" w:rsidP="003C700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2020</w:t>
            </w:r>
            <w:r w:rsidRPr="007C2232">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2FA52796" w14:textId="77777777" w:rsidR="000737B4" w:rsidRPr="007C2232" w:rsidRDefault="000737B4" w:rsidP="003C700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2019</w:t>
            </w:r>
            <w:r w:rsidRPr="007C2232">
              <w:rPr>
                <w:rFonts w:asciiTheme="majorHAnsi" w:hAnsiTheme="majorHAnsi" w:cs="Futura PT Heavy"/>
                <w:color w:val="1C1C1C"/>
                <w:sz w:val="16"/>
                <w:szCs w:val="16"/>
                <w:lang w:val="en-US"/>
              </w:rPr>
              <w:br/>
              <w:t>$’000</w:t>
            </w:r>
          </w:p>
        </w:tc>
      </w:tr>
      <w:tr w:rsidR="007C2232" w:rsidRPr="007C2232" w14:paraId="1171140A"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22E9880E"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Note 2.1B: Trade and Other Receivables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74154EA2"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70769CFA" w14:textId="77777777" w:rsidR="000737B4" w:rsidRPr="007C2232" w:rsidRDefault="000737B4" w:rsidP="003C7007">
            <w:pPr>
              <w:autoSpaceDE w:val="0"/>
              <w:autoSpaceDN w:val="0"/>
              <w:adjustRightInd w:val="0"/>
              <w:spacing w:after="0" w:line="240" w:lineRule="auto"/>
              <w:jc w:val="right"/>
              <w:rPr>
                <w:color w:val="1C1C1C"/>
                <w:sz w:val="14"/>
                <w:szCs w:val="14"/>
              </w:rPr>
            </w:pPr>
          </w:p>
        </w:tc>
      </w:tr>
      <w:tr w:rsidR="007C2232" w:rsidRPr="007C2232" w14:paraId="2C2D5F00" w14:textId="77777777" w:rsidTr="00D1579A">
        <w:trPr>
          <w:trHeight w:val="170"/>
        </w:trPr>
        <w:tc>
          <w:tcPr>
            <w:tcW w:w="5111" w:type="dxa"/>
            <w:tcMar>
              <w:top w:w="17" w:type="dxa"/>
              <w:left w:w="80" w:type="dxa"/>
              <w:bottom w:w="17" w:type="dxa"/>
              <w:right w:w="80" w:type="dxa"/>
            </w:tcMar>
          </w:tcPr>
          <w:p w14:paraId="3A1A88CB"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Other receivables</w:t>
            </w:r>
          </w:p>
        </w:tc>
        <w:tc>
          <w:tcPr>
            <w:tcW w:w="992" w:type="dxa"/>
            <w:tcMar>
              <w:top w:w="17" w:type="dxa"/>
              <w:left w:w="113" w:type="dxa"/>
              <w:bottom w:w="17" w:type="dxa"/>
              <w:right w:w="113" w:type="dxa"/>
            </w:tcMar>
          </w:tcPr>
          <w:p w14:paraId="26FEA053" w14:textId="77777777" w:rsidR="000737B4" w:rsidRPr="007C2232" w:rsidRDefault="000737B4" w:rsidP="003C700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11595C0F" w14:textId="77777777" w:rsidR="000737B4" w:rsidRPr="007C2232" w:rsidRDefault="000737B4" w:rsidP="003C7007">
            <w:pPr>
              <w:suppressAutoHyphens/>
              <w:autoSpaceDE w:val="0"/>
              <w:autoSpaceDN w:val="0"/>
              <w:adjustRightInd w:val="0"/>
              <w:spacing w:after="0" w:line="240" w:lineRule="auto"/>
              <w:jc w:val="right"/>
              <w:textAlignment w:val="center"/>
              <w:rPr>
                <w:rFonts w:cs="Futura PT Book"/>
                <w:color w:val="1C1C1C"/>
                <w:sz w:val="14"/>
                <w:szCs w:val="14"/>
                <w:lang w:val="en-US"/>
              </w:rPr>
            </w:pPr>
          </w:p>
        </w:tc>
      </w:tr>
      <w:tr w:rsidR="007C2232" w:rsidRPr="007C2232" w14:paraId="0551008F" w14:textId="77777777" w:rsidTr="00D1579A">
        <w:trPr>
          <w:trHeight w:val="170"/>
        </w:trPr>
        <w:tc>
          <w:tcPr>
            <w:tcW w:w="5111" w:type="dxa"/>
            <w:tcMar>
              <w:top w:w="17" w:type="dxa"/>
              <w:left w:w="80" w:type="dxa"/>
              <w:bottom w:w="17" w:type="dxa"/>
              <w:right w:w="80" w:type="dxa"/>
            </w:tcMar>
          </w:tcPr>
          <w:p w14:paraId="63A25BA3" w14:textId="77777777" w:rsidR="000737B4" w:rsidRPr="007C2232" w:rsidRDefault="000737B4" w:rsidP="003C7007">
            <w:pPr>
              <w:suppressAutoHyphens/>
              <w:autoSpaceDE w:val="0"/>
              <w:autoSpaceDN w:val="0"/>
              <w:adjustRightInd w:val="0"/>
              <w:spacing w:after="0" w:line="240" w:lineRule="auto"/>
              <w:textAlignment w:val="center"/>
              <w:rPr>
                <w:rFonts w:cs="Futura PT Book"/>
                <w:color w:val="1C1C1C"/>
                <w:sz w:val="14"/>
                <w:szCs w:val="14"/>
                <w:lang w:val="en-US"/>
              </w:rPr>
            </w:pPr>
            <w:r w:rsidRPr="007C2232">
              <w:rPr>
                <w:color w:val="1C1C1C"/>
                <w:sz w:val="14"/>
                <w:szCs w:val="14"/>
              </w:rPr>
              <w:t>GST receivable from the Australian Taxation Office</w:t>
            </w:r>
          </w:p>
        </w:tc>
        <w:tc>
          <w:tcPr>
            <w:tcW w:w="992" w:type="dxa"/>
            <w:tcMar>
              <w:top w:w="17" w:type="dxa"/>
              <w:left w:w="113" w:type="dxa"/>
              <w:bottom w:w="17" w:type="dxa"/>
              <w:right w:w="113" w:type="dxa"/>
            </w:tcMar>
          </w:tcPr>
          <w:p w14:paraId="66A277D8"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187</w:t>
            </w:r>
          </w:p>
        </w:tc>
        <w:tc>
          <w:tcPr>
            <w:tcW w:w="993" w:type="dxa"/>
            <w:tcMar>
              <w:top w:w="17" w:type="dxa"/>
              <w:left w:w="113" w:type="dxa"/>
              <w:bottom w:w="17" w:type="dxa"/>
              <w:right w:w="113" w:type="dxa"/>
            </w:tcMar>
          </w:tcPr>
          <w:p w14:paraId="01DC8E70" w14:textId="77777777" w:rsidR="000737B4" w:rsidRPr="007C2232" w:rsidRDefault="000737B4" w:rsidP="003C7007">
            <w:pPr>
              <w:suppressAutoHyphens/>
              <w:autoSpaceDE w:val="0"/>
              <w:autoSpaceDN w:val="0"/>
              <w:adjustRightInd w:val="0"/>
              <w:spacing w:after="0" w:line="240" w:lineRule="auto"/>
              <w:jc w:val="right"/>
              <w:textAlignment w:val="center"/>
              <w:rPr>
                <w:rFonts w:cs="Futura PT Book"/>
                <w:color w:val="1C1C1C"/>
                <w:sz w:val="14"/>
                <w:szCs w:val="14"/>
                <w:lang w:val="en-US"/>
              </w:rPr>
            </w:pPr>
            <w:r w:rsidRPr="007C2232">
              <w:rPr>
                <w:rFonts w:cs="Futura PT Book"/>
                <w:color w:val="1C1C1C"/>
                <w:sz w:val="14"/>
                <w:szCs w:val="14"/>
                <w:lang w:val="en-US"/>
              </w:rPr>
              <w:t>281</w:t>
            </w:r>
          </w:p>
        </w:tc>
      </w:tr>
      <w:tr w:rsidR="007C2232" w:rsidRPr="007C2232" w14:paraId="7B15E074" w14:textId="77777777" w:rsidTr="004115E2">
        <w:trPr>
          <w:trHeight w:val="170"/>
        </w:trPr>
        <w:tc>
          <w:tcPr>
            <w:tcW w:w="5111" w:type="dxa"/>
            <w:tcMar>
              <w:top w:w="17" w:type="dxa"/>
              <w:left w:w="80" w:type="dxa"/>
              <w:bottom w:w="17" w:type="dxa"/>
              <w:right w:w="80" w:type="dxa"/>
            </w:tcMar>
          </w:tcPr>
          <w:p w14:paraId="0F8F2554" w14:textId="77777777" w:rsidR="000737B4" w:rsidRPr="007C2232" w:rsidRDefault="000737B4" w:rsidP="003C7007">
            <w:pPr>
              <w:suppressAutoHyphens/>
              <w:autoSpaceDE w:val="0"/>
              <w:autoSpaceDN w:val="0"/>
              <w:adjustRightInd w:val="0"/>
              <w:spacing w:after="0" w:line="240" w:lineRule="auto"/>
              <w:textAlignment w:val="center"/>
              <w:rPr>
                <w:color w:val="1C1C1C"/>
                <w:sz w:val="14"/>
                <w:szCs w:val="14"/>
              </w:rPr>
            </w:pPr>
            <w:r w:rsidRPr="007C2232">
              <w:rPr>
                <w:color w:val="1C1C1C"/>
                <w:sz w:val="14"/>
                <w:szCs w:val="14"/>
              </w:rPr>
              <w:t>Other amounts receivable</w:t>
            </w:r>
          </w:p>
        </w:tc>
        <w:tc>
          <w:tcPr>
            <w:tcW w:w="992" w:type="dxa"/>
            <w:tcBorders>
              <w:bottom w:val="single" w:sz="4" w:space="0" w:color="292929"/>
              <w:right w:val="single" w:sz="8" w:space="0" w:color="FFFFFF" w:themeColor="background2"/>
            </w:tcBorders>
            <w:tcMar>
              <w:top w:w="17" w:type="dxa"/>
              <w:left w:w="113" w:type="dxa"/>
              <w:bottom w:w="17" w:type="dxa"/>
              <w:right w:w="113" w:type="dxa"/>
            </w:tcMar>
          </w:tcPr>
          <w:p w14:paraId="0197B48B"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12</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33F5E318"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851</w:t>
            </w:r>
          </w:p>
        </w:tc>
      </w:tr>
      <w:tr w:rsidR="007C2232" w:rsidRPr="007C2232" w14:paraId="647C653C" w14:textId="77777777" w:rsidTr="004115E2">
        <w:trPr>
          <w:trHeight w:val="170"/>
        </w:trPr>
        <w:tc>
          <w:tcPr>
            <w:tcW w:w="5111" w:type="dxa"/>
            <w:tcMar>
              <w:top w:w="17" w:type="dxa"/>
              <w:left w:w="80" w:type="dxa"/>
              <w:bottom w:w="17" w:type="dxa"/>
              <w:right w:w="80" w:type="dxa"/>
            </w:tcMar>
          </w:tcPr>
          <w:p w14:paraId="1150AFD7"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Total other receivables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5F767B95"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199</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F6FF0F9"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1,132</w:t>
            </w:r>
          </w:p>
        </w:tc>
      </w:tr>
      <w:tr w:rsidR="007C2232" w:rsidRPr="007C2232" w14:paraId="09696E9F" w14:textId="77777777" w:rsidTr="004115E2">
        <w:trPr>
          <w:trHeight w:val="170"/>
        </w:trPr>
        <w:tc>
          <w:tcPr>
            <w:tcW w:w="5111" w:type="dxa"/>
            <w:tcMar>
              <w:top w:w="17" w:type="dxa"/>
              <w:left w:w="80" w:type="dxa"/>
              <w:bottom w:w="17" w:type="dxa"/>
              <w:right w:w="80" w:type="dxa"/>
            </w:tcMar>
          </w:tcPr>
          <w:p w14:paraId="13449467"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(gross)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48FDF295"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199</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51501CB0"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1,132</w:t>
            </w:r>
          </w:p>
        </w:tc>
      </w:tr>
      <w:tr w:rsidR="007C2232" w:rsidRPr="007C2232" w14:paraId="09D6BCB5" w14:textId="77777777" w:rsidTr="004115E2">
        <w:trPr>
          <w:trHeight w:val="170"/>
        </w:trPr>
        <w:tc>
          <w:tcPr>
            <w:tcW w:w="5111" w:type="dxa"/>
            <w:tcMar>
              <w:top w:w="17" w:type="dxa"/>
              <w:left w:w="80" w:type="dxa"/>
              <w:bottom w:w="17" w:type="dxa"/>
              <w:right w:w="80" w:type="dxa"/>
            </w:tcMar>
          </w:tcPr>
          <w:p w14:paraId="2CC585B5"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292929"/>
              <w:right w:val="single" w:sz="8" w:space="0" w:color="FFFFFF" w:themeColor="background2"/>
            </w:tcBorders>
            <w:tcMar>
              <w:top w:w="17" w:type="dxa"/>
              <w:left w:w="113" w:type="dxa"/>
              <w:bottom w:w="17" w:type="dxa"/>
              <w:right w:w="113" w:type="dxa"/>
            </w:tcMar>
          </w:tcPr>
          <w:p w14:paraId="30A73038"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292929"/>
              <w:left w:val="single" w:sz="8" w:space="0" w:color="FFFFFF" w:themeColor="background2"/>
            </w:tcBorders>
            <w:tcMar>
              <w:top w:w="17" w:type="dxa"/>
              <w:left w:w="113" w:type="dxa"/>
              <w:bottom w:w="17" w:type="dxa"/>
              <w:right w:w="113" w:type="dxa"/>
            </w:tcMar>
          </w:tcPr>
          <w:p w14:paraId="18F1A86A"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p>
        </w:tc>
      </w:tr>
      <w:tr w:rsidR="007C2232" w:rsidRPr="007C2232" w14:paraId="7D349AB8" w14:textId="77777777" w:rsidTr="004115E2">
        <w:trPr>
          <w:trHeight w:val="170"/>
        </w:trPr>
        <w:tc>
          <w:tcPr>
            <w:tcW w:w="5111" w:type="dxa"/>
            <w:tcMar>
              <w:top w:w="17" w:type="dxa"/>
              <w:left w:w="80" w:type="dxa"/>
              <w:bottom w:w="17" w:type="dxa"/>
              <w:right w:w="80" w:type="dxa"/>
            </w:tcMar>
          </w:tcPr>
          <w:p w14:paraId="0E122933"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Less impairment allowance</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69C33AE7"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01B7A4A9"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w:t>
            </w:r>
          </w:p>
        </w:tc>
      </w:tr>
      <w:tr w:rsidR="007C2232" w:rsidRPr="007C2232" w14:paraId="556C2F57" w14:textId="77777777" w:rsidTr="004115E2">
        <w:trPr>
          <w:trHeight w:val="170"/>
        </w:trPr>
        <w:tc>
          <w:tcPr>
            <w:tcW w:w="5111" w:type="dxa"/>
            <w:tcMar>
              <w:top w:w="17" w:type="dxa"/>
              <w:left w:w="80" w:type="dxa"/>
              <w:bottom w:w="17" w:type="dxa"/>
              <w:right w:w="80" w:type="dxa"/>
            </w:tcMar>
          </w:tcPr>
          <w:p w14:paraId="66206EF1"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(net)</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054D0C44"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199</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77DC31B7"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1,132</w:t>
            </w:r>
          </w:p>
        </w:tc>
      </w:tr>
      <w:tr w:rsidR="007C2232" w:rsidRPr="007C2232" w14:paraId="4EDD06DA" w14:textId="77777777" w:rsidTr="004115E2">
        <w:trPr>
          <w:trHeight w:val="170"/>
        </w:trPr>
        <w:tc>
          <w:tcPr>
            <w:tcW w:w="5111" w:type="dxa"/>
            <w:tcMar>
              <w:top w:w="17" w:type="dxa"/>
              <w:left w:w="80" w:type="dxa"/>
              <w:bottom w:w="17" w:type="dxa"/>
              <w:right w:w="80" w:type="dxa"/>
            </w:tcMar>
          </w:tcPr>
          <w:p w14:paraId="3261122B"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p>
        </w:tc>
        <w:tc>
          <w:tcPr>
            <w:tcW w:w="992" w:type="dxa"/>
            <w:tcBorders>
              <w:top w:val="single" w:sz="4" w:space="0" w:color="auto"/>
              <w:right w:val="single" w:sz="8" w:space="0" w:color="FFFFFF" w:themeColor="background2"/>
            </w:tcBorders>
            <w:tcMar>
              <w:top w:w="17" w:type="dxa"/>
              <w:left w:w="113" w:type="dxa"/>
              <w:bottom w:w="17" w:type="dxa"/>
              <w:right w:w="113" w:type="dxa"/>
            </w:tcMar>
          </w:tcPr>
          <w:p w14:paraId="5102D53C"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auto"/>
              <w:left w:val="single" w:sz="8" w:space="0" w:color="FFFFFF" w:themeColor="background2"/>
            </w:tcBorders>
            <w:tcMar>
              <w:top w:w="17" w:type="dxa"/>
              <w:left w:w="113" w:type="dxa"/>
              <w:bottom w:w="17" w:type="dxa"/>
              <w:right w:w="113" w:type="dxa"/>
            </w:tcMar>
          </w:tcPr>
          <w:p w14:paraId="74BB41ED"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p>
        </w:tc>
      </w:tr>
      <w:tr w:rsidR="007C2232" w:rsidRPr="007C2232" w14:paraId="663220B6" w14:textId="77777777" w:rsidTr="00D1579A">
        <w:trPr>
          <w:trHeight w:val="170"/>
        </w:trPr>
        <w:tc>
          <w:tcPr>
            <w:tcW w:w="5111" w:type="dxa"/>
            <w:tcMar>
              <w:top w:w="17" w:type="dxa"/>
              <w:left w:w="80" w:type="dxa"/>
              <w:bottom w:w="17" w:type="dxa"/>
              <w:right w:w="80" w:type="dxa"/>
            </w:tcMar>
          </w:tcPr>
          <w:p w14:paraId="105CA673"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Trade and other receivables (net) expected to be recovered</w:t>
            </w:r>
          </w:p>
        </w:tc>
        <w:tc>
          <w:tcPr>
            <w:tcW w:w="992" w:type="dxa"/>
            <w:tcMar>
              <w:top w:w="17" w:type="dxa"/>
              <w:left w:w="113" w:type="dxa"/>
              <w:bottom w:w="17" w:type="dxa"/>
              <w:right w:w="113" w:type="dxa"/>
            </w:tcMar>
          </w:tcPr>
          <w:p w14:paraId="4D6A47AB"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014C4650"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p>
        </w:tc>
      </w:tr>
      <w:tr w:rsidR="007C2232" w:rsidRPr="007C2232" w14:paraId="68167255" w14:textId="77777777" w:rsidTr="00D1579A">
        <w:trPr>
          <w:trHeight w:val="170"/>
        </w:trPr>
        <w:tc>
          <w:tcPr>
            <w:tcW w:w="5111" w:type="dxa"/>
            <w:tcMar>
              <w:top w:w="17" w:type="dxa"/>
              <w:left w:w="80" w:type="dxa"/>
              <w:bottom w:w="17" w:type="dxa"/>
              <w:right w:w="80" w:type="dxa"/>
            </w:tcMar>
          </w:tcPr>
          <w:p w14:paraId="2C1DC20F"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color w:val="1C1C1C"/>
                <w:sz w:val="14"/>
                <w:szCs w:val="14"/>
              </w:rPr>
              <w:t>No more than 12 months</w:t>
            </w:r>
          </w:p>
        </w:tc>
        <w:tc>
          <w:tcPr>
            <w:tcW w:w="992" w:type="dxa"/>
            <w:tcMar>
              <w:top w:w="17" w:type="dxa"/>
              <w:left w:w="113" w:type="dxa"/>
              <w:bottom w:w="17" w:type="dxa"/>
              <w:right w:w="113" w:type="dxa"/>
            </w:tcMar>
          </w:tcPr>
          <w:p w14:paraId="0CAA7386"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199</w:t>
            </w:r>
          </w:p>
        </w:tc>
        <w:tc>
          <w:tcPr>
            <w:tcW w:w="993" w:type="dxa"/>
            <w:tcMar>
              <w:top w:w="17" w:type="dxa"/>
              <w:left w:w="113" w:type="dxa"/>
              <w:bottom w:w="17" w:type="dxa"/>
              <w:right w:w="113" w:type="dxa"/>
            </w:tcMar>
          </w:tcPr>
          <w:p w14:paraId="021E8665"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1,132</w:t>
            </w:r>
          </w:p>
        </w:tc>
      </w:tr>
      <w:tr w:rsidR="007C2232" w:rsidRPr="007C2232" w14:paraId="61AC456A" w14:textId="77777777" w:rsidTr="004115E2">
        <w:trPr>
          <w:trHeight w:val="170"/>
        </w:trPr>
        <w:tc>
          <w:tcPr>
            <w:tcW w:w="5111" w:type="dxa"/>
            <w:tcMar>
              <w:top w:w="17" w:type="dxa"/>
              <w:left w:w="80" w:type="dxa"/>
              <w:bottom w:w="17" w:type="dxa"/>
              <w:right w:w="80" w:type="dxa"/>
            </w:tcMar>
          </w:tcPr>
          <w:p w14:paraId="402D1613"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color w:val="1C1C1C"/>
                <w:sz w:val="14"/>
                <w:szCs w:val="14"/>
              </w:rPr>
              <w:t>More than 12 months</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1CB4B6AA"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5BD0507A"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p>
        </w:tc>
      </w:tr>
      <w:tr w:rsidR="007C2232" w:rsidRPr="007C2232" w14:paraId="7F2FF700" w14:textId="77777777" w:rsidTr="004F36EF">
        <w:trPr>
          <w:trHeight w:val="170"/>
        </w:trPr>
        <w:tc>
          <w:tcPr>
            <w:tcW w:w="5111" w:type="dxa"/>
            <w:tcMar>
              <w:top w:w="17" w:type="dxa"/>
              <w:left w:w="80" w:type="dxa"/>
              <w:bottom w:w="17" w:type="dxa"/>
              <w:right w:w="80" w:type="dxa"/>
            </w:tcMar>
          </w:tcPr>
          <w:p w14:paraId="28EFDF55" w14:textId="77777777" w:rsidR="000737B4" w:rsidRPr="007C2232" w:rsidRDefault="000737B4" w:rsidP="003C7007">
            <w:pPr>
              <w:suppressAutoHyphens/>
              <w:autoSpaceDE w:val="0"/>
              <w:autoSpaceDN w:val="0"/>
              <w:adjustRightInd w:val="0"/>
              <w:spacing w:after="0" w:line="240" w:lineRule="auto"/>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(net)</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155781F8" w14:textId="77777777" w:rsidR="000737B4" w:rsidRPr="007C2232" w:rsidRDefault="000737B4" w:rsidP="003C7007">
            <w:pPr>
              <w:autoSpaceDE w:val="0"/>
              <w:autoSpaceDN w:val="0"/>
              <w:adjustRightInd w:val="0"/>
              <w:spacing w:after="0" w:line="240" w:lineRule="auto"/>
              <w:jc w:val="right"/>
              <w:rPr>
                <w:rFonts w:asciiTheme="majorHAnsi" w:hAnsiTheme="majorHAnsi"/>
                <w:color w:val="1C1C1C"/>
                <w:sz w:val="14"/>
                <w:szCs w:val="14"/>
              </w:rPr>
            </w:pPr>
            <w:r w:rsidRPr="007C2232">
              <w:rPr>
                <w:rFonts w:asciiTheme="majorHAnsi" w:hAnsiTheme="majorHAnsi"/>
                <w:color w:val="1C1C1C"/>
                <w:sz w:val="14"/>
                <w:szCs w:val="14"/>
              </w:rPr>
              <w:t>199</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5921C283" w14:textId="77777777" w:rsidR="000737B4" w:rsidRPr="007C2232" w:rsidRDefault="000737B4" w:rsidP="003C7007">
            <w:pPr>
              <w:suppressAutoHyphens/>
              <w:autoSpaceDE w:val="0"/>
              <w:autoSpaceDN w:val="0"/>
              <w:adjustRightInd w:val="0"/>
              <w:spacing w:after="0" w:line="240" w:lineRule="auto"/>
              <w:jc w:val="right"/>
              <w:textAlignment w:val="center"/>
              <w:rPr>
                <w:color w:val="1C1C1C"/>
                <w:sz w:val="14"/>
                <w:szCs w:val="14"/>
              </w:rPr>
            </w:pPr>
            <w:r w:rsidRPr="007C2232">
              <w:rPr>
                <w:color w:val="1C1C1C"/>
                <w:sz w:val="14"/>
                <w:szCs w:val="14"/>
              </w:rPr>
              <w:t>1,132</w:t>
            </w:r>
          </w:p>
        </w:tc>
      </w:tr>
      <w:tr w:rsidR="007C2232" w:rsidRPr="007C2232" w14:paraId="08894EBB" w14:textId="77777777" w:rsidTr="004F36EF">
        <w:trPr>
          <w:trHeight w:val="57"/>
        </w:trPr>
        <w:tc>
          <w:tcPr>
            <w:tcW w:w="5111" w:type="dxa"/>
            <w:tcBorders>
              <w:bottom w:val="single" w:sz="8" w:space="0" w:color="FFFFFF" w:themeColor="background2"/>
            </w:tcBorders>
            <w:tcMar>
              <w:top w:w="17" w:type="dxa"/>
              <w:left w:w="80" w:type="dxa"/>
              <w:bottom w:w="17" w:type="dxa"/>
              <w:right w:w="80" w:type="dxa"/>
            </w:tcMar>
          </w:tcPr>
          <w:p w14:paraId="54BD142A" w14:textId="77777777" w:rsidR="004F36EF" w:rsidRPr="007C2232" w:rsidRDefault="004F36EF" w:rsidP="003C7007">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74BB7EF9" w14:textId="77777777" w:rsidR="004F36EF" w:rsidRPr="007C2232" w:rsidRDefault="004F36EF" w:rsidP="003C7007">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58030FFD" w14:textId="77777777" w:rsidR="004F36EF" w:rsidRPr="007C2232" w:rsidRDefault="004F36EF" w:rsidP="003C7007">
            <w:pPr>
              <w:suppressAutoHyphens/>
              <w:autoSpaceDE w:val="0"/>
              <w:autoSpaceDN w:val="0"/>
              <w:adjustRightInd w:val="0"/>
              <w:spacing w:after="0" w:line="240" w:lineRule="auto"/>
              <w:jc w:val="right"/>
              <w:textAlignment w:val="center"/>
              <w:rPr>
                <w:color w:val="1C1C1C"/>
                <w:sz w:val="4"/>
                <w:szCs w:val="4"/>
              </w:rPr>
            </w:pPr>
          </w:p>
        </w:tc>
      </w:tr>
    </w:tbl>
    <w:p w14:paraId="6E23ABEA" w14:textId="77777777" w:rsidR="000737B4" w:rsidRDefault="000737B4" w:rsidP="000737B4">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0737B4" w14:paraId="63AA171E" w14:textId="77777777" w:rsidTr="003C7007">
        <w:tc>
          <w:tcPr>
            <w:tcW w:w="5000" w:type="pct"/>
          </w:tcPr>
          <w:p w14:paraId="69872605" w14:textId="77777777" w:rsidR="000737B4" w:rsidRPr="005300C0" w:rsidRDefault="000737B4" w:rsidP="00303955">
            <w:pPr>
              <w:pStyle w:val="Body"/>
              <w:spacing w:after="120" w:line="288" w:lineRule="auto"/>
              <w:rPr>
                <w:rFonts w:asciiTheme="majorHAnsi" w:hAnsiTheme="majorHAnsi"/>
              </w:rPr>
            </w:pPr>
            <w:r w:rsidRPr="005300C0">
              <w:rPr>
                <w:rFonts w:asciiTheme="majorHAnsi" w:hAnsiTheme="majorHAnsi"/>
              </w:rPr>
              <w:t>Accounting Policy</w:t>
            </w:r>
          </w:p>
          <w:p w14:paraId="00CA6AF5" w14:textId="141C261B" w:rsidR="000737B4" w:rsidRPr="00303955" w:rsidRDefault="00C544EA" w:rsidP="00C544EA">
            <w:pPr>
              <w:pStyle w:val="Body"/>
              <w:spacing w:after="120" w:line="288" w:lineRule="auto"/>
              <w:rPr>
                <w:b/>
                <w:bCs/>
              </w:rPr>
            </w:pPr>
            <w:r w:rsidRPr="00303955">
              <w:rPr>
                <w:b/>
                <w:bCs/>
              </w:rPr>
              <w:t>Trade and other receivables</w:t>
            </w:r>
          </w:p>
          <w:p w14:paraId="2E70818D" w14:textId="09A18C45" w:rsidR="00C544EA" w:rsidRPr="00C544EA" w:rsidRDefault="00C544EA" w:rsidP="00C544EA">
            <w:pPr>
              <w:pStyle w:val="Body"/>
              <w:spacing w:after="120" w:line="288" w:lineRule="auto"/>
              <w:rPr>
                <w:lang w:val="en-AU"/>
              </w:rPr>
            </w:pPr>
            <w:r w:rsidRPr="00C544EA">
              <w:rPr>
                <w:lang w:val="en-AU"/>
              </w:rPr>
              <w:t>IHPA's financial assets are comprised of trade receivables and other receivables that are held for the purpose of collecting the contractual cash flows. All of IHPA's financial assets are measured, and carried, at amortised cost.</w:t>
            </w:r>
          </w:p>
          <w:p w14:paraId="41A6E440" w14:textId="77777777" w:rsidR="00C544EA" w:rsidRPr="00303955" w:rsidRDefault="00C544EA" w:rsidP="00C544EA">
            <w:pPr>
              <w:pStyle w:val="Body"/>
              <w:spacing w:after="120" w:line="288" w:lineRule="auto"/>
              <w:rPr>
                <w:b/>
                <w:bCs/>
                <w:lang w:val="en-AU"/>
              </w:rPr>
            </w:pPr>
            <w:r w:rsidRPr="00303955">
              <w:rPr>
                <w:b/>
                <w:bCs/>
                <w:lang w:val="en-AU"/>
              </w:rPr>
              <w:t>Impairment</w:t>
            </w:r>
          </w:p>
          <w:p w14:paraId="5BB2566A" w14:textId="5F84B9F5" w:rsidR="000737B4" w:rsidRDefault="00C544EA" w:rsidP="00C544EA">
            <w:pPr>
              <w:pStyle w:val="AlphabetListL2"/>
              <w:numPr>
                <w:ilvl w:val="0"/>
                <w:numId w:val="0"/>
              </w:numPr>
              <w:spacing w:after="120"/>
            </w:pPr>
            <w:r w:rsidRPr="00C544EA">
              <w:rPr>
                <w:lang w:val="en-AU"/>
              </w:rPr>
              <w:t>All assets were assessed for impairment as at 30 June 2020. Where indications of impairment exist, the asset's recoverable amount is estimated and an impairment adjustment made if the asset's recoverable amount is less than its carrying amount.</w:t>
            </w:r>
          </w:p>
        </w:tc>
      </w:tr>
    </w:tbl>
    <w:p w14:paraId="75C72B0D" w14:textId="1AAA2432" w:rsidR="00CA72D6" w:rsidRDefault="00CA72D6" w:rsidP="00646163">
      <w:pPr>
        <w:pStyle w:val="Body"/>
      </w:pPr>
    </w:p>
    <w:p w14:paraId="01146A67" w14:textId="77777777" w:rsidR="002D4B45" w:rsidRDefault="002D4B45" w:rsidP="00646163">
      <w:pPr>
        <w:pStyle w:val="Body"/>
        <w:sectPr w:rsidR="002D4B45" w:rsidSect="00481983">
          <w:footnotePr>
            <w:pos w:val="beneathText"/>
          </w:footnotePr>
          <w:pgSz w:w="9979" w:h="14175" w:code="13"/>
          <w:pgMar w:top="1134" w:right="1418" w:bottom="992" w:left="1418" w:header="709" w:footer="709" w:gutter="0"/>
          <w:cols w:space="623"/>
          <w:docGrid w:linePitch="360"/>
        </w:sectPr>
      </w:pPr>
    </w:p>
    <w:p w14:paraId="426D8304" w14:textId="6EBF2E6D" w:rsidR="003C7007" w:rsidRDefault="003C7007" w:rsidP="00014C7E">
      <w:pPr>
        <w:pStyle w:val="H4Financials"/>
        <w:spacing w:before="0" w:after="120"/>
      </w:pPr>
      <w:bookmarkStart w:id="168" w:name="Note22"/>
      <w:bookmarkStart w:id="169" w:name="_Toc48828415"/>
      <w:r>
        <w:lastRenderedPageBreak/>
        <w:t>Note 2.2</w:t>
      </w:r>
      <w:bookmarkEnd w:id="168"/>
      <w:r>
        <w:t xml:space="preserve"> </w:t>
      </w:r>
      <w:r w:rsidRPr="003C7007">
        <w:t>Non-</w:t>
      </w:r>
      <w:r w:rsidR="00F95B5F">
        <w:t>f</w:t>
      </w:r>
      <w:r w:rsidRPr="003C7007">
        <w:t xml:space="preserve">inancial </w:t>
      </w:r>
      <w:r w:rsidR="00F95B5F">
        <w:t>a</w:t>
      </w:r>
      <w:r w:rsidRPr="003C7007">
        <w:t xml:space="preserve">ssets including </w:t>
      </w:r>
      <w:r w:rsidR="00F95B5F">
        <w:t>f</w:t>
      </w:r>
      <w:r w:rsidRPr="003C7007">
        <w:t xml:space="preserve">air </w:t>
      </w:r>
      <w:r w:rsidR="00F95B5F">
        <w:t>v</w:t>
      </w:r>
      <w:r w:rsidRPr="003C7007">
        <w:t xml:space="preserve">alue </w:t>
      </w:r>
      <w:r w:rsidR="00F95B5F">
        <w:t>m</w:t>
      </w:r>
      <w:r w:rsidRPr="003C7007">
        <w:t>easurement</w:t>
      </w:r>
      <w:bookmarkEnd w:id="169"/>
    </w:p>
    <w:p w14:paraId="391E1942" w14:textId="6292D5AA" w:rsidR="00014C7E" w:rsidRPr="00FC0B06" w:rsidRDefault="00014C7E" w:rsidP="0007074A">
      <w:pPr>
        <w:suppressAutoHyphens/>
        <w:autoSpaceDE w:val="0"/>
        <w:autoSpaceDN w:val="0"/>
        <w:adjustRightInd w:val="0"/>
        <w:spacing w:after="60" w:line="288" w:lineRule="auto"/>
        <w:ind w:right="-370"/>
        <w:textAlignment w:val="center"/>
        <w:rPr>
          <w:rFonts w:asciiTheme="majorHAnsi" w:hAnsiTheme="majorHAnsi"/>
          <w:color w:val="292929"/>
          <w:sz w:val="14"/>
          <w:szCs w:val="14"/>
        </w:rPr>
      </w:pPr>
      <w:r w:rsidRPr="00FC0B06">
        <w:rPr>
          <w:rFonts w:asciiTheme="majorHAnsi" w:hAnsiTheme="majorHAnsi"/>
          <w:color w:val="292929"/>
          <w:sz w:val="14"/>
          <w:szCs w:val="14"/>
        </w:rPr>
        <w:t>Note 2.2</w:t>
      </w:r>
      <w:r>
        <w:rPr>
          <w:rFonts w:asciiTheme="majorHAnsi" w:hAnsiTheme="majorHAnsi"/>
          <w:color w:val="292929"/>
          <w:sz w:val="14"/>
          <w:szCs w:val="14"/>
        </w:rPr>
        <w:t>A</w:t>
      </w:r>
      <w:r w:rsidRPr="00FC0B06">
        <w:rPr>
          <w:rFonts w:asciiTheme="majorHAnsi" w:hAnsiTheme="majorHAnsi"/>
          <w:color w:val="292929"/>
          <w:sz w:val="14"/>
          <w:szCs w:val="14"/>
        </w:rPr>
        <w:t xml:space="preserve">: </w:t>
      </w:r>
      <w:r w:rsidRPr="00014C7E">
        <w:rPr>
          <w:rFonts w:asciiTheme="majorHAnsi" w:hAnsiTheme="majorHAnsi"/>
          <w:color w:val="292929"/>
          <w:sz w:val="14"/>
          <w:szCs w:val="14"/>
        </w:rPr>
        <w:t>Reconciliation of the Opening and Closing Balances of Property, Plant and Equipment, and Intangibles</w:t>
      </w:r>
    </w:p>
    <w:tbl>
      <w:tblPr>
        <w:tblW w:w="7379" w:type="dxa"/>
        <w:tblInd w:w="-8" w:type="dxa"/>
        <w:tblLayout w:type="fixed"/>
        <w:tblCellMar>
          <w:left w:w="0" w:type="dxa"/>
          <w:right w:w="0" w:type="dxa"/>
        </w:tblCellMar>
        <w:tblLook w:val="0000" w:firstRow="0" w:lastRow="0" w:firstColumn="0" w:lastColumn="0" w:noHBand="0" w:noVBand="0"/>
      </w:tblPr>
      <w:tblGrid>
        <w:gridCol w:w="2151"/>
        <w:gridCol w:w="976"/>
        <w:gridCol w:w="1134"/>
        <w:gridCol w:w="992"/>
        <w:gridCol w:w="1134"/>
        <w:gridCol w:w="992"/>
      </w:tblGrid>
      <w:tr w:rsidR="00B81AE0" w:rsidRPr="00B81AE0" w14:paraId="56F52BBF" w14:textId="77777777" w:rsidTr="002550CF">
        <w:trPr>
          <w:trHeight w:val="340"/>
          <w:tblHeader/>
        </w:trPr>
        <w:tc>
          <w:tcPr>
            <w:tcW w:w="2151" w:type="dxa"/>
            <w:tcBorders>
              <w:bottom w:val="single" w:sz="4" w:space="0" w:color="FFFFFF" w:themeColor="background2"/>
            </w:tcBorders>
            <w:tcMar>
              <w:top w:w="28" w:type="dxa"/>
              <w:left w:w="113" w:type="dxa"/>
              <w:bottom w:w="28" w:type="dxa"/>
              <w:right w:w="113" w:type="dxa"/>
            </w:tcMar>
            <w:vAlign w:val="bottom"/>
          </w:tcPr>
          <w:p w14:paraId="7E47FA54" w14:textId="77777777" w:rsidR="003C7007" w:rsidRPr="00B81AE0" w:rsidRDefault="003C7007" w:rsidP="0007074A">
            <w:pPr>
              <w:autoSpaceDE w:val="0"/>
              <w:autoSpaceDN w:val="0"/>
              <w:adjustRightInd w:val="0"/>
              <w:spacing w:after="0" w:line="240" w:lineRule="auto"/>
              <w:rPr>
                <w:rFonts w:ascii="Futura PT Book" w:hAnsi="Futura PT Book"/>
                <w:color w:val="1C1C1C"/>
                <w:sz w:val="24"/>
                <w:szCs w:val="24"/>
              </w:rPr>
            </w:pPr>
          </w:p>
        </w:tc>
        <w:tc>
          <w:tcPr>
            <w:tcW w:w="976" w:type="dxa"/>
            <w:tcBorders>
              <w:bottom w:val="single" w:sz="12" w:space="0" w:color="292929"/>
              <w:right w:val="single" w:sz="18" w:space="0" w:color="FFFFFF" w:themeColor="background2"/>
            </w:tcBorders>
            <w:vAlign w:val="bottom"/>
          </w:tcPr>
          <w:p w14:paraId="522A2708" w14:textId="77777777"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Buildings</w:t>
            </w:r>
          </w:p>
          <w:p w14:paraId="560EA94E" w14:textId="36282D8E"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292929"/>
              <w:right w:val="single" w:sz="18" w:space="0" w:color="FFFFFF" w:themeColor="background2"/>
            </w:tcBorders>
            <w:vAlign w:val="bottom"/>
          </w:tcPr>
          <w:p w14:paraId="51156D12" w14:textId="77777777"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Leasehold improvement</w:t>
            </w:r>
          </w:p>
          <w:p w14:paraId="1970B920" w14:textId="3E063CAE"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292929"/>
              <w:right w:val="single" w:sz="18" w:space="0" w:color="FFFFFF" w:themeColor="background2"/>
            </w:tcBorders>
            <w:vAlign w:val="bottom"/>
          </w:tcPr>
          <w:p w14:paraId="400E08EF" w14:textId="77777777"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Plant and equipment</w:t>
            </w:r>
          </w:p>
          <w:p w14:paraId="3B9E6563" w14:textId="75799FEC"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08EFD668" w14:textId="2E19841B"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Computer software and</w:t>
            </w:r>
            <w:r w:rsidR="004D15D5" w:rsidRPr="00B81AE0">
              <w:rPr>
                <w:rFonts w:asciiTheme="majorHAnsi" w:hAnsiTheme="majorHAnsi" w:cs="Futura PT Heavy"/>
                <w:color w:val="1C1C1C"/>
                <w:sz w:val="16"/>
                <w:szCs w:val="16"/>
                <w:lang w:val="en-US"/>
              </w:rPr>
              <w:t> </w:t>
            </w:r>
            <w:r w:rsidRPr="00B81AE0">
              <w:rPr>
                <w:rFonts w:asciiTheme="majorHAnsi" w:hAnsiTheme="majorHAnsi" w:cs="Futura PT Heavy"/>
                <w:color w:val="1C1C1C"/>
                <w:sz w:val="16"/>
                <w:szCs w:val="16"/>
                <w:lang w:val="en-US"/>
              </w:rPr>
              <w:t>other intangibles</w:t>
            </w:r>
          </w:p>
          <w:p w14:paraId="2A5B6C77" w14:textId="7400FB7E"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5D634249" w14:textId="77777777"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Total</w:t>
            </w:r>
          </w:p>
          <w:p w14:paraId="105CE621" w14:textId="5E3DE593" w:rsidR="003C7007" w:rsidRPr="00B81AE0" w:rsidRDefault="003C7007" w:rsidP="0007074A">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r>
      <w:tr w:rsidR="00B81AE0" w:rsidRPr="00B81AE0" w14:paraId="6DE18CEB" w14:textId="77777777" w:rsidTr="002550CF">
        <w:trPr>
          <w:trHeight w:val="170"/>
        </w:trPr>
        <w:tc>
          <w:tcPr>
            <w:tcW w:w="215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vAlign w:val="bottom"/>
          </w:tcPr>
          <w:p w14:paraId="169C1B3A" w14:textId="28B71637" w:rsidR="003C7007" w:rsidRPr="00B81AE0" w:rsidRDefault="003C7007" w:rsidP="0007074A">
            <w:pPr>
              <w:suppressAutoHyphens/>
              <w:autoSpaceDE w:val="0"/>
              <w:autoSpaceDN w:val="0"/>
              <w:adjustRightInd w:val="0"/>
              <w:spacing w:after="0" w:line="20" w:lineRule="atLeast"/>
              <w:textAlignment w:val="center"/>
              <w:rPr>
                <w:rFonts w:asciiTheme="majorHAnsi" w:hAnsiTheme="majorHAnsi" w:cs="Futura PT Book"/>
                <w:color w:val="1C1C1C"/>
                <w:sz w:val="14"/>
                <w:szCs w:val="14"/>
                <w:lang w:val="en-US"/>
              </w:rPr>
            </w:pPr>
            <w:r w:rsidRPr="00B81AE0">
              <w:rPr>
                <w:rFonts w:asciiTheme="majorHAnsi" w:hAnsiTheme="majorHAnsi"/>
                <w:color w:val="1C1C1C"/>
                <w:sz w:val="14"/>
                <w:szCs w:val="14"/>
              </w:rPr>
              <w:t>As at 1 July 2019</w:t>
            </w:r>
          </w:p>
        </w:tc>
        <w:tc>
          <w:tcPr>
            <w:tcW w:w="976" w:type="dxa"/>
            <w:tcBorders>
              <w:top w:val="single" w:sz="12" w:space="0" w:color="292929"/>
              <w:bottom w:val="single" w:sz="4" w:space="0" w:color="FFFFFF" w:themeColor="background2"/>
              <w:right w:val="single" w:sz="18" w:space="0" w:color="FFFFFF" w:themeColor="background2"/>
            </w:tcBorders>
            <w:vAlign w:val="bottom"/>
          </w:tcPr>
          <w:p w14:paraId="16BAF53E" w14:textId="4404A09B" w:rsidR="003C7007" w:rsidRPr="00B81AE0" w:rsidRDefault="003C7007"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tcBorders>
              <w:top w:val="single" w:sz="12" w:space="0" w:color="292929"/>
              <w:left w:val="single" w:sz="18" w:space="0" w:color="FFFFFF" w:themeColor="background2"/>
              <w:bottom w:val="single" w:sz="4" w:space="0" w:color="FFFFFF" w:themeColor="background2"/>
              <w:right w:val="single" w:sz="18" w:space="0" w:color="FFFFFF" w:themeColor="background2"/>
            </w:tcBorders>
            <w:vAlign w:val="bottom"/>
          </w:tcPr>
          <w:p w14:paraId="4335215A" w14:textId="0B8209B4" w:rsidR="003C7007" w:rsidRPr="00B81AE0" w:rsidRDefault="003C7007"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tcBorders>
              <w:top w:val="single" w:sz="12" w:space="0" w:color="292929"/>
              <w:left w:val="single" w:sz="18" w:space="0" w:color="FFFFFF" w:themeColor="background2"/>
              <w:bottom w:val="single" w:sz="4" w:space="0" w:color="FFFFFF" w:themeColor="background2"/>
              <w:right w:val="single" w:sz="18" w:space="0" w:color="FFFFFF" w:themeColor="background2"/>
            </w:tcBorders>
            <w:vAlign w:val="bottom"/>
          </w:tcPr>
          <w:p w14:paraId="29063449" w14:textId="147AB9C3" w:rsidR="003C7007" w:rsidRPr="00B81AE0" w:rsidRDefault="003C7007"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tcBorders>
              <w:top w:val="single" w:sz="12" w:space="0" w:color="292929"/>
              <w:left w:val="single" w:sz="18"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vAlign w:val="bottom"/>
          </w:tcPr>
          <w:p w14:paraId="7DCD3591" w14:textId="46A452B8" w:rsidR="003C7007" w:rsidRPr="00B81AE0" w:rsidRDefault="003C7007"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tcBorders>
              <w:top w:val="single" w:sz="12" w:space="0" w:color="292929"/>
              <w:left w:val="single" w:sz="18" w:space="0" w:color="FFFFFF" w:themeColor="background2"/>
            </w:tcBorders>
            <w:tcMar>
              <w:top w:w="17" w:type="dxa"/>
              <w:left w:w="113" w:type="dxa"/>
              <w:bottom w:w="17" w:type="dxa"/>
              <w:right w:w="113" w:type="dxa"/>
            </w:tcMar>
            <w:vAlign w:val="bottom"/>
          </w:tcPr>
          <w:p w14:paraId="448CF00A" w14:textId="77777777" w:rsidR="003C7007" w:rsidRPr="00B81AE0" w:rsidRDefault="003C7007" w:rsidP="0007074A">
            <w:pPr>
              <w:autoSpaceDE w:val="0"/>
              <w:autoSpaceDN w:val="0"/>
              <w:adjustRightInd w:val="0"/>
              <w:spacing w:after="0" w:line="20" w:lineRule="atLeast"/>
              <w:jc w:val="right"/>
              <w:rPr>
                <w:rFonts w:asciiTheme="majorHAnsi" w:hAnsiTheme="majorHAnsi"/>
                <w:color w:val="1C1C1C"/>
                <w:sz w:val="14"/>
                <w:szCs w:val="14"/>
              </w:rPr>
            </w:pPr>
          </w:p>
        </w:tc>
      </w:tr>
      <w:tr w:rsidR="00B81AE0" w:rsidRPr="00B81AE0" w14:paraId="084BF7ED" w14:textId="77777777" w:rsidTr="004F5E1F">
        <w:trPr>
          <w:trHeight w:val="170"/>
        </w:trPr>
        <w:tc>
          <w:tcPr>
            <w:tcW w:w="2151" w:type="dxa"/>
            <w:tcMar>
              <w:top w:w="17" w:type="dxa"/>
              <w:left w:w="80" w:type="dxa"/>
              <w:bottom w:w="17" w:type="dxa"/>
              <w:right w:w="80" w:type="dxa"/>
            </w:tcMar>
            <w:vAlign w:val="bottom"/>
          </w:tcPr>
          <w:p w14:paraId="00E7F2AF" w14:textId="1F3B369A" w:rsidR="003C7007" w:rsidRPr="00B81AE0" w:rsidRDefault="003C7007" w:rsidP="0007074A">
            <w:pPr>
              <w:suppressAutoHyphens/>
              <w:autoSpaceDE w:val="0"/>
              <w:autoSpaceDN w:val="0"/>
              <w:adjustRightInd w:val="0"/>
              <w:spacing w:after="0" w:line="20" w:lineRule="atLeast"/>
              <w:textAlignment w:val="center"/>
              <w:rPr>
                <w:rFonts w:cs="Futura PT Book"/>
                <w:color w:val="1C1C1C"/>
                <w:sz w:val="14"/>
                <w:szCs w:val="14"/>
                <w:lang w:val="en-US"/>
              </w:rPr>
            </w:pPr>
            <w:r w:rsidRPr="00B81AE0">
              <w:rPr>
                <w:color w:val="1C1C1C"/>
                <w:sz w:val="14"/>
                <w:szCs w:val="14"/>
              </w:rPr>
              <w:t>Gross book value</w:t>
            </w:r>
          </w:p>
        </w:tc>
        <w:tc>
          <w:tcPr>
            <w:tcW w:w="976" w:type="dxa"/>
            <w:vAlign w:val="bottom"/>
          </w:tcPr>
          <w:p w14:paraId="602FF742" w14:textId="077BCDB2" w:rsidR="003C7007" w:rsidRPr="00B81AE0" w:rsidRDefault="00892E95"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w:t>
            </w:r>
          </w:p>
        </w:tc>
        <w:tc>
          <w:tcPr>
            <w:tcW w:w="1134" w:type="dxa"/>
            <w:vAlign w:val="bottom"/>
          </w:tcPr>
          <w:p w14:paraId="7BB6B773" w14:textId="5B4E6D43" w:rsidR="003C7007" w:rsidRPr="00B81AE0" w:rsidRDefault="00EF1CB0"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292</w:t>
            </w:r>
          </w:p>
        </w:tc>
        <w:tc>
          <w:tcPr>
            <w:tcW w:w="992" w:type="dxa"/>
            <w:vAlign w:val="bottom"/>
          </w:tcPr>
          <w:p w14:paraId="10D872C7" w14:textId="561C6314" w:rsidR="003C7007" w:rsidRPr="00B81AE0" w:rsidRDefault="00EF1CB0"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282</w:t>
            </w:r>
          </w:p>
        </w:tc>
        <w:tc>
          <w:tcPr>
            <w:tcW w:w="1134" w:type="dxa"/>
            <w:tcMar>
              <w:top w:w="17" w:type="dxa"/>
              <w:left w:w="113" w:type="dxa"/>
              <w:bottom w:w="17" w:type="dxa"/>
              <w:right w:w="113" w:type="dxa"/>
            </w:tcMar>
            <w:vAlign w:val="bottom"/>
          </w:tcPr>
          <w:p w14:paraId="5D55D8D9" w14:textId="3869ADED" w:rsidR="003C7007"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1,075</w:t>
            </w:r>
          </w:p>
        </w:tc>
        <w:tc>
          <w:tcPr>
            <w:tcW w:w="992" w:type="dxa"/>
            <w:tcMar>
              <w:top w:w="17" w:type="dxa"/>
              <w:left w:w="113" w:type="dxa"/>
              <w:bottom w:w="17" w:type="dxa"/>
              <w:right w:w="113" w:type="dxa"/>
            </w:tcMar>
            <w:vAlign w:val="bottom"/>
          </w:tcPr>
          <w:p w14:paraId="416CDC4B" w14:textId="33BBACB1" w:rsidR="003C7007"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1,649</w:t>
            </w:r>
          </w:p>
        </w:tc>
      </w:tr>
      <w:tr w:rsidR="00B81AE0" w:rsidRPr="00B81AE0" w14:paraId="1DC353AE" w14:textId="77777777" w:rsidTr="004F5E1F">
        <w:trPr>
          <w:trHeight w:val="170"/>
        </w:trPr>
        <w:tc>
          <w:tcPr>
            <w:tcW w:w="2151" w:type="dxa"/>
            <w:tcBorders>
              <w:bottom w:val="single" w:sz="8" w:space="0" w:color="FFFFFF" w:themeColor="background2"/>
            </w:tcBorders>
            <w:tcMar>
              <w:top w:w="17" w:type="dxa"/>
              <w:left w:w="80" w:type="dxa"/>
              <w:bottom w:w="17" w:type="dxa"/>
              <w:right w:w="80" w:type="dxa"/>
            </w:tcMar>
            <w:vAlign w:val="bottom"/>
          </w:tcPr>
          <w:p w14:paraId="6572E7EE" w14:textId="65F1D90C" w:rsidR="003C7007" w:rsidRPr="00B81AE0" w:rsidRDefault="003C7007" w:rsidP="00434ED2">
            <w:pPr>
              <w:suppressAutoHyphens/>
              <w:autoSpaceDE w:val="0"/>
              <w:autoSpaceDN w:val="0"/>
              <w:adjustRightInd w:val="0"/>
              <w:spacing w:after="0" w:line="240" w:lineRule="auto"/>
              <w:textAlignment w:val="center"/>
              <w:rPr>
                <w:rFonts w:cs="Futura PT Book"/>
                <w:color w:val="1C1C1C"/>
                <w:sz w:val="14"/>
                <w:szCs w:val="14"/>
                <w:lang w:val="en-US"/>
              </w:rPr>
            </w:pPr>
            <w:r w:rsidRPr="00B81AE0">
              <w:rPr>
                <w:color w:val="1C1C1C"/>
                <w:sz w:val="14"/>
                <w:szCs w:val="14"/>
              </w:rPr>
              <w:t xml:space="preserve">Accumulated depreciation, </w:t>
            </w:r>
            <w:r w:rsidR="00B52FB3" w:rsidRPr="00B81AE0">
              <w:rPr>
                <w:color w:val="1C1C1C"/>
                <w:sz w:val="14"/>
                <w:szCs w:val="14"/>
              </w:rPr>
              <w:t>amorti</w:t>
            </w:r>
            <w:r w:rsidR="00DA12D9" w:rsidRPr="00B81AE0">
              <w:rPr>
                <w:color w:val="1C1C1C"/>
                <w:sz w:val="14"/>
                <w:szCs w:val="14"/>
              </w:rPr>
              <w:t>s</w:t>
            </w:r>
            <w:r w:rsidR="00B52FB3" w:rsidRPr="00B81AE0">
              <w:rPr>
                <w:color w:val="1C1C1C"/>
                <w:sz w:val="14"/>
                <w:szCs w:val="14"/>
              </w:rPr>
              <w:t>ation </w:t>
            </w:r>
            <w:r w:rsidRPr="00B81AE0">
              <w:rPr>
                <w:color w:val="1C1C1C"/>
                <w:sz w:val="14"/>
                <w:szCs w:val="14"/>
              </w:rPr>
              <w:t>and impairment</w:t>
            </w:r>
          </w:p>
        </w:tc>
        <w:tc>
          <w:tcPr>
            <w:tcW w:w="976" w:type="dxa"/>
            <w:tcBorders>
              <w:bottom w:val="single" w:sz="4" w:space="0" w:color="auto"/>
              <w:right w:val="single" w:sz="8" w:space="0" w:color="FFFFFF" w:themeColor="background2"/>
            </w:tcBorders>
            <w:vAlign w:val="bottom"/>
          </w:tcPr>
          <w:p w14:paraId="0B49F28C" w14:textId="338EDC96" w:rsidR="003C7007"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Borders>
              <w:left w:val="single" w:sz="8" w:space="0" w:color="FFFFFF" w:themeColor="background2"/>
              <w:bottom w:val="single" w:sz="4" w:space="0" w:color="auto"/>
              <w:right w:val="single" w:sz="8" w:space="0" w:color="FFFFFF" w:themeColor="background2"/>
            </w:tcBorders>
            <w:vAlign w:val="bottom"/>
          </w:tcPr>
          <w:p w14:paraId="042FB989" w14:textId="7BB2A627" w:rsidR="003C7007"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(58)</w:t>
            </w:r>
          </w:p>
        </w:tc>
        <w:tc>
          <w:tcPr>
            <w:tcW w:w="992" w:type="dxa"/>
            <w:tcBorders>
              <w:left w:val="single" w:sz="8" w:space="0" w:color="FFFFFF" w:themeColor="background2"/>
              <w:bottom w:val="single" w:sz="4" w:space="0" w:color="auto"/>
              <w:right w:val="single" w:sz="8" w:space="0" w:color="FFFFFF" w:themeColor="background2"/>
            </w:tcBorders>
            <w:vAlign w:val="bottom"/>
          </w:tcPr>
          <w:p w14:paraId="5FAF50A1" w14:textId="10087C6D" w:rsidR="003C7007"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(81)</w:t>
            </w:r>
          </w:p>
        </w:tc>
        <w:tc>
          <w:tcPr>
            <w:tcW w:w="1134" w:type="dxa"/>
            <w:tcBorders>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04389571" w14:textId="1854679F" w:rsidR="003C7007"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(669)</w:t>
            </w:r>
          </w:p>
        </w:tc>
        <w:tc>
          <w:tcPr>
            <w:tcW w:w="992" w:type="dxa"/>
            <w:tcBorders>
              <w:left w:val="single" w:sz="8" w:space="0" w:color="FFFFFF" w:themeColor="background2"/>
              <w:bottom w:val="single" w:sz="4" w:space="0" w:color="auto"/>
            </w:tcBorders>
            <w:tcMar>
              <w:top w:w="17" w:type="dxa"/>
              <w:left w:w="113" w:type="dxa"/>
              <w:bottom w:w="17" w:type="dxa"/>
              <w:right w:w="113" w:type="dxa"/>
            </w:tcMar>
            <w:vAlign w:val="bottom"/>
          </w:tcPr>
          <w:p w14:paraId="09C9CCD2" w14:textId="2B0A1359" w:rsidR="003C7007"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s="Futura PT Book"/>
                <w:color w:val="1C1C1C"/>
                <w:sz w:val="14"/>
                <w:szCs w:val="14"/>
                <w:lang w:val="en-US"/>
              </w:rPr>
            </w:pPr>
            <w:r w:rsidRPr="00B81AE0">
              <w:rPr>
                <w:rFonts w:asciiTheme="majorHAnsi" w:hAnsiTheme="majorHAnsi" w:cs="Futura PT Book"/>
                <w:color w:val="1C1C1C"/>
                <w:sz w:val="14"/>
                <w:szCs w:val="14"/>
                <w:lang w:val="en-US"/>
              </w:rPr>
              <w:t>(808)</w:t>
            </w:r>
          </w:p>
        </w:tc>
      </w:tr>
      <w:tr w:rsidR="00B81AE0" w:rsidRPr="00B81AE0" w14:paraId="4A931B3A"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442740EB" w14:textId="117DE5F0" w:rsidR="003C7007" w:rsidRPr="00B81AE0" w:rsidRDefault="003C7007"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1 July 2019</w:t>
            </w:r>
          </w:p>
        </w:tc>
        <w:tc>
          <w:tcPr>
            <w:tcW w:w="976" w:type="dxa"/>
            <w:tcBorders>
              <w:top w:val="single" w:sz="4" w:space="0" w:color="auto"/>
              <w:bottom w:val="single" w:sz="4" w:space="0" w:color="auto"/>
              <w:right w:val="single" w:sz="8" w:space="0" w:color="FFFFFF" w:themeColor="background2"/>
            </w:tcBorders>
            <w:vAlign w:val="bottom"/>
          </w:tcPr>
          <w:p w14:paraId="30F23DCE" w14:textId="0AB145CE" w:rsidR="003C7007"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5839D7C9" w14:textId="1B185A30" w:rsidR="003C7007"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234</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3E180C97" w14:textId="0D98C504" w:rsidR="003C7007"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201</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3BA7DD24" w14:textId="424DA73F" w:rsidR="003C7007"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406</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31DB7137" w14:textId="130E9236" w:rsidR="003C7007"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841</w:t>
            </w:r>
          </w:p>
        </w:tc>
      </w:tr>
      <w:tr w:rsidR="00B81AE0" w:rsidRPr="00B81AE0" w14:paraId="17D245D9"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73634441" w14:textId="2E8B977E" w:rsidR="002B4A3A" w:rsidRPr="00B81AE0" w:rsidRDefault="002B4A3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Recognition of right-of-use asset on initial application of AASB 16</w:t>
            </w:r>
          </w:p>
        </w:tc>
        <w:tc>
          <w:tcPr>
            <w:tcW w:w="976" w:type="dxa"/>
            <w:tcBorders>
              <w:top w:val="single" w:sz="4" w:space="0" w:color="auto"/>
              <w:bottom w:val="single" w:sz="4" w:space="0" w:color="auto"/>
              <w:right w:val="single" w:sz="8" w:space="0" w:color="FFFFFF" w:themeColor="background2"/>
            </w:tcBorders>
            <w:vAlign w:val="bottom"/>
          </w:tcPr>
          <w:p w14:paraId="423E6411" w14:textId="73F89F00" w:rsidR="002B4A3A" w:rsidRPr="00B81AE0" w:rsidRDefault="002B4A3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6,884</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6E91B85D" w14:textId="6543BE25" w:rsidR="002B4A3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675ABFF8" w14:textId="72E287C0" w:rsidR="002B4A3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1F83746C" w14:textId="777EC9AE" w:rsidR="002B4A3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11161938" w14:textId="3ADD3BE9" w:rsidR="002B4A3A" w:rsidRPr="00B81AE0" w:rsidRDefault="0007074A"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6,884</w:t>
            </w:r>
          </w:p>
        </w:tc>
      </w:tr>
      <w:tr w:rsidR="00B81AE0" w:rsidRPr="00B81AE0" w14:paraId="11682720"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5C94E598" w14:textId="0AD18EB4" w:rsidR="0007074A" w:rsidRPr="00B81AE0" w:rsidRDefault="0007074A"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Adjusted total as at 1 July 2019</w:t>
            </w:r>
          </w:p>
        </w:tc>
        <w:tc>
          <w:tcPr>
            <w:tcW w:w="976" w:type="dxa"/>
            <w:tcBorders>
              <w:top w:val="single" w:sz="4" w:space="0" w:color="auto"/>
              <w:bottom w:val="single" w:sz="4" w:space="0" w:color="auto"/>
              <w:right w:val="single" w:sz="8" w:space="0" w:color="FFFFFF" w:themeColor="background2"/>
            </w:tcBorders>
            <w:vAlign w:val="bottom"/>
          </w:tcPr>
          <w:p w14:paraId="5738EF81" w14:textId="3C4505E8" w:rsidR="0007074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6,884</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3E49084C" w14:textId="189600AF" w:rsidR="0007074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234</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12D01CAF" w14:textId="44768762" w:rsidR="0007074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201</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54E92D94" w14:textId="0BB4ED08" w:rsidR="0007074A" w:rsidRPr="00B81AE0" w:rsidRDefault="0007074A"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406</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108675F6" w14:textId="2F7A0FD4" w:rsidR="0007074A" w:rsidRPr="00B81AE0" w:rsidRDefault="0007074A"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7,725</w:t>
            </w:r>
          </w:p>
        </w:tc>
      </w:tr>
      <w:tr w:rsidR="00B81AE0" w:rsidRPr="00B81AE0" w14:paraId="2CDF35C1" w14:textId="77777777" w:rsidTr="004F5E1F">
        <w:trPr>
          <w:trHeight w:val="170"/>
        </w:trPr>
        <w:tc>
          <w:tcPr>
            <w:tcW w:w="2151" w:type="dxa"/>
            <w:tcBorders>
              <w:top w:val="single" w:sz="8" w:space="0" w:color="FFFFFF" w:themeColor="background2"/>
            </w:tcBorders>
            <w:tcMar>
              <w:top w:w="17" w:type="dxa"/>
              <w:left w:w="80" w:type="dxa"/>
              <w:bottom w:w="17" w:type="dxa"/>
              <w:right w:w="80" w:type="dxa"/>
            </w:tcMar>
            <w:vAlign w:val="bottom"/>
          </w:tcPr>
          <w:p w14:paraId="5DF2DDBA" w14:textId="1FEA0596" w:rsidR="009204AA" w:rsidRPr="00B81AE0" w:rsidRDefault="009204A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Additions</w:t>
            </w:r>
          </w:p>
        </w:tc>
        <w:tc>
          <w:tcPr>
            <w:tcW w:w="976" w:type="dxa"/>
            <w:tcBorders>
              <w:top w:val="single" w:sz="4" w:space="0" w:color="auto"/>
              <w:right w:val="single" w:sz="8" w:space="0" w:color="FFFFFF" w:themeColor="background2"/>
            </w:tcBorders>
            <w:vAlign w:val="bottom"/>
          </w:tcPr>
          <w:p w14:paraId="49310C4D"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tcBorders>
              <w:top w:val="single" w:sz="4" w:space="0" w:color="auto"/>
              <w:left w:val="single" w:sz="8" w:space="0" w:color="FFFFFF" w:themeColor="background2"/>
              <w:right w:val="single" w:sz="8" w:space="0" w:color="FFFFFF" w:themeColor="background2"/>
            </w:tcBorders>
            <w:vAlign w:val="bottom"/>
          </w:tcPr>
          <w:p w14:paraId="79B1B6BE"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tcBorders>
              <w:top w:val="single" w:sz="4" w:space="0" w:color="auto"/>
              <w:left w:val="single" w:sz="8" w:space="0" w:color="FFFFFF" w:themeColor="background2"/>
              <w:right w:val="single" w:sz="8" w:space="0" w:color="FFFFFF" w:themeColor="background2"/>
            </w:tcBorders>
            <w:vAlign w:val="bottom"/>
          </w:tcPr>
          <w:p w14:paraId="31BC8FE2"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tcBorders>
              <w:top w:val="single" w:sz="4" w:space="0" w:color="auto"/>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29E8AA7E"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tcBorders>
              <w:top w:val="single" w:sz="4" w:space="0" w:color="auto"/>
              <w:left w:val="single" w:sz="8" w:space="0" w:color="FFFFFF" w:themeColor="background2"/>
            </w:tcBorders>
            <w:tcMar>
              <w:top w:w="17" w:type="dxa"/>
              <w:left w:w="113" w:type="dxa"/>
              <w:bottom w:w="17" w:type="dxa"/>
              <w:right w:w="113" w:type="dxa"/>
            </w:tcMar>
            <w:vAlign w:val="bottom"/>
          </w:tcPr>
          <w:p w14:paraId="5DE171FF" w14:textId="77777777" w:rsidR="009204AA" w:rsidRPr="00B81AE0" w:rsidRDefault="009204AA"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p>
        </w:tc>
      </w:tr>
      <w:tr w:rsidR="00B81AE0" w:rsidRPr="00B81AE0" w14:paraId="1CE89488" w14:textId="77777777" w:rsidTr="005005F8">
        <w:trPr>
          <w:trHeight w:val="170"/>
        </w:trPr>
        <w:tc>
          <w:tcPr>
            <w:tcW w:w="2151" w:type="dxa"/>
            <w:tcMar>
              <w:top w:w="17" w:type="dxa"/>
              <w:left w:w="80" w:type="dxa"/>
              <w:bottom w:w="17" w:type="dxa"/>
              <w:right w:w="80" w:type="dxa"/>
            </w:tcMar>
            <w:vAlign w:val="bottom"/>
          </w:tcPr>
          <w:p w14:paraId="11E7AB23" w14:textId="5E6EDE1C" w:rsidR="009204AA" w:rsidRPr="00B81AE0" w:rsidRDefault="009204AA" w:rsidP="0007074A">
            <w:pPr>
              <w:suppressAutoHyphens/>
              <w:autoSpaceDE w:val="0"/>
              <w:autoSpaceDN w:val="0"/>
              <w:adjustRightInd w:val="0"/>
              <w:spacing w:after="0" w:line="20" w:lineRule="atLeast"/>
              <w:ind w:left="113"/>
              <w:textAlignment w:val="center"/>
              <w:rPr>
                <w:color w:val="1C1C1C"/>
                <w:sz w:val="14"/>
                <w:szCs w:val="14"/>
              </w:rPr>
            </w:pPr>
            <w:r w:rsidRPr="00B81AE0">
              <w:rPr>
                <w:color w:val="1C1C1C"/>
                <w:sz w:val="14"/>
                <w:szCs w:val="14"/>
              </w:rPr>
              <w:t>Purchase</w:t>
            </w:r>
          </w:p>
        </w:tc>
        <w:tc>
          <w:tcPr>
            <w:tcW w:w="976" w:type="dxa"/>
            <w:vAlign w:val="bottom"/>
          </w:tcPr>
          <w:p w14:paraId="7F9D1071" w14:textId="4DCFA51C"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vAlign w:val="bottom"/>
          </w:tcPr>
          <w:p w14:paraId="478CAEC5" w14:textId="2E6A8597"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1,728</w:t>
            </w:r>
          </w:p>
        </w:tc>
        <w:tc>
          <w:tcPr>
            <w:tcW w:w="992" w:type="dxa"/>
            <w:vAlign w:val="bottom"/>
          </w:tcPr>
          <w:p w14:paraId="7B198ECF" w14:textId="38CAE98B"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Mar>
              <w:top w:w="17" w:type="dxa"/>
              <w:left w:w="113" w:type="dxa"/>
              <w:bottom w:w="17" w:type="dxa"/>
              <w:right w:w="113" w:type="dxa"/>
            </w:tcMar>
            <w:vAlign w:val="bottom"/>
          </w:tcPr>
          <w:p w14:paraId="1E8893D6" w14:textId="310BD17F"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Mar>
              <w:top w:w="17" w:type="dxa"/>
              <w:left w:w="113" w:type="dxa"/>
              <w:bottom w:w="17" w:type="dxa"/>
              <w:right w:w="113" w:type="dxa"/>
            </w:tcMar>
            <w:vAlign w:val="bottom"/>
          </w:tcPr>
          <w:p w14:paraId="789C3D4C" w14:textId="437EAAC7"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1,728</w:t>
            </w:r>
          </w:p>
        </w:tc>
      </w:tr>
      <w:tr w:rsidR="00B81AE0" w:rsidRPr="00B81AE0" w14:paraId="1FF0D761" w14:textId="77777777" w:rsidTr="005005F8">
        <w:trPr>
          <w:trHeight w:val="170"/>
        </w:trPr>
        <w:tc>
          <w:tcPr>
            <w:tcW w:w="2151" w:type="dxa"/>
            <w:tcMar>
              <w:top w:w="17" w:type="dxa"/>
              <w:left w:w="80" w:type="dxa"/>
              <w:bottom w:w="17" w:type="dxa"/>
              <w:right w:w="80" w:type="dxa"/>
            </w:tcMar>
            <w:vAlign w:val="bottom"/>
          </w:tcPr>
          <w:p w14:paraId="70A6E332" w14:textId="1A5A7EDB" w:rsidR="009204AA" w:rsidRPr="00B81AE0" w:rsidRDefault="009204A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Depreciation and amortisation</w:t>
            </w:r>
          </w:p>
        </w:tc>
        <w:tc>
          <w:tcPr>
            <w:tcW w:w="976" w:type="dxa"/>
            <w:vAlign w:val="bottom"/>
          </w:tcPr>
          <w:p w14:paraId="4D66EC73" w14:textId="1C4CFEC4"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vAlign w:val="bottom"/>
          </w:tcPr>
          <w:p w14:paraId="0089D837" w14:textId="5C42DBA0"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(276)</w:t>
            </w:r>
          </w:p>
        </w:tc>
        <w:tc>
          <w:tcPr>
            <w:tcW w:w="992" w:type="dxa"/>
            <w:vAlign w:val="bottom"/>
          </w:tcPr>
          <w:p w14:paraId="433860B1" w14:textId="07D4B4D8"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(46)</w:t>
            </w:r>
          </w:p>
        </w:tc>
        <w:tc>
          <w:tcPr>
            <w:tcW w:w="1134" w:type="dxa"/>
            <w:tcMar>
              <w:top w:w="17" w:type="dxa"/>
              <w:left w:w="113" w:type="dxa"/>
              <w:bottom w:w="17" w:type="dxa"/>
              <w:right w:w="113" w:type="dxa"/>
            </w:tcMar>
            <w:vAlign w:val="bottom"/>
          </w:tcPr>
          <w:p w14:paraId="64E22E4E" w14:textId="54B2502D"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(229)</w:t>
            </w:r>
          </w:p>
        </w:tc>
        <w:tc>
          <w:tcPr>
            <w:tcW w:w="992" w:type="dxa"/>
            <w:tcMar>
              <w:top w:w="17" w:type="dxa"/>
              <w:left w:w="113" w:type="dxa"/>
              <w:bottom w:w="17" w:type="dxa"/>
              <w:right w:w="113" w:type="dxa"/>
            </w:tcMar>
            <w:vAlign w:val="bottom"/>
          </w:tcPr>
          <w:p w14:paraId="541760FE" w14:textId="737E044E"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(551)</w:t>
            </w:r>
          </w:p>
        </w:tc>
      </w:tr>
      <w:tr w:rsidR="00B81AE0" w:rsidRPr="00B81AE0" w14:paraId="0893764B" w14:textId="77777777" w:rsidTr="005005F8">
        <w:trPr>
          <w:trHeight w:val="170"/>
        </w:trPr>
        <w:tc>
          <w:tcPr>
            <w:tcW w:w="2151" w:type="dxa"/>
            <w:tcMar>
              <w:top w:w="17" w:type="dxa"/>
              <w:left w:w="80" w:type="dxa"/>
              <w:bottom w:w="17" w:type="dxa"/>
              <w:right w:w="80" w:type="dxa"/>
            </w:tcMar>
            <w:vAlign w:val="bottom"/>
          </w:tcPr>
          <w:p w14:paraId="5AD81DCA" w14:textId="174693AF" w:rsidR="009204AA" w:rsidRPr="00B81AE0" w:rsidRDefault="009204A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Depreciation on right-of-use assets</w:t>
            </w:r>
          </w:p>
        </w:tc>
        <w:tc>
          <w:tcPr>
            <w:tcW w:w="976" w:type="dxa"/>
            <w:vAlign w:val="bottom"/>
          </w:tcPr>
          <w:p w14:paraId="2FFBAE38" w14:textId="566DD4E5"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(772)</w:t>
            </w:r>
          </w:p>
        </w:tc>
        <w:tc>
          <w:tcPr>
            <w:tcW w:w="1134" w:type="dxa"/>
            <w:vAlign w:val="bottom"/>
          </w:tcPr>
          <w:p w14:paraId="65575A08" w14:textId="0BF06F2E"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vAlign w:val="bottom"/>
          </w:tcPr>
          <w:p w14:paraId="6325CDE1" w14:textId="062A836F"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Mar>
              <w:top w:w="17" w:type="dxa"/>
              <w:left w:w="113" w:type="dxa"/>
              <w:bottom w:w="17" w:type="dxa"/>
              <w:right w:w="113" w:type="dxa"/>
            </w:tcMar>
            <w:vAlign w:val="bottom"/>
          </w:tcPr>
          <w:p w14:paraId="3C581CEF" w14:textId="57BAA411"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Mar>
              <w:top w:w="17" w:type="dxa"/>
              <w:left w:w="113" w:type="dxa"/>
              <w:bottom w:w="17" w:type="dxa"/>
              <w:right w:w="113" w:type="dxa"/>
            </w:tcMar>
            <w:vAlign w:val="bottom"/>
          </w:tcPr>
          <w:p w14:paraId="1B5AE1C1" w14:textId="1752AF04"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(772)</w:t>
            </w:r>
          </w:p>
        </w:tc>
      </w:tr>
      <w:tr w:rsidR="00B81AE0" w:rsidRPr="00B81AE0" w14:paraId="2ECFD90A" w14:textId="77777777" w:rsidTr="005005F8">
        <w:trPr>
          <w:trHeight w:val="170"/>
        </w:trPr>
        <w:tc>
          <w:tcPr>
            <w:tcW w:w="2151" w:type="dxa"/>
            <w:tcMar>
              <w:top w:w="17" w:type="dxa"/>
              <w:left w:w="80" w:type="dxa"/>
              <w:bottom w:w="17" w:type="dxa"/>
              <w:right w:w="80" w:type="dxa"/>
            </w:tcMar>
            <w:vAlign w:val="bottom"/>
          </w:tcPr>
          <w:p w14:paraId="48D9703B" w14:textId="099C50C2" w:rsidR="009204AA" w:rsidRPr="00B81AE0" w:rsidRDefault="009204A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Disposals</w:t>
            </w:r>
          </w:p>
        </w:tc>
        <w:tc>
          <w:tcPr>
            <w:tcW w:w="976" w:type="dxa"/>
            <w:vAlign w:val="bottom"/>
          </w:tcPr>
          <w:p w14:paraId="58B36697"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vAlign w:val="bottom"/>
          </w:tcPr>
          <w:p w14:paraId="7573A2EB"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vAlign w:val="bottom"/>
          </w:tcPr>
          <w:p w14:paraId="703DF912"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1134" w:type="dxa"/>
            <w:tcMar>
              <w:top w:w="17" w:type="dxa"/>
              <w:left w:w="113" w:type="dxa"/>
              <w:bottom w:w="17" w:type="dxa"/>
              <w:right w:w="113" w:type="dxa"/>
            </w:tcMar>
            <w:vAlign w:val="bottom"/>
          </w:tcPr>
          <w:p w14:paraId="1489105E" w14:textId="77777777" w:rsidR="009204AA" w:rsidRPr="00B81AE0" w:rsidRDefault="009204AA" w:rsidP="0007074A">
            <w:pPr>
              <w:autoSpaceDE w:val="0"/>
              <w:autoSpaceDN w:val="0"/>
              <w:adjustRightInd w:val="0"/>
              <w:spacing w:after="0" w:line="20" w:lineRule="atLeast"/>
              <w:jc w:val="right"/>
              <w:rPr>
                <w:rFonts w:asciiTheme="majorHAnsi" w:hAnsiTheme="majorHAnsi"/>
                <w:color w:val="1C1C1C"/>
                <w:sz w:val="14"/>
                <w:szCs w:val="14"/>
              </w:rPr>
            </w:pPr>
          </w:p>
        </w:tc>
        <w:tc>
          <w:tcPr>
            <w:tcW w:w="992" w:type="dxa"/>
            <w:tcMar>
              <w:top w:w="17" w:type="dxa"/>
              <w:left w:w="113" w:type="dxa"/>
              <w:bottom w:w="17" w:type="dxa"/>
              <w:right w:w="113" w:type="dxa"/>
            </w:tcMar>
            <w:vAlign w:val="bottom"/>
          </w:tcPr>
          <w:p w14:paraId="69459E1E" w14:textId="77777777" w:rsidR="009204AA" w:rsidRPr="00B81AE0" w:rsidRDefault="009204AA"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p>
        </w:tc>
      </w:tr>
      <w:tr w:rsidR="00B81AE0" w:rsidRPr="00B81AE0" w14:paraId="35FAEA26" w14:textId="77777777" w:rsidTr="004F5E1F">
        <w:trPr>
          <w:trHeight w:val="170"/>
        </w:trPr>
        <w:tc>
          <w:tcPr>
            <w:tcW w:w="2151" w:type="dxa"/>
            <w:tcMar>
              <w:top w:w="17" w:type="dxa"/>
              <w:left w:w="80" w:type="dxa"/>
              <w:bottom w:w="17" w:type="dxa"/>
              <w:right w:w="80" w:type="dxa"/>
            </w:tcMar>
            <w:vAlign w:val="bottom"/>
          </w:tcPr>
          <w:p w14:paraId="6B0FBB18" w14:textId="4CD2CE16" w:rsidR="009204AA" w:rsidRPr="00B81AE0" w:rsidRDefault="009204AA" w:rsidP="0007074A">
            <w:pPr>
              <w:suppressAutoHyphens/>
              <w:autoSpaceDE w:val="0"/>
              <w:autoSpaceDN w:val="0"/>
              <w:adjustRightInd w:val="0"/>
              <w:spacing w:after="0" w:line="20" w:lineRule="atLeast"/>
              <w:ind w:left="113"/>
              <w:textAlignment w:val="center"/>
              <w:rPr>
                <w:color w:val="1C1C1C"/>
                <w:sz w:val="14"/>
                <w:szCs w:val="14"/>
              </w:rPr>
            </w:pPr>
            <w:r w:rsidRPr="00B81AE0">
              <w:rPr>
                <w:color w:val="1C1C1C"/>
                <w:sz w:val="14"/>
                <w:szCs w:val="14"/>
              </w:rPr>
              <w:t>Non-cash consideration</w:t>
            </w:r>
          </w:p>
        </w:tc>
        <w:tc>
          <w:tcPr>
            <w:tcW w:w="976" w:type="dxa"/>
            <w:vAlign w:val="bottom"/>
          </w:tcPr>
          <w:p w14:paraId="5589678D" w14:textId="16764E4F"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vAlign w:val="bottom"/>
          </w:tcPr>
          <w:p w14:paraId="1356725A" w14:textId="0793916D"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(173)</w:t>
            </w:r>
          </w:p>
        </w:tc>
        <w:tc>
          <w:tcPr>
            <w:tcW w:w="992" w:type="dxa"/>
            <w:vAlign w:val="bottom"/>
          </w:tcPr>
          <w:p w14:paraId="766DB046" w14:textId="45ABE934"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(276)</w:t>
            </w:r>
          </w:p>
        </w:tc>
        <w:tc>
          <w:tcPr>
            <w:tcW w:w="1134" w:type="dxa"/>
            <w:tcMar>
              <w:top w:w="17" w:type="dxa"/>
              <w:left w:w="113" w:type="dxa"/>
              <w:bottom w:w="17" w:type="dxa"/>
              <w:right w:w="113" w:type="dxa"/>
            </w:tcMar>
            <w:vAlign w:val="bottom"/>
          </w:tcPr>
          <w:p w14:paraId="69105581" w14:textId="1B548997"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(288)</w:t>
            </w:r>
          </w:p>
        </w:tc>
        <w:tc>
          <w:tcPr>
            <w:tcW w:w="992" w:type="dxa"/>
            <w:tcMar>
              <w:top w:w="17" w:type="dxa"/>
              <w:left w:w="113" w:type="dxa"/>
              <w:bottom w:w="17" w:type="dxa"/>
              <w:right w:w="113" w:type="dxa"/>
            </w:tcMar>
            <w:vAlign w:val="bottom"/>
          </w:tcPr>
          <w:p w14:paraId="32AD1B3E" w14:textId="4A8991BA"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(737)</w:t>
            </w:r>
          </w:p>
        </w:tc>
      </w:tr>
      <w:tr w:rsidR="00B81AE0" w:rsidRPr="00B81AE0" w14:paraId="0847EF21" w14:textId="77777777" w:rsidTr="004F5E1F">
        <w:trPr>
          <w:trHeight w:val="170"/>
        </w:trPr>
        <w:tc>
          <w:tcPr>
            <w:tcW w:w="2151" w:type="dxa"/>
            <w:tcBorders>
              <w:bottom w:val="single" w:sz="8" w:space="0" w:color="FFFFFF" w:themeColor="background2"/>
            </w:tcBorders>
            <w:tcMar>
              <w:top w:w="17" w:type="dxa"/>
              <w:left w:w="80" w:type="dxa"/>
              <w:bottom w:w="17" w:type="dxa"/>
              <w:right w:w="80" w:type="dxa"/>
            </w:tcMar>
            <w:vAlign w:val="bottom"/>
          </w:tcPr>
          <w:p w14:paraId="1A7AF0E1" w14:textId="66A19C8A" w:rsidR="009204AA" w:rsidRPr="00B81AE0" w:rsidRDefault="009204AA"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Writeback of depreciation and other</w:t>
            </w:r>
            <w:r w:rsidR="00B52FB3" w:rsidRPr="00B81AE0">
              <w:rPr>
                <w:color w:val="1C1C1C"/>
                <w:sz w:val="14"/>
                <w:szCs w:val="14"/>
              </w:rPr>
              <w:t> </w:t>
            </w:r>
            <w:r w:rsidRPr="00B81AE0">
              <w:rPr>
                <w:color w:val="1C1C1C"/>
                <w:sz w:val="14"/>
                <w:szCs w:val="14"/>
              </w:rPr>
              <w:t>adjustments</w:t>
            </w:r>
          </w:p>
        </w:tc>
        <w:tc>
          <w:tcPr>
            <w:tcW w:w="976" w:type="dxa"/>
            <w:tcBorders>
              <w:bottom w:val="single" w:sz="4" w:space="0" w:color="auto"/>
              <w:right w:val="single" w:sz="8" w:space="0" w:color="FFFFFF" w:themeColor="background2"/>
            </w:tcBorders>
            <w:vAlign w:val="bottom"/>
          </w:tcPr>
          <w:p w14:paraId="7977B5CF" w14:textId="4162E701"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Borders>
              <w:left w:val="single" w:sz="8" w:space="0" w:color="FFFFFF" w:themeColor="background2"/>
              <w:bottom w:val="single" w:sz="4" w:space="0" w:color="auto"/>
              <w:right w:val="single" w:sz="8" w:space="0" w:color="FFFFFF" w:themeColor="background2"/>
            </w:tcBorders>
            <w:vAlign w:val="bottom"/>
          </w:tcPr>
          <w:p w14:paraId="0086D0BF" w14:textId="17BEBAD0"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173</w:t>
            </w:r>
          </w:p>
        </w:tc>
        <w:tc>
          <w:tcPr>
            <w:tcW w:w="992" w:type="dxa"/>
            <w:tcBorders>
              <w:left w:val="single" w:sz="8" w:space="0" w:color="FFFFFF" w:themeColor="background2"/>
              <w:bottom w:val="single" w:sz="4" w:space="0" w:color="auto"/>
              <w:right w:val="single" w:sz="8" w:space="0" w:color="FFFFFF" w:themeColor="background2"/>
            </w:tcBorders>
            <w:vAlign w:val="bottom"/>
          </w:tcPr>
          <w:p w14:paraId="4F02DD51" w14:textId="7ACBFE92"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123</w:t>
            </w:r>
          </w:p>
        </w:tc>
        <w:tc>
          <w:tcPr>
            <w:tcW w:w="1134" w:type="dxa"/>
            <w:tcBorders>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3BF15387" w14:textId="2511ABBC"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288</w:t>
            </w:r>
          </w:p>
        </w:tc>
        <w:tc>
          <w:tcPr>
            <w:tcW w:w="992" w:type="dxa"/>
            <w:tcBorders>
              <w:left w:val="single" w:sz="8" w:space="0" w:color="FFFFFF" w:themeColor="background2"/>
              <w:bottom w:val="single" w:sz="4" w:space="0" w:color="auto"/>
            </w:tcBorders>
            <w:tcMar>
              <w:top w:w="17" w:type="dxa"/>
              <w:left w:w="113" w:type="dxa"/>
              <w:bottom w:w="17" w:type="dxa"/>
              <w:right w:w="113" w:type="dxa"/>
            </w:tcMar>
            <w:vAlign w:val="bottom"/>
          </w:tcPr>
          <w:p w14:paraId="341E44F3" w14:textId="00FA9067"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584</w:t>
            </w:r>
          </w:p>
        </w:tc>
      </w:tr>
      <w:tr w:rsidR="00B81AE0" w:rsidRPr="00B81AE0" w14:paraId="26CD6F77"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195D962D" w14:textId="797E3EEE" w:rsidR="009204AA" w:rsidRPr="00B81AE0" w:rsidRDefault="009204AA"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2020</w:t>
            </w:r>
          </w:p>
        </w:tc>
        <w:tc>
          <w:tcPr>
            <w:tcW w:w="976" w:type="dxa"/>
            <w:tcBorders>
              <w:top w:val="single" w:sz="4" w:space="0" w:color="auto"/>
              <w:bottom w:val="single" w:sz="4" w:space="0" w:color="auto"/>
              <w:right w:val="single" w:sz="8" w:space="0" w:color="FFFFFF" w:themeColor="background2"/>
            </w:tcBorders>
            <w:vAlign w:val="bottom"/>
          </w:tcPr>
          <w:p w14:paraId="3656EC87" w14:textId="4A101FE5" w:rsidR="009204AA"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6,112</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3FBCC904" w14:textId="343D495A"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1,686</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48786D5A" w14:textId="7EF23061" w:rsidR="009204AA" w:rsidRPr="00B81AE0" w:rsidRDefault="00EF1CB0"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4F07F9CD" w14:textId="7B3379D6" w:rsidR="009204AA"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177</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0006FABA" w14:textId="5984F424" w:rsidR="009204AA"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7,977</w:t>
            </w:r>
          </w:p>
        </w:tc>
      </w:tr>
      <w:tr w:rsidR="00B81AE0" w:rsidRPr="00B81AE0" w14:paraId="5C28506A" w14:textId="77777777" w:rsidTr="0007074A">
        <w:trPr>
          <w:trHeight w:val="397"/>
        </w:trPr>
        <w:tc>
          <w:tcPr>
            <w:tcW w:w="2151" w:type="dxa"/>
            <w:tcBorders>
              <w:top w:val="single" w:sz="8" w:space="0" w:color="FFFFFF" w:themeColor="background2"/>
            </w:tcBorders>
            <w:tcMar>
              <w:top w:w="17" w:type="dxa"/>
              <w:left w:w="80" w:type="dxa"/>
              <w:bottom w:w="17" w:type="dxa"/>
              <w:right w:w="80" w:type="dxa"/>
            </w:tcMar>
            <w:vAlign w:val="bottom"/>
          </w:tcPr>
          <w:p w14:paraId="06EC67DE" w14:textId="33938E51" w:rsidR="00655672" w:rsidRPr="00B81AE0" w:rsidRDefault="00655672"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2020 represented by</w:t>
            </w:r>
          </w:p>
        </w:tc>
        <w:tc>
          <w:tcPr>
            <w:tcW w:w="976" w:type="dxa"/>
            <w:tcBorders>
              <w:right w:val="single" w:sz="8" w:space="0" w:color="FFFFFF" w:themeColor="background2"/>
            </w:tcBorders>
            <w:vAlign w:val="bottom"/>
          </w:tcPr>
          <w:p w14:paraId="365970E9" w14:textId="77777777" w:rsidR="00655672" w:rsidRPr="00B81AE0" w:rsidRDefault="00655672" w:rsidP="0007074A">
            <w:pPr>
              <w:autoSpaceDE w:val="0"/>
              <w:autoSpaceDN w:val="0"/>
              <w:adjustRightInd w:val="0"/>
              <w:spacing w:after="0" w:line="20" w:lineRule="atLeast"/>
              <w:rPr>
                <w:rFonts w:asciiTheme="majorHAnsi" w:hAnsiTheme="majorHAnsi"/>
                <w:color w:val="1C1C1C"/>
                <w:sz w:val="14"/>
                <w:szCs w:val="14"/>
              </w:rPr>
            </w:pPr>
          </w:p>
        </w:tc>
        <w:tc>
          <w:tcPr>
            <w:tcW w:w="1134" w:type="dxa"/>
            <w:tcBorders>
              <w:left w:val="single" w:sz="8" w:space="0" w:color="FFFFFF" w:themeColor="background2"/>
              <w:right w:val="single" w:sz="8" w:space="0" w:color="FFFFFF" w:themeColor="background2"/>
            </w:tcBorders>
            <w:vAlign w:val="bottom"/>
          </w:tcPr>
          <w:p w14:paraId="204D7C81" w14:textId="77777777" w:rsidR="00655672" w:rsidRPr="00B81AE0" w:rsidRDefault="00655672" w:rsidP="0007074A">
            <w:pPr>
              <w:autoSpaceDE w:val="0"/>
              <w:autoSpaceDN w:val="0"/>
              <w:adjustRightInd w:val="0"/>
              <w:spacing w:after="0" w:line="20" w:lineRule="atLeast"/>
              <w:rPr>
                <w:rFonts w:asciiTheme="majorHAnsi" w:hAnsiTheme="majorHAnsi"/>
                <w:color w:val="1C1C1C"/>
                <w:sz w:val="14"/>
                <w:szCs w:val="14"/>
              </w:rPr>
            </w:pPr>
          </w:p>
        </w:tc>
        <w:tc>
          <w:tcPr>
            <w:tcW w:w="992" w:type="dxa"/>
            <w:tcBorders>
              <w:left w:val="single" w:sz="8" w:space="0" w:color="FFFFFF" w:themeColor="background2"/>
              <w:right w:val="single" w:sz="8" w:space="0" w:color="FFFFFF" w:themeColor="background2"/>
            </w:tcBorders>
            <w:vAlign w:val="bottom"/>
          </w:tcPr>
          <w:p w14:paraId="57AE1CE1" w14:textId="77777777" w:rsidR="00655672" w:rsidRPr="00B81AE0" w:rsidRDefault="00655672" w:rsidP="0007074A">
            <w:pPr>
              <w:autoSpaceDE w:val="0"/>
              <w:autoSpaceDN w:val="0"/>
              <w:adjustRightInd w:val="0"/>
              <w:spacing w:after="0" w:line="20" w:lineRule="atLeast"/>
              <w:rPr>
                <w:rFonts w:asciiTheme="majorHAnsi" w:hAnsiTheme="majorHAnsi"/>
                <w:color w:val="1C1C1C"/>
                <w:sz w:val="14"/>
                <w:szCs w:val="14"/>
              </w:rPr>
            </w:pPr>
          </w:p>
        </w:tc>
        <w:tc>
          <w:tcPr>
            <w:tcW w:w="1134" w:type="dxa"/>
            <w:tcBorders>
              <w:left w:val="single" w:sz="8" w:space="0" w:color="FFFFFF" w:themeColor="background2"/>
              <w:right w:val="single" w:sz="8" w:space="0" w:color="FFFFFF" w:themeColor="background2"/>
            </w:tcBorders>
            <w:tcMar>
              <w:top w:w="17" w:type="dxa"/>
              <w:left w:w="113" w:type="dxa"/>
              <w:bottom w:w="17" w:type="dxa"/>
              <w:right w:w="113" w:type="dxa"/>
            </w:tcMar>
            <w:vAlign w:val="bottom"/>
          </w:tcPr>
          <w:p w14:paraId="4D96D089" w14:textId="77777777" w:rsidR="00655672" w:rsidRPr="00B81AE0" w:rsidRDefault="00655672" w:rsidP="0007074A">
            <w:pPr>
              <w:autoSpaceDE w:val="0"/>
              <w:autoSpaceDN w:val="0"/>
              <w:adjustRightInd w:val="0"/>
              <w:spacing w:after="0" w:line="20" w:lineRule="atLeast"/>
              <w:rPr>
                <w:rFonts w:asciiTheme="majorHAnsi" w:hAnsiTheme="majorHAnsi"/>
                <w:color w:val="1C1C1C"/>
                <w:sz w:val="14"/>
                <w:szCs w:val="14"/>
              </w:rPr>
            </w:pPr>
          </w:p>
        </w:tc>
        <w:tc>
          <w:tcPr>
            <w:tcW w:w="992" w:type="dxa"/>
            <w:tcBorders>
              <w:left w:val="single" w:sz="8" w:space="0" w:color="FFFFFF" w:themeColor="background2"/>
            </w:tcBorders>
            <w:tcMar>
              <w:top w:w="17" w:type="dxa"/>
              <w:left w:w="113" w:type="dxa"/>
              <w:bottom w:w="17" w:type="dxa"/>
              <w:right w:w="113" w:type="dxa"/>
            </w:tcMar>
            <w:vAlign w:val="bottom"/>
          </w:tcPr>
          <w:p w14:paraId="2DCAE7B8" w14:textId="77777777" w:rsidR="00655672" w:rsidRPr="00B81AE0" w:rsidRDefault="00655672"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p>
        </w:tc>
      </w:tr>
      <w:tr w:rsidR="00B81AE0" w:rsidRPr="00B81AE0" w14:paraId="5B6B24DB" w14:textId="77777777" w:rsidTr="004F5E1F">
        <w:trPr>
          <w:trHeight w:val="170"/>
        </w:trPr>
        <w:tc>
          <w:tcPr>
            <w:tcW w:w="2151" w:type="dxa"/>
            <w:tcMar>
              <w:top w:w="17" w:type="dxa"/>
              <w:left w:w="80" w:type="dxa"/>
              <w:bottom w:w="17" w:type="dxa"/>
              <w:right w:w="80" w:type="dxa"/>
            </w:tcMar>
            <w:vAlign w:val="bottom"/>
          </w:tcPr>
          <w:p w14:paraId="1C474172" w14:textId="3EC780D5" w:rsidR="00655672" w:rsidRPr="00B81AE0" w:rsidRDefault="00655672"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Gross book value</w:t>
            </w:r>
          </w:p>
        </w:tc>
        <w:tc>
          <w:tcPr>
            <w:tcW w:w="976" w:type="dxa"/>
            <w:vAlign w:val="bottom"/>
          </w:tcPr>
          <w:p w14:paraId="74A66630" w14:textId="5D4B857D" w:rsidR="00655672"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6,884</w:t>
            </w:r>
          </w:p>
        </w:tc>
        <w:tc>
          <w:tcPr>
            <w:tcW w:w="1134" w:type="dxa"/>
            <w:vAlign w:val="bottom"/>
          </w:tcPr>
          <w:p w14:paraId="2EAB2CFC" w14:textId="1B53418F"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1,847</w:t>
            </w:r>
          </w:p>
        </w:tc>
        <w:tc>
          <w:tcPr>
            <w:tcW w:w="992" w:type="dxa"/>
            <w:vAlign w:val="bottom"/>
          </w:tcPr>
          <w:p w14:paraId="77E98899" w14:textId="07763EC6"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w:t>
            </w:r>
          </w:p>
        </w:tc>
        <w:tc>
          <w:tcPr>
            <w:tcW w:w="1134" w:type="dxa"/>
            <w:tcMar>
              <w:top w:w="17" w:type="dxa"/>
              <w:left w:w="113" w:type="dxa"/>
              <w:bottom w:w="17" w:type="dxa"/>
              <w:right w:w="113" w:type="dxa"/>
            </w:tcMar>
            <w:vAlign w:val="bottom"/>
          </w:tcPr>
          <w:p w14:paraId="552A599B" w14:textId="5C1F5154" w:rsidR="00655672"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787</w:t>
            </w:r>
          </w:p>
        </w:tc>
        <w:tc>
          <w:tcPr>
            <w:tcW w:w="992" w:type="dxa"/>
            <w:tcMar>
              <w:top w:w="17" w:type="dxa"/>
              <w:left w:w="113" w:type="dxa"/>
              <w:bottom w:w="17" w:type="dxa"/>
              <w:right w:w="113" w:type="dxa"/>
            </w:tcMar>
            <w:vAlign w:val="bottom"/>
          </w:tcPr>
          <w:p w14:paraId="54BC6B3F" w14:textId="29EE4F0E" w:rsidR="00655672"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9,524</w:t>
            </w:r>
          </w:p>
        </w:tc>
      </w:tr>
      <w:tr w:rsidR="00B81AE0" w:rsidRPr="00B81AE0" w14:paraId="29ECE645" w14:textId="77777777" w:rsidTr="004F5E1F">
        <w:trPr>
          <w:trHeight w:val="170"/>
        </w:trPr>
        <w:tc>
          <w:tcPr>
            <w:tcW w:w="2151" w:type="dxa"/>
            <w:tcBorders>
              <w:bottom w:val="single" w:sz="8" w:space="0" w:color="FFFFFF" w:themeColor="background2"/>
            </w:tcBorders>
            <w:tcMar>
              <w:top w:w="17" w:type="dxa"/>
              <w:left w:w="80" w:type="dxa"/>
              <w:bottom w:w="17" w:type="dxa"/>
              <w:right w:w="80" w:type="dxa"/>
            </w:tcMar>
            <w:vAlign w:val="bottom"/>
          </w:tcPr>
          <w:p w14:paraId="4DAC8C1B" w14:textId="705E8071" w:rsidR="00655672" w:rsidRPr="00B81AE0" w:rsidRDefault="00655672" w:rsidP="0007074A">
            <w:pPr>
              <w:suppressAutoHyphens/>
              <w:autoSpaceDE w:val="0"/>
              <w:autoSpaceDN w:val="0"/>
              <w:adjustRightInd w:val="0"/>
              <w:spacing w:after="0" w:line="20" w:lineRule="atLeast"/>
              <w:textAlignment w:val="center"/>
              <w:rPr>
                <w:color w:val="1C1C1C"/>
                <w:sz w:val="14"/>
                <w:szCs w:val="14"/>
              </w:rPr>
            </w:pPr>
            <w:r w:rsidRPr="00B81AE0">
              <w:rPr>
                <w:color w:val="1C1C1C"/>
                <w:sz w:val="14"/>
                <w:szCs w:val="14"/>
              </w:rPr>
              <w:t xml:space="preserve">Accumulated depreciation, </w:t>
            </w:r>
            <w:r w:rsidR="00892E95" w:rsidRPr="00B81AE0">
              <w:rPr>
                <w:color w:val="1C1C1C"/>
                <w:sz w:val="14"/>
                <w:szCs w:val="14"/>
              </w:rPr>
              <w:t>amorti</w:t>
            </w:r>
            <w:r w:rsidR="00DA12D9" w:rsidRPr="00B81AE0">
              <w:rPr>
                <w:color w:val="1C1C1C"/>
                <w:sz w:val="14"/>
                <w:szCs w:val="14"/>
              </w:rPr>
              <w:t>s</w:t>
            </w:r>
            <w:r w:rsidR="00892E95" w:rsidRPr="00B81AE0">
              <w:rPr>
                <w:color w:val="1C1C1C"/>
                <w:sz w:val="14"/>
                <w:szCs w:val="14"/>
              </w:rPr>
              <w:t>ation </w:t>
            </w:r>
            <w:r w:rsidRPr="00B81AE0">
              <w:rPr>
                <w:color w:val="1C1C1C"/>
                <w:sz w:val="14"/>
                <w:szCs w:val="14"/>
              </w:rPr>
              <w:t>and impairment</w:t>
            </w:r>
          </w:p>
        </w:tc>
        <w:tc>
          <w:tcPr>
            <w:tcW w:w="976" w:type="dxa"/>
            <w:tcBorders>
              <w:bottom w:val="single" w:sz="4" w:space="0" w:color="auto"/>
              <w:right w:val="single" w:sz="8" w:space="0" w:color="FFFFFF" w:themeColor="background2"/>
            </w:tcBorders>
            <w:vAlign w:val="bottom"/>
          </w:tcPr>
          <w:p w14:paraId="6F87D653" w14:textId="001E586D" w:rsidR="00655672"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(772)</w:t>
            </w:r>
          </w:p>
        </w:tc>
        <w:tc>
          <w:tcPr>
            <w:tcW w:w="1134" w:type="dxa"/>
            <w:tcBorders>
              <w:left w:val="single" w:sz="8" w:space="0" w:color="FFFFFF" w:themeColor="background2"/>
              <w:bottom w:val="single" w:sz="4" w:space="0" w:color="auto"/>
              <w:right w:val="single" w:sz="8" w:space="0" w:color="FFFFFF" w:themeColor="background2"/>
            </w:tcBorders>
            <w:vAlign w:val="bottom"/>
          </w:tcPr>
          <w:p w14:paraId="49362B48" w14:textId="39C8DAC9"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(161)</w:t>
            </w:r>
          </w:p>
        </w:tc>
        <w:tc>
          <w:tcPr>
            <w:tcW w:w="992" w:type="dxa"/>
            <w:tcBorders>
              <w:left w:val="single" w:sz="8" w:space="0" w:color="FFFFFF" w:themeColor="background2"/>
              <w:bottom w:val="single" w:sz="4" w:space="0" w:color="auto"/>
              <w:right w:val="single" w:sz="8" w:space="0" w:color="FFFFFF" w:themeColor="background2"/>
            </w:tcBorders>
            <w:vAlign w:val="bottom"/>
          </w:tcPr>
          <w:p w14:paraId="3E27502F" w14:textId="432BC757"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(4)</w:t>
            </w:r>
          </w:p>
        </w:tc>
        <w:tc>
          <w:tcPr>
            <w:tcW w:w="1134" w:type="dxa"/>
            <w:tcBorders>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053BEB8D" w14:textId="194767E2" w:rsidR="00655672"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(610)</w:t>
            </w:r>
          </w:p>
        </w:tc>
        <w:tc>
          <w:tcPr>
            <w:tcW w:w="992" w:type="dxa"/>
            <w:tcBorders>
              <w:left w:val="single" w:sz="8" w:space="0" w:color="FFFFFF" w:themeColor="background2"/>
              <w:bottom w:val="single" w:sz="4" w:space="0" w:color="auto"/>
            </w:tcBorders>
            <w:tcMar>
              <w:top w:w="17" w:type="dxa"/>
              <w:left w:w="113" w:type="dxa"/>
              <w:bottom w:w="17" w:type="dxa"/>
              <w:right w:w="113" w:type="dxa"/>
            </w:tcMar>
            <w:vAlign w:val="bottom"/>
          </w:tcPr>
          <w:p w14:paraId="66C836D8" w14:textId="258C5644" w:rsidR="00655672"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(1,547</w:t>
            </w:r>
            <w:r w:rsidR="000E7C54" w:rsidRPr="00B81AE0">
              <w:rPr>
                <w:rFonts w:asciiTheme="majorHAnsi" w:hAnsiTheme="majorHAnsi"/>
                <w:color w:val="1C1C1C"/>
                <w:sz w:val="14"/>
                <w:szCs w:val="14"/>
              </w:rPr>
              <w:t>)</w:t>
            </w:r>
          </w:p>
        </w:tc>
      </w:tr>
      <w:tr w:rsidR="00B81AE0" w:rsidRPr="00B81AE0" w14:paraId="01A00586"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2DF4AE2C" w14:textId="3452A02A" w:rsidR="00655672" w:rsidRPr="00B81AE0" w:rsidRDefault="00655672" w:rsidP="0007074A">
            <w:pPr>
              <w:suppressAutoHyphens/>
              <w:autoSpaceDE w:val="0"/>
              <w:autoSpaceDN w:val="0"/>
              <w:adjustRightInd w:val="0"/>
              <w:spacing w:after="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2020</w:t>
            </w:r>
          </w:p>
        </w:tc>
        <w:tc>
          <w:tcPr>
            <w:tcW w:w="976" w:type="dxa"/>
            <w:tcBorders>
              <w:top w:val="single" w:sz="4" w:space="0" w:color="auto"/>
              <w:bottom w:val="single" w:sz="4" w:space="0" w:color="auto"/>
              <w:right w:val="single" w:sz="8" w:space="0" w:color="FFFFFF" w:themeColor="background2"/>
            </w:tcBorders>
            <w:vAlign w:val="bottom"/>
          </w:tcPr>
          <w:p w14:paraId="1ECA8D60" w14:textId="33407F89" w:rsidR="00655672" w:rsidRPr="00B81AE0" w:rsidRDefault="00892E95"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6,112</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5B9E68FA" w14:textId="79031CD6"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1,686</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672E1523" w14:textId="018B20BD" w:rsidR="00655672" w:rsidRPr="00B81AE0" w:rsidRDefault="00CC231B"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2</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6DEDC324" w14:textId="57A265B8" w:rsidR="00655672" w:rsidRPr="00B81AE0" w:rsidRDefault="005863DF"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177</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55643DB4" w14:textId="103ACD09" w:rsidR="00655672" w:rsidRPr="00B81AE0" w:rsidRDefault="005863DF"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7,977</w:t>
            </w:r>
          </w:p>
        </w:tc>
      </w:tr>
      <w:tr w:rsidR="00B81AE0" w:rsidRPr="00B81AE0" w14:paraId="02233D7E" w14:textId="77777777" w:rsidTr="004F5E1F">
        <w:trPr>
          <w:trHeight w:val="170"/>
        </w:trPr>
        <w:tc>
          <w:tcPr>
            <w:tcW w:w="2151" w:type="dxa"/>
            <w:tcBorders>
              <w:top w:val="single" w:sz="8" w:space="0" w:color="FFFFFF" w:themeColor="background2"/>
              <w:bottom w:val="single" w:sz="8" w:space="0" w:color="FFFFFF" w:themeColor="background2"/>
            </w:tcBorders>
            <w:tcMar>
              <w:top w:w="17" w:type="dxa"/>
              <w:left w:w="80" w:type="dxa"/>
              <w:bottom w:w="17" w:type="dxa"/>
              <w:right w:w="80" w:type="dxa"/>
            </w:tcMar>
            <w:vAlign w:val="bottom"/>
          </w:tcPr>
          <w:p w14:paraId="313C8319" w14:textId="38E1797C" w:rsidR="00D37A74" w:rsidRPr="00B81AE0" w:rsidRDefault="00D37A74" w:rsidP="0007074A">
            <w:pPr>
              <w:suppressAutoHyphens/>
              <w:autoSpaceDE w:val="0"/>
              <w:autoSpaceDN w:val="0"/>
              <w:adjustRightInd w:val="0"/>
              <w:spacing w:after="0" w:line="20" w:lineRule="atLeast"/>
              <w:textAlignment w:val="center"/>
              <w:rPr>
                <w:b/>
                <w:bCs/>
                <w:color w:val="1C1C1C"/>
                <w:sz w:val="14"/>
                <w:szCs w:val="14"/>
              </w:rPr>
            </w:pPr>
            <w:r w:rsidRPr="00B81AE0">
              <w:rPr>
                <w:b/>
                <w:bCs/>
                <w:color w:val="1C1C1C"/>
                <w:sz w:val="14"/>
                <w:szCs w:val="14"/>
              </w:rPr>
              <w:t>Carrying amount of right-</w:t>
            </w:r>
            <w:r w:rsidRPr="00B81AE0">
              <w:rPr>
                <w:rFonts w:ascii="Arial" w:hAnsi="Arial" w:cs="Arial" w:hint="cs"/>
                <w:b/>
                <w:bCs/>
                <w:color w:val="1C1C1C"/>
                <w:sz w:val="14"/>
                <w:szCs w:val="14"/>
                <w:rtl/>
              </w:rPr>
              <w:t>‍</w:t>
            </w:r>
            <w:r w:rsidRPr="00B81AE0">
              <w:rPr>
                <w:b/>
                <w:bCs/>
                <w:color w:val="1C1C1C"/>
                <w:sz w:val="14"/>
                <w:szCs w:val="14"/>
              </w:rPr>
              <w:t>of-</w:t>
            </w:r>
            <w:r w:rsidRPr="00B81AE0">
              <w:rPr>
                <w:rFonts w:ascii="Arial" w:hAnsi="Arial" w:cs="Arial" w:hint="cs"/>
                <w:b/>
                <w:bCs/>
                <w:color w:val="1C1C1C"/>
                <w:sz w:val="14"/>
                <w:szCs w:val="14"/>
                <w:rtl/>
              </w:rPr>
              <w:t>‍</w:t>
            </w:r>
            <w:r w:rsidRPr="00B81AE0">
              <w:rPr>
                <w:b/>
                <w:bCs/>
                <w:color w:val="1C1C1C"/>
                <w:sz w:val="14"/>
                <w:szCs w:val="14"/>
              </w:rPr>
              <w:t>use assets</w:t>
            </w:r>
          </w:p>
        </w:tc>
        <w:tc>
          <w:tcPr>
            <w:tcW w:w="976" w:type="dxa"/>
            <w:tcBorders>
              <w:top w:val="single" w:sz="4" w:space="0" w:color="auto"/>
              <w:bottom w:val="single" w:sz="4" w:space="0" w:color="auto"/>
              <w:right w:val="single" w:sz="8" w:space="0" w:color="FFFFFF" w:themeColor="background2"/>
            </w:tcBorders>
            <w:vAlign w:val="bottom"/>
          </w:tcPr>
          <w:p w14:paraId="797E165E" w14:textId="13F2E018" w:rsidR="00D37A74" w:rsidRPr="00B81AE0" w:rsidRDefault="00D37A74"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6,112</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752D0E81" w14:textId="678BB2A3" w:rsidR="00D37A74" w:rsidRPr="00B81AE0" w:rsidRDefault="00D37A74"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Borders>
              <w:top w:val="single" w:sz="4" w:space="0" w:color="auto"/>
              <w:left w:val="single" w:sz="8" w:space="0" w:color="FFFFFF" w:themeColor="background2"/>
              <w:bottom w:val="single" w:sz="4" w:space="0" w:color="auto"/>
              <w:right w:val="single" w:sz="8" w:space="0" w:color="FFFFFF" w:themeColor="background2"/>
            </w:tcBorders>
            <w:vAlign w:val="bottom"/>
          </w:tcPr>
          <w:p w14:paraId="5C925C87" w14:textId="755100B6" w:rsidR="00D37A74" w:rsidRPr="00B81AE0" w:rsidRDefault="00D37A74"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1134" w:type="dxa"/>
            <w:tcBorders>
              <w:top w:val="single" w:sz="4" w:space="0" w:color="auto"/>
              <w:left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vAlign w:val="bottom"/>
          </w:tcPr>
          <w:p w14:paraId="75F49602" w14:textId="3F953CBB" w:rsidR="00D37A74" w:rsidRPr="00B81AE0" w:rsidRDefault="00D37A74" w:rsidP="0007074A">
            <w:pPr>
              <w:autoSpaceDE w:val="0"/>
              <w:autoSpaceDN w:val="0"/>
              <w:adjustRightInd w:val="0"/>
              <w:spacing w:after="0" w:line="20" w:lineRule="atLeast"/>
              <w:jc w:val="right"/>
              <w:rPr>
                <w:rFonts w:asciiTheme="majorHAnsi" w:hAnsiTheme="majorHAnsi"/>
                <w:color w:val="1C1C1C"/>
                <w:sz w:val="14"/>
                <w:szCs w:val="14"/>
              </w:rPr>
            </w:pPr>
            <w:r w:rsidRPr="00B81AE0">
              <w:rPr>
                <w:rFonts w:asciiTheme="majorHAnsi" w:hAnsiTheme="majorHAnsi"/>
                <w:color w:val="1C1C1C"/>
                <w:sz w:val="14"/>
                <w:szCs w:val="14"/>
              </w:rPr>
              <w:t>-</w:t>
            </w:r>
          </w:p>
        </w:tc>
        <w:tc>
          <w:tcPr>
            <w:tcW w:w="992"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vAlign w:val="bottom"/>
          </w:tcPr>
          <w:p w14:paraId="432BCB4E" w14:textId="4B6DAA43" w:rsidR="00D37A74" w:rsidRPr="00B81AE0" w:rsidRDefault="00D37A74" w:rsidP="0007074A">
            <w:pPr>
              <w:suppressAutoHyphens/>
              <w:autoSpaceDE w:val="0"/>
              <w:autoSpaceDN w:val="0"/>
              <w:adjustRightInd w:val="0"/>
              <w:spacing w:after="0" w:line="20" w:lineRule="atLeast"/>
              <w:jc w:val="right"/>
              <w:textAlignment w:val="center"/>
              <w:rPr>
                <w:rFonts w:asciiTheme="majorHAnsi" w:hAnsiTheme="majorHAnsi"/>
                <w:color w:val="1C1C1C"/>
                <w:sz w:val="14"/>
                <w:szCs w:val="14"/>
              </w:rPr>
            </w:pPr>
            <w:r w:rsidRPr="00B81AE0">
              <w:rPr>
                <w:rFonts w:asciiTheme="majorHAnsi" w:hAnsiTheme="majorHAnsi"/>
                <w:color w:val="1C1C1C"/>
                <w:sz w:val="14"/>
                <w:szCs w:val="14"/>
              </w:rPr>
              <w:t>6,112</w:t>
            </w:r>
          </w:p>
        </w:tc>
      </w:tr>
      <w:tr w:rsidR="00B81AE0" w:rsidRPr="00B81AE0" w14:paraId="6FD6677F" w14:textId="77777777" w:rsidTr="00C70916">
        <w:trPr>
          <w:trHeight w:val="170"/>
        </w:trPr>
        <w:tc>
          <w:tcPr>
            <w:tcW w:w="7379" w:type="dxa"/>
            <w:gridSpan w:val="6"/>
            <w:tcMar>
              <w:top w:w="17" w:type="dxa"/>
              <w:left w:w="80" w:type="dxa"/>
              <w:bottom w:w="17" w:type="dxa"/>
              <w:right w:w="80" w:type="dxa"/>
            </w:tcMar>
            <w:vAlign w:val="bottom"/>
          </w:tcPr>
          <w:p w14:paraId="56F615A3" w14:textId="1CC168C9" w:rsidR="00FC0B06" w:rsidRPr="00B81AE0" w:rsidRDefault="00FC0B06" w:rsidP="0007074A">
            <w:pPr>
              <w:suppressAutoHyphens/>
              <w:autoSpaceDE w:val="0"/>
              <w:autoSpaceDN w:val="0"/>
              <w:adjustRightInd w:val="0"/>
              <w:spacing w:before="80" w:after="0" w:line="288" w:lineRule="auto"/>
              <w:textAlignment w:val="center"/>
              <w:rPr>
                <w:color w:val="1C1C1C"/>
                <w:sz w:val="14"/>
                <w:szCs w:val="14"/>
              </w:rPr>
            </w:pPr>
            <w:r w:rsidRPr="00B81AE0">
              <w:rPr>
                <w:color w:val="1C1C1C"/>
                <w:sz w:val="14"/>
                <w:szCs w:val="14"/>
              </w:rPr>
              <w:t>No indicators of impairment were found for property, plant and equipment or intangibles.</w:t>
            </w:r>
          </w:p>
          <w:p w14:paraId="10A07724" w14:textId="77777777" w:rsidR="00FC0B06" w:rsidRPr="00B81AE0" w:rsidRDefault="00FC0B06" w:rsidP="0007074A">
            <w:pPr>
              <w:suppressAutoHyphens/>
              <w:autoSpaceDE w:val="0"/>
              <w:autoSpaceDN w:val="0"/>
              <w:adjustRightInd w:val="0"/>
              <w:spacing w:before="60" w:after="0" w:line="288" w:lineRule="auto"/>
              <w:textAlignment w:val="center"/>
              <w:rPr>
                <w:rFonts w:asciiTheme="majorHAnsi" w:hAnsiTheme="majorHAnsi"/>
                <w:color w:val="1C1C1C"/>
                <w:sz w:val="14"/>
                <w:szCs w:val="14"/>
              </w:rPr>
            </w:pPr>
            <w:r w:rsidRPr="00B81AE0">
              <w:rPr>
                <w:rFonts w:asciiTheme="majorHAnsi" w:hAnsiTheme="majorHAnsi"/>
                <w:color w:val="1C1C1C"/>
                <w:sz w:val="14"/>
                <w:szCs w:val="14"/>
              </w:rPr>
              <w:t>Note 2.2B: Fair Value Measurement</w:t>
            </w:r>
          </w:p>
          <w:p w14:paraId="0CB115DD" w14:textId="77777777" w:rsidR="00FC0B06" w:rsidRPr="00B81AE0" w:rsidRDefault="00FC0B06" w:rsidP="0007074A">
            <w:pPr>
              <w:suppressAutoHyphens/>
              <w:autoSpaceDE w:val="0"/>
              <w:autoSpaceDN w:val="0"/>
              <w:adjustRightInd w:val="0"/>
              <w:spacing w:after="0" w:line="240" w:lineRule="auto"/>
              <w:textAlignment w:val="center"/>
              <w:rPr>
                <w:color w:val="1C1C1C"/>
                <w:sz w:val="14"/>
                <w:szCs w:val="14"/>
              </w:rPr>
            </w:pPr>
            <w:r w:rsidRPr="00B81AE0">
              <w:rPr>
                <w:color w:val="1C1C1C"/>
                <w:sz w:val="14"/>
                <w:szCs w:val="14"/>
              </w:rPr>
              <w:t>The following tables provide an analysis of assets and liabilities that are measured at fair value. The remaining assets and liabilities disclosed in the statement of financial position do not apply the fair value hierarchy.</w:t>
            </w:r>
          </w:p>
          <w:p w14:paraId="48896BC0" w14:textId="77777777" w:rsidR="00FC0B06" w:rsidRPr="00B81AE0" w:rsidRDefault="00FC0B06" w:rsidP="0007074A">
            <w:pPr>
              <w:suppressAutoHyphens/>
              <w:autoSpaceDE w:val="0"/>
              <w:autoSpaceDN w:val="0"/>
              <w:adjustRightInd w:val="0"/>
              <w:spacing w:after="0" w:line="240" w:lineRule="auto"/>
              <w:textAlignment w:val="center"/>
              <w:rPr>
                <w:color w:val="1C1C1C"/>
                <w:sz w:val="14"/>
                <w:szCs w:val="14"/>
              </w:rPr>
            </w:pPr>
            <w:r w:rsidRPr="00B81AE0">
              <w:rPr>
                <w:color w:val="1C1C1C"/>
                <w:sz w:val="14"/>
                <w:szCs w:val="14"/>
              </w:rPr>
              <w:t>The different levels of the fair value hierarchy are defined below.</w:t>
            </w:r>
          </w:p>
          <w:p w14:paraId="41A303C5" w14:textId="66DABC14" w:rsidR="00FC0B06" w:rsidRPr="00B81AE0" w:rsidRDefault="00FC0B06" w:rsidP="0007074A">
            <w:pPr>
              <w:suppressAutoHyphens/>
              <w:autoSpaceDE w:val="0"/>
              <w:autoSpaceDN w:val="0"/>
              <w:adjustRightInd w:val="0"/>
              <w:spacing w:after="0" w:line="240" w:lineRule="auto"/>
              <w:textAlignment w:val="center"/>
              <w:rPr>
                <w:color w:val="1C1C1C"/>
                <w:sz w:val="14"/>
                <w:szCs w:val="14"/>
              </w:rPr>
            </w:pPr>
            <w:r w:rsidRPr="00B81AE0">
              <w:rPr>
                <w:color w:val="1C1C1C"/>
                <w:sz w:val="14"/>
                <w:szCs w:val="14"/>
              </w:rPr>
              <w:t>Level 1: Quoted prices (unadjusted) in active markets for identical assets or liabilities that the entity can access at measurement</w:t>
            </w:r>
            <w:r w:rsidR="009A2747" w:rsidRPr="00B81AE0">
              <w:rPr>
                <w:color w:val="1C1C1C"/>
                <w:sz w:val="14"/>
                <w:szCs w:val="14"/>
              </w:rPr>
              <w:t> </w:t>
            </w:r>
            <w:r w:rsidRPr="00B81AE0">
              <w:rPr>
                <w:color w:val="1C1C1C"/>
                <w:sz w:val="14"/>
                <w:szCs w:val="14"/>
              </w:rPr>
              <w:t>date.</w:t>
            </w:r>
          </w:p>
          <w:p w14:paraId="23264686" w14:textId="507201DD" w:rsidR="00FC0B06" w:rsidRPr="00B81AE0" w:rsidRDefault="00FC0B06" w:rsidP="0007074A">
            <w:pPr>
              <w:suppressAutoHyphens/>
              <w:autoSpaceDE w:val="0"/>
              <w:autoSpaceDN w:val="0"/>
              <w:adjustRightInd w:val="0"/>
              <w:spacing w:after="0" w:line="240" w:lineRule="auto"/>
              <w:textAlignment w:val="center"/>
              <w:rPr>
                <w:color w:val="1C1C1C"/>
                <w:sz w:val="14"/>
                <w:szCs w:val="14"/>
              </w:rPr>
            </w:pPr>
            <w:r w:rsidRPr="00B81AE0">
              <w:rPr>
                <w:color w:val="1C1C1C"/>
                <w:sz w:val="14"/>
                <w:szCs w:val="14"/>
              </w:rPr>
              <w:t>Level 2: Inputs other than quoted prices included within Level 1 that are observable for the asset or liability, either directly or</w:t>
            </w:r>
            <w:r w:rsidR="009A2747" w:rsidRPr="00B81AE0">
              <w:rPr>
                <w:color w:val="1C1C1C"/>
                <w:sz w:val="14"/>
                <w:szCs w:val="14"/>
              </w:rPr>
              <w:t> </w:t>
            </w:r>
            <w:r w:rsidRPr="00B81AE0">
              <w:rPr>
                <w:color w:val="1C1C1C"/>
                <w:sz w:val="14"/>
                <w:szCs w:val="14"/>
              </w:rPr>
              <w:t>indirectly.</w:t>
            </w:r>
          </w:p>
          <w:p w14:paraId="4F00E177" w14:textId="23AA3285" w:rsidR="005C7AEF" w:rsidRPr="00B81AE0" w:rsidRDefault="00FC0B06" w:rsidP="0007074A">
            <w:pPr>
              <w:suppressAutoHyphens/>
              <w:autoSpaceDE w:val="0"/>
              <w:autoSpaceDN w:val="0"/>
              <w:adjustRightInd w:val="0"/>
              <w:spacing w:after="0" w:line="240" w:lineRule="auto"/>
              <w:textAlignment w:val="center"/>
              <w:rPr>
                <w:color w:val="1C1C1C"/>
                <w:sz w:val="14"/>
                <w:szCs w:val="14"/>
              </w:rPr>
            </w:pPr>
            <w:r w:rsidRPr="00B81AE0">
              <w:rPr>
                <w:color w:val="1C1C1C"/>
                <w:sz w:val="14"/>
                <w:szCs w:val="14"/>
              </w:rPr>
              <w:t>Level 3: Unobservable inputs for the asset or liability.</w:t>
            </w:r>
          </w:p>
        </w:tc>
      </w:tr>
    </w:tbl>
    <w:p w14:paraId="1ACE42B1" w14:textId="77777777" w:rsidR="008E3E08" w:rsidRDefault="008E3E08" w:rsidP="00014C7E">
      <w:pPr>
        <w:pStyle w:val="Body"/>
        <w:spacing w:after="0"/>
        <w:sectPr w:rsidR="008E3E08" w:rsidSect="00014C7E">
          <w:footnotePr>
            <w:pos w:val="beneathText"/>
          </w:footnotePr>
          <w:pgSz w:w="9979" w:h="14175" w:code="13"/>
          <w:pgMar w:top="993" w:right="1418" w:bottom="851" w:left="1418" w:header="709" w:footer="709" w:gutter="0"/>
          <w:cols w:space="623"/>
          <w:docGrid w:linePitch="360"/>
        </w:sectPr>
      </w:pPr>
    </w:p>
    <w:tbl>
      <w:tblPr>
        <w:tblW w:w="7379" w:type="dxa"/>
        <w:tblInd w:w="-8" w:type="dxa"/>
        <w:tblLayout w:type="fixed"/>
        <w:tblCellMar>
          <w:left w:w="0" w:type="dxa"/>
          <w:right w:w="0" w:type="dxa"/>
        </w:tblCellMar>
        <w:tblLook w:val="0000" w:firstRow="0" w:lastRow="0" w:firstColumn="0" w:lastColumn="0" w:noHBand="0" w:noVBand="0"/>
      </w:tblPr>
      <w:tblGrid>
        <w:gridCol w:w="1699"/>
        <w:gridCol w:w="678"/>
        <w:gridCol w:w="680"/>
        <w:gridCol w:w="782"/>
        <w:gridCol w:w="12"/>
        <w:gridCol w:w="3528"/>
      </w:tblGrid>
      <w:tr w:rsidR="00827B1A" w:rsidRPr="00827B1A" w14:paraId="5AAF10A1" w14:textId="77777777" w:rsidTr="00041873">
        <w:trPr>
          <w:trHeight w:val="227"/>
          <w:tblHeader/>
        </w:trPr>
        <w:tc>
          <w:tcPr>
            <w:tcW w:w="1699" w:type="dxa"/>
            <w:tcBorders>
              <w:bottom w:val="single" w:sz="4" w:space="0" w:color="FFFFFF" w:themeColor="background2"/>
            </w:tcBorders>
            <w:tcMar>
              <w:top w:w="28" w:type="dxa"/>
              <w:left w:w="113" w:type="dxa"/>
              <w:bottom w:w="28" w:type="dxa"/>
              <w:right w:w="113" w:type="dxa"/>
            </w:tcMar>
            <w:vAlign w:val="bottom"/>
          </w:tcPr>
          <w:p w14:paraId="7FC98363" w14:textId="75E14E39" w:rsidR="00441B93" w:rsidRPr="00827B1A" w:rsidRDefault="00441B93" w:rsidP="008E3E08">
            <w:pPr>
              <w:pStyle w:val="Body"/>
              <w:spacing w:after="0"/>
            </w:pPr>
          </w:p>
        </w:tc>
        <w:tc>
          <w:tcPr>
            <w:tcW w:w="2140" w:type="dxa"/>
            <w:gridSpan w:val="3"/>
            <w:tcBorders>
              <w:right w:val="single" w:sz="18" w:space="0" w:color="FFFFFF" w:themeColor="background2"/>
            </w:tcBorders>
            <w:tcMar>
              <w:top w:w="28" w:type="dxa"/>
              <w:left w:w="113" w:type="dxa"/>
              <w:bottom w:w="28" w:type="dxa"/>
              <w:right w:w="113" w:type="dxa"/>
            </w:tcMar>
            <w:vAlign w:val="bottom"/>
          </w:tcPr>
          <w:p w14:paraId="6A9E7901" w14:textId="681DF955" w:rsidR="00441B93" w:rsidRPr="00827B1A" w:rsidRDefault="00441B93" w:rsidP="008E3E08">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827B1A">
              <w:rPr>
                <w:rFonts w:asciiTheme="majorHAnsi" w:hAnsiTheme="majorHAnsi" w:cs="Futura PT Heavy"/>
                <w:color w:val="1C1C1C"/>
                <w:sz w:val="16"/>
                <w:szCs w:val="16"/>
                <w:lang w:val="en-US"/>
              </w:rPr>
              <w:t>Fair value measurements</w:t>
            </w:r>
          </w:p>
        </w:tc>
        <w:tc>
          <w:tcPr>
            <w:tcW w:w="3540" w:type="dxa"/>
            <w:gridSpan w:val="2"/>
            <w:tcBorders>
              <w:left w:val="single" w:sz="18" w:space="0" w:color="FFFFFF" w:themeColor="background2"/>
            </w:tcBorders>
            <w:vAlign w:val="bottom"/>
          </w:tcPr>
          <w:p w14:paraId="5C94FCB2" w14:textId="31013C87" w:rsidR="00441B93" w:rsidRPr="00827B1A" w:rsidRDefault="00441B93" w:rsidP="00041873">
            <w:pPr>
              <w:suppressAutoHyphens/>
              <w:autoSpaceDE w:val="0"/>
              <w:autoSpaceDN w:val="0"/>
              <w:adjustRightInd w:val="0"/>
              <w:spacing w:after="0" w:line="180" w:lineRule="atLeast"/>
              <w:jc w:val="center"/>
              <w:textAlignment w:val="center"/>
              <w:rPr>
                <w:rFonts w:asciiTheme="majorHAnsi" w:hAnsiTheme="majorHAnsi" w:cs="Futura PT Heavy"/>
                <w:color w:val="1C1C1C"/>
                <w:sz w:val="16"/>
                <w:szCs w:val="16"/>
                <w:lang w:val="en-US"/>
              </w:rPr>
            </w:pPr>
            <w:r w:rsidRPr="00827B1A">
              <w:rPr>
                <w:rFonts w:asciiTheme="majorHAnsi" w:hAnsiTheme="majorHAnsi" w:cs="Futura PT Heavy"/>
                <w:color w:val="1C1C1C"/>
                <w:sz w:val="16"/>
                <w:szCs w:val="16"/>
                <w:lang w:val="en-US"/>
              </w:rPr>
              <w:t>Valuation technique(s) and inputs used</w:t>
            </w:r>
            <w:r w:rsidR="005C7AEF" w:rsidRPr="00827B1A">
              <w:rPr>
                <w:rStyle w:val="FootnoteReference"/>
                <w:rFonts w:asciiTheme="majorHAnsi" w:hAnsiTheme="majorHAnsi" w:cs="Futura PT Heavy"/>
                <w:color w:val="1C1C1C"/>
                <w:sz w:val="16"/>
                <w:szCs w:val="16"/>
                <w:lang w:val="en-US"/>
              </w:rPr>
              <w:footnoteReference w:id="9"/>
            </w:r>
          </w:p>
        </w:tc>
      </w:tr>
      <w:tr w:rsidR="00827B1A" w:rsidRPr="00827B1A" w14:paraId="29F2E2FC" w14:textId="77777777" w:rsidTr="00C70916">
        <w:trPr>
          <w:trHeight w:val="340"/>
          <w:tblHeader/>
        </w:trPr>
        <w:tc>
          <w:tcPr>
            <w:tcW w:w="1699" w:type="dxa"/>
            <w:tcBorders>
              <w:bottom w:val="single" w:sz="4" w:space="0" w:color="FFFFFF" w:themeColor="background2"/>
            </w:tcBorders>
            <w:tcMar>
              <w:top w:w="28" w:type="dxa"/>
              <w:left w:w="113" w:type="dxa"/>
              <w:bottom w:w="28" w:type="dxa"/>
              <w:right w:w="113" w:type="dxa"/>
            </w:tcMar>
            <w:vAlign w:val="bottom"/>
          </w:tcPr>
          <w:p w14:paraId="091DD3C6" w14:textId="77777777" w:rsidR="00441B93" w:rsidRPr="00827B1A" w:rsidRDefault="00441B93" w:rsidP="008E3E08">
            <w:pPr>
              <w:autoSpaceDE w:val="0"/>
              <w:autoSpaceDN w:val="0"/>
              <w:adjustRightInd w:val="0"/>
              <w:spacing w:after="0" w:line="240" w:lineRule="auto"/>
              <w:rPr>
                <w:rFonts w:ascii="Futura PT Book" w:hAnsi="Futura PT Book"/>
                <w:color w:val="1C1C1C"/>
                <w:sz w:val="24"/>
                <w:szCs w:val="24"/>
              </w:rPr>
            </w:pPr>
          </w:p>
        </w:tc>
        <w:tc>
          <w:tcPr>
            <w:tcW w:w="678"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5851F9E4" w14:textId="77777777" w:rsidR="00441B93" w:rsidRPr="00827B1A" w:rsidRDefault="00441B93" w:rsidP="008E3E08">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827B1A">
              <w:rPr>
                <w:rFonts w:asciiTheme="majorHAnsi" w:hAnsiTheme="majorHAnsi" w:cs="Futura PT Heavy"/>
                <w:color w:val="1C1C1C"/>
                <w:sz w:val="16"/>
                <w:szCs w:val="16"/>
                <w:lang w:val="en-US"/>
              </w:rPr>
              <w:t>2020</w:t>
            </w:r>
            <w:r w:rsidRPr="00827B1A">
              <w:rPr>
                <w:rFonts w:asciiTheme="majorHAnsi" w:hAnsiTheme="majorHAnsi" w:cs="Futura PT Heavy"/>
                <w:color w:val="1C1C1C"/>
                <w:sz w:val="16"/>
                <w:szCs w:val="16"/>
                <w:lang w:val="en-US"/>
              </w:rPr>
              <w:br/>
              <w:t>$’000</w:t>
            </w:r>
          </w:p>
        </w:tc>
        <w:tc>
          <w:tcPr>
            <w:tcW w:w="680" w:type="dxa"/>
            <w:tcBorders>
              <w:left w:val="single" w:sz="18" w:space="0" w:color="FFFFFF" w:themeColor="background2"/>
              <w:bottom w:val="single" w:sz="12" w:space="0" w:color="292929"/>
              <w:right w:val="single" w:sz="18" w:space="0" w:color="FFFFFF" w:themeColor="background2"/>
            </w:tcBorders>
            <w:tcMar>
              <w:top w:w="28" w:type="dxa"/>
              <w:left w:w="113" w:type="dxa"/>
              <w:bottom w:w="28" w:type="dxa"/>
              <w:right w:w="113" w:type="dxa"/>
            </w:tcMar>
            <w:vAlign w:val="bottom"/>
          </w:tcPr>
          <w:p w14:paraId="5BEC8B0D" w14:textId="77777777" w:rsidR="00441B93" w:rsidRPr="00827B1A" w:rsidRDefault="00441B93" w:rsidP="008E3E08">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827B1A">
              <w:rPr>
                <w:rFonts w:asciiTheme="majorHAnsi" w:hAnsiTheme="majorHAnsi" w:cs="Futura PT Heavy"/>
                <w:color w:val="1C1C1C"/>
                <w:sz w:val="16"/>
                <w:szCs w:val="16"/>
                <w:lang w:val="en-US"/>
              </w:rPr>
              <w:t>2019</w:t>
            </w:r>
            <w:r w:rsidRPr="00827B1A">
              <w:rPr>
                <w:rFonts w:asciiTheme="majorHAnsi" w:hAnsiTheme="majorHAnsi" w:cs="Futura PT Heavy"/>
                <w:color w:val="1C1C1C"/>
                <w:sz w:val="16"/>
                <w:szCs w:val="16"/>
                <w:lang w:val="en-US"/>
              </w:rPr>
              <w:br/>
              <w:t>$’000</w:t>
            </w:r>
          </w:p>
        </w:tc>
        <w:tc>
          <w:tcPr>
            <w:tcW w:w="794" w:type="dxa"/>
            <w:gridSpan w:val="2"/>
            <w:tcBorders>
              <w:left w:val="single" w:sz="18" w:space="0" w:color="FFFFFF" w:themeColor="background2"/>
              <w:bottom w:val="single" w:sz="12" w:space="0" w:color="292929"/>
              <w:right w:val="single" w:sz="18" w:space="0" w:color="FFFFFF" w:themeColor="background2"/>
            </w:tcBorders>
            <w:vAlign w:val="bottom"/>
          </w:tcPr>
          <w:p w14:paraId="1C9F48CB" w14:textId="77777777" w:rsidR="00441B93" w:rsidRPr="00827B1A" w:rsidRDefault="00441B93" w:rsidP="008E3E08">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r w:rsidRPr="00827B1A">
              <w:rPr>
                <w:rFonts w:asciiTheme="majorHAnsi" w:hAnsiTheme="majorHAnsi" w:cs="Futura PT Heavy"/>
                <w:color w:val="1C1C1C"/>
                <w:sz w:val="16"/>
                <w:szCs w:val="16"/>
                <w:lang w:val="en-US"/>
              </w:rPr>
              <w:t>Category (Level 1,2 or 3)</w:t>
            </w:r>
          </w:p>
        </w:tc>
        <w:tc>
          <w:tcPr>
            <w:tcW w:w="3528" w:type="dxa"/>
            <w:tcBorders>
              <w:left w:val="single" w:sz="18" w:space="0" w:color="FFFFFF" w:themeColor="background2"/>
              <w:bottom w:val="single" w:sz="12" w:space="0" w:color="292929"/>
            </w:tcBorders>
            <w:vAlign w:val="bottom"/>
          </w:tcPr>
          <w:p w14:paraId="25B849C5" w14:textId="77777777" w:rsidR="00441B93" w:rsidRPr="00827B1A" w:rsidRDefault="00441B93" w:rsidP="008E3E08">
            <w:pPr>
              <w:suppressAutoHyphens/>
              <w:autoSpaceDE w:val="0"/>
              <w:autoSpaceDN w:val="0"/>
              <w:adjustRightInd w:val="0"/>
              <w:spacing w:after="0" w:line="180" w:lineRule="atLeast"/>
              <w:jc w:val="right"/>
              <w:textAlignment w:val="center"/>
              <w:rPr>
                <w:rFonts w:asciiTheme="majorHAnsi" w:hAnsiTheme="majorHAnsi" w:cs="Futura PT Heavy"/>
                <w:color w:val="1C1C1C"/>
                <w:sz w:val="16"/>
                <w:szCs w:val="16"/>
                <w:lang w:val="en-US"/>
              </w:rPr>
            </w:pPr>
          </w:p>
        </w:tc>
      </w:tr>
      <w:tr w:rsidR="00827B1A" w:rsidRPr="00827B1A" w14:paraId="059D9379" w14:textId="77777777" w:rsidTr="002550CF">
        <w:trPr>
          <w:trHeight w:val="170"/>
        </w:trPr>
        <w:tc>
          <w:tcPr>
            <w:tcW w:w="1699"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Mar>
              <w:top w:w="17" w:type="dxa"/>
              <w:left w:w="80" w:type="dxa"/>
              <w:bottom w:w="17" w:type="dxa"/>
              <w:right w:w="80" w:type="dxa"/>
            </w:tcMar>
          </w:tcPr>
          <w:p w14:paraId="65FA9DE9" w14:textId="77777777" w:rsidR="00441B93" w:rsidRPr="00827B1A" w:rsidRDefault="00441B93" w:rsidP="008E3E08">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27B1A">
              <w:rPr>
                <w:rFonts w:asciiTheme="majorHAnsi" w:hAnsiTheme="majorHAnsi"/>
                <w:color w:val="1C1C1C"/>
                <w:sz w:val="14"/>
                <w:szCs w:val="14"/>
              </w:rPr>
              <w:t>Non-financial assets</w:t>
            </w:r>
          </w:p>
        </w:tc>
        <w:tc>
          <w:tcPr>
            <w:tcW w:w="678" w:type="dxa"/>
            <w:tcBorders>
              <w:top w:val="single" w:sz="12" w:space="0" w:color="292929"/>
              <w:left w:val="single" w:sz="4" w:space="0" w:color="FFFFFF" w:themeColor="background2"/>
              <w:bottom w:val="single" w:sz="4" w:space="0" w:color="FFFFFF" w:themeColor="background2"/>
              <w:right w:val="single" w:sz="18" w:space="0" w:color="FFFFFF" w:themeColor="background2"/>
            </w:tcBorders>
            <w:tcMar>
              <w:top w:w="17" w:type="dxa"/>
              <w:left w:w="113" w:type="dxa"/>
              <w:bottom w:w="17" w:type="dxa"/>
              <w:right w:w="113" w:type="dxa"/>
            </w:tcMar>
          </w:tcPr>
          <w:p w14:paraId="5A88CE9B" w14:textId="77777777" w:rsidR="00441B93" w:rsidRPr="00827B1A" w:rsidRDefault="00441B93" w:rsidP="008E3E08">
            <w:pPr>
              <w:autoSpaceDE w:val="0"/>
              <w:autoSpaceDN w:val="0"/>
              <w:adjustRightInd w:val="0"/>
              <w:spacing w:after="0" w:line="240" w:lineRule="auto"/>
              <w:jc w:val="right"/>
              <w:rPr>
                <w:rFonts w:asciiTheme="majorHAnsi" w:hAnsiTheme="majorHAnsi"/>
                <w:color w:val="1C1C1C"/>
                <w:sz w:val="14"/>
                <w:szCs w:val="14"/>
              </w:rPr>
            </w:pPr>
          </w:p>
        </w:tc>
        <w:tc>
          <w:tcPr>
            <w:tcW w:w="680" w:type="dxa"/>
            <w:tcBorders>
              <w:top w:val="single" w:sz="12" w:space="0" w:color="292929"/>
              <w:left w:val="single" w:sz="18" w:space="0" w:color="FFFFFF" w:themeColor="background2"/>
              <w:right w:val="single" w:sz="18" w:space="0" w:color="FFFFFF" w:themeColor="background2"/>
            </w:tcBorders>
            <w:tcMar>
              <w:top w:w="17" w:type="dxa"/>
              <w:left w:w="113" w:type="dxa"/>
              <w:bottom w:w="17" w:type="dxa"/>
              <w:right w:w="113" w:type="dxa"/>
            </w:tcMar>
          </w:tcPr>
          <w:p w14:paraId="4D6AFDC7" w14:textId="77777777" w:rsidR="00441B93" w:rsidRPr="00827B1A" w:rsidRDefault="00441B93" w:rsidP="008E3E08">
            <w:pPr>
              <w:autoSpaceDE w:val="0"/>
              <w:autoSpaceDN w:val="0"/>
              <w:adjustRightInd w:val="0"/>
              <w:spacing w:after="0" w:line="240" w:lineRule="auto"/>
              <w:jc w:val="right"/>
              <w:rPr>
                <w:color w:val="1C1C1C"/>
                <w:sz w:val="14"/>
                <w:szCs w:val="14"/>
              </w:rPr>
            </w:pPr>
          </w:p>
        </w:tc>
        <w:tc>
          <w:tcPr>
            <w:tcW w:w="794" w:type="dxa"/>
            <w:gridSpan w:val="2"/>
            <w:tcBorders>
              <w:top w:val="single" w:sz="12" w:space="0" w:color="292929"/>
              <w:left w:val="single" w:sz="18" w:space="0" w:color="FFFFFF" w:themeColor="background2"/>
              <w:right w:val="single" w:sz="18" w:space="0" w:color="FFFFFF" w:themeColor="background2"/>
            </w:tcBorders>
          </w:tcPr>
          <w:p w14:paraId="1C96A398" w14:textId="77777777" w:rsidR="00441B93" w:rsidRPr="00827B1A" w:rsidRDefault="00441B93" w:rsidP="008E3E08">
            <w:pPr>
              <w:autoSpaceDE w:val="0"/>
              <w:autoSpaceDN w:val="0"/>
              <w:adjustRightInd w:val="0"/>
              <w:spacing w:after="0" w:line="240" w:lineRule="auto"/>
              <w:jc w:val="right"/>
              <w:rPr>
                <w:color w:val="1C1C1C"/>
                <w:sz w:val="14"/>
                <w:szCs w:val="14"/>
              </w:rPr>
            </w:pPr>
          </w:p>
        </w:tc>
        <w:tc>
          <w:tcPr>
            <w:tcW w:w="3528" w:type="dxa"/>
            <w:tcBorders>
              <w:top w:val="single" w:sz="12" w:space="0" w:color="292929"/>
              <w:left w:val="single" w:sz="18" w:space="0" w:color="FFFFFF" w:themeColor="background2"/>
            </w:tcBorders>
            <w:vAlign w:val="bottom"/>
          </w:tcPr>
          <w:p w14:paraId="5A0ED210" w14:textId="77777777" w:rsidR="00441B93" w:rsidRPr="00827B1A" w:rsidRDefault="00441B93" w:rsidP="008E3E08">
            <w:pPr>
              <w:autoSpaceDE w:val="0"/>
              <w:autoSpaceDN w:val="0"/>
              <w:adjustRightInd w:val="0"/>
              <w:spacing w:after="0" w:line="240" w:lineRule="auto"/>
              <w:jc w:val="right"/>
              <w:rPr>
                <w:color w:val="1C1C1C"/>
                <w:sz w:val="14"/>
                <w:szCs w:val="14"/>
              </w:rPr>
            </w:pPr>
          </w:p>
        </w:tc>
      </w:tr>
      <w:tr w:rsidR="00827B1A" w:rsidRPr="00827B1A" w14:paraId="39B7C78D" w14:textId="77777777" w:rsidTr="00041873">
        <w:trPr>
          <w:trHeight w:val="170"/>
        </w:trPr>
        <w:tc>
          <w:tcPr>
            <w:tcW w:w="1699" w:type="dxa"/>
            <w:tcMar>
              <w:top w:w="17" w:type="dxa"/>
              <w:left w:w="80" w:type="dxa"/>
              <w:bottom w:w="17" w:type="dxa"/>
              <w:right w:w="80" w:type="dxa"/>
            </w:tcMar>
          </w:tcPr>
          <w:p w14:paraId="092F2C67" w14:textId="77777777" w:rsidR="00441B93" w:rsidRPr="00827B1A" w:rsidRDefault="00441B93" w:rsidP="008E3E08">
            <w:pPr>
              <w:suppressAutoHyphens/>
              <w:autoSpaceDE w:val="0"/>
              <w:autoSpaceDN w:val="0"/>
              <w:adjustRightInd w:val="0"/>
              <w:spacing w:after="0" w:line="240" w:lineRule="auto"/>
              <w:textAlignment w:val="center"/>
              <w:rPr>
                <w:rFonts w:cs="Futura PT Book"/>
                <w:color w:val="1C1C1C"/>
                <w:sz w:val="14"/>
                <w:szCs w:val="14"/>
                <w:lang w:val="en-US"/>
              </w:rPr>
            </w:pPr>
            <w:r w:rsidRPr="00827B1A">
              <w:rPr>
                <w:color w:val="1C1C1C"/>
                <w:sz w:val="14"/>
                <w:szCs w:val="14"/>
              </w:rPr>
              <w:lastRenderedPageBreak/>
              <w:t>Leasehold improvements</w:t>
            </w:r>
          </w:p>
        </w:tc>
        <w:tc>
          <w:tcPr>
            <w:tcW w:w="678" w:type="dxa"/>
            <w:tcBorders>
              <w:bottom w:val="single" w:sz="4" w:space="0" w:color="292929"/>
              <w:right w:val="single" w:sz="8" w:space="0" w:color="FFFFFF" w:themeColor="background2"/>
            </w:tcBorders>
            <w:tcMar>
              <w:top w:w="17" w:type="dxa"/>
              <w:left w:w="113" w:type="dxa"/>
              <w:bottom w:w="17" w:type="dxa"/>
              <w:right w:w="113" w:type="dxa"/>
            </w:tcMar>
          </w:tcPr>
          <w:p w14:paraId="71C71BAB" w14:textId="77777777" w:rsidR="00441B93" w:rsidRPr="00827B1A" w:rsidRDefault="00441B93" w:rsidP="008E3E08">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827B1A">
              <w:rPr>
                <w:rFonts w:asciiTheme="majorHAnsi" w:hAnsiTheme="majorHAnsi" w:cs="Futura PT Book"/>
                <w:color w:val="1C1C1C"/>
                <w:sz w:val="14"/>
                <w:szCs w:val="14"/>
                <w:lang w:val="en-US"/>
              </w:rPr>
              <w:t>1,686</w:t>
            </w:r>
          </w:p>
        </w:tc>
        <w:tc>
          <w:tcPr>
            <w:tcW w:w="680" w:type="dxa"/>
            <w:tcBorders>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E7D6E6C" w14:textId="77777777" w:rsidR="00441B93" w:rsidRPr="00827B1A" w:rsidRDefault="00441B93" w:rsidP="008E3E08">
            <w:pPr>
              <w:suppressAutoHyphens/>
              <w:autoSpaceDE w:val="0"/>
              <w:autoSpaceDN w:val="0"/>
              <w:adjustRightInd w:val="0"/>
              <w:spacing w:after="0" w:line="240" w:lineRule="auto"/>
              <w:jc w:val="right"/>
              <w:textAlignment w:val="center"/>
              <w:rPr>
                <w:rFonts w:cs="Futura PT Book"/>
                <w:color w:val="1C1C1C"/>
                <w:sz w:val="14"/>
                <w:szCs w:val="14"/>
                <w:lang w:val="en-US"/>
              </w:rPr>
            </w:pPr>
            <w:r w:rsidRPr="00827B1A">
              <w:rPr>
                <w:color w:val="1C1C1C"/>
                <w:sz w:val="14"/>
                <w:szCs w:val="14"/>
              </w:rPr>
              <w:t xml:space="preserve">234 </w:t>
            </w:r>
          </w:p>
        </w:tc>
        <w:tc>
          <w:tcPr>
            <w:tcW w:w="794" w:type="dxa"/>
            <w:gridSpan w:val="2"/>
            <w:tcBorders>
              <w:left w:val="single" w:sz="8" w:space="0" w:color="FFFFFF" w:themeColor="background2"/>
              <w:bottom w:val="single" w:sz="4" w:space="0" w:color="292929"/>
              <w:right w:val="single" w:sz="8" w:space="0" w:color="FFFFFF" w:themeColor="background2"/>
            </w:tcBorders>
          </w:tcPr>
          <w:p w14:paraId="2D021674" w14:textId="77777777" w:rsidR="00441B93" w:rsidRPr="00827B1A" w:rsidRDefault="00441B93" w:rsidP="00640451">
            <w:pPr>
              <w:suppressAutoHyphens/>
              <w:autoSpaceDE w:val="0"/>
              <w:autoSpaceDN w:val="0"/>
              <w:adjustRightInd w:val="0"/>
              <w:spacing w:after="0" w:line="240" w:lineRule="auto"/>
              <w:jc w:val="center"/>
              <w:textAlignment w:val="center"/>
              <w:rPr>
                <w:color w:val="1C1C1C"/>
                <w:sz w:val="14"/>
                <w:szCs w:val="14"/>
              </w:rPr>
            </w:pPr>
            <w:r w:rsidRPr="00827B1A">
              <w:rPr>
                <w:color w:val="1C1C1C"/>
                <w:sz w:val="14"/>
                <w:szCs w:val="14"/>
              </w:rPr>
              <w:t>3</w:t>
            </w:r>
          </w:p>
        </w:tc>
        <w:tc>
          <w:tcPr>
            <w:tcW w:w="3528" w:type="dxa"/>
            <w:tcBorders>
              <w:left w:val="single" w:sz="8" w:space="0" w:color="FFFFFF" w:themeColor="background2"/>
              <w:bottom w:val="single" w:sz="4" w:space="0" w:color="292929"/>
            </w:tcBorders>
            <w:vAlign w:val="bottom"/>
          </w:tcPr>
          <w:p w14:paraId="4424254D" w14:textId="7123C113" w:rsidR="00441B93" w:rsidRPr="00827B1A" w:rsidRDefault="00441B93" w:rsidP="00041873">
            <w:pPr>
              <w:suppressAutoHyphens/>
              <w:autoSpaceDE w:val="0"/>
              <w:autoSpaceDN w:val="0"/>
              <w:adjustRightInd w:val="0"/>
              <w:spacing w:after="0" w:line="240" w:lineRule="auto"/>
              <w:jc w:val="center"/>
              <w:textAlignment w:val="center"/>
              <w:rPr>
                <w:color w:val="1C1C1C"/>
                <w:sz w:val="14"/>
                <w:szCs w:val="14"/>
              </w:rPr>
            </w:pPr>
            <w:r w:rsidRPr="00827B1A">
              <w:rPr>
                <w:color w:val="1C1C1C"/>
                <w:sz w:val="14"/>
                <w:szCs w:val="14"/>
              </w:rPr>
              <w:t>Valuation technique is depreciated replacement costs. Inputs used are replacement cost new (price per square metre) and consumed economic benefit/obsolescence of asset.</w:t>
            </w:r>
          </w:p>
        </w:tc>
      </w:tr>
      <w:tr w:rsidR="00827B1A" w:rsidRPr="00827B1A" w14:paraId="50B03EFB" w14:textId="77777777" w:rsidTr="00041873">
        <w:trPr>
          <w:trHeight w:val="170"/>
        </w:trPr>
        <w:tc>
          <w:tcPr>
            <w:tcW w:w="1699" w:type="dxa"/>
            <w:tcMar>
              <w:top w:w="17" w:type="dxa"/>
              <w:left w:w="80" w:type="dxa"/>
              <w:bottom w:w="17" w:type="dxa"/>
              <w:right w:w="80" w:type="dxa"/>
            </w:tcMar>
          </w:tcPr>
          <w:p w14:paraId="5A6F3820" w14:textId="77777777" w:rsidR="00441B93" w:rsidRPr="00827B1A" w:rsidRDefault="00441B93" w:rsidP="008E3E08">
            <w:pPr>
              <w:suppressAutoHyphens/>
              <w:autoSpaceDE w:val="0"/>
              <w:autoSpaceDN w:val="0"/>
              <w:adjustRightInd w:val="0"/>
              <w:spacing w:after="0" w:line="240" w:lineRule="auto"/>
              <w:textAlignment w:val="center"/>
              <w:rPr>
                <w:rFonts w:cs="Futura PT Book"/>
                <w:color w:val="1C1C1C"/>
                <w:sz w:val="14"/>
                <w:szCs w:val="14"/>
                <w:lang w:val="en-US"/>
              </w:rPr>
            </w:pPr>
            <w:r w:rsidRPr="00827B1A">
              <w:rPr>
                <w:color w:val="1C1C1C"/>
                <w:sz w:val="14"/>
                <w:szCs w:val="14"/>
              </w:rPr>
              <w:t>Plant and equipment</w:t>
            </w:r>
          </w:p>
        </w:tc>
        <w:tc>
          <w:tcPr>
            <w:tcW w:w="678"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77C8FD89" w14:textId="77777777" w:rsidR="00441B93" w:rsidRPr="00827B1A" w:rsidRDefault="00441B93" w:rsidP="008E3E08">
            <w:pPr>
              <w:autoSpaceDE w:val="0"/>
              <w:autoSpaceDN w:val="0"/>
              <w:adjustRightInd w:val="0"/>
              <w:spacing w:after="0" w:line="240" w:lineRule="auto"/>
              <w:jc w:val="right"/>
              <w:rPr>
                <w:rFonts w:asciiTheme="majorHAnsi" w:hAnsiTheme="majorHAnsi"/>
                <w:color w:val="1C1C1C"/>
                <w:sz w:val="14"/>
                <w:szCs w:val="14"/>
              </w:rPr>
            </w:pPr>
            <w:r w:rsidRPr="00827B1A">
              <w:rPr>
                <w:rFonts w:asciiTheme="majorHAnsi" w:hAnsiTheme="majorHAnsi"/>
                <w:color w:val="1C1C1C"/>
                <w:sz w:val="14"/>
                <w:szCs w:val="14"/>
              </w:rPr>
              <w:t>2</w:t>
            </w:r>
          </w:p>
        </w:tc>
        <w:tc>
          <w:tcPr>
            <w:tcW w:w="680" w:type="dxa"/>
            <w:tcBorders>
              <w:top w:val="single" w:sz="4" w:space="0" w:color="292929"/>
              <w:left w:val="single" w:sz="8" w:space="0" w:color="FFFFFF" w:themeColor="background2"/>
              <w:bottom w:val="single" w:sz="4" w:space="0" w:color="292929"/>
              <w:right w:val="single" w:sz="8" w:space="0" w:color="FFFFFF" w:themeColor="background2"/>
            </w:tcBorders>
            <w:tcMar>
              <w:top w:w="17" w:type="dxa"/>
              <w:left w:w="113" w:type="dxa"/>
              <w:bottom w:w="17" w:type="dxa"/>
              <w:right w:w="113" w:type="dxa"/>
            </w:tcMar>
          </w:tcPr>
          <w:p w14:paraId="74B36FC5" w14:textId="77777777" w:rsidR="00441B93" w:rsidRPr="00827B1A" w:rsidRDefault="00441B93" w:rsidP="008E3E08">
            <w:pPr>
              <w:suppressAutoHyphens/>
              <w:autoSpaceDE w:val="0"/>
              <w:autoSpaceDN w:val="0"/>
              <w:adjustRightInd w:val="0"/>
              <w:spacing w:after="0" w:line="240" w:lineRule="auto"/>
              <w:jc w:val="right"/>
              <w:textAlignment w:val="center"/>
              <w:rPr>
                <w:rFonts w:cs="Futura PT Book"/>
                <w:color w:val="1C1C1C"/>
                <w:sz w:val="14"/>
                <w:szCs w:val="14"/>
                <w:lang w:val="en-US"/>
              </w:rPr>
            </w:pPr>
            <w:r w:rsidRPr="00827B1A">
              <w:rPr>
                <w:color w:val="1C1C1C"/>
                <w:sz w:val="14"/>
                <w:szCs w:val="14"/>
              </w:rPr>
              <w:t>201</w:t>
            </w:r>
          </w:p>
        </w:tc>
        <w:tc>
          <w:tcPr>
            <w:tcW w:w="794" w:type="dxa"/>
            <w:gridSpan w:val="2"/>
            <w:tcBorders>
              <w:top w:val="single" w:sz="4" w:space="0" w:color="292929"/>
              <w:left w:val="single" w:sz="8" w:space="0" w:color="FFFFFF" w:themeColor="background2"/>
              <w:bottom w:val="single" w:sz="4" w:space="0" w:color="292929"/>
              <w:right w:val="single" w:sz="8" w:space="0" w:color="FFFFFF" w:themeColor="background2"/>
            </w:tcBorders>
          </w:tcPr>
          <w:p w14:paraId="22D3D446" w14:textId="77777777" w:rsidR="00441B93" w:rsidRPr="00827B1A" w:rsidRDefault="00441B93" w:rsidP="00640451">
            <w:pPr>
              <w:suppressAutoHyphens/>
              <w:autoSpaceDE w:val="0"/>
              <w:autoSpaceDN w:val="0"/>
              <w:adjustRightInd w:val="0"/>
              <w:spacing w:after="0" w:line="240" w:lineRule="auto"/>
              <w:jc w:val="center"/>
              <w:textAlignment w:val="center"/>
              <w:rPr>
                <w:color w:val="1C1C1C"/>
                <w:sz w:val="14"/>
                <w:szCs w:val="14"/>
              </w:rPr>
            </w:pPr>
            <w:r w:rsidRPr="00827B1A">
              <w:rPr>
                <w:color w:val="1C1C1C"/>
                <w:sz w:val="14"/>
                <w:szCs w:val="14"/>
              </w:rPr>
              <w:t>2</w:t>
            </w:r>
          </w:p>
        </w:tc>
        <w:tc>
          <w:tcPr>
            <w:tcW w:w="3528" w:type="dxa"/>
            <w:tcBorders>
              <w:top w:val="single" w:sz="4" w:space="0" w:color="292929"/>
              <w:left w:val="single" w:sz="8" w:space="0" w:color="FFFFFF" w:themeColor="background2"/>
              <w:bottom w:val="single" w:sz="4" w:space="0" w:color="292929"/>
            </w:tcBorders>
            <w:vAlign w:val="bottom"/>
          </w:tcPr>
          <w:p w14:paraId="33835713" w14:textId="39208E56" w:rsidR="00441B93" w:rsidRPr="00827B1A" w:rsidRDefault="00441B93" w:rsidP="00041873">
            <w:pPr>
              <w:suppressAutoHyphens/>
              <w:autoSpaceDE w:val="0"/>
              <w:autoSpaceDN w:val="0"/>
              <w:adjustRightInd w:val="0"/>
              <w:spacing w:after="0" w:line="240" w:lineRule="auto"/>
              <w:jc w:val="center"/>
              <w:textAlignment w:val="center"/>
              <w:rPr>
                <w:color w:val="1C1C1C"/>
                <w:sz w:val="14"/>
                <w:szCs w:val="14"/>
              </w:rPr>
            </w:pPr>
            <w:r w:rsidRPr="00827B1A">
              <w:rPr>
                <w:color w:val="1C1C1C"/>
                <w:sz w:val="14"/>
                <w:szCs w:val="14"/>
              </w:rPr>
              <w:t>Valuation technique is market approach and inputs used are adjusted market transactions</w:t>
            </w:r>
            <w:r w:rsidR="005C7AEF" w:rsidRPr="00827B1A">
              <w:rPr>
                <w:color w:val="1C1C1C"/>
                <w:sz w:val="14"/>
                <w:szCs w:val="14"/>
              </w:rPr>
              <w:t>.</w:t>
            </w:r>
          </w:p>
        </w:tc>
      </w:tr>
      <w:tr w:rsidR="00827B1A" w:rsidRPr="00827B1A" w14:paraId="00BF81E2" w14:textId="77777777" w:rsidTr="00870CD9">
        <w:trPr>
          <w:trHeight w:val="57"/>
        </w:trPr>
        <w:tc>
          <w:tcPr>
            <w:tcW w:w="1699" w:type="dxa"/>
            <w:tcMar>
              <w:top w:w="17" w:type="dxa"/>
              <w:left w:w="80" w:type="dxa"/>
              <w:bottom w:w="17" w:type="dxa"/>
              <w:right w:w="80" w:type="dxa"/>
            </w:tcMar>
          </w:tcPr>
          <w:p w14:paraId="7F82DA24" w14:textId="77777777" w:rsidR="00870CD9" w:rsidRPr="00827B1A" w:rsidRDefault="00870CD9" w:rsidP="008E3E08">
            <w:pPr>
              <w:suppressAutoHyphens/>
              <w:autoSpaceDE w:val="0"/>
              <w:autoSpaceDN w:val="0"/>
              <w:adjustRightInd w:val="0"/>
              <w:spacing w:after="0" w:line="240" w:lineRule="auto"/>
              <w:textAlignment w:val="center"/>
              <w:rPr>
                <w:color w:val="1C1C1C"/>
                <w:sz w:val="4"/>
                <w:szCs w:val="4"/>
              </w:rPr>
            </w:pPr>
          </w:p>
        </w:tc>
        <w:tc>
          <w:tcPr>
            <w:tcW w:w="678" w:type="dxa"/>
            <w:tcBorders>
              <w:top w:val="single" w:sz="4" w:space="0" w:color="292929"/>
              <w:right w:val="single" w:sz="8" w:space="0" w:color="FFFFFF" w:themeColor="background2"/>
            </w:tcBorders>
            <w:tcMar>
              <w:top w:w="17" w:type="dxa"/>
              <w:left w:w="113" w:type="dxa"/>
              <w:bottom w:w="17" w:type="dxa"/>
              <w:right w:w="113" w:type="dxa"/>
            </w:tcMar>
          </w:tcPr>
          <w:p w14:paraId="59F78E96" w14:textId="77777777" w:rsidR="00870CD9" w:rsidRPr="00827B1A" w:rsidRDefault="00870CD9" w:rsidP="008E3E08">
            <w:pPr>
              <w:autoSpaceDE w:val="0"/>
              <w:autoSpaceDN w:val="0"/>
              <w:adjustRightInd w:val="0"/>
              <w:spacing w:after="0" w:line="240" w:lineRule="auto"/>
              <w:jc w:val="right"/>
              <w:rPr>
                <w:rFonts w:asciiTheme="majorHAnsi" w:hAnsiTheme="majorHAnsi"/>
                <w:color w:val="1C1C1C"/>
                <w:sz w:val="4"/>
                <w:szCs w:val="4"/>
              </w:rPr>
            </w:pPr>
          </w:p>
        </w:tc>
        <w:tc>
          <w:tcPr>
            <w:tcW w:w="680" w:type="dxa"/>
            <w:tcBorders>
              <w:top w:val="single" w:sz="4" w:space="0" w:color="292929"/>
              <w:left w:val="single" w:sz="8" w:space="0" w:color="FFFFFF" w:themeColor="background2"/>
              <w:right w:val="single" w:sz="8" w:space="0" w:color="FFFFFF" w:themeColor="background2"/>
            </w:tcBorders>
            <w:tcMar>
              <w:top w:w="17" w:type="dxa"/>
              <w:left w:w="113" w:type="dxa"/>
              <w:bottom w:w="17" w:type="dxa"/>
              <w:right w:w="113" w:type="dxa"/>
            </w:tcMar>
          </w:tcPr>
          <w:p w14:paraId="092605E9" w14:textId="77777777" w:rsidR="00870CD9" w:rsidRPr="00827B1A" w:rsidRDefault="00870CD9" w:rsidP="008E3E08">
            <w:pPr>
              <w:suppressAutoHyphens/>
              <w:autoSpaceDE w:val="0"/>
              <w:autoSpaceDN w:val="0"/>
              <w:adjustRightInd w:val="0"/>
              <w:spacing w:after="0" w:line="240" w:lineRule="auto"/>
              <w:jc w:val="right"/>
              <w:textAlignment w:val="center"/>
              <w:rPr>
                <w:color w:val="1C1C1C"/>
                <w:sz w:val="4"/>
                <w:szCs w:val="4"/>
              </w:rPr>
            </w:pPr>
          </w:p>
        </w:tc>
        <w:tc>
          <w:tcPr>
            <w:tcW w:w="794" w:type="dxa"/>
            <w:gridSpan w:val="2"/>
            <w:tcBorders>
              <w:top w:val="single" w:sz="4" w:space="0" w:color="292929"/>
              <w:left w:val="single" w:sz="8" w:space="0" w:color="FFFFFF" w:themeColor="background2"/>
              <w:right w:val="single" w:sz="8" w:space="0" w:color="FFFFFF" w:themeColor="background2"/>
            </w:tcBorders>
          </w:tcPr>
          <w:p w14:paraId="12BD60F6" w14:textId="77777777" w:rsidR="00870CD9" w:rsidRPr="00827B1A" w:rsidRDefault="00870CD9" w:rsidP="00640451">
            <w:pPr>
              <w:suppressAutoHyphens/>
              <w:autoSpaceDE w:val="0"/>
              <w:autoSpaceDN w:val="0"/>
              <w:adjustRightInd w:val="0"/>
              <w:spacing w:after="0" w:line="240" w:lineRule="auto"/>
              <w:jc w:val="center"/>
              <w:textAlignment w:val="center"/>
              <w:rPr>
                <w:color w:val="1C1C1C"/>
                <w:sz w:val="4"/>
                <w:szCs w:val="4"/>
              </w:rPr>
            </w:pPr>
          </w:p>
        </w:tc>
        <w:tc>
          <w:tcPr>
            <w:tcW w:w="3528" w:type="dxa"/>
            <w:tcBorders>
              <w:top w:val="single" w:sz="4" w:space="0" w:color="292929"/>
              <w:left w:val="single" w:sz="8" w:space="0" w:color="FFFFFF" w:themeColor="background2"/>
            </w:tcBorders>
            <w:vAlign w:val="bottom"/>
          </w:tcPr>
          <w:p w14:paraId="063D8261" w14:textId="77777777" w:rsidR="00870CD9" w:rsidRPr="00827B1A" w:rsidRDefault="00870CD9" w:rsidP="00640451">
            <w:pPr>
              <w:suppressAutoHyphens/>
              <w:autoSpaceDE w:val="0"/>
              <w:autoSpaceDN w:val="0"/>
              <w:adjustRightInd w:val="0"/>
              <w:spacing w:after="0" w:line="240" w:lineRule="auto"/>
              <w:textAlignment w:val="center"/>
              <w:rPr>
                <w:color w:val="1C1C1C"/>
                <w:sz w:val="4"/>
                <w:szCs w:val="4"/>
              </w:rPr>
            </w:pPr>
          </w:p>
        </w:tc>
      </w:tr>
    </w:tbl>
    <w:p w14:paraId="23C24B19" w14:textId="6FC7C539" w:rsidR="002D4B45" w:rsidRDefault="002D4B45" w:rsidP="00646163">
      <w:pPr>
        <w:pStyle w:val="Body"/>
        <w:sectPr w:rsidR="002D4B45" w:rsidSect="008E3E08">
          <w:footnotePr>
            <w:pos w:val="beneathText"/>
            <w:numRestart w:val="eachSect"/>
          </w:footnotePr>
          <w:type w:val="continuous"/>
          <w:pgSz w:w="9979" w:h="14175" w:code="13"/>
          <w:pgMar w:top="1134" w:right="1418" w:bottom="992" w:left="1418" w:header="709" w:footer="709" w:gutter="0"/>
          <w:cols w:space="623"/>
          <w:docGrid w:linePitch="360"/>
        </w:sectPr>
      </w:pPr>
    </w:p>
    <w:tbl>
      <w:tblPr>
        <w:tblStyle w:val="TableGrid"/>
        <w:tblW w:w="4993" w:type="pct"/>
        <w:tblCellMar>
          <w:top w:w="113" w:type="dxa"/>
          <w:bottom w:w="113" w:type="dxa"/>
        </w:tblCellMar>
        <w:tblLook w:val="04A0" w:firstRow="1" w:lastRow="0" w:firstColumn="1" w:lastColumn="0" w:noHBand="0" w:noVBand="1"/>
      </w:tblPr>
      <w:tblGrid>
        <w:gridCol w:w="7123"/>
      </w:tblGrid>
      <w:tr w:rsidR="00EE5B1E" w14:paraId="46E9DA57" w14:textId="77777777" w:rsidTr="00633EA7">
        <w:tc>
          <w:tcPr>
            <w:tcW w:w="5000" w:type="pct"/>
          </w:tcPr>
          <w:p w14:paraId="45A22D1C" w14:textId="77777777" w:rsidR="00EE5B1E" w:rsidRPr="005300C0" w:rsidRDefault="00EE5B1E" w:rsidP="00327CD3">
            <w:pPr>
              <w:pStyle w:val="Body"/>
              <w:spacing w:after="120" w:line="288" w:lineRule="auto"/>
              <w:rPr>
                <w:rFonts w:asciiTheme="majorHAnsi" w:hAnsiTheme="majorHAnsi"/>
              </w:rPr>
            </w:pPr>
            <w:r w:rsidRPr="005300C0">
              <w:rPr>
                <w:rFonts w:asciiTheme="majorHAnsi" w:hAnsiTheme="majorHAnsi"/>
              </w:rPr>
              <w:lastRenderedPageBreak/>
              <w:t>Accounting Policy</w:t>
            </w:r>
          </w:p>
          <w:p w14:paraId="79A95F50" w14:textId="24A4DCC9" w:rsidR="00EE5B1E" w:rsidRPr="00303955" w:rsidRDefault="00EE5B1E" w:rsidP="00327CD3">
            <w:pPr>
              <w:pStyle w:val="Body"/>
              <w:spacing w:after="120"/>
              <w:rPr>
                <w:b/>
                <w:bCs/>
              </w:rPr>
            </w:pPr>
            <w:r w:rsidRPr="00303955">
              <w:rPr>
                <w:b/>
                <w:bCs/>
              </w:rPr>
              <w:t>Property, plant and equipment, and intangibles</w:t>
            </w:r>
          </w:p>
          <w:p w14:paraId="633E6C3F" w14:textId="422E501D" w:rsidR="00EE5B1E" w:rsidRDefault="00EE5B1E" w:rsidP="00327CD3">
            <w:pPr>
              <w:pStyle w:val="Body"/>
              <w:spacing w:after="120"/>
              <w:rPr>
                <w:lang w:val="en-AU"/>
              </w:rPr>
            </w:pPr>
            <w:r w:rsidRPr="00EE5B1E">
              <w:rPr>
                <w:lang w:val="en-AU"/>
              </w:rPr>
              <w:t>Assets are recorded at cost on acquisition except as stated below. The cost on acquisition includes the fair value of assets transferred in exchange and liabilities undertaken. Financial assets are initially measured at their fair value plus transaction costs where appropriate.</w:t>
            </w:r>
          </w:p>
          <w:p w14:paraId="05C44D3E" w14:textId="7D66DAA7" w:rsidR="00EE5B1E" w:rsidRPr="00EE5B1E" w:rsidRDefault="00EE5B1E" w:rsidP="00327CD3">
            <w:pPr>
              <w:pStyle w:val="Body"/>
              <w:spacing w:after="120"/>
            </w:pPr>
            <w:r w:rsidRPr="00EE5B1E">
              <w:rPr>
                <w:lang w:val="en-AU"/>
              </w:rPr>
              <w:t>Assets acquired at no cost, or for nominal consideration, are initially recognised as assets and income at their fair value at the date of acquisition, unless acquired as a consequence of restructuring of administrative arrangements.  In the latter case, assets are initially recognised as contributions by owners at the amounts at which they were recognised in the transferor’s accounts immediately prior to the restructuring.</w:t>
            </w:r>
          </w:p>
          <w:p w14:paraId="783D7D10" w14:textId="262A7E02" w:rsidR="00EE5B1E" w:rsidRPr="00303955" w:rsidRDefault="00EE5B1E" w:rsidP="00327CD3">
            <w:pPr>
              <w:pStyle w:val="Body"/>
              <w:spacing w:after="120"/>
              <w:rPr>
                <w:b/>
                <w:bCs/>
                <w:lang w:val="en-AU"/>
              </w:rPr>
            </w:pPr>
            <w:r w:rsidRPr="00303955">
              <w:rPr>
                <w:b/>
                <w:bCs/>
                <w:lang w:val="en-AU"/>
              </w:rPr>
              <w:t>Asset recognition threshold</w:t>
            </w:r>
          </w:p>
          <w:p w14:paraId="1F597EF4" w14:textId="2568584E" w:rsidR="00EE5B1E" w:rsidRPr="00EE5B1E" w:rsidRDefault="00EE5B1E" w:rsidP="00327CD3">
            <w:pPr>
              <w:pStyle w:val="AlphabetListL2"/>
              <w:numPr>
                <w:ilvl w:val="0"/>
                <w:numId w:val="0"/>
              </w:numPr>
              <w:spacing w:after="120"/>
            </w:pPr>
            <w:r w:rsidRPr="00EE5B1E">
              <w:rPr>
                <w:lang w:val="en-AU"/>
              </w:rPr>
              <w:t>Purchases of property, plant and equipment are recognised initially at cost in the statement of financial position, except for purchases costing less than $5,000, which are expensed in the year of acquisition (other than where they form part of a group of similar items which are significant in</w:t>
            </w:r>
            <w:r w:rsidR="0032441E">
              <w:rPr>
                <w:lang w:val="en-AU"/>
              </w:rPr>
              <w:t> </w:t>
            </w:r>
            <w:r w:rsidRPr="00EE5B1E">
              <w:rPr>
                <w:lang w:val="en-AU"/>
              </w:rPr>
              <w:t>total).</w:t>
            </w:r>
          </w:p>
          <w:p w14:paraId="7BB72E43" w14:textId="77777777" w:rsidR="00EE5B1E" w:rsidRPr="00303955" w:rsidRDefault="00EE5B1E" w:rsidP="00327CD3">
            <w:pPr>
              <w:pStyle w:val="Body"/>
              <w:spacing w:after="120"/>
              <w:rPr>
                <w:b/>
                <w:bCs/>
              </w:rPr>
            </w:pPr>
            <w:r w:rsidRPr="00303955">
              <w:rPr>
                <w:b/>
                <w:bCs/>
              </w:rPr>
              <w:t>Revaluations</w:t>
            </w:r>
          </w:p>
          <w:p w14:paraId="0E2D389C" w14:textId="6508699D" w:rsidR="00EE5B1E" w:rsidRDefault="00EE5B1E" w:rsidP="00327CD3">
            <w:pPr>
              <w:pStyle w:val="Body"/>
              <w:spacing w:after="120"/>
            </w:pPr>
            <w:r>
              <w:t xml:space="preserve">Following initial recognition at cost, property, plant and equipment are carried at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 </w:t>
            </w:r>
          </w:p>
          <w:p w14:paraId="206E836A" w14:textId="0EC888E0" w:rsidR="00EE5B1E" w:rsidRDefault="00EE5B1E" w:rsidP="00327CD3">
            <w:pPr>
              <w:pStyle w:val="Body"/>
              <w:spacing w:after="120"/>
            </w:pPr>
            <w:r>
              <w:t xml:space="preserve">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 </w:t>
            </w:r>
          </w:p>
          <w:p w14:paraId="0116E438" w14:textId="7E3605F9" w:rsidR="00EE5B1E" w:rsidRDefault="00EE5B1E" w:rsidP="00327CD3">
            <w:pPr>
              <w:pStyle w:val="Body"/>
              <w:spacing w:after="120"/>
            </w:pPr>
            <w:r>
              <w:t>Any accumulated depreciation as at the revaluation date is eliminated against the gross carrying amount of the asset and the asset restated to the revalued amount.</w:t>
            </w:r>
          </w:p>
          <w:p w14:paraId="663DDCAF" w14:textId="77777777" w:rsidR="00EE5B1E" w:rsidRPr="00303955" w:rsidRDefault="00EE5B1E" w:rsidP="00327CD3">
            <w:pPr>
              <w:pStyle w:val="Body"/>
              <w:spacing w:after="120"/>
              <w:rPr>
                <w:b/>
                <w:bCs/>
              </w:rPr>
            </w:pPr>
            <w:r w:rsidRPr="00303955">
              <w:rPr>
                <w:b/>
                <w:bCs/>
              </w:rPr>
              <w:t>Depreciation</w:t>
            </w:r>
          </w:p>
          <w:p w14:paraId="6E480315" w14:textId="77777777" w:rsidR="00EE5B1E" w:rsidRDefault="00EE5B1E" w:rsidP="00327CD3">
            <w:pPr>
              <w:pStyle w:val="Body"/>
              <w:spacing w:after="120"/>
            </w:pPr>
            <w:r>
              <w:t xml:space="preserve">Depreciable property, plant and equipment assets are written-off to their estimated residual values over their estimated useful lives to the entity using, in all cases, the straight-line method of depreciation. </w:t>
            </w:r>
          </w:p>
          <w:p w14:paraId="533569F5" w14:textId="13081358" w:rsidR="00EE5B1E" w:rsidRDefault="00EE5B1E" w:rsidP="00327CD3">
            <w:pPr>
              <w:pStyle w:val="Body"/>
              <w:spacing w:after="120"/>
            </w:pPr>
            <w:r>
              <w:t>Depreciation rates (useful lives), residual values and methods are reviewed at each reporting date and necessary adjustments are recognised in the current, or current and future reporting periods, as</w:t>
            </w:r>
            <w:r w:rsidR="00A47E7D">
              <w:t> </w:t>
            </w:r>
            <w:r>
              <w:t>appropriate.</w:t>
            </w:r>
          </w:p>
          <w:p w14:paraId="715CF303" w14:textId="6065F020" w:rsidR="00EE5B1E" w:rsidRDefault="00EE5B1E" w:rsidP="00327CD3">
            <w:pPr>
              <w:pStyle w:val="Body"/>
              <w:spacing w:after="120"/>
            </w:pPr>
            <w:r>
              <w:t>Depreciation rates applying to each class of depreciable asset are based on the following useful</w:t>
            </w:r>
            <w:r w:rsidR="00A47E7D">
              <w:t> </w:t>
            </w:r>
            <w:r>
              <w:t>lives:</w:t>
            </w:r>
          </w:p>
          <w:tbl>
            <w:tblPr>
              <w:tblStyle w:val="TableGrid"/>
              <w:tblW w:w="2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2"/>
              <w:gridCol w:w="1134"/>
              <w:gridCol w:w="1133"/>
            </w:tblGrid>
            <w:tr w:rsidR="00327CD3" w14:paraId="062B50DB" w14:textId="77777777" w:rsidTr="00952F1C">
              <w:trPr>
                <w:trHeight w:val="113"/>
              </w:trPr>
              <w:tc>
                <w:tcPr>
                  <w:tcW w:w="2261" w:type="pct"/>
                  <w:vAlign w:val="center"/>
                </w:tcPr>
                <w:p w14:paraId="22754E49" w14:textId="086259F7" w:rsidR="00327CD3" w:rsidRPr="00327CD3" w:rsidRDefault="00327CD3" w:rsidP="00327CD3">
                  <w:pPr>
                    <w:pStyle w:val="Body"/>
                    <w:rPr>
                      <w:sz w:val="16"/>
                      <w:szCs w:val="16"/>
                    </w:rPr>
                  </w:pPr>
                </w:p>
              </w:tc>
              <w:tc>
                <w:tcPr>
                  <w:tcW w:w="1370" w:type="pct"/>
                  <w:tcBorders>
                    <w:bottom w:val="single" w:sz="4" w:space="0" w:color="292929"/>
                    <w:right w:val="single" w:sz="18" w:space="0" w:color="FFFFFF" w:themeColor="background2"/>
                  </w:tcBorders>
                  <w:vAlign w:val="center"/>
                </w:tcPr>
                <w:p w14:paraId="09491593" w14:textId="413F3C6D" w:rsidR="00327CD3" w:rsidRPr="00700BE1" w:rsidRDefault="00327CD3" w:rsidP="00327CD3">
                  <w:pPr>
                    <w:pStyle w:val="Body"/>
                    <w:rPr>
                      <w:b/>
                      <w:bCs/>
                      <w:sz w:val="16"/>
                      <w:szCs w:val="16"/>
                    </w:rPr>
                  </w:pPr>
                  <w:r w:rsidRPr="00700BE1">
                    <w:rPr>
                      <w:b/>
                      <w:bCs/>
                      <w:sz w:val="16"/>
                      <w:szCs w:val="16"/>
                    </w:rPr>
                    <w:t>2020</w:t>
                  </w:r>
                </w:p>
              </w:tc>
              <w:tc>
                <w:tcPr>
                  <w:tcW w:w="1369" w:type="pct"/>
                  <w:tcBorders>
                    <w:left w:val="single" w:sz="18" w:space="0" w:color="FFFFFF" w:themeColor="background2"/>
                    <w:bottom w:val="single" w:sz="4" w:space="0" w:color="292929"/>
                  </w:tcBorders>
                  <w:vAlign w:val="center"/>
                </w:tcPr>
                <w:p w14:paraId="53CD4DB7" w14:textId="3F0F9CCA" w:rsidR="00327CD3" w:rsidRPr="00700BE1" w:rsidRDefault="00327CD3" w:rsidP="00327CD3">
                  <w:pPr>
                    <w:pStyle w:val="Body"/>
                    <w:rPr>
                      <w:b/>
                      <w:bCs/>
                      <w:sz w:val="16"/>
                      <w:szCs w:val="16"/>
                    </w:rPr>
                  </w:pPr>
                  <w:r w:rsidRPr="00700BE1">
                    <w:rPr>
                      <w:b/>
                      <w:bCs/>
                      <w:sz w:val="16"/>
                      <w:szCs w:val="16"/>
                    </w:rPr>
                    <w:t>2019</w:t>
                  </w:r>
                </w:p>
              </w:tc>
            </w:tr>
            <w:tr w:rsidR="00327CD3" w14:paraId="6261DAFD" w14:textId="77777777" w:rsidTr="00952F1C">
              <w:trPr>
                <w:trHeight w:val="113"/>
              </w:trPr>
              <w:tc>
                <w:tcPr>
                  <w:tcW w:w="2261" w:type="pct"/>
                  <w:vAlign w:val="center"/>
                </w:tcPr>
                <w:p w14:paraId="46C9A033" w14:textId="3016285D" w:rsidR="00327CD3" w:rsidRPr="00327CD3" w:rsidRDefault="00327CD3" w:rsidP="00327CD3">
                  <w:pPr>
                    <w:pStyle w:val="Body"/>
                    <w:rPr>
                      <w:sz w:val="16"/>
                      <w:szCs w:val="16"/>
                    </w:rPr>
                  </w:pPr>
                  <w:r>
                    <w:rPr>
                      <w:sz w:val="16"/>
                      <w:szCs w:val="16"/>
                    </w:rPr>
                    <w:lastRenderedPageBreak/>
                    <w:t>Leasehold improvements</w:t>
                  </w:r>
                </w:p>
              </w:tc>
              <w:tc>
                <w:tcPr>
                  <w:tcW w:w="1370" w:type="pct"/>
                  <w:tcBorders>
                    <w:top w:val="single" w:sz="4" w:space="0" w:color="292929"/>
                    <w:right w:val="single" w:sz="18" w:space="0" w:color="FFFFFF" w:themeColor="background2"/>
                  </w:tcBorders>
                  <w:vAlign w:val="center"/>
                </w:tcPr>
                <w:p w14:paraId="401398AC" w14:textId="1C159F2A" w:rsidR="00327CD3" w:rsidRPr="00327CD3" w:rsidRDefault="00327CD3" w:rsidP="00327CD3">
                  <w:pPr>
                    <w:pStyle w:val="Body"/>
                    <w:rPr>
                      <w:sz w:val="16"/>
                      <w:szCs w:val="16"/>
                    </w:rPr>
                  </w:pPr>
                  <w:r>
                    <w:rPr>
                      <w:sz w:val="16"/>
                      <w:szCs w:val="16"/>
                    </w:rPr>
                    <w:t>Lease terms</w:t>
                  </w:r>
                </w:p>
              </w:tc>
              <w:tc>
                <w:tcPr>
                  <w:tcW w:w="1369" w:type="pct"/>
                  <w:tcBorders>
                    <w:top w:val="single" w:sz="4" w:space="0" w:color="292929"/>
                    <w:left w:val="single" w:sz="18" w:space="0" w:color="FFFFFF" w:themeColor="background2"/>
                  </w:tcBorders>
                  <w:vAlign w:val="center"/>
                </w:tcPr>
                <w:p w14:paraId="4AD4D7A6" w14:textId="53C74733" w:rsidR="00327CD3" w:rsidRPr="00327CD3" w:rsidRDefault="00327CD3" w:rsidP="00327CD3">
                  <w:pPr>
                    <w:pStyle w:val="Body"/>
                    <w:rPr>
                      <w:sz w:val="16"/>
                      <w:szCs w:val="16"/>
                    </w:rPr>
                  </w:pPr>
                  <w:r>
                    <w:rPr>
                      <w:sz w:val="16"/>
                      <w:szCs w:val="16"/>
                    </w:rPr>
                    <w:t>Lease terms</w:t>
                  </w:r>
                </w:p>
              </w:tc>
            </w:tr>
            <w:tr w:rsidR="00327CD3" w14:paraId="0316D3B1" w14:textId="77777777" w:rsidTr="00240A1F">
              <w:trPr>
                <w:trHeight w:val="113"/>
              </w:trPr>
              <w:tc>
                <w:tcPr>
                  <w:tcW w:w="2261" w:type="pct"/>
                  <w:vAlign w:val="center"/>
                </w:tcPr>
                <w:p w14:paraId="5F1AF406" w14:textId="1176D127" w:rsidR="00327CD3" w:rsidRPr="00327CD3" w:rsidRDefault="00327CD3" w:rsidP="00327CD3">
                  <w:pPr>
                    <w:pStyle w:val="Body"/>
                    <w:rPr>
                      <w:sz w:val="16"/>
                      <w:szCs w:val="16"/>
                    </w:rPr>
                  </w:pPr>
                  <w:r>
                    <w:rPr>
                      <w:sz w:val="16"/>
                      <w:szCs w:val="16"/>
                    </w:rPr>
                    <w:t>Plant and equipment</w:t>
                  </w:r>
                </w:p>
              </w:tc>
              <w:tc>
                <w:tcPr>
                  <w:tcW w:w="1370" w:type="pct"/>
                  <w:vAlign w:val="center"/>
                </w:tcPr>
                <w:p w14:paraId="28107B66" w14:textId="562EA78D" w:rsidR="00327CD3" w:rsidRPr="00327CD3" w:rsidRDefault="00327CD3" w:rsidP="00327CD3">
                  <w:pPr>
                    <w:pStyle w:val="Body"/>
                    <w:rPr>
                      <w:sz w:val="16"/>
                      <w:szCs w:val="16"/>
                    </w:rPr>
                  </w:pPr>
                  <w:r>
                    <w:rPr>
                      <w:sz w:val="16"/>
                      <w:szCs w:val="16"/>
                    </w:rPr>
                    <w:t>3 to 6 years</w:t>
                  </w:r>
                </w:p>
              </w:tc>
              <w:tc>
                <w:tcPr>
                  <w:tcW w:w="1369" w:type="pct"/>
                  <w:vAlign w:val="center"/>
                </w:tcPr>
                <w:p w14:paraId="1B5ABD24" w14:textId="43CC9C54" w:rsidR="00327CD3" w:rsidRPr="00327CD3" w:rsidRDefault="00327CD3" w:rsidP="00327CD3">
                  <w:pPr>
                    <w:pStyle w:val="Body"/>
                    <w:rPr>
                      <w:sz w:val="16"/>
                      <w:szCs w:val="16"/>
                    </w:rPr>
                  </w:pPr>
                  <w:r>
                    <w:rPr>
                      <w:sz w:val="16"/>
                      <w:szCs w:val="16"/>
                    </w:rPr>
                    <w:t>3 to 6 years</w:t>
                  </w:r>
                </w:p>
              </w:tc>
            </w:tr>
          </w:tbl>
          <w:p w14:paraId="69F3BEC1" w14:textId="566810E5" w:rsidR="00327CD3" w:rsidRDefault="00327CD3" w:rsidP="00327CD3">
            <w:pPr>
              <w:pStyle w:val="Body"/>
              <w:spacing w:after="120"/>
            </w:pPr>
          </w:p>
        </w:tc>
      </w:tr>
    </w:tbl>
    <w:p w14:paraId="2FE5B207" w14:textId="77777777" w:rsidR="002D4B45" w:rsidRDefault="002D4B45" w:rsidP="00646163">
      <w:pPr>
        <w:pStyle w:val="Body"/>
      </w:pPr>
    </w:p>
    <w:p w14:paraId="366CF86D" w14:textId="1689649E" w:rsidR="00A9797A" w:rsidRDefault="00A9797A" w:rsidP="00646163">
      <w:pPr>
        <w:pStyle w:val="Body"/>
        <w:sectPr w:rsidR="00A9797A" w:rsidSect="00481983">
          <w:footnotePr>
            <w:pos w:val="beneathText"/>
          </w:footnotePr>
          <w:pgSz w:w="9979" w:h="14175" w:code="13"/>
          <w:pgMar w:top="1134" w:right="1418" w:bottom="992" w:left="1418" w:header="709" w:footer="709" w:gutter="0"/>
          <w:cols w:space="623"/>
          <w:docGrid w:linePitch="360"/>
        </w:sectPr>
      </w:pPr>
    </w:p>
    <w:tbl>
      <w:tblPr>
        <w:tblStyle w:val="TableGrid"/>
        <w:tblW w:w="4993" w:type="pct"/>
        <w:tblCellMar>
          <w:top w:w="113" w:type="dxa"/>
          <w:bottom w:w="113" w:type="dxa"/>
        </w:tblCellMar>
        <w:tblLook w:val="04A0" w:firstRow="1" w:lastRow="0" w:firstColumn="1" w:lastColumn="0" w:noHBand="0" w:noVBand="1"/>
      </w:tblPr>
      <w:tblGrid>
        <w:gridCol w:w="7123"/>
      </w:tblGrid>
      <w:tr w:rsidR="009F66EE" w14:paraId="68A3EC03" w14:textId="77777777" w:rsidTr="00633EA7">
        <w:tc>
          <w:tcPr>
            <w:tcW w:w="5000" w:type="pct"/>
          </w:tcPr>
          <w:p w14:paraId="7E6119F3" w14:textId="04859366" w:rsidR="009F66EE" w:rsidRPr="00303955" w:rsidRDefault="009F66EE" w:rsidP="00633EA7">
            <w:pPr>
              <w:pStyle w:val="Body"/>
              <w:spacing w:after="120"/>
              <w:rPr>
                <w:b/>
                <w:bCs/>
              </w:rPr>
            </w:pPr>
            <w:r w:rsidRPr="00303955">
              <w:rPr>
                <w:b/>
                <w:bCs/>
              </w:rPr>
              <w:lastRenderedPageBreak/>
              <w:t>Impairment</w:t>
            </w:r>
          </w:p>
          <w:p w14:paraId="180904A9" w14:textId="5142EBE9" w:rsidR="009F66EE" w:rsidRPr="009F66EE" w:rsidRDefault="009F66EE" w:rsidP="009F66EE">
            <w:pPr>
              <w:pStyle w:val="Body"/>
              <w:spacing w:after="120"/>
              <w:rPr>
                <w:lang w:val="en-AU"/>
              </w:rPr>
            </w:pPr>
            <w:r w:rsidRPr="009F66EE">
              <w:rPr>
                <w:lang w:val="en-AU"/>
              </w:rPr>
              <w:t xml:space="preserve">All assets were assessed for impairment at 30 June 2020. Where indications of impairment exist, the assets recoverable amount is estimated and an impairment adjustment made if the asset’s recoverable amount is less than its carrying amount. </w:t>
            </w:r>
          </w:p>
          <w:p w14:paraId="4133764D" w14:textId="3F0F066F" w:rsidR="009F66EE" w:rsidRPr="001B09A9" w:rsidRDefault="009F66EE" w:rsidP="009F66EE">
            <w:pPr>
              <w:pStyle w:val="Body"/>
              <w:spacing w:after="120"/>
              <w:rPr>
                <w:lang w:val="en-AU"/>
              </w:rPr>
            </w:pPr>
            <w:r w:rsidRPr="009F66EE">
              <w:rPr>
                <w:lang w:val="en-AU"/>
              </w:rPr>
              <w:t>The recoverable amount of an asset is the higher of its fair value less costs of disposal and its value</w:t>
            </w:r>
            <w:r w:rsidR="0032441E">
              <w:rPr>
                <w:lang w:val="en-AU"/>
              </w:rPr>
              <w:t> </w:t>
            </w:r>
            <w:r w:rsidRPr="009F66EE">
              <w:rPr>
                <w:lang w:val="en-AU"/>
              </w:rPr>
              <w:t>in use. Value in use is the present value of the future cash flows expected to be derived from the</w:t>
            </w:r>
            <w:r w:rsidR="0032441E">
              <w:rPr>
                <w:lang w:val="en-AU"/>
              </w:rPr>
              <w:t> </w:t>
            </w:r>
            <w:r w:rsidRPr="009F66EE">
              <w:rPr>
                <w:lang w:val="en-AU"/>
              </w:rPr>
              <w:t>asset. Where the future economic benefit of an asset is not primarily dependent on the asset’s ability to generate future cash flows, and the asset would be replaced if the entity were deprived of the asset, its value in use is taken to be its depreciated replacement cost.</w:t>
            </w:r>
          </w:p>
          <w:p w14:paraId="6F8739B9" w14:textId="77777777" w:rsidR="009F66EE" w:rsidRPr="00303955" w:rsidRDefault="009F66EE" w:rsidP="009F66EE">
            <w:pPr>
              <w:pStyle w:val="AlphabetListL2"/>
              <w:numPr>
                <w:ilvl w:val="0"/>
                <w:numId w:val="0"/>
              </w:numPr>
              <w:spacing w:after="120"/>
              <w:rPr>
                <w:b/>
                <w:bCs/>
              </w:rPr>
            </w:pPr>
            <w:r w:rsidRPr="00303955">
              <w:rPr>
                <w:b/>
                <w:bCs/>
                <w:lang w:val="en-AU"/>
              </w:rPr>
              <w:t>Derecognition</w:t>
            </w:r>
          </w:p>
          <w:p w14:paraId="442988FD" w14:textId="77777777" w:rsidR="009F66EE" w:rsidRDefault="009F66EE" w:rsidP="009F66EE">
            <w:pPr>
              <w:pStyle w:val="AlphabetListL2"/>
              <w:numPr>
                <w:ilvl w:val="0"/>
                <w:numId w:val="0"/>
              </w:numPr>
              <w:spacing w:after="120"/>
              <w:rPr>
                <w:lang w:val="en-AU"/>
              </w:rPr>
            </w:pPr>
            <w:r w:rsidRPr="009F66EE">
              <w:rPr>
                <w:lang w:val="en-AU"/>
              </w:rPr>
              <w:t>An item of property, plant and equipment is derecognised upon disposal or when no further future economic benefits are expected from its use or disposal.</w:t>
            </w:r>
          </w:p>
          <w:p w14:paraId="76529FA5" w14:textId="77777777" w:rsidR="009F66EE" w:rsidRPr="00303955" w:rsidRDefault="009F66EE" w:rsidP="009F66EE">
            <w:pPr>
              <w:pStyle w:val="AlphabetListL2"/>
              <w:numPr>
                <w:ilvl w:val="0"/>
                <w:numId w:val="0"/>
              </w:numPr>
              <w:spacing w:after="120"/>
              <w:rPr>
                <w:b/>
                <w:bCs/>
              </w:rPr>
            </w:pPr>
            <w:r w:rsidRPr="00303955">
              <w:rPr>
                <w:b/>
                <w:bCs/>
              </w:rPr>
              <w:t>Intangibles</w:t>
            </w:r>
          </w:p>
          <w:p w14:paraId="191AA0D0" w14:textId="6305E3C9" w:rsidR="009F66EE" w:rsidRDefault="009F66EE" w:rsidP="009F66EE">
            <w:pPr>
              <w:pStyle w:val="AlphabetListL2"/>
              <w:numPr>
                <w:ilvl w:val="0"/>
                <w:numId w:val="0"/>
              </w:numPr>
              <w:spacing w:after="120"/>
            </w:pPr>
            <w:r>
              <w:t xml:space="preserve">The entity's intangibles comprise internally developed software for internal use. These assets are carried at cost less accumulated amortisation and accumulated impairment losses. </w:t>
            </w:r>
          </w:p>
          <w:p w14:paraId="3E7B6DA3" w14:textId="2715ACF2" w:rsidR="009F66EE" w:rsidRDefault="009F66EE" w:rsidP="009F66EE">
            <w:pPr>
              <w:pStyle w:val="AlphabetListL2"/>
              <w:numPr>
                <w:ilvl w:val="0"/>
                <w:numId w:val="0"/>
              </w:numPr>
              <w:spacing w:after="120"/>
            </w:pPr>
            <w:r>
              <w:t xml:space="preserve">Software is amortised on a straight-line basis over its anticipated useful life.  The useful lives of the entity's software are 1 to 4 years (2019: 1 to 4 years). All software assets were assessed for indications of impairment as at 30 June 2020. </w:t>
            </w:r>
          </w:p>
          <w:p w14:paraId="2029DB09" w14:textId="77777777" w:rsidR="009F66EE" w:rsidRPr="00303955" w:rsidRDefault="009F66EE" w:rsidP="009F66EE">
            <w:pPr>
              <w:pStyle w:val="AlphabetListL2"/>
              <w:numPr>
                <w:ilvl w:val="0"/>
                <w:numId w:val="0"/>
              </w:numPr>
              <w:spacing w:after="120"/>
              <w:rPr>
                <w:b/>
                <w:bCs/>
              </w:rPr>
            </w:pPr>
            <w:r w:rsidRPr="00303955">
              <w:rPr>
                <w:b/>
                <w:bCs/>
              </w:rPr>
              <w:t>Fair value measurement</w:t>
            </w:r>
          </w:p>
          <w:p w14:paraId="76DBC866" w14:textId="74007985" w:rsidR="009F66EE" w:rsidRDefault="009F66EE" w:rsidP="009F66EE">
            <w:pPr>
              <w:pStyle w:val="AlphabetListL2"/>
              <w:numPr>
                <w:ilvl w:val="0"/>
                <w:numId w:val="0"/>
              </w:numPr>
              <w:spacing w:after="120"/>
            </w:pPr>
            <w:r>
              <w:t xml:space="preserve">IHPA tests the procedures of the valuation model as an internal management review at least once every 12 months (with a formal revaluation undertaken once every three years). If a particular asset class experiences significant and volatile changes in fair value (i.e. where indicators suggest that the value of the class has changed materially since the previous reporting period), that class is subject to specific valuation in the reporting period, where practicable, regardless of the timing of the last specific valuation.  </w:t>
            </w:r>
          </w:p>
        </w:tc>
      </w:tr>
    </w:tbl>
    <w:p w14:paraId="54AF4BA9" w14:textId="77777777" w:rsidR="002D4B45" w:rsidRDefault="002D4B45" w:rsidP="00646163">
      <w:pPr>
        <w:pStyle w:val="Body"/>
      </w:pPr>
    </w:p>
    <w:p w14:paraId="7FA06DA2" w14:textId="77A3743D" w:rsidR="009F66EE" w:rsidRDefault="009F66EE" w:rsidP="00646163">
      <w:pPr>
        <w:pStyle w:val="Body"/>
        <w:sectPr w:rsidR="009F66EE" w:rsidSect="00481983">
          <w:footnotePr>
            <w:pos w:val="beneathText"/>
          </w:footnotePr>
          <w:pgSz w:w="9979" w:h="14175" w:code="13"/>
          <w:pgMar w:top="1134" w:right="1418" w:bottom="992" w:left="1418" w:header="709" w:footer="709" w:gutter="0"/>
          <w:cols w:space="623"/>
          <w:docGrid w:linePitch="360"/>
        </w:sectPr>
      </w:pPr>
    </w:p>
    <w:p w14:paraId="54BC305A" w14:textId="4933535F" w:rsidR="00776B85" w:rsidRDefault="00776B85" w:rsidP="00776B85">
      <w:pPr>
        <w:pStyle w:val="H4Financials"/>
      </w:pPr>
      <w:bookmarkStart w:id="170" w:name="Note23"/>
      <w:bookmarkStart w:id="171" w:name="_Toc48828416"/>
      <w:r>
        <w:lastRenderedPageBreak/>
        <w:t>Note 2.3</w:t>
      </w:r>
      <w:bookmarkEnd w:id="170"/>
      <w:r>
        <w:t xml:space="preserve"> Payables</w:t>
      </w:r>
      <w:bookmarkEnd w:id="171"/>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873FE9" w:rsidRPr="00873FE9" w14:paraId="3CBDE6B6" w14:textId="77777777" w:rsidTr="000F7CF3">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5297C76F" w14:textId="77777777" w:rsidR="00776B85" w:rsidRPr="00873FE9" w:rsidRDefault="00776B85" w:rsidP="00633EA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23CAC5E4" w14:textId="77777777" w:rsidR="00776B85" w:rsidRPr="00873FE9" w:rsidRDefault="00776B85"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2020</w:t>
            </w:r>
            <w:r w:rsidRPr="00873FE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35168A21" w14:textId="77777777" w:rsidR="00776B85" w:rsidRPr="00873FE9" w:rsidRDefault="00776B85"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2019</w:t>
            </w:r>
            <w:r w:rsidRPr="00873FE9">
              <w:rPr>
                <w:rFonts w:asciiTheme="majorHAnsi" w:hAnsiTheme="majorHAnsi" w:cs="Futura PT Heavy"/>
                <w:color w:val="1C1C1C"/>
                <w:sz w:val="16"/>
                <w:szCs w:val="16"/>
                <w:lang w:val="en-US"/>
              </w:rPr>
              <w:br/>
              <w:t>$’000</w:t>
            </w:r>
          </w:p>
        </w:tc>
      </w:tr>
      <w:tr w:rsidR="00873FE9" w:rsidRPr="00873FE9" w14:paraId="30E3D8B9"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5C489BF9" w14:textId="0BFA2254" w:rsidR="00776B85" w:rsidRPr="00873FE9" w:rsidRDefault="008B1B0F"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Note 2.3A: Suppliers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689480B6" w14:textId="77777777" w:rsidR="00776B85" w:rsidRPr="00873FE9" w:rsidRDefault="00776B85"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241ABD7B" w14:textId="77777777" w:rsidR="00776B85" w:rsidRPr="00873FE9" w:rsidRDefault="00776B85" w:rsidP="00633EA7">
            <w:pPr>
              <w:autoSpaceDE w:val="0"/>
              <w:autoSpaceDN w:val="0"/>
              <w:adjustRightInd w:val="0"/>
              <w:spacing w:after="0" w:line="240" w:lineRule="auto"/>
              <w:jc w:val="right"/>
              <w:rPr>
                <w:color w:val="1C1C1C"/>
                <w:sz w:val="14"/>
                <w:szCs w:val="14"/>
              </w:rPr>
            </w:pPr>
          </w:p>
        </w:tc>
      </w:tr>
      <w:tr w:rsidR="00873FE9" w:rsidRPr="00873FE9" w14:paraId="3262EFF6" w14:textId="77777777" w:rsidTr="00876651">
        <w:trPr>
          <w:trHeight w:val="170"/>
        </w:trPr>
        <w:tc>
          <w:tcPr>
            <w:tcW w:w="5111" w:type="dxa"/>
            <w:tcMar>
              <w:top w:w="17" w:type="dxa"/>
              <w:left w:w="80" w:type="dxa"/>
              <w:bottom w:w="17" w:type="dxa"/>
              <w:right w:w="80" w:type="dxa"/>
            </w:tcMar>
          </w:tcPr>
          <w:p w14:paraId="2FFDFE29" w14:textId="3911CF6A" w:rsidR="00776B85" w:rsidRPr="00873FE9" w:rsidRDefault="008B1B0F" w:rsidP="00633EA7">
            <w:pPr>
              <w:suppressAutoHyphens/>
              <w:autoSpaceDE w:val="0"/>
              <w:autoSpaceDN w:val="0"/>
              <w:adjustRightInd w:val="0"/>
              <w:spacing w:after="0" w:line="240" w:lineRule="auto"/>
              <w:textAlignment w:val="center"/>
              <w:rPr>
                <w:rFonts w:cs="Futura PT Book"/>
                <w:color w:val="1C1C1C"/>
                <w:sz w:val="14"/>
                <w:szCs w:val="14"/>
                <w:lang w:val="en-US"/>
              </w:rPr>
            </w:pPr>
            <w:r w:rsidRPr="00873FE9">
              <w:rPr>
                <w:color w:val="1C1C1C"/>
                <w:sz w:val="14"/>
                <w:szCs w:val="14"/>
              </w:rPr>
              <w:t>Trade creditors and accruals</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3E0C3347" w14:textId="1BDAFFF0" w:rsidR="00776B85" w:rsidRPr="00873FE9" w:rsidRDefault="008B1B0F" w:rsidP="00633EA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873FE9">
              <w:rPr>
                <w:rFonts w:asciiTheme="majorHAnsi" w:hAnsiTheme="majorHAnsi" w:cs="Futura PT Book"/>
                <w:color w:val="1C1C1C"/>
                <w:sz w:val="14"/>
                <w:szCs w:val="14"/>
                <w:lang w:val="en-US"/>
              </w:rPr>
              <w:t>2</w:t>
            </w:r>
            <w:r w:rsidR="00776B85" w:rsidRPr="00873FE9">
              <w:rPr>
                <w:rFonts w:asciiTheme="majorHAnsi" w:hAnsiTheme="majorHAnsi" w:cs="Futura PT Book"/>
                <w:color w:val="1C1C1C"/>
                <w:sz w:val="14"/>
                <w:szCs w:val="14"/>
                <w:lang w:val="en-US"/>
              </w:rPr>
              <w:t>,</w:t>
            </w:r>
            <w:r w:rsidRPr="00873FE9">
              <w:rPr>
                <w:rFonts w:asciiTheme="majorHAnsi" w:hAnsiTheme="majorHAnsi" w:cs="Futura PT Book"/>
                <w:color w:val="1C1C1C"/>
                <w:sz w:val="14"/>
                <w:szCs w:val="14"/>
                <w:lang w:val="en-US"/>
              </w:rPr>
              <w:t>416</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7517F019" w14:textId="11F3CD5E" w:rsidR="00776B85" w:rsidRPr="00873FE9" w:rsidRDefault="008B1B0F"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873FE9">
              <w:rPr>
                <w:color w:val="1C1C1C"/>
                <w:sz w:val="14"/>
                <w:szCs w:val="14"/>
              </w:rPr>
              <w:t>3,099</w:t>
            </w:r>
          </w:p>
        </w:tc>
      </w:tr>
      <w:tr w:rsidR="00873FE9" w:rsidRPr="00873FE9" w14:paraId="32A79A9E" w14:textId="77777777" w:rsidTr="00876651">
        <w:trPr>
          <w:trHeight w:val="170"/>
        </w:trPr>
        <w:tc>
          <w:tcPr>
            <w:tcW w:w="5111" w:type="dxa"/>
            <w:tcMar>
              <w:top w:w="17" w:type="dxa"/>
              <w:left w:w="80" w:type="dxa"/>
              <w:bottom w:w="17" w:type="dxa"/>
              <w:right w:w="80" w:type="dxa"/>
            </w:tcMar>
          </w:tcPr>
          <w:p w14:paraId="189C7408" w14:textId="27512CD6" w:rsidR="00776B85" w:rsidRPr="00873FE9" w:rsidRDefault="008B1B0F"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Total suppliers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451C0B35" w14:textId="3D1D62F7" w:rsidR="00776B85"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2</w:t>
            </w:r>
            <w:r w:rsidR="00776B85" w:rsidRPr="00873FE9">
              <w:rPr>
                <w:rFonts w:asciiTheme="majorHAnsi" w:hAnsiTheme="majorHAnsi"/>
                <w:color w:val="1C1C1C"/>
                <w:sz w:val="14"/>
                <w:szCs w:val="14"/>
              </w:rPr>
              <w:t>,</w:t>
            </w:r>
            <w:r w:rsidRPr="00873FE9">
              <w:rPr>
                <w:rFonts w:asciiTheme="majorHAnsi" w:hAnsiTheme="majorHAnsi"/>
                <w:color w:val="1C1C1C"/>
                <w:sz w:val="14"/>
                <w:szCs w:val="14"/>
              </w:rPr>
              <w:t>416</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5FE6C1D9" w14:textId="7CBFEA76" w:rsidR="00776B85" w:rsidRPr="00873FE9" w:rsidRDefault="008B1B0F"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873FE9">
              <w:rPr>
                <w:color w:val="1C1C1C"/>
                <w:sz w:val="14"/>
                <w:szCs w:val="14"/>
              </w:rPr>
              <w:t>3,099</w:t>
            </w:r>
          </w:p>
        </w:tc>
      </w:tr>
      <w:tr w:rsidR="00873FE9" w:rsidRPr="00873FE9" w14:paraId="71609BFC" w14:textId="77777777" w:rsidTr="00876651">
        <w:trPr>
          <w:trHeight w:val="170"/>
        </w:trPr>
        <w:tc>
          <w:tcPr>
            <w:tcW w:w="5111" w:type="dxa"/>
            <w:tcMar>
              <w:top w:w="17" w:type="dxa"/>
              <w:left w:w="80" w:type="dxa"/>
              <w:bottom w:w="17" w:type="dxa"/>
              <w:right w:w="80" w:type="dxa"/>
            </w:tcMar>
          </w:tcPr>
          <w:p w14:paraId="2BBB0D9E" w14:textId="77777777"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p>
        </w:tc>
        <w:tc>
          <w:tcPr>
            <w:tcW w:w="992" w:type="dxa"/>
            <w:tcBorders>
              <w:top w:val="single" w:sz="4" w:space="0" w:color="auto"/>
              <w:right w:val="single" w:sz="8" w:space="0" w:color="FFFFFF" w:themeColor="background2"/>
            </w:tcBorders>
            <w:tcMar>
              <w:top w:w="17" w:type="dxa"/>
              <w:left w:w="113" w:type="dxa"/>
              <w:bottom w:w="17" w:type="dxa"/>
              <w:right w:w="113" w:type="dxa"/>
            </w:tcMar>
          </w:tcPr>
          <w:p w14:paraId="42061F32"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auto"/>
              <w:left w:val="single" w:sz="8" w:space="0" w:color="FFFFFF" w:themeColor="background2"/>
            </w:tcBorders>
            <w:tcMar>
              <w:top w:w="17" w:type="dxa"/>
              <w:left w:w="113" w:type="dxa"/>
              <w:bottom w:w="17" w:type="dxa"/>
              <w:right w:w="113" w:type="dxa"/>
            </w:tcMar>
          </w:tcPr>
          <w:p w14:paraId="7FE78EDC"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2D064ECC" w14:textId="77777777" w:rsidTr="000F7CF3">
        <w:trPr>
          <w:trHeight w:val="170"/>
        </w:trPr>
        <w:tc>
          <w:tcPr>
            <w:tcW w:w="5111" w:type="dxa"/>
            <w:tcMar>
              <w:top w:w="17" w:type="dxa"/>
              <w:left w:w="80" w:type="dxa"/>
              <w:bottom w:w="17" w:type="dxa"/>
              <w:right w:w="80" w:type="dxa"/>
            </w:tcMar>
          </w:tcPr>
          <w:p w14:paraId="0D49183E" w14:textId="02A1D79D"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Amounts are expected to be settled in no more than 12 months.</w:t>
            </w:r>
          </w:p>
        </w:tc>
        <w:tc>
          <w:tcPr>
            <w:tcW w:w="992" w:type="dxa"/>
            <w:tcMar>
              <w:top w:w="17" w:type="dxa"/>
              <w:left w:w="113" w:type="dxa"/>
              <w:bottom w:w="17" w:type="dxa"/>
              <w:right w:w="113" w:type="dxa"/>
            </w:tcMar>
          </w:tcPr>
          <w:p w14:paraId="4833B76C"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03108D38"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5AEB7125" w14:textId="77777777" w:rsidTr="000F7CF3">
        <w:trPr>
          <w:trHeight w:val="170"/>
        </w:trPr>
        <w:tc>
          <w:tcPr>
            <w:tcW w:w="5111" w:type="dxa"/>
            <w:tcMar>
              <w:top w:w="17" w:type="dxa"/>
              <w:left w:w="80" w:type="dxa"/>
              <w:bottom w:w="17" w:type="dxa"/>
              <w:right w:w="80" w:type="dxa"/>
            </w:tcMar>
          </w:tcPr>
          <w:p w14:paraId="05EA04B3" w14:textId="77777777"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p>
        </w:tc>
        <w:tc>
          <w:tcPr>
            <w:tcW w:w="992" w:type="dxa"/>
            <w:tcMar>
              <w:top w:w="17" w:type="dxa"/>
              <w:left w:w="113" w:type="dxa"/>
              <w:bottom w:w="17" w:type="dxa"/>
              <w:right w:w="113" w:type="dxa"/>
            </w:tcMar>
          </w:tcPr>
          <w:p w14:paraId="7DC2E8BE"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3967B730"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386AF2C1" w14:textId="77777777" w:rsidTr="000F7CF3">
        <w:trPr>
          <w:trHeight w:val="170"/>
        </w:trPr>
        <w:tc>
          <w:tcPr>
            <w:tcW w:w="5111" w:type="dxa"/>
            <w:tcMar>
              <w:top w:w="17" w:type="dxa"/>
              <w:left w:w="80" w:type="dxa"/>
              <w:bottom w:w="17" w:type="dxa"/>
              <w:right w:w="80" w:type="dxa"/>
            </w:tcMar>
          </w:tcPr>
          <w:p w14:paraId="2DA89032" w14:textId="7C22F9CE" w:rsidR="008B1B0F" w:rsidRPr="00873FE9" w:rsidRDefault="008B1B0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873FE9">
              <w:rPr>
                <w:rFonts w:asciiTheme="majorHAnsi" w:hAnsiTheme="majorHAnsi"/>
                <w:color w:val="1C1C1C"/>
                <w:sz w:val="14"/>
                <w:szCs w:val="14"/>
              </w:rPr>
              <w:t>Note 2.3B: Other Payables</w:t>
            </w:r>
          </w:p>
        </w:tc>
        <w:tc>
          <w:tcPr>
            <w:tcW w:w="992" w:type="dxa"/>
            <w:tcMar>
              <w:top w:w="17" w:type="dxa"/>
              <w:left w:w="113" w:type="dxa"/>
              <w:bottom w:w="17" w:type="dxa"/>
              <w:right w:w="113" w:type="dxa"/>
            </w:tcMar>
          </w:tcPr>
          <w:p w14:paraId="36B08B28"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2DD751D4"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34F16C98" w14:textId="77777777" w:rsidTr="000F7CF3">
        <w:trPr>
          <w:trHeight w:val="170"/>
        </w:trPr>
        <w:tc>
          <w:tcPr>
            <w:tcW w:w="5111" w:type="dxa"/>
            <w:tcMar>
              <w:top w:w="17" w:type="dxa"/>
              <w:left w:w="80" w:type="dxa"/>
              <w:bottom w:w="17" w:type="dxa"/>
              <w:right w:w="80" w:type="dxa"/>
            </w:tcMar>
          </w:tcPr>
          <w:p w14:paraId="429E9997" w14:textId="2BF7097F"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Payable to Department of Health</w:t>
            </w:r>
          </w:p>
        </w:tc>
        <w:tc>
          <w:tcPr>
            <w:tcW w:w="992" w:type="dxa"/>
            <w:tcMar>
              <w:top w:w="17" w:type="dxa"/>
              <w:left w:w="113" w:type="dxa"/>
              <w:bottom w:w="17" w:type="dxa"/>
              <w:right w:w="113" w:type="dxa"/>
            </w:tcMar>
          </w:tcPr>
          <w:p w14:paraId="5976FFF5" w14:textId="3A425F8E"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2</w:t>
            </w:r>
          </w:p>
        </w:tc>
        <w:tc>
          <w:tcPr>
            <w:tcW w:w="993" w:type="dxa"/>
            <w:tcMar>
              <w:top w:w="17" w:type="dxa"/>
              <w:left w:w="113" w:type="dxa"/>
              <w:bottom w:w="17" w:type="dxa"/>
              <w:right w:w="113" w:type="dxa"/>
            </w:tcMar>
          </w:tcPr>
          <w:p w14:paraId="45464C7F" w14:textId="2D709D65" w:rsidR="008B1B0F" w:rsidRPr="00873FE9" w:rsidRDefault="00BE669F"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2</w:t>
            </w:r>
          </w:p>
        </w:tc>
      </w:tr>
      <w:tr w:rsidR="00873FE9" w:rsidRPr="00873FE9" w14:paraId="51894E84" w14:textId="77777777" w:rsidTr="000F7CF3">
        <w:trPr>
          <w:trHeight w:val="170"/>
        </w:trPr>
        <w:tc>
          <w:tcPr>
            <w:tcW w:w="5111" w:type="dxa"/>
            <w:tcMar>
              <w:top w:w="17" w:type="dxa"/>
              <w:left w:w="80" w:type="dxa"/>
              <w:bottom w:w="17" w:type="dxa"/>
              <w:right w:w="80" w:type="dxa"/>
            </w:tcMar>
          </w:tcPr>
          <w:p w14:paraId="3F862C5E" w14:textId="3AA7A6A6"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Salaries and wages</w:t>
            </w:r>
          </w:p>
        </w:tc>
        <w:tc>
          <w:tcPr>
            <w:tcW w:w="992" w:type="dxa"/>
            <w:tcMar>
              <w:top w:w="17" w:type="dxa"/>
              <w:left w:w="113" w:type="dxa"/>
              <w:bottom w:w="17" w:type="dxa"/>
              <w:right w:w="113" w:type="dxa"/>
            </w:tcMar>
          </w:tcPr>
          <w:p w14:paraId="1960E8C5" w14:textId="2397FE94"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10</w:t>
            </w:r>
          </w:p>
        </w:tc>
        <w:tc>
          <w:tcPr>
            <w:tcW w:w="993" w:type="dxa"/>
            <w:tcMar>
              <w:top w:w="17" w:type="dxa"/>
              <w:left w:w="113" w:type="dxa"/>
              <w:bottom w:w="17" w:type="dxa"/>
              <w:right w:w="113" w:type="dxa"/>
            </w:tcMar>
          </w:tcPr>
          <w:p w14:paraId="35CE9726" w14:textId="5452EAEE" w:rsidR="008B1B0F" w:rsidRPr="00873FE9" w:rsidRDefault="00BE669F"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6</w:t>
            </w:r>
          </w:p>
        </w:tc>
      </w:tr>
      <w:tr w:rsidR="00873FE9" w:rsidRPr="00873FE9" w14:paraId="32F77440" w14:textId="77777777" w:rsidTr="00876651">
        <w:trPr>
          <w:trHeight w:val="170"/>
        </w:trPr>
        <w:tc>
          <w:tcPr>
            <w:tcW w:w="5111" w:type="dxa"/>
            <w:tcMar>
              <w:top w:w="17" w:type="dxa"/>
              <w:left w:w="80" w:type="dxa"/>
              <w:bottom w:w="17" w:type="dxa"/>
              <w:right w:w="80" w:type="dxa"/>
            </w:tcMar>
          </w:tcPr>
          <w:p w14:paraId="3A99A114" w14:textId="7F02E95E"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Lease payable</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32C53CA1" w14:textId="190E334F"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53B3C773" w14:textId="32EC7579" w:rsidR="008B1B0F" w:rsidRPr="00873FE9" w:rsidRDefault="00BE669F"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64</w:t>
            </w:r>
          </w:p>
        </w:tc>
      </w:tr>
      <w:tr w:rsidR="00873FE9" w:rsidRPr="00873FE9" w14:paraId="1CA9F47D" w14:textId="77777777" w:rsidTr="00876651">
        <w:trPr>
          <w:trHeight w:val="170"/>
        </w:trPr>
        <w:tc>
          <w:tcPr>
            <w:tcW w:w="5111" w:type="dxa"/>
            <w:tcMar>
              <w:top w:w="17" w:type="dxa"/>
              <w:left w:w="80" w:type="dxa"/>
              <w:bottom w:w="17" w:type="dxa"/>
              <w:right w:w="80" w:type="dxa"/>
            </w:tcMar>
          </w:tcPr>
          <w:p w14:paraId="337D086A" w14:textId="6AB1AB9F" w:rsidR="008B1B0F" w:rsidRPr="00873FE9" w:rsidRDefault="008B1B0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873FE9">
              <w:rPr>
                <w:rFonts w:asciiTheme="majorHAnsi" w:hAnsiTheme="majorHAnsi"/>
                <w:color w:val="1C1C1C"/>
                <w:sz w:val="14"/>
                <w:szCs w:val="14"/>
              </w:rPr>
              <w:t>Total other payables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5EB8A279" w14:textId="4C74BAF3"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12</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6C3DDF3C" w14:textId="634AE2BC" w:rsidR="008B1B0F" w:rsidRPr="00873FE9" w:rsidRDefault="00BE669F"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72</w:t>
            </w:r>
          </w:p>
        </w:tc>
      </w:tr>
      <w:tr w:rsidR="00873FE9" w:rsidRPr="00873FE9" w14:paraId="1383D987" w14:textId="77777777" w:rsidTr="00876651">
        <w:trPr>
          <w:trHeight w:val="170"/>
        </w:trPr>
        <w:tc>
          <w:tcPr>
            <w:tcW w:w="5111" w:type="dxa"/>
            <w:tcMar>
              <w:top w:w="17" w:type="dxa"/>
              <w:left w:w="80" w:type="dxa"/>
              <w:bottom w:w="17" w:type="dxa"/>
              <w:right w:w="80" w:type="dxa"/>
            </w:tcMar>
          </w:tcPr>
          <w:p w14:paraId="51A77F78" w14:textId="77777777"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p>
        </w:tc>
        <w:tc>
          <w:tcPr>
            <w:tcW w:w="992" w:type="dxa"/>
            <w:tcBorders>
              <w:top w:val="single" w:sz="4" w:space="0" w:color="auto"/>
              <w:right w:val="single" w:sz="8" w:space="0" w:color="FFFFFF" w:themeColor="background2"/>
            </w:tcBorders>
            <w:tcMar>
              <w:top w:w="17" w:type="dxa"/>
              <w:left w:w="113" w:type="dxa"/>
              <w:bottom w:w="17" w:type="dxa"/>
              <w:right w:w="113" w:type="dxa"/>
            </w:tcMar>
          </w:tcPr>
          <w:p w14:paraId="21D1F13E"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auto"/>
              <w:left w:val="single" w:sz="8" w:space="0" w:color="FFFFFF" w:themeColor="background2"/>
            </w:tcBorders>
            <w:tcMar>
              <w:top w:w="17" w:type="dxa"/>
              <w:left w:w="113" w:type="dxa"/>
              <w:bottom w:w="17" w:type="dxa"/>
              <w:right w:w="113" w:type="dxa"/>
            </w:tcMar>
          </w:tcPr>
          <w:p w14:paraId="0E20986A"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3A98F040" w14:textId="77777777" w:rsidTr="000F7CF3">
        <w:trPr>
          <w:trHeight w:val="170"/>
        </w:trPr>
        <w:tc>
          <w:tcPr>
            <w:tcW w:w="5111" w:type="dxa"/>
            <w:tcMar>
              <w:top w:w="17" w:type="dxa"/>
              <w:left w:w="80" w:type="dxa"/>
              <w:bottom w:w="17" w:type="dxa"/>
              <w:right w:w="80" w:type="dxa"/>
            </w:tcMar>
          </w:tcPr>
          <w:p w14:paraId="67E9634B" w14:textId="2E8473CC" w:rsidR="008B1B0F" w:rsidRPr="00873FE9" w:rsidRDefault="008B1B0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873FE9">
              <w:rPr>
                <w:rFonts w:asciiTheme="majorHAnsi" w:hAnsiTheme="majorHAnsi"/>
                <w:color w:val="1C1C1C"/>
                <w:sz w:val="14"/>
                <w:szCs w:val="14"/>
              </w:rPr>
              <w:t>Other payables to be settled</w:t>
            </w:r>
          </w:p>
        </w:tc>
        <w:tc>
          <w:tcPr>
            <w:tcW w:w="992" w:type="dxa"/>
            <w:tcMar>
              <w:top w:w="17" w:type="dxa"/>
              <w:left w:w="113" w:type="dxa"/>
              <w:bottom w:w="17" w:type="dxa"/>
              <w:right w:w="113" w:type="dxa"/>
            </w:tcMar>
          </w:tcPr>
          <w:p w14:paraId="7F9326BC" w14:textId="77777777" w:rsidR="008B1B0F" w:rsidRPr="00873FE9" w:rsidRDefault="008B1B0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4B41E91E" w14:textId="77777777" w:rsidR="008B1B0F" w:rsidRPr="00873FE9" w:rsidRDefault="008B1B0F" w:rsidP="00633EA7">
            <w:pPr>
              <w:suppressAutoHyphens/>
              <w:autoSpaceDE w:val="0"/>
              <w:autoSpaceDN w:val="0"/>
              <w:adjustRightInd w:val="0"/>
              <w:spacing w:after="0" w:line="240" w:lineRule="auto"/>
              <w:jc w:val="right"/>
              <w:textAlignment w:val="center"/>
              <w:rPr>
                <w:color w:val="1C1C1C"/>
                <w:sz w:val="14"/>
                <w:szCs w:val="14"/>
              </w:rPr>
            </w:pPr>
          </w:p>
        </w:tc>
      </w:tr>
      <w:tr w:rsidR="00873FE9" w:rsidRPr="00873FE9" w14:paraId="0ED95D9B" w14:textId="77777777" w:rsidTr="000F7CF3">
        <w:trPr>
          <w:trHeight w:val="170"/>
        </w:trPr>
        <w:tc>
          <w:tcPr>
            <w:tcW w:w="5111" w:type="dxa"/>
            <w:tcMar>
              <w:top w:w="17" w:type="dxa"/>
              <w:left w:w="80" w:type="dxa"/>
              <w:bottom w:w="17" w:type="dxa"/>
              <w:right w:w="80" w:type="dxa"/>
            </w:tcMar>
          </w:tcPr>
          <w:p w14:paraId="5B72F7B5" w14:textId="178743E7"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No more than 12 months</w:t>
            </w:r>
          </w:p>
        </w:tc>
        <w:tc>
          <w:tcPr>
            <w:tcW w:w="992" w:type="dxa"/>
            <w:tcMar>
              <w:top w:w="17" w:type="dxa"/>
              <w:left w:w="113" w:type="dxa"/>
              <w:bottom w:w="17" w:type="dxa"/>
              <w:right w:w="113" w:type="dxa"/>
            </w:tcMar>
          </w:tcPr>
          <w:p w14:paraId="6495B26B" w14:textId="6E4E9BB1"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12</w:t>
            </w:r>
          </w:p>
        </w:tc>
        <w:tc>
          <w:tcPr>
            <w:tcW w:w="993" w:type="dxa"/>
            <w:tcMar>
              <w:top w:w="17" w:type="dxa"/>
              <w:left w:w="113" w:type="dxa"/>
              <w:bottom w:w="17" w:type="dxa"/>
              <w:right w:w="113" w:type="dxa"/>
            </w:tcMar>
          </w:tcPr>
          <w:p w14:paraId="5DEAAC1B" w14:textId="456189C7" w:rsidR="008B1B0F" w:rsidRPr="00873FE9" w:rsidRDefault="00041873"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72</w:t>
            </w:r>
          </w:p>
        </w:tc>
      </w:tr>
      <w:tr w:rsidR="00873FE9" w:rsidRPr="00873FE9" w14:paraId="21BEDD3D" w14:textId="77777777" w:rsidTr="00876651">
        <w:trPr>
          <w:trHeight w:val="170"/>
        </w:trPr>
        <w:tc>
          <w:tcPr>
            <w:tcW w:w="5111" w:type="dxa"/>
            <w:tcMar>
              <w:top w:w="17" w:type="dxa"/>
              <w:left w:w="80" w:type="dxa"/>
              <w:bottom w:w="17" w:type="dxa"/>
              <w:right w:w="80" w:type="dxa"/>
            </w:tcMar>
          </w:tcPr>
          <w:p w14:paraId="71116C41" w14:textId="384024AF" w:rsidR="008B1B0F" w:rsidRPr="00873FE9" w:rsidRDefault="008B1B0F" w:rsidP="00633EA7">
            <w:pPr>
              <w:suppressAutoHyphens/>
              <w:autoSpaceDE w:val="0"/>
              <w:autoSpaceDN w:val="0"/>
              <w:adjustRightInd w:val="0"/>
              <w:spacing w:after="0" w:line="240" w:lineRule="auto"/>
              <w:textAlignment w:val="center"/>
              <w:rPr>
                <w:color w:val="1C1C1C"/>
                <w:sz w:val="14"/>
                <w:szCs w:val="14"/>
              </w:rPr>
            </w:pPr>
            <w:r w:rsidRPr="00873FE9">
              <w:rPr>
                <w:color w:val="1C1C1C"/>
                <w:sz w:val="14"/>
                <w:szCs w:val="14"/>
              </w:rPr>
              <w:t>More than 12 months</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4472F6E5" w14:textId="58B7CDDC"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09767DA5" w14:textId="015B3C76" w:rsidR="008B1B0F" w:rsidRPr="00873FE9" w:rsidRDefault="00041873"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w:t>
            </w:r>
          </w:p>
        </w:tc>
      </w:tr>
      <w:tr w:rsidR="00873FE9" w:rsidRPr="00873FE9" w14:paraId="5356BE52" w14:textId="77777777" w:rsidTr="00876651">
        <w:trPr>
          <w:trHeight w:val="170"/>
        </w:trPr>
        <w:tc>
          <w:tcPr>
            <w:tcW w:w="5111" w:type="dxa"/>
            <w:tcMar>
              <w:top w:w="17" w:type="dxa"/>
              <w:left w:w="80" w:type="dxa"/>
              <w:bottom w:w="17" w:type="dxa"/>
              <w:right w:w="80" w:type="dxa"/>
            </w:tcMar>
          </w:tcPr>
          <w:p w14:paraId="06942CD3" w14:textId="7DFC54DD" w:rsidR="008B1B0F" w:rsidRPr="00873FE9" w:rsidRDefault="008B1B0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873FE9">
              <w:rPr>
                <w:rFonts w:asciiTheme="majorHAnsi" w:hAnsiTheme="majorHAnsi"/>
                <w:color w:val="1C1C1C"/>
                <w:sz w:val="14"/>
                <w:szCs w:val="14"/>
              </w:rPr>
              <w:t>Total other payables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7D885CE3" w14:textId="16FF1B2F" w:rsidR="008B1B0F" w:rsidRPr="00873FE9" w:rsidRDefault="00BE669F" w:rsidP="00633EA7">
            <w:pPr>
              <w:autoSpaceDE w:val="0"/>
              <w:autoSpaceDN w:val="0"/>
              <w:adjustRightInd w:val="0"/>
              <w:spacing w:after="0" w:line="240" w:lineRule="auto"/>
              <w:jc w:val="right"/>
              <w:rPr>
                <w:rFonts w:asciiTheme="majorHAnsi" w:hAnsiTheme="majorHAnsi"/>
                <w:color w:val="1C1C1C"/>
                <w:sz w:val="14"/>
                <w:szCs w:val="14"/>
              </w:rPr>
            </w:pPr>
            <w:r w:rsidRPr="00873FE9">
              <w:rPr>
                <w:rFonts w:asciiTheme="majorHAnsi" w:hAnsiTheme="majorHAnsi"/>
                <w:color w:val="1C1C1C"/>
                <w:sz w:val="14"/>
                <w:szCs w:val="14"/>
              </w:rPr>
              <w:t>12</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7360602E" w14:textId="4290E79F" w:rsidR="008B1B0F" w:rsidRPr="00873FE9" w:rsidRDefault="00BE669F" w:rsidP="00633EA7">
            <w:pPr>
              <w:suppressAutoHyphens/>
              <w:autoSpaceDE w:val="0"/>
              <w:autoSpaceDN w:val="0"/>
              <w:adjustRightInd w:val="0"/>
              <w:spacing w:after="0" w:line="240" w:lineRule="auto"/>
              <w:jc w:val="right"/>
              <w:textAlignment w:val="center"/>
              <w:rPr>
                <w:color w:val="1C1C1C"/>
                <w:sz w:val="14"/>
                <w:szCs w:val="14"/>
              </w:rPr>
            </w:pPr>
            <w:r w:rsidRPr="00873FE9">
              <w:rPr>
                <w:color w:val="1C1C1C"/>
                <w:sz w:val="14"/>
                <w:szCs w:val="14"/>
              </w:rPr>
              <w:t>72</w:t>
            </w:r>
          </w:p>
        </w:tc>
      </w:tr>
      <w:tr w:rsidR="00873FE9" w:rsidRPr="00873FE9" w14:paraId="6CD940AB" w14:textId="77777777" w:rsidTr="00876651">
        <w:trPr>
          <w:trHeight w:val="57"/>
        </w:trPr>
        <w:tc>
          <w:tcPr>
            <w:tcW w:w="5111" w:type="dxa"/>
            <w:tcBorders>
              <w:bottom w:val="single" w:sz="8" w:space="0" w:color="FFFFFF" w:themeColor="background2"/>
            </w:tcBorders>
            <w:tcMar>
              <w:top w:w="17" w:type="dxa"/>
              <w:left w:w="80" w:type="dxa"/>
              <w:bottom w:w="17" w:type="dxa"/>
              <w:right w:w="80" w:type="dxa"/>
            </w:tcMar>
          </w:tcPr>
          <w:p w14:paraId="0CA4DE7E" w14:textId="77777777" w:rsidR="00876651" w:rsidRPr="00873FE9" w:rsidRDefault="00876651" w:rsidP="00633EA7">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2BF83AE0" w14:textId="77777777" w:rsidR="00876651" w:rsidRPr="00873FE9" w:rsidRDefault="00876651" w:rsidP="00633EA7">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6CF77891" w14:textId="77777777" w:rsidR="00876651" w:rsidRPr="00873FE9" w:rsidRDefault="00876651" w:rsidP="00633EA7">
            <w:pPr>
              <w:suppressAutoHyphens/>
              <w:autoSpaceDE w:val="0"/>
              <w:autoSpaceDN w:val="0"/>
              <w:adjustRightInd w:val="0"/>
              <w:spacing w:after="0" w:line="240" w:lineRule="auto"/>
              <w:jc w:val="right"/>
              <w:textAlignment w:val="center"/>
              <w:rPr>
                <w:color w:val="1C1C1C"/>
                <w:sz w:val="4"/>
                <w:szCs w:val="4"/>
              </w:rPr>
            </w:pPr>
          </w:p>
        </w:tc>
      </w:tr>
    </w:tbl>
    <w:p w14:paraId="62E371BE" w14:textId="4C129B13" w:rsidR="00776B85" w:rsidRDefault="00776B85" w:rsidP="00776B85">
      <w:pPr>
        <w:pStyle w:val="Body"/>
      </w:pPr>
    </w:p>
    <w:p w14:paraId="71F8E499" w14:textId="28CB9482" w:rsidR="00BE669F" w:rsidRDefault="00BE669F" w:rsidP="00BE669F">
      <w:pPr>
        <w:pStyle w:val="H4Financials"/>
      </w:pPr>
      <w:bookmarkStart w:id="172" w:name="Note24"/>
      <w:bookmarkStart w:id="173" w:name="_Toc48828417"/>
      <w:r>
        <w:t>Note 2.4</w:t>
      </w:r>
      <w:bookmarkEnd w:id="172"/>
      <w:r>
        <w:t xml:space="preserve"> Interest bearing liabilities</w:t>
      </w:r>
      <w:bookmarkEnd w:id="173"/>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4E463E" w:rsidRPr="004E463E" w14:paraId="0911C7B1" w14:textId="77777777" w:rsidTr="000F7CF3">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7466BC63" w14:textId="77777777" w:rsidR="00BE669F" w:rsidRPr="004E463E" w:rsidRDefault="00BE669F" w:rsidP="00633EA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24561714" w14:textId="77777777" w:rsidR="00BE669F" w:rsidRPr="004E463E" w:rsidRDefault="00BE669F"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2020</w:t>
            </w:r>
            <w:r w:rsidRPr="004E463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15C03083" w14:textId="77777777" w:rsidR="00BE669F" w:rsidRPr="004E463E" w:rsidRDefault="00BE669F"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2019</w:t>
            </w:r>
            <w:r w:rsidRPr="004E463E">
              <w:rPr>
                <w:rFonts w:asciiTheme="majorHAnsi" w:hAnsiTheme="majorHAnsi" w:cs="Futura PT Heavy"/>
                <w:color w:val="1C1C1C"/>
                <w:sz w:val="16"/>
                <w:szCs w:val="16"/>
                <w:lang w:val="en-US"/>
              </w:rPr>
              <w:br/>
              <w:t>$’000</w:t>
            </w:r>
          </w:p>
        </w:tc>
      </w:tr>
      <w:tr w:rsidR="004E463E" w:rsidRPr="004E463E" w14:paraId="58BD7A7E"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0A268A53" w14:textId="05232183" w:rsidR="00BE669F" w:rsidRPr="004E463E" w:rsidRDefault="00BE669F"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Note 2.4A: Lease liabilities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03954E66" w14:textId="77777777"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11ED5408" w14:textId="77777777" w:rsidR="00BE669F" w:rsidRPr="004E463E" w:rsidRDefault="00BE669F" w:rsidP="00633EA7">
            <w:pPr>
              <w:autoSpaceDE w:val="0"/>
              <w:autoSpaceDN w:val="0"/>
              <w:adjustRightInd w:val="0"/>
              <w:spacing w:after="0" w:line="240" w:lineRule="auto"/>
              <w:jc w:val="right"/>
              <w:rPr>
                <w:color w:val="1C1C1C"/>
                <w:sz w:val="14"/>
                <w:szCs w:val="14"/>
              </w:rPr>
            </w:pPr>
          </w:p>
        </w:tc>
      </w:tr>
      <w:tr w:rsidR="004E463E" w:rsidRPr="004E463E" w14:paraId="071A770B" w14:textId="77777777" w:rsidTr="00876651">
        <w:trPr>
          <w:trHeight w:val="170"/>
        </w:trPr>
        <w:tc>
          <w:tcPr>
            <w:tcW w:w="5111" w:type="dxa"/>
            <w:tcMar>
              <w:top w:w="17" w:type="dxa"/>
              <w:left w:w="80" w:type="dxa"/>
              <w:bottom w:w="17" w:type="dxa"/>
              <w:right w:w="80" w:type="dxa"/>
            </w:tcMar>
          </w:tcPr>
          <w:p w14:paraId="78110777" w14:textId="516937CF" w:rsidR="00BE669F" w:rsidRPr="004E463E" w:rsidRDefault="00BE669F" w:rsidP="00633EA7">
            <w:pPr>
              <w:suppressAutoHyphens/>
              <w:autoSpaceDE w:val="0"/>
              <w:autoSpaceDN w:val="0"/>
              <w:adjustRightInd w:val="0"/>
              <w:spacing w:after="0" w:line="240" w:lineRule="auto"/>
              <w:textAlignment w:val="center"/>
              <w:rPr>
                <w:rFonts w:cs="Futura PT Book"/>
                <w:color w:val="1C1C1C"/>
                <w:sz w:val="14"/>
                <w:szCs w:val="14"/>
                <w:lang w:val="en-US"/>
              </w:rPr>
            </w:pPr>
            <w:r w:rsidRPr="004E463E">
              <w:rPr>
                <w:color w:val="1C1C1C"/>
                <w:sz w:val="14"/>
                <w:szCs w:val="14"/>
              </w:rPr>
              <w:t>Lease liability (office space)</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40585C50" w14:textId="3DFE3FD3" w:rsidR="00BE669F" w:rsidRPr="004E463E" w:rsidRDefault="00BE669F" w:rsidP="00633EA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4E463E">
              <w:rPr>
                <w:rFonts w:asciiTheme="majorHAnsi" w:hAnsiTheme="majorHAnsi" w:cs="Futura PT Book"/>
                <w:color w:val="1C1C1C"/>
                <w:sz w:val="14"/>
                <w:szCs w:val="14"/>
                <w:lang w:val="en-US"/>
              </w:rPr>
              <w:t>6,433</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18DA3B1D" w14:textId="512F3860" w:rsidR="00BE669F" w:rsidRPr="004E463E" w:rsidRDefault="00BE669F"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4E463E">
              <w:rPr>
                <w:color w:val="1C1C1C"/>
                <w:sz w:val="14"/>
                <w:szCs w:val="14"/>
              </w:rPr>
              <w:t>-</w:t>
            </w:r>
          </w:p>
        </w:tc>
      </w:tr>
      <w:tr w:rsidR="004E463E" w:rsidRPr="004E463E" w14:paraId="5F045AAA" w14:textId="77777777" w:rsidTr="00876651">
        <w:trPr>
          <w:trHeight w:val="170"/>
        </w:trPr>
        <w:tc>
          <w:tcPr>
            <w:tcW w:w="5111" w:type="dxa"/>
            <w:tcMar>
              <w:top w:w="17" w:type="dxa"/>
              <w:left w:w="80" w:type="dxa"/>
              <w:bottom w:w="17" w:type="dxa"/>
              <w:right w:w="80" w:type="dxa"/>
            </w:tcMar>
          </w:tcPr>
          <w:p w14:paraId="1D559A9E" w14:textId="5C3741A6" w:rsidR="00BE669F" w:rsidRPr="004E463E" w:rsidRDefault="00BE669F"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Total lease liabilities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78196D05" w14:textId="27BAE1F3"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r w:rsidRPr="004E463E">
              <w:rPr>
                <w:rFonts w:asciiTheme="majorHAnsi" w:hAnsiTheme="majorHAnsi"/>
                <w:color w:val="1C1C1C"/>
                <w:sz w:val="14"/>
                <w:szCs w:val="14"/>
              </w:rPr>
              <w:t>6,433</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02785FEB" w14:textId="6481FE12" w:rsidR="00BE669F" w:rsidRPr="004E463E" w:rsidRDefault="00BE669F"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4E463E">
              <w:rPr>
                <w:color w:val="1C1C1C"/>
                <w:sz w:val="14"/>
                <w:szCs w:val="14"/>
              </w:rPr>
              <w:t>-</w:t>
            </w:r>
          </w:p>
        </w:tc>
      </w:tr>
      <w:tr w:rsidR="004E463E" w:rsidRPr="004E463E" w14:paraId="185DE9D5" w14:textId="77777777" w:rsidTr="00876651">
        <w:trPr>
          <w:trHeight w:val="170"/>
        </w:trPr>
        <w:tc>
          <w:tcPr>
            <w:tcW w:w="5111" w:type="dxa"/>
            <w:tcMar>
              <w:top w:w="17" w:type="dxa"/>
              <w:left w:w="80" w:type="dxa"/>
              <w:bottom w:w="17" w:type="dxa"/>
              <w:right w:w="80" w:type="dxa"/>
            </w:tcMar>
          </w:tcPr>
          <w:p w14:paraId="4517109D" w14:textId="77777777" w:rsidR="00BE669F" w:rsidRPr="004E463E" w:rsidRDefault="00BE669F" w:rsidP="00633EA7">
            <w:pPr>
              <w:suppressAutoHyphens/>
              <w:autoSpaceDE w:val="0"/>
              <w:autoSpaceDN w:val="0"/>
              <w:adjustRightInd w:val="0"/>
              <w:spacing w:after="0" w:line="240" w:lineRule="auto"/>
              <w:textAlignment w:val="center"/>
              <w:rPr>
                <w:color w:val="1C1C1C"/>
                <w:sz w:val="14"/>
                <w:szCs w:val="14"/>
              </w:rPr>
            </w:pPr>
          </w:p>
        </w:tc>
        <w:tc>
          <w:tcPr>
            <w:tcW w:w="992" w:type="dxa"/>
            <w:tcBorders>
              <w:top w:val="single" w:sz="4" w:space="0" w:color="auto"/>
              <w:right w:val="single" w:sz="8" w:space="0" w:color="FFFFFF" w:themeColor="background2"/>
            </w:tcBorders>
            <w:tcMar>
              <w:top w:w="17" w:type="dxa"/>
              <w:left w:w="113" w:type="dxa"/>
              <w:bottom w:w="17" w:type="dxa"/>
              <w:right w:w="113" w:type="dxa"/>
            </w:tcMar>
          </w:tcPr>
          <w:p w14:paraId="20E53440" w14:textId="77777777"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4" w:space="0" w:color="auto"/>
              <w:left w:val="single" w:sz="8" w:space="0" w:color="FFFFFF" w:themeColor="background2"/>
            </w:tcBorders>
            <w:tcMar>
              <w:top w:w="17" w:type="dxa"/>
              <w:left w:w="113" w:type="dxa"/>
              <w:bottom w:w="17" w:type="dxa"/>
              <w:right w:w="113" w:type="dxa"/>
            </w:tcMar>
          </w:tcPr>
          <w:p w14:paraId="14122D3B" w14:textId="77777777" w:rsidR="00BE669F" w:rsidRPr="004E463E" w:rsidRDefault="00BE669F" w:rsidP="00633EA7">
            <w:pPr>
              <w:suppressAutoHyphens/>
              <w:autoSpaceDE w:val="0"/>
              <w:autoSpaceDN w:val="0"/>
              <w:adjustRightInd w:val="0"/>
              <w:spacing w:after="0" w:line="240" w:lineRule="auto"/>
              <w:jc w:val="right"/>
              <w:textAlignment w:val="center"/>
              <w:rPr>
                <w:color w:val="1C1C1C"/>
                <w:sz w:val="14"/>
                <w:szCs w:val="14"/>
              </w:rPr>
            </w:pPr>
          </w:p>
        </w:tc>
      </w:tr>
      <w:tr w:rsidR="004E463E" w:rsidRPr="004E463E" w14:paraId="20F09513" w14:textId="77777777" w:rsidTr="000F7CF3">
        <w:trPr>
          <w:trHeight w:val="170"/>
        </w:trPr>
        <w:tc>
          <w:tcPr>
            <w:tcW w:w="5111" w:type="dxa"/>
            <w:tcMar>
              <w:top w:w="17" w:type="dxa"/>
              <w:left w:w="80" w:type="dxa"/>
              <w:bottom w:w="17" w:type="dxa"/>
              <w:right w:w="80" w:type="dxa"/>
            </w:tcMar>
          </w:tcPr>
          <w:p w14:paraId="65E04919" w14:textId="6B674BF7" w:rsidR="00BE669F" w:rsidRPr="004E463E" w:rsidRDefault="00BE669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4E463E">
              <w:rPr>
                <w:rFonts w:asciiTheme="majorHAnsi" w:hAnsiTheme="majorHAnsi"/>
                <w:color w:val="1C1C1C"/>
                <w:sz w:val="14"/>
                <w:szCs w:val="14"/>
              </w:rPr>
              <w:t>Lease liabilities expected to be settled</w:t>
            </w:r>
          </w:p>
        </w:tc>
        <w:tc>
          <w:tcPr>
            <w:tcW w:w="992" w:type="dxa"/>
            <w:tcMar>
              <w:top w:w="17" w:type="dxa"/>
              <w:left w:w="113" w:type="dxa"/>
              <w:bottom w:w="17" w:type="dxa"/>
              <w:right w:w="113" w:type="dxa"/>
            </w:tcMar>
          </w:tcPr>
          <w:p w14:paraId="6861312D" w14:textId="77777777"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73A8772B" w14:textId="77777777" w:rsidR="00BE669F" w:rsidRPr="004E463E" w:rsidRDefault="00BE669F" w:rsidP="00633EA7">
            <w:pPr>
              <w:suppressAutoHyphens/>
              <w:autoSpaceDE w:val="0"/>
              <w:autoSpaceDN w:val="0"/>
              <w:adjustRightInd w:val="0"/>
              <w:spacing w:after="0" w:line="240" w:lineRule="auto"/>
              <w:jc w:val="right"/>
              <w:textAlignment w:val="center"/>
              <w:rPr>
                <w:color w:val="1C1C1C"/>
                <w:sz w:val="14"/>
                <w:szCs w:val="14"/>
              </w:rPr>
            </w:pPr>
          </w:p>
        </w:tc>
      </w:tr>
      <w:tr w:rsidR="004E463E" w:rsidRPr="004E463E" w14:paraId="77A83C64" w14:textId="77777777" w:rsidTr="000F7CF3">
        <w:trPr>
          <w:trHeight w:val="170"/>
        </w:trPr>
        <w:tc>
          <w:tcPr>
            <w:tcW w:w="5111" w:type="dxa"/>
            <w:tcMar>
              <w:top w:w="17" w:type="dxa"/>
              <w:left w:w="80" w:type="dxa"/>
              <w:bottom w:w="17" w:type="dxa"/>
              <w:right w:w="80" w:type="dxa"/>
            </w:tcMar>
          </w:tcPr>
          <w:p w14:paraId="4893B578" w14:textId="5C097227" w:rsidR="00BE669F" w:rsidRPr="004E463E" w:rsidRDefault="00BE669F" w:rsidP="00633EA7">
            <w:pPr>
              <w:suppressAutoHyphens/>
              <w:autoSpaceDE w:val="0"/>
              <w:autoSpaceDN w:val="0"/>
              <w:adjustRightInd w:val="0"/>
              <w:spacing w:after="0" w:line="240" w:lineRule="auto"/>
              <w:textAlignment w:val="center"/>
              <w:rPr>
                <w:color w:val="1C1C1C"/>
                <w:sz w:val="14"/>
                <w:szCs w:val="14"/>
              </w:rPr>
            </w:pPr>
            <w:r w:rsidRPr="004E463E">
              <w:rPr>
                <w:color w:val="1C1C1C"/>
                <w:sz w:val="14"/>
                <w:szCs w:val="14"/>
              </w:rPr>
              <w:t>No more than 12 months</w:t>
            </w:r>
          </w:p>
        </w:tc>
        <w:tc>
          <w:tcPr>
            <w:tcW w:w="992" w:type="dxa"/>
            <w:tcMar>
              <w:top w:w="17" w:type="dxa"/>
              <w:left w:w="113" w:type="dxa"/>
              <w:bottom w:w="17" w:type="dxa"/>
              <w:right w:w="113" w:type="dxa"/>
            </w:tcMar>
          </w:tcPr>
          <w:p w14:paraId="65A5A5F1" w14:textId="7080110C"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r w:rsidRPr="004E463E">
              <w:rPr>
                <w:rFonts w:asciiTheme="majorHAnsi" w:hAnsiTheme="majorHAnsi"/>
                <w:color w:val="1C1C1C"/>
                <w:sz w:val="14"/>
                <w:szCs w:val="14"/>
              </w:rPr>
              <w:t>677</w:t>
            </w:r>
          </w:p>
        </w:tc>
        <w:tc>
          <w:tcPr>
            <w:tcW w:w="993" w:type="dxa"/>
            <w:tcMar>
              <w:top w:w="17" w:type="dxa"/>
              <w:left w:w="113" w:type="dxa"/>
              <w:bottom w:w="17" w:type="dxa"/>
              <w:right w:w="113" w:type="dxa"/>
            </w:tcMar>
          </w:tcPr>
          <w:p w14:paraId="1EDBF73A" w14:textId="603FCA7F" w:rsidR="00BE669F" w:rsidRPr="004E463E" w:rsidRDefault="00BE669F" w:rsidP="00633EA7">
            <w:pPr>
              <w:suppressAutoHyphens/>
              <w:autoSpaceDE w:val="0"/>
              <w:autoSpaceDN w:val="0"/>
              <w:adjustRightInd w:val="0"/>
              <w:spacing w:after="0" w:line="240" w:lineRule="auto"/>
              <w:jc w:val="right"/>
              <w:textAlignment w:val="center"/>
              <w:rPr>
                <w:color w:val="1C1C1C"/>
                <w:sz w:val="14"/>
                <w:szCs w:val="14"/>
              </w:rPr>
            </w:pPr>
            <w:r w:rsidRPr="004E463E">
              <w:rPr>
                <w:color w:val="1C1C1C"/>
                <w:sz w:val="14"/>
                <w:szCs w:val="14"/>
              </w:rPr>
              <w:t>-</w:t>
            </w:r>
          </w:p>
        </w:tc>
      </w:tr>
      <w:tr w:rsidR="004E463E" w:rsidRPr="004E463E" w14:paraId="404D249E" w14:textId="77777777" w:rsidTr="00876651">
        <w:trPr>
          <w:trHeight w:val="170"/>
        </w:trPr>
        <w:tc>
          <w:tcPr>
            <w:tcW w:w="5111" w:type="dxa"/>
            <w:tcMar>
              <w:top w:w="17" w:type="dxa"/>
              <w:left w:w="80" w:type="dxa"/>
              <w:bottom w:w="17" w:type="dxa"/>
              <w:right w:w="80" w:type="dxa"/>
            </w:tcMar>
          </w:tcPr>
          <w:p w14:paraId="6DAD8344" w14:textId="1D74020E" w:rsidR="00BE669F" w:rsidRPr="004E463E" w:rsidRDefault="00BE669F" w:rsidP="00633EA7">
            <w:pPr>
              <w:suppressAutoHyphens/>
              <w:autoSpaceDE w:val="0"/>
              <w:autoSpaceDN w:val="0"/>
              <w:adjustRightInd w:val="0"/>
              <w:spacing w:after="0" w:line="240" w:lineRule="auto"/>
              <w:textAlignment w:val="center"/>
              <w:rPr>
                <w:color w:val="1C1C1C"/>
                <w:sz w:val="14"/>
                <w:szCs w:val="14"/>
              </w:rPr>
            </w:pPr>
            <w:r w:rsidRPr="004E463E">
              <w:rPr>
                <w:color w:val="1C1C1C"/>
                <w:sz w:val="14"/>
                <w:szCs w:val="14"/>
              </w:rPr>
              <w:t>More than 12 months</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3491AEA8" w14:textId="5F392CC3"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r w:rsidRPr="004E463E">
              <w:rPr>
                <w:rFonts w:asciiTheme="majorHAnsi" w:hAnsiTheme="majorHAnsi"/>
                <w:color w:val="1C1C1C"/>
                <w:sz w:val="14"/>
                <w:szCs w:val="14"/>
              </w:rPr>
              <w:t>5,756</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53E62CAF" w14:textId="0A4849C0" w:rsidR="00BE669F" w:rsidRPr="004E463E" w:rsidRDefault="00BE669F" w:rsidP="00633EA7">
            <w:pPr>
              <w:suppressAutoHyphens/>
              <w:autoSpaceDE w:val="0"/>
              <w:autoSpaceDN w:val="0"/>
              <w:adjustRightInd w:val="0"/>
              <w:spacing w:after="0" w:line="240" w:lineRule="auto"/>
              <w:jc w:val="right"/>
              <w:textAlignment w:val="center"/>
              <w:rPr>
                <w:color w:val="1C1C1C"/>
                <w:sz w:val="14"/>
                <w:szCs w:val="14"/>
              </w:rPr>
            </w:pPr>
            <w:r w:rsidRPr="004E463E">
              <w:rPr>
                <w:color w:val="1C1C1C"/>
                <w:sz w:val="14"/>
                <w:szCs w:val="14"/>
              </w:rPr>
              <w:t>-</w:t>
            </w:r>
          </w:p>
        </w:tc>
      </w:tr>
      <w:tr w:rsidR="004E463E" w:rsidRPr="004E463E" w14:paraId="4B1E45D7" w14:textId="77777777" w:rsidTr="00876651">
        <w:trPr>
          <w:trHeight w:val="170"/>
        </w:trPr>
        <w:tc>
          <w:tcPr>
            <w:tcW w:w="5111" w:type="dxa"/>
            <w:tcMar>
              <w:top w:w="17" w:type="dxa"/>
              <w:left w:w="80" w:type="dxa"/>
              <w:bottom w:w="17" w:type="dxa"/>
              <w:right w:w="80" w:type="dxa"/>
            </w:tcMar>
          </w:tcPr>
          <w:p w14:paraId="32A2D9E4" w14:textId="19E21550" w:rsidR="00BE669F" w:rsidRPr="004E463E" w:rsidRDefault="00BE669F" w:rsidP="00633EA7">
            <w:pPr>
              <w:suppressAutoHyphens/>
              <w:autoSpaceDE w:val="0"/>
              <w:autoSpaceDN w:val="0"/>
              <w:adjustRightInd w:val="0"/>
              <w:spacing w:after="0" w:line="240" w:lineRule="auto"/>
              <w:textAlignment w:val="center"/>
              <w:rPr>
                <w:rFonts w:asciiTheme="majorHAnsi" w:hAnsiTheme="majorHAnsi"/>
                <w:color w:val="1C1C1C"/>
                <w:sz w:val="14"/>
                <w:szCs w:val="14"/>
              </w:rPr>
            </w:pPr>
            <w:r w:rsidRPr="004E463E">
              <w:rPr>
                <w:rFonts w:asciiTheme="majorHAnsi" w:hAnsiTheme="majorHAnsi"/>
                <w:color w:val="1C1C1C"/>
                <w:sz w:val="14"/>
                <w:szCs w:val="14"/>
              </w:rPr>
              <w:t>Total lease liabilities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2C8DBF25" w14:textId="3BA2666A" w:rsidR="00BE669F" w:rsidRPr="004E463E" w:rsidRDefault="00BE669F" w:rsidP="00633EA7">
            <w:pPr>
              <w:autoSpaceDE w:val="0"/>
              <w:autoSpaceDN w:val="0"/>
              <w:adjustRightInd w:val="0"/>
              <w:spacing w:after="0" w:line="240" w:lineRule="auto"/>
              <w:jc w:val="right"/>
              <w:rPr>
                <w:rFonts w:asciiTheme="majorHAnsi" w:hAnsiTheme="majorHAnsi"/>
                <w:color w:val="1C1C1C"/>
                <w:sz w:val="14"/>
                <w:szCs w:val="14"/>
              </w:rPr>
            </w:pPr>
            <w:r w:rsidRPr="004E463E">
              <w:rPr>
                <w:rFonts w:asciiTheme="majorHAnsi" w:hAnsiTheme="majorHAnsi"/>
                <w:color w:val="1C1C1C"/>
                <w:sz w:val="14"/>
                <w:szCs w:val="14"/>
              </w:rPr>
              <w:t>6,433</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54EAB493" w14:textId="1241F58A" w:rsidR="00BE669F" w:rsidRPr="004E463E" w:rsidRDefault="00BE669F" w:rsidP="00633EA7">
            <w:pPr>
              <w:suppressAutoHyphens/>
              <w:autoSpaceDE w:val="0"/>
              <w:autoSpaceDN w:val="0"/>
              <w:adjustRightInd w:val="0"/>
              <w:spacing w:after="0" w:line="240" w:lineRule="auto"/>
              <w:jc w:val="right"/>
              <w:textAlignment w:val="center"/>
              <w:rPr>
                <w:color w:val="1C1C1C"/>
                <w:sz w:val="14"/>
                <w:szCs w:val="14"/>
              </w:rPr>
            </w:pPr>
            <w:r w:rsidRPr="004E463E">
              <w:rPr>
                <w:color w:val="1C1C1C"/>
                <w:sz w:val="14"/>
                <w:szCs w:val="14"/>
              </w:rPr>
              <w:t>-</w:t>
            </w:r>
          </w:p>
        </w:tc>
      </w:tr>
      <w:tr w:rsidR="004E463E" w:rsidRPr="004E463E" w14:paraId="48A5D14B" w14:textId="77777777" w:rsidTr="00876651">
        <w:trPr>
          <w:trHeight w:val="57"/>
        </w:trPr>
        <w:tc>
          <w:tcPr>
            <w:tcW w:w="5111" w:type="dxa"/>
            <w:tcBorders>
              <w:bottom w:val="single" w:sz="8" w:space="0" w:color="FFFFFF" w:themeColor="background2"/>
            </w:tcBorders>
            <w:tcMar>
              <w:top w:w="17" w:type="dxa"/>
              <w:left w:w="80" w:type="dxa"/>
              <w:bottom w:w="17" w:type="dxa"/>
              <w:right w:w="80" w:type="dxa"/>
            </w:tcMar>
          </w:tcPr>
          <w:p w14:paraId="76537A9C" w14:textId="77777777" w:rsidR="00876651" w:rsidRPr="004E463E" w:rsidRDefault="00876651" w:rsidP="00633EA7">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7B93B951" w14:textId="77777777" w:rsidR="00876651" w:rsidRPr="004E463E" w:rsidRDefault="00876651" w:rsidP="00633EA7">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6D3941FF" w14:textId="77777777" w:rsidR="00876651" w:rsidRPr="004E463E" w:rsidRDefault="00876651" w:rsidP="00633EA7">
            <w:pPr>
              <w:suppressAutoHyphens/>
              <w:autoSpaceDE w:val="0"/>
              <w:autoSpaceDN w:val="0"/>
              <w:adjustRightInd w:val="0"/>
              <w:spacing w:after="0" w:line="240" w:lineRule="auto"/>
              <w:jc w:val="right"/>
              <w:textAlignment w:val="center"/>
              <w:rPr>
                <w:color w:val="1C1C1C"/>
                <w:sz w:val="4"/>
                <w:szCs w:val="4"/>
              </w:rPr>
            </w:pPr>
          </w:p>
        </w:tc>
      </w:tr>
    </w:tbl>
    <w:p w14:paraId="00D3F95B" w14:textId="077557BF" w:rsidR="00BE669F" w:rsidRDefault="00BE669F" w:rsidP="00776B85">
      <w:pPr>
        <w:pStyle w:val="Body"/>
      </w:pPr>
    </w:p>
    <w:tbl>
      <w:tblPr>
        <w:tblStyle w:val="TableGrid"/>
        <w:tblW w:w="4993" w:type="pct"/>
        <w:tblCellMar>
          <w:top w:w="113" w:type="dxa"/>
          <w:bottom w:w="113" w:type="dxa"/>
        </w:tblCellMar>
        <w:tblLook w:val="04A0" w:firstRow="1" w:lastRow="0" w:firstColumn="1" w:lastColumn="0" w:noHBand="0" w:noVBand="1"/>
      </w:tblPr>
      <w:tblGrid>
        <w:gridCol w:w="7123"/>
      </w:tblGrid>
      <w:tr w:rsidR="00255543" w14:paraId="55F45599" w14:textId="77777777" w:rsidTr="00633EA7">
        <w:tc>
          <w:tcPr>
            <w:tcW w:w="5000" w:type="pct"/>
          </w:tcPr>
          <w:p w14:paraId="1D5B6311" w14:textId="7696B900" w:rsidR="00255543" w:rsidRDefault="00255543" w:rsidP="00633EA7">
            <w:pPr>
              <w:pStyle w:val="AlphabetListL2"/>
              <w:numPr>
                <w:ilvl w:val="0"/>
                <w:numId w:val="0"/>
              </w:numPr>
              <w:spacing w:after="120"/>
            </w:pPr>
            <w:r w:rsidRPr="00255543">
              <w:rPr>
                <w:lang w:val="en-AU"/>
              </w:rPr>
              <w:t xml:space="preserve">IHPA has applied AASB 16 </w:t>
            </w:r>
            <w:r w:rsidR="00014C7E" w:rsidRPr="00014C7E">
              <w:rPr>
                <w:i/>
                <w:iCs/>
                <w:lang w:val="en-AU"/>
              </w:rPr>
              <w:t>Leases</w:t>
            </w:r>
            <w:r w:rsidR="00014C7E">
              <w:rPr>
                <w:lang w:val="en-AU"/>
              </w:rPr>
              <w:t xml:space="preserve"> </w:t>
            </w:r>
            <w:r w:rsidRPr="00255543">
              <w:rPr>
                <w:lang w:val="en-AU"/>
              </w:rPr>
              <w:t>using the modified retrospective approach and therefore the comparative information has not been restated and continues to be reported as an operating lease expense under AASB 117. Refer to Overview section for accounting policy on leases.</w:t>
            </w:r>
          </w:p>
        </w:tc>
      </w:tr>
    </w:tbl>
    <w:p w14:paraId="3BB3FF19" w14:textId="77777777" w:rsidR="00BE669F" w:rsidRDefault="00BE669F" w:rsidP="00776B85">
      <w:pPr>
        <w:pStyle w:val="Body"/>
      </w:pPr>
    </w:p>
    <w:p w14:paraId="7CF269B3" w14:textId="77777777" w:rsidR="00776B85" w:rsidRDefault="00776B85" w:rsidP="00646163">
      <w:pPr>
        <w:pStyle w:val="Body"/>
        <w:sectPr w:rsidR="00776B85" w:rsidSect="00481983">
          <w:footnotePr>
            <w:pos w:val="beneathText"/>
          </w:footnotePr>
          <w:pgSz w:w="9979" w:h="14175" w:code="13"/>
          <w:pgMar w:top="1134" w:right="1418" w:bottom="992" w:left="1418" w:header="709" w:footer="709" w:gutter="0"/>
          <w:cols w:space="623"/>
          <w:docGrid w:linePitch="360"/>
        </w:sectPr>
      </w:pPr>
    </w:p>
    <w:p w14:paraId="780D9F2F" w14:textId="06FDCB9D" w:rsidR="00C577EA" w:rsidRDefault="00C577EA" w:rsidP="00C577EA">
      <w:pPr>
        <w:pStyle w:val="H3Financials"/>
        <w:spacing w:before="0"/>
      </w:pPr>
      <w:bookmarkStart w:id="174" w:name="_Toc48828418"/>
      <w:bookmarkStart w:id="175" w:name="PeopleandRelantionships"/>
      <w:r>
        <w:lastRenderedPageBreak/>
        <w:t>People and Relationships</w:t>
      </w:r>
      <w:bookmarkEnd w:id="174"/>
    </w:p>
    <w:bookmarkEnd w:id="175"/>
    <w:p w14:paraId="3192AC31" w14:textId="77777777" w:rsidR="00C577EA" w:rsidRPr="00C577EA" w:rsidRDefault="00C577EA" w:rsidP="00C577EA">
      <w:pPr>
        <w:rPr>
          <w:color w:val="1C1C1C"/>
          <w:sz w:val="18"/>
          <w:szCs w:val="18"/>
        </w:rPr>
      </w:pPr>
      <w:r w:rsidRPr="00C577EA">
        <w:rPr>
          <w:color w:val="1C1C1C"/>
          <w:sz w:val="18"/>
          <w:szCs w:val="18"/>
        </w:rPr>
        <w:t>This section describes a range of employment and post-employment benefits provided to our people and our relationships with other key people.</w:t>
      </w:r>
    </w:p>
    <w:p w14:paraId="5DAEA49C" w14:textId="7F2B5061" w:rsidR="00C577EA" w:rsidRDefault="00C577EA" w:rsidP="000F311A">
      <w:pPr>
        <w:pStyle w:val="H4Financials"/>
        <w:spacing w:after="0"/>
      </w:pPr>
      <w:bookmarkStart w:id="176" w:name="Note31"/>
      <w:bookmarkStart w:id="177" w:name="_Toc48828419"/>
      <w:r>
        <w:t>Note 3.1</w:t>
      </w:r>
      <w:bookmarkEnd w:id="176"/>
      <w:r>
        <w:t xml:space="preserve"> Employee provisions</w:t>
      </w:r>
      <w:bookmarkEnd w:id="177"/>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8D0A40" w:rsidRPr="008D0A40" w14:paraId="3B24EAC7" w14:textId="77777777" w:rsidTr="0097655B">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0FEDD9D4" w14:textId="77777777" w:rsidR="00C577EA" w:rsidRPr="008D0A40" w:rsidRDefault="00C577EA" w:rsidP="00633EA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32CA55BC" w14:textId="77777777" w:rsidR="00C577EA" w:rsidRPr="008D0A40" w:rsidRDefault="00C577EA"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2020</w:t>
            </w:r>
            <w:r w:rsidRPr="008D0A40">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1747DE39" w14:textId="77777777" w:rsidR="00C577EA" w:rsidRPr="008D0A40" w:rsidRDefault="00C577EA"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2019</w:t>
            </w:r>
            <w:r w:rsidRPr="008D0A40">
              <w:rPr>
                <w:rFonts w:asciiTheme="majorHAnsi" w:hAnsiTheme="majorHAnsi" w:cs="Futura PT Heavy"/>
                <w:color w:val="1C1C1C"/>
                <w:sz w:val="16"/>
                <w:szCs w:val="16"/>
                <w:lang w:val="en-US"/>
              </w:rPr>
              <w:br/>
              <w:t>$’000</w:t>
            </w:r>
          </w:p>
        </w:tc>
      </w:tr>
      <w:tr w:rsidR="008D0A40" w:rsidRPr="008D0A40" w14:paraId="0DEB8A8B"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124FA55E" w14:textId="52A27DC7" w:rsidR="00C577EA" w:rsidRPr="008D0A40" w:rsidRDefault="00C577EA"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 xml:space="preserve">Note 3.1A: Employee </w:t>
            </w:r>
            <w:r w:rsidR="00583F06" w:rsidRPr="008D0A40">
              <w:rPr>
                <w:rFonts w:asciiTheme="majorHAnsi" w:hAnsiTheme="majorHAnsi"/>
                <w:color w:val="1C1C1C"/>
                <w:sz w:val="14"/>
                <w:szCs w:val="14"/>
              </w:rPr>
              <w:t>provisions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1487CF28" w14:textId="77777777" w:rsidR="00C577EA" w:rsidRPr="008D0A40" w:rsidRDefault="00C577EA" w:rsidP="00633EA7">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3922FA5D" w14:textId="77777777" w:rsidR="00C577EA" w:rsidRPr="008D0A40" w:rsidRDefault="00C577EA" w:rsidP="00633EA7">
            <w:pPr>
              <w:autoSpaceDE w:val="0"/>
              <w:autoSpaceDN w:val="0"/>
              <w:adjustRightInd w:val="0"/>
              <w:spacing w:after="0" w:line="240" w:lineRule="auto"/>
              <w:jc w:val="right"/>
              <w:rPr>
                <w:color w:val="1C1C1C"/>
                <w:sz w:val="14"/>
                <w:szCs w:val="14"/>
              </w:rPr>
            </w:pPr>
          </w:p>
        </w:tc>
      </w:tr>
      <w:tr w:rsidR="008D0A40" w:rsidRPr="008D0A40" w14:paraId="260BEC32" w14:textId="77777777" w:rsidTr="00876651">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202EB849" w14:textId="0570F1FE" w:rsidR="00C577EA" w:rsidRPr="008D0A40" w:rsidRDefault="00C577EA" w:rsidP="00633EA7">
            <w:pPr>
              <w:suppressAutoHyphens/>
              <w:autoSpaceDE w:val="0"/>
              <w:autoSpaceDN w:val="0"/>
              <w:adjustRightInd w:val="0"/>
              <w:spacing w:after="0" w:line="240" w:lineRule="auto"/>
              <w:textAlignment w:val="center"/>
              <w:rPr>
                <w:rFonts w:cs="Futura PT Book"/>
                <w:color w:val="1C1C1C"/>
                <w:sz w:val="14"/>
                <w:szCs w:val="14"/>
                <w:lang w:val="en-US"/>
              </w:rPr>
            </w:pPr>
            <w:r w:rsidRPr="008D0A40">
              <w:rPr>
                <w:color w:val="1C1C1C"/>
                <w:sz w:val="14"/>
                <w:szCs w:val="14"/>
              </w:rPr>
              <w:t>Leave</w:t>
            </w:r>
          </w:p>
        </w:tc>
        <w:tc>
          <w:tcPr>
            <w:tcW w:w="992" w:type="dxa"/>
            <w:tcBorders>
              <w:top w:val="single" w:sz="4"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3B608E6E" w14:textId="53F5307A" w:rsidR="00C577EA" w:rsidRPr="008D0A40" w:rsidRDefault="00C577EA" w:rsidP="00633EA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8D0A40">
              <w:rPr>
                <w:rFonts w:asciiTheme="majorHAnsi" w:hAnsiTheme="majorHAnsi" w:cs="Futura PT Book"/>
                <w:color w:val="1C1C1C"/>
                <w:sz w:val="14"/>
                <w:szCs w:val="14"/>
                <w:lang w:val="en-US"/>
              </w:rPr>
              <w:t>101</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0244D780" w14:textId="117C2621" w:rsidR="00C577EA" w:rsidRPr="008D0A40" w:rsidRDefault="00C577EA"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8D0A40">
              <w:rPr>
                <w:color w:val="1C1C1C"/>
                <w:sz w:val="14"/>
                <w:szCs w:val="14"/>
              </w:rPr>
              <w:t>85</w:t>
            </w:r>
          </w:p>
        </w:tc>
      </w:tr>
      <w:tr w:rsidR="008D0A40" w:rsidRPr="008D0A40" w14:paraId="00DAF695" w14:textId="77777777" w:rsidTr="00876651">
        <w:trPr>
          <w:trHeight w:val="170"/>
        </w:trPr>
        <w:tc>
          <w:tcPr>
            <w:tcW w:w="5111" w:type="dxa"/>
            <w:tcMar>
              <w:top w:w="17" w:type="dxa"/>
              <w:left w:w="80" w:type="dxa"/>
              <w:bottom w:w="17" w:type="dxa"/>
              <w:right w:w="80" w:type="dxa"/>
            </w:tcMar>
          </w:tcPr>
          <w:p w14:paraId="3270F177" w14:textId="0E7D4F98" w:rsidR="00C577EA" w:rsidRPr="008D0A40" w:rsidRDefault="00C577EA" w:rsidP="00633EA7">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Total employee provisions</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31EC2EA9" w14:textId="08D94D16" w:rsidR="00C577EA" w:rsidRPr="008D0A40" w:rsidRDefault="00C577EA" w:rsidP="00633EA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8D0A40">
              <w:rPr>
                <w:rFonts w:asciiTheme="majorHAnsi" w:hAnsiTheme="majorHAnsi" w:cs="Futura PT Book"/>
                <w:color w:val="1C1C1C"/>
                <w:sz w:val="14"/>
                <w:szCs w:val="14"/>
                <w:lang w:val="en-US"/>
              </w:rPr>
              <w:t>101</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4CC6C75C" w14:textId="63E18A6D" w:rsidR="00C577EA" w:rsidRPr="008D0A40" w:rsidRDefault="00C577EA" w:rsidP="00633EA7">
            <w:pPr>
              <w:suppressAutoHyphens/>
              <w:autoSpaceDE w:val="0"/>
              <w:autoSpaceDN w:val="0"/>
              <w:adjustRightInd w:val="0"/>
              <w:spacing w:after="0" w:line="240" w:lineRule="auto"/>
              <w:jc w:val="right"/>
              <w:textAlignment w:val="center"/>
              <w:rPr>
                <w:rFonts w:cs="Futura PT Book"/>
                <w:color w:val="1C1C1C"/>
                <w:sz w:val="14"/>
                <w:szCs w:val="14"/>
                <w:lang w:val="en-US"/>
              </w:rPr>
            </w:pPr>
            <w:r w:rsidRPr="008D0A40">
              <w:rPr>
                <w:color w:val="1C1C1C"/>
                <w:sz w:val="14"/>
                <w:szCs w:val="14"/>
              </w:rPr>
              <w:t>85</w:t>
            </w:r>
          </w:p>
        </w:tc>
      </w:tr>
      <w:tr w:rsidR="008D0A40" w:rsidRPr="008D0A40" w14:paraId="3181FAEC" w14:textId="77777777" w:rsidTr="00876651">
        <w:trPr>
          <w:trHeight w:val="170"/>
        </w:trPr>
        <w:tc>
          <w:tcPr>
            <w:tcW w:w="5111" w:type="dxa"/>
            <w:tcMar>
              <w:top w:w="17" w:type="dxa"/>
              <w:left w:w="80" w:type="dxa"/>
              <w:bottom w:w="17" w:type="dxa"/>
              <w:right w:w="80" w:type="dxa"/>
            </w:tcMar>
          </w:tcPr>
          <w:p w14:paraId="6EA81E11" w14:textId="77777777" w:rsidR="00C577EA" w:rsidRPr="008D0A40" w:rsidRDefault="00C577EA" w:rsidP="00633EA7">
            <w:pPr>
              <w:suppressAutoHyphens/>
              <w:autoSpaceDE w:val="0"/>
              <w:autoSpaceDN w:val="0"/>
              <w:adjustRightInd w:val="0"/>
              <w:spacing w:after="0" w:line="240" w:lineRule="auto"/>
              <w:textAlignment w:val="center"/>
              <w:rPr>
                <w:color w:val="1C1C1C"/>
                <w:sz w:val="14"/>
                <w:szCs w:val="14"/>
              </w:rPr>
            </w:pPr>
          </w:p>
        </w:tc>
        <w:tc>
          <w:tcPr>
            <w:tcW w:w="992" w:type="dxa"/>
            <w:tcBorders>
              <w:top w:val="single" w:sz="4" w:space="0" w:color="auto"/>
              <w:right w:val="single" w:sz="8" w:space="0" w:color="FFFFFF" w:themeColor="background2"/>
            </w:tcBorders>
            <w:tcMar>
              <w:top w:w="17" w:type="dxa"/>
              <w:left w:w="113" w:type="dxa"/>
              <w:bottom w:w="17" w:type="dxa"/>
              <w:right w:w="113" w:type="dxa"/>
            </w:tcMar>
          </w:tcPr>
          <w:p w14:paraId="42965229" w14:textId="77777777" w:rsidR="00C577EA" w:rsidRPr="008D0A40" w:rsidRDefault="00C577EA" w:rsidP="00633EA7">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Borders>
              <w:top w:val="single" w:sz="4" w:space="0" w:color="auto"/>
              <w:left w:val="single" w:sz="8" w:space="0" w:color="FFFFFF" w:themeColor="background2"/>
            </w:tcBorders>
            <w:tcMar>
              <w:top w:w="17" w:type="dxa"/>
              <w:left w:w="113" w:type="dxa"/>
              <w:bottom w:w="17" w:type="dxa"/>
              <w:right w:w="113" w:type="dxa"/>
            </w:tcMar>
          </w:tcPr>
          <w:p w14:paraId="1BDABC99" w14:textId="77777777" w:rsidR="00C577EA" w:rsidRPr="008D0A40" w:rsidRDefault="00C577EA" w:rsidP="00633EA7">
            <w:pPr>
              <w:suppressAutoHyphens/>
              <w:autoSpaceDE w:val="0"/>
              <w:autoSpaceDN w:val="0"/>
              <w:adjustRightInd w:val="0"/>
              <w:spacing w:after="0" w:line="240" w:lineRule="auto"/>
              <w:jc w:val="right"/>
              <w:textAlignment w:val="center"/>
              <w:rPr>
                <w:color w:val="1C1C1C"/>
                <w:sz w:val="14"/>
                <w:szCs w:val="14"/>
              </w:rPr>
            </w:pPr>
          </w:p>
        </w:tc>
      </w:tr>
      <w:tr w:rsidR="008D0A40" w:rsidRPr="008D0A40" w14:paraId="7C45D670" w14:textId="77777777" w:rsidTr="0097655B">
        <w:trPr>
          <w:trHeight w:val="170"/>
        </w:trPr>
        <w:tc>
          <w:tcPr>
            <w:tcW w:w="5111" w:type="dxa"/>
            <w:tcMar>
              <w:top w:w="17" w:type="dxa"/>
              <w:left w:w="80" w:type="dxa"/>
              <w:bottom w:w="17" w:type="dxa"/>
              <w:right w:w="80" w:type="dxa"/>
            </w:tcMar>
          </w:tcPr>
          <w:p w14:paraId="6B3263A7" w14:textId="6A5B05F3" w:rsidR="00C577EA" w:rsidRPr="008D0A40" w:rsidRDefault="00C577EA" w:rsidP="00C577EA">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Employee provisions expected to be settled</w:t>
            </w:r>
          </w:p>
        </w:tc>
        <w:tc>
          <w:tcPr>
            <w:tcW w:w="992" w:type="dxa"/>
            <w:tcMar>
              <w:top w:w="17" w:type="dxa"/>
              <w:left w:w="113" w:type="dxa"/>
              <w:bottom w:w="17" w:type="dxa"/>
              <w:right w:w="113" w:type="dxa"/>
            </w:tcMar>
          </w:tcPr>
          <w:p w14:paraId="07260059" w14:textId="5E8858A1" w:rsidR="00C577EA" w:rsidRPr="008D0A40" w:rsidRDefault="00C577EA" w:rsidP="00C577EA">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57E80CF4" w14:textId="2FBCFAF2" w:rsidR="00C577EA" w:rsidRPr="008D0A40" w:rsidRDefault="00C577EA" w:rsidP="00C577EA">
            <w:pPr>
              <w:autoSpaceDE w:val="0"/>
              <w:autoSpaceDN w:val="0"/>
              <w:adjustRightInd w:val="0"/>
              <w:spacing w:after="0" w:line="240" w:lineRule="auto"/>
              <w:jc w:val="right"/>
              <w:rPr>
                <w:color w:val="1C1C1C"/>
                <w:sz w:val="14"/>
                <w:szCs w:val="14"/>
              </w:rPr>
            </w:pPr>
          </w:p>
        </w:tc>
      </w:tr>
      <w:tr w:rsidR="008D0A40" w:rsidRPr="008D0A40" w14:paraId="2F20719B" w14:textId="77777777" w:rsidTr="0097655B">
        <w:trPr>
          <w:trHeight w:val="170"/>
        </w:trPr>
        <w:tc>
          <w:tcPr>
            <w:tcW w:w="5111" w:type="dxa"/>
            <w:tcMar>
              <w:top w:w="17" w:type="dxa"/>
              <w:left w:w="80" w:type="dxa"/>
              <w:bottom w:w="17" w:type="dxa"/>
              <w:right w:w="80" w:type="dxa"/>
            </w:tcMar>
          </w:tcPr>
          <w:p w14:paraId="1E4072D0" w14:textId="3D9E15E5" w:rsidR="00C577EA" w:rsidRPr="008D0A40" w:rsidRDefault="00C577EA" w:rsidP="00C577EA">
            <w:pPr>
              <w:suppressAutoHyphens/>
              <w:autoSpaceDE w:val="0"/>
              <w:autoSpaceDN w:val="0"/>
              <w:adjustRightInd w:val="0"/>
              <w:spacing w:after="0" w:line="240" w:lineRule="auto"/>
              <w:textAlignment w:val="center"/>
              <w:rPr>
                <w:rFonts w:cs="Futura PT Book"/>
                <w:color w:val="1C1C1C"/>
                <w:sz w:val="14"/>
                <w:szCs w:val="14"/>
                <w:lang w:val="en-US"/>
              </w:rPr>
            </w:pPr>
            <w:r w:rsidRPr="008D0A40">
              <w:rPr>
                <w:color w:val="1C1C1C"/>
                <w:sz w:val="14"/>
                <w:szCs w:val="14"/>
              </w:rPr>
              <w:t>No more than 12 months</w:t>
            </w:r>
          </w:p>
        </w:tc>
        <w:tc>
          <w:tcPr>
            <w:tcW w:w="992" w:type="dxa"/>
            <w:tcMar>
              <w:top w:w="17" w:type="dxa"/>
              <w:left w:w="113" w:type="dxa"/>
              <w:bottom w:w="17" w:type="dxa"/>
              <w:right w:w="113" w:type="dxa"/>
            </w:tcMar>
          </w:tcPr>
          <w:p w14:paraId="29814D3C" w14:textId="08B39E90" w:rsidR="00C577EA" w:rsidRPr="008D0A40" w:rsidRDefault="00C577EA" w:rsidP="00C577EA">
            <w:pPr>
              <w:autoSpaceDE w:val="0"/>
              <w:autoSpaceDN w:val="0"/>
              <w:adjustRightInd w:val="0"/>
              <w:spacing w:after="0" w:line="240" w:lineRule="auto"/>
              <w:jc w:val="right"/>
              <w:rPr>
                <w:rFonts w:asciiTheme="majorHAnsi" w:hAnsiTheme="majorHAnsi"/>
                <w:color w:val="1C1C1C"/>
                <w:sz w:val="14"/>
                <w:szCs w:val="14"/>
              </w:rPr>
            </w:pPr>
            <w:r w:rsidRPr="008D0A40">
              <w:rPr>
                <w:rFonts w:asciiTheme="majorHAnsi" w:hAnsiTheme="majorHAnsi"/>
                <w:color w:val="1C1C1C"/>
                <w:sz w:val="14"/>
                <w:szCs w:val="14"/>
              </w:rPr>
              <w:t>16</w:t>
            </w:r>
          </w:p>
        </w:tc>
        <w:tc>
          <w:tcPr>
            <w:tcW w:w="993" w:type="dxa"/>
            <w:tcMar>
              <w:top w:w="17" w:type="dxa"/>
              <w:left w:w="113" w:type="dxa"/>
              <w:bottom w:w="17" w:type="dxa"/>
              <w:right w:w="113" w:type="dxa"/>
            </w:tcMar>
          </w:tcPr>
          <w:p w14:paraId="607CCF10" w14:textId="51DAF3C6" w:rsidR="00C577EA" w:rsidRPr="008D0A40" w:rsidRDefault="00C577EA" w:rsidP="00C577EA">
            <w:pPr>
              <w:autoSpaceDE w:val="0"/>
              <w:autoSpaceDN w:val="0"/>
              <w:adjustRightInd w:val="0"/>
              <w:spacing w:after="0" w:line="240" w:lineRule="auto"/>
              <w:jc w:val="right"/>
              <w:rPr>
                <w:color w:val="1C1C1C"/>
                <w:sz w:val="14"/>
                <w:szCs w:val="14"/>
              </w:rPr>
            </w:pPr>
            <w:r w:rsidRPr="008D0A40">
              <w:rPr>
                <w:color w:val="1C1C1C"/>
                <w:sz w:val="14"/>
                <w:szCs w:val="14"/>
              </w:rPr>
              <w:t>13</w:t>
            </w:r>
          </w:p>
        </w:tc>
      </w:tr>
      <w:tr w:rsidR="008D0A40" w:rsidRPr="008D0A40" w14:paraId="1B8752E0" w14:textId="77777777" w:rsidTr="00876651">
        <w:trPr>
          <w:trHeight w:val="170"/>
        </w:trPr>
        <w:tc>
          <w:tcPr>
            <w:tcW w:w="5111" w:type="dxa"/>
            <w:tcMar>
              <w:top w:w="17" w:type="dxa"/>
              <w:left w:w="80" w:type="dxa"/>
              <w:bottom w:w="17" w:type="dxa"/>
              <w:right w:w="80" w:type="dxa"/>
            </w:tcMar>
          </w:tcPr>
          <w:p w14:paraId="0AB30427" w14:textId="3D322094" w:rsidR="00C577EA" w:rsidRPr="008D0A40" w:rsidRDefault="00C577EA" w:rsidP="00C577EA">
            <w:pPr>
              <w:suppressAutoHyphens/>
              <w:autoSpaceDE w:val="0"/>
              <w:autoSpaceDN w:val="0"/>
              <w:adjustRightInd w:val="0"/>
              <w:spacing w:after="0" w:line="240" w:lineRule="auto"/>
              <w:textAlignment w:val="center"/>
              <w:rPr>
                <w:rFonts w:cs="Futura PT Book"/>
                <w:color w:val="1C1C1C"/>
                <w:sz w:val="14"/>
                <w:szCs w:val="14"/>
                <w:lang w:val="en-US"/>
              </w:rPr>
            </w:pPr>
            <w:r w:rsidRPr="008D0A40">
              <w:rPr>
                <w:color w:val="1C1C1C"/>
                <w:sz w:val="14"/>
                <w:szCs w:val="14"/>
              </w:rPr>
              <w:t>More than 12 months</w:t>
            </w:r>
          </w:p>
        </w:tc>
        <w:tc>
          <w:tcPr>
            <w:tcW w:w="992" w:type="dxa"/>
            <w:tcBorders>
              <w:bottom w:val="single" w:sz="4" w:space="0" w:color="292929"/>
              <w:right w:val="single" w:sz="8" w:space="0" w:color="FFFFFF" w:themeColor="background2"/>
            </w:tcBorders>
            <w:tcMar>
              <w:top w:w="17" w:type="dxa"/>
              <w:left w:w="113" w:type="dxa"/>
              <w:bottom w:w="17" w:type="dxa"/>
              <w:right w:w="113" w:type="dxa"/>
            </w:tcMar>
          </w:tcPr>
          <w:p w14:paraId="10B31287" w14:textId="7A214448" w:rsidR="00C577EA" w:rsidRPr="008D0A40" w:rsidRDefault="00C577EA" w:rsidP="00C577EA">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8D0A40">
              <w:rPr>
                <w:rFonts w:asciiTheme="majorHAnsi" w:hAnsiTheme="majorHAnsi" w:cs="Futura PT Book"/>
                <w:color w:val="1C1C1C"/>
                <w:sz w:val="14"/>
                <w:szCs w:val="14"/>
                <w:lang w:val="en-US"/>
              </w:rPr>
              <w:t>85</w:t>
            </w:r>
          </w:p>
        </w:tc>
        <w:tc>
          <w:tcPr>
            <w:tcW w:w="993" w:type="dxa"/>
            <w:tcBorders>
              <w:left w:val="single" w:sz="8" w:space="0" w:color="FFFFFF" w:themeColor="background2"/>
              <w:bottom w:val="single" w:sz="4" w:space="0" w:color="292929"/>
            </w:tcBorders>
            <w:tcMar>
              <w:top w:w="17" w:type="dxa"/>
              <w:left w:w="113" w:type="dxa"/>
              <w:bottom w:w="17" w:type="dxa"/>
              <w:right w:w="113" w:type="dxa"/>
            </w:tcMar>
          </w:tcPr>
          <w:p w14:paraId="40DA8E06" w14:textId="2838E2D4" w:rsidR="00C577EA" w:rsidRPr="008D0A40" w:rsidRDefault="00C577EA" w:rsidP="00C577EA">
            <w:pPr>
              <w:suppressAutoHyphens/>
              <w:autoSpaceDE w:val="0"/>
              <w:autoSpaceDN w:val="0"/>
              <w:adjustRightInd w:val="0"/>
              <w:spacing w:after="0" w:line="240" w:lineRule="auto"/>
              <w:jc w:val="right"/>
              <w:textAlignment w:val="center"/>
              <w:rPr>
                <w:rFonts w:cs="Futura PT Book"/>
                <w:color w:val="1C1C1C"/>
                <w:sz w:val="14"/>
                <w:szCs w:val="14"/>
                <w:lang w:val="en-US"/>
              </w:rPr>
            </w:pPr>
            <w:r w:rsidRPr="008D0A40">
              <w:rPr>
                <w:color w:val="1C1C1C"/>
                <w:sz w:val="14"/>
                <w:szCs w:val="14"/>
              </w:rPr>
              <w:t>72</w:t>
            </w:r>
          </w:p>
        </w:tc>
      </w:tr>
      <w:tr w:rsidR="008D0A40" w:rsidRPr="008D0A40" w14:paraId="322A3648" w14:textId="77777777" w:rsidTr="00876651">
        <w:trPr>
          <w:trHeight w:val="170"/>
        </w:trPr>
        <w:tc>
          <w:tcPr>
            <w:tcW w:w="5111" w:type="dxa"/>
            <w:tcMar>
              <w:top w:w="17" w:type="dxa"/>
              <w:left w:w="80" w:type="dxa"/>
              <w:bottom w:w="17" w:type="dxa"/>
              <w:right w:w="80" w:type="dxa"/>
            </w:tcMar>
          </w:tcPr>
          <w:p w14:paraId="318314EC" w14:textId="17D73780" w:rsidR="00C577EA" w:rsidRPr="008D0A40" w:rsidRDefault="00C577EA" w:rsidP="00C577EA">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Total employee provisions</w:t>
            </w:r>
          </w:p>
        </w:tc>
        <w:tc>
          <w:tcPr>
            <w:tcW w:w="992" w:type="dxa"/>
            <w:tcBorders>
              <w:top w:val="single" w:sz="4" w:space="0" w:color="292929"/>
              <w:bottom w:val="single" w:sz="4" w:space="0" w:color="292929"/>
              <w:right w:val="single" w:sz="8" w:space="0" w:color="FFFFFF" w:themeColor="background2"/>
            </w:tcBorders>
            <w:tcMar>
              <w:top w:w="17" w:type="dxa"/>
              <w:left w:w="113" w:type="dxa"/>
              <w:bottom w:w="17" w:type="dxa"/>
              <w:right w:w="113" w:type="dxa"/>
            </w:tcMar>
          </w:tcPr>
          <w:p w14:paraId="0CC66865" w14:textId="5BBA3E5D" w:rsidR="00C577EA" w:rsidRPr="008D0A40" w:rsidRDefault="00C577EA" w:rsidP="00C577EA">
            <w:pPr>
              <w:autoSpaceDE w:val="0"/>
              <w:autoSpaceDN w:val="0"/>
              <w:adjustRightInd w:val="0"/>
              <w:spacing w:after="0" w:line="240" w:lineRule="auto"/>
              <w:jc w:val="right"/>
              <w:rPr>
                <w:rFonts w:asciiTheme="majorHAnsi" w:hAnsiTheme="majorHAnsi"/>
                <w:color w:val="1C1C1C"/>
                <w:sz w:val="14"/>
                <w:szCs w:val="14"/>
              </w:rPr>
            </w:pPr>
            <w:r w:rsidRPr="008D0A40">
              <w:rPr>
                <w:rFonts w:asciiTheme="majorHAnsi" w:hAnsiTheme="majorHAnsi"/>
                <w:color w:val="1C1C1C"/>
                <w:sz w:val="14"/>
                <w:szCs w:val="14"/>
              </w:rPr>
              <w:t>101</w:t>
            </w:r>
          </w:p>
        </w:tc>
        <w:tc>
          <w:tcPr>
            <w:tcW w:w="993" w:type="dxa"/>
            <w:tcBorders>
              <w:top w:val="single" w:sz="4" w:space="0" w:color="292929"/>
              <w:left w:val="single" w:sz="8" w:space="0" w:color="FFFFFF" w:themeColor="background2"/>
              <w:bottom w:val="single" w:sz="4" w:space="0" w:color="292929"/>
            </w:tcBorders>
            <w:tcMar>
              <w:top w:w="17" w:type="dxa"/>
              <w:left w:w="113" w:type="dxa"/>
              <w:bottom w:w="17" w:type="dxa"/>
              <w:right w:w="113" w:type="dxa"/>
            </w:tcMar>
          </w:tcPr>
          <w:p w14:paraId="329FA92F" w14:textId="2A680C12" w:rsidR="00C577EA" w:rsidRPr="008D0A40" w:rsidRDefault="00C577EA" w:rsidP="00C577EA">
            <w:pPr>
              <w:suppressAutoHyphens/>
              <w:autoSpaceDE w:val="0"/>
              <w:autoSpaceDN w:val="0"/>
              <w:adjustRightInd w:val="0"/>
              <w:spacing w:after="0" w:line="240" w:lineRule="auto"/>
              <w:jc w:val="right"/>
              <w:textAlignment w:val="center"/>
              <w:rPr>
                <w:rFonts w:cs="Futura PT Book"/>
                <w:color w:val="1C1C1C"/>
                <w:sz w:val="14"/>
                <w:szCs w:val="14"/>
                <w:lang w:val="en-US"/>
              </w:rPr>
            </w:pPr>
            <w:r w:rsidRPr="008D0A40">
              <w:rPr>
                <w:color w:val="1C1C1C"/>
                <w:sz w:val="14"/>
                <w:szCs w:val="14"/>
              </w:rPr>
              <w:t>85</w:t>
            </w:r>
          </w:p>
        </w:tc>
      </w:tr>
      <w:tr w:rsidR="008D0A40" w:rsidRPr="008D0A40" w14:paraId="35F68398" w14:textId="77777777" w:rsidTr="00876651">
        <w:trPr>
          <w:trHeight w:val="57"/>
        </w:trPr>
        <w:tc>
          <w:tcPr>
            <w:tcW w:w="5111" w:type="dxa"/>
            <w:tcBorders>
              <w:bottom w:val="single" w:sz="8" w:space="0" w:color="FFFFFF" w:themeColor="background2"/>
            </w:tcBorders>
            <w:tcMar>
              <w:top w:w="17" w:type="dxa"/>
              <w:left w:w="80" w:type="dxa"/>
              <w:bottom w:w="17" w:type="dxa"/>
              <w:right w:w="80" w:type="dxa"/>
            </w:tcMar>
          </w:tcPr>
          <w:p w14:paraId="584177E2" w14:textId="77777777" w:rsidR="00876651" w:rsidRPr="008D0A40" w:rsidRDefault="00876651" w:rsidP="00C577EA">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292929"/>
              <w:bottom w:val="single" w:sz="8" w:space="0" w:color="FFFFFF" w:themeColor="background2"/>
              <w:right w:val="single" w:sz="8" w:space="0" w:color="FFFFFF" w:themeColor="background2"/>
            </w:tcBorders>
            <w:tcMar>
              <w:top w:w="17" w:type="dxa"/>
              <w:left w:w="113" w:type="dxa"/>
              <w:bottom w:w="17" w:type="dxa"/>
              <w:right w:w="113" w:type="dxa"/>
            </w:tcMar>
          </w:tcPr>
          <w:p w14:paraId="62A0EBBF" w14:textId="77777777" w:rsidR="00876651" w:rsidRPr="008D0A40" w:rsidRDefault="00876651" w:rsidP="00C577EA">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292929"/>
              <w:left w:val="single" w:sz="8" w:space="0" w:color="FFFFFF" w:themeColor="background2"/>
              <w:bottom w:val="single" w:sz="8" w:space="0" w:color="FFFFFF" w:themeColor="background2"/>
            </w:tcBorders>
            <w:tcMar>
              <w:top w:w="17" w:type="dxa"/>
              <w:left w:w="113" w:type="dxa"/>
              <w:bottom w:w="17" w:type="dxa"/>
              <w:right w:w="113" w:type="dxa"/>
            </w:tcMar>
          </w:tcPr>
          <w:p w14:paraId="5280E5A3" w14:textId="77777777" w:rsidR="00876651" w:rsidRPr="008D0A40" w:rsidRDefault="00876651" w:rsidP="00C577EA">
            <w:pPr>
              <w:suppressAutoHyphens/>
              <w:autoSpaceDE w:val="0"/>
              <w:autoSpaceDN w:val="0"/>
              <w:adjustRightInd w:val="0"/>
              <w:spacing w:after="0" w:line="240" w:lineRule="auto"/>
              <w:jc w:val="right"/>
              <w:textAlignment w:val="center"/>
              <w:rPr>
                <w:color w:val="1C1C1C"/>
                <w:sz w:val="4"/>
                <w:szCs w:val="4"/>
              </w:rPr>
            </w:pPr>
          </w:p>
        </w:tc>
      </w:tr>
    </w:tbl>
    <w:p w14:paraId="18714991" w14:textId="77777777" w:rsidR="00C577EA" w:rsidRDefault="00C577EA" w:rsidP="004E0B26">
      <w:pPr>
        <w:pStyle w:val="Body"/>
        <w:spacing w:after="0"/>
      </w:pPr>
    </w:p>
    <w:tbl>
      <w:tblPr>
        <w:tblStyle w:val="TableGrid"/>
        <w:tblW w:w="5000" w:type="pct"/>
        <w:tblCellMar>
          <w:top w:w="113" w:type="dxa"/>
          <w:bottom w:w="113" w:type="dxa"/>
        </w:tblCellMar>
        <w:tblLook w:val="04A0" w:firstRow="1" w:lastRow="0" w:firstColumn="1" w:lastColumn="0" w:noHBand="0" w:noVBand="1"/>
      </w:tblPr>
      <w:tblGrid>
        <w:gridCol w:w="7133"/>
      </w:tblGrid>
      <w:tr w:rsidR="00C577EA" w14:paraId="6B2DC126" w14:textId="77777777" w:rsidTr="000F311A">
        <w:tc>
          <w:tcPr>
            <w:tcW w:w="5000" w:type="pct"/>
          </w:tcPr>
          <w:p w14:paraId="4D1FF83F" w14:textId="77777777" w:rsidR="00C577EA" w:rsidRPr="005300C0" w:rsidRDefault="00C577EA" w:rsidP="00C577EA">
            <w:pPr>
              <w:pStyle w:val="Body"/>
              <w:spacing w:after="80"/>
              <w:rPr>
                <w:rFonts w:asciiTheme="majorHAnsi" w:hAnsiTheme="majorHAnsi"/>
              </w:rPr>
            </w:pPr>
            <w:r w:rsidRPr="005300C0">
              <w:rPr>
                <w:rFonts w:asciiTheme="majorHAnsi" w:hAnsiTheme="majorHAnsi"/>
              </w:rPr>
              <w:t>Accounting Policy</w:t>
            </w:r>
          </w:p>
          <w:p w14:paraId="5E83680B" w14:textId="1CB1DF0C" w:rsidR="00C577EA" w:rsidRPr="00303955" w:rsidRDefault="00C577EA" w:rsidP="00C577EA">
            <w:pPr>
              <w:pStyle w:val="Body"/>
              <w:spacing w:after="80"/>
              <w:rPr>
                <w:b/>
                <w:bCs/>
              </w:rPr>
            </w:pPr>
            <w:r w:rsidRPr="00303955">
              <w:rPr>
                <w:b/>
                <w:bCs/>
              </w:rPr>
              <w:t>Employee provisions</w:t>
            </w:r>
          </w:p>
          <w:p w14:paraId="4E8F9637" w14:textId="3132A300" w:rsidR="00C577EA" w:rsidRDefault="00C577EA" w:rsidP="00C577EA">
            <w:pPr>
              <w:pStyle w:val="Body"/>
              <w:spacing w:after="80"/>
            </w:pPr>
            <w:r>
              <w:t xml:space="preserve">Liabilities for short-term employee benefits and termination benefits expected within 12 months of the end of reporting period are measured at their nominal amounts. </w:t>
            </w:r>
          </w:p>
          <w:p w14:paraId="2C134C13" w14:textId="77777777" w:rsidR="00C577EA" w:rsidRDefault="00C577EA" w:rsidP="00C577EA">
            <w:pPr>
              <w:pStyle w:val="Body"/>
              <w:spacing w:after="80"/>
            </w:pPr>
            <w:r>
              <w:t>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w:t>
            </w:r>
          </w:p>
          <w:p w14:paraId="67EC7866" w14:textId="77777777" w:rsidR="00C577EA" w:rsidRPr="00303955" w:rsidRDefault="00C577EA" w:rsidP="00C577EA">
            <w:pPr>
              <w:pStyle w:val="Body"/>
              <w:spacing w:after="80"/>
              <w:rPr>
                <w:b/>
                <w:bCs/>
              </w:rPr>
            </w:pPr>
            <w:r w:rsidRPr="00303955">
              <w:rPr>
                <w:b/>
                <w:bCs/>
              </w:rPr>
              <w:t>Leave</w:t>
            </w:r>
          </w:p>
          <w:p w14:paraId="5B338122" w14:textId="0002EA15" w:rsidR="00C577EA" w:rsidRDefault="00C577EA" w:rsidP="00C577EA">
            <w:pPr>
              <w:pStyle w:val="Body"/>
              <w:spacing w:after="80"/>
            </w:pPr>
            <w:r>
              <w:t>The liability for employee benefits includes provision for annual leave and long service leave.</w:t>
            </w:r>
          </w:p>
          <w:p w14:paraId="7B54DAEB" w14:textId="20B47334" w:rsidR="00C577EA" w:rsidRDefault="00C577EA" w:rsidP="00C577EA">
            <w:pPr>
              <w:pStyle w:val="Body"/>
              <w:spacing w:after="80"/>
            </w:pPr>
            <w:r>
              <w:t>The leave liabilities are calculated on the basis of employees’ remuneration at the estimated salary</w:t>
            </w:r>
            <w:r w:rsidR="005908C7">
              <w:t> </w:t>
            </w:r>
            <w:r>
              <w:t>rates that will be applied at the time the leave is taken, including the entity’s employer superannuation contribution rates to the extent that the leave is likely to be taken during service rather than paid out on termination. The estimate of the present value of the liability takes into account attrition rates, and pay increases through promotion and inflation.</w:t>
            </w:r>
          </w:p>
          <w:p w14:paraId="015F5E0A" w14:textId="77777777" w:rsidR="00C577EA" w:rsidRPr="00303955" w:rsidRDefault="00C577EA" w:rsidP="00C577EA">
            <w:pPr>
              <w:pStyle w:val="Body"/>
              <w:spacing w:after="80"/>
              <w:rPr>
                <w:b/>
                <w:bCs/>
              </w:rPr>
            </w:pPr>
            <w:r w:rsidRPr="00303955">
              <w:rPr>
                <w:b/>
                <w:bCs/>
              </w:rPr>
              <w:t>Superannuation</w:t>
            </w:r>
          </w:p>
          <w:p w14:paraId="6ED6324C" w14:textId="24BDD8C0" w:rsidR="00C577EA" w:rsidRDefault="00C577EA" w:rsidP="00C577EA">
            <w:pPr>
              <w:pStyle w:val="Body"/>
              <w:spacing w:after="80"/>
            </w:pPr>
            <w:r>
              <w:t>The entity's staff are members of the Commonwealth Superannuation Scheme (CSS), the Public Sector Superannuation Scheme (PSS), or the PSS accumulation plan (PSSap), or other superannuation funds held outside the Australian Government.</w:t>
            </w:r>
            <w:r w:rsidR="00041873">
              <w:t xml:space="preserve"> </w:t>
            </w:r>
            <w:r>
              <w:t>The CSS and PSS are defined benefit schemes for the Australian Government. The PSSap is a defined contribution scheme.</w:t>
            </w:r>
          </w:p>
          <w:p w14:paraId="07D161E6" w14:textId="2561FDEE" w:rsidR="00C577EA" w:rsidRDefault="00C577EA" w:rsidP="00C577EA">
            <w:pPr>
              <w:pStyle w:val="Body"/>
              <w:spacing w:after="80"/>
            </w:pPr>
            <w:r>
              <w:t>The liability for defined benefits is recognised in the financial statements of the Australian Government and is settled by the Australian Government in due course. This liability is reported in</w:t>
            </w:r>
            <w:r w:rsidR="003464F1">
              <w:t> </w:t>
            </w:r>
            <w:r>
              <w:t>the Department of Finance’s administered schedules and notes.</w:t>
            </w:r>
          </w:p>
          <w:p w14:paraId="723B620F" w14:textId="232F40CC" w:rsidR="00C577EA" w:rsidRDefault="00C577EA" w:rsidP="00C577EA">
            <w:pPr>
              <w:pStyle w:val="Body"/>
              <w:spacing w:after="80"/>
            </w:pPr>
            <w:r>
              <w:t>The entity makes employer contributions to the employees' defined benefit superannuation scheme at rates determined by an actuary to be sufficient to meet the current cost to the Government. The</w:t>
            </w:r>
            <w:r w:rsidR="001613B2">
              <w:t> </w:t>
            </w:r>
            <w:r>
              <w:t xml:space="preserve">entity accounts for the </w:t>
            </w:r>
            <w:r>
              <w:lastRenderedPageBreak/>
              <w:t>contributions as if they were contributions to defined contribution plans.</w:t>
            </w:r>
            <w:r w:rsidR="00640451">
              <w:t xml:space="preserve"> </w:t>
            </w:r>
            <w:r>
              <w:t>The liability for superannuation recognised as at 30 June represents outstanding contributions.</w:t>
            </w:r>
          </w:p>
        </w:tc>
      </w:tr>
    </w:tbl>
    <w:p w14:paraId="3596F246" w14:textId="77777777" w:rsidR="00776B85" w:rsidRDefault="00776B85" w:rsidP="00646163">
      <w:pPr>
        <w:pStyle w:val="Body"/>
      </w:pPr>
    </w:p>
    <w:p w14:paraId="491DB399" w14:textId="2345533C" w:rsidR="009E5E6F" w:rsidRDefault="009E5E6F" w:rsidP="00646163">
      <w:pPr>
        <w:pStyle w:val="Body"/>
        <w:sectPr w:rsidR="009E5E6F" w:rsidSect="00481983">
          <w:footnotePr>
            <w:pos w:val="beneathText"/>
          </w:footnotePr>
          <w:pgSz w:w="9979" w:h="14175" w:code="13"/>
          <w:pgMar w:top="1134" w:right="1418" w:bottom="992" w:left="1418" w:header="709" w:footer="709" w:gutter="0"/>
          <w:cols w:space="623"/>
          <w:docGrid w:linePitch="360"/>
        </w:sectPr>
      </w:pPr>
    </w:p>
    <w:p w14:paraId="3D4B6416" w14:textId="1CBFE0BA" w:rsidR="000F311A" w:rsidRDefault="000F311A" w:rsidP="000F311A">
      <w:pPr>
        <w:pStyle w:val="H4Financials"/>
      </w:pPr>
      <w:bookmarkStart w:id="178" w:name="Note32"/>
      <w:bookmarkStart w:id="179" w:name="_Toc48828420"/>
      <w:r>
        <w:t>Note 3.2</w:t>
      </w:r>
      <w:bookmarkEnd w:id="178"/>
      <w:r>
        <w:t xml:space="preserve"> </w:t>
      </w:r>
      <w:r w:rsidR="003A322E" w:rsidRPr="003A322E">
        <w:t>Key management personnel remuneration</w:t>
      </w:r>
      <w:bookmarkEnd w:id="179"/>
    </w:p>
    <w:p w14:paraId="081D0568" w14:textId="3EE4DC94" w:rsidR="003A322E" w:rsidRDefault="003A322E" w:rsidP="003A322E">
      <w:pPr>
        <w:pStyle w:val="Body"/>
      </w:pPr>
      <w:r w:rsidRPr="003A322E">
        <w:t>Key management personnel are those persons having authority and responsibility for planning, directing</w:t>
      </w:r>
      <w:r>
        <w:t xml:space="preserve"> </w:t>
      </w:r>
      <w:r w:rsidRPr="003A322E">
        <w:t>and controlling the activities of the entity, directly or indirectly, including any Pricing Authority member.</w:t>
      </w:r>
      <w:r>
        <w:t xml:space="preserve"> </w:t>
      </w:r>
      <w:r w:rsidRPr="003A322E">
        <w:t>The entity has determined the key management personnel to be the Chief Executive Officer and the Pricing</w:t>
      </w:r>
      <w:r>
        <w:t xml:space="preserve"> </w:t>
      </w:r>
      <w:r w:rsidRPr="003A322E">
        <w:t>Authority members.</w:t>
      </w:r>
    </w:p>
    <w:p w14:paraId="6CEEDE2C" w14:textId="0A68032A" w:rsidR="003A322E" w:rsidRPr="003A322E" w:rsidRDefault="003A322E" w:rsidP="003A322E">
      <w:pPr>
        <w:pStyle w:val="Body"/>
        <w:rPr>
          <w:rFonts w:asciiTheme="majorHAnsi" w:hAnsiTheme="majorHAnsi"/>
        </w:rPr>
      </w:pPr>
      <w:r w:rsidRPr="003A322E">
        <w:rPr>
          <w:rFonts w:asciiTheme="majorHAnsi" w:hAnsiTheme="majorHAnsi"/>
        </w:rPr>
        <w:t>Key management personnel remuneration is reported in the table below:</w:t>
      </w:r>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1C147F" w:rsidRPr="001C147F" w14:paraId="377CEFB6" w14:textId="77777777" w:rsidTr="00D00D6F">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104B7DE1" w14:textId="77777777" w:rsidR="000F311A" w:rsidRPr="001C147F" w:rsidRDefault="000F311A" w:rsidP="00633EA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3B28EB11" w14:textId="77777777" w:rsidR="000F311A" w:rsidRPr="001C147F" w:rsidRDefault="000F311A"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2020</w:t>
            </w:r>
            <w:r w:rsidRPr="001C147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2BCECC36" w14:textId="77777777" w:rsidR="000F311A" w:rsidRPr="001C147F" w:rsidRDefault="000F311A"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2019</w:t>
            </w:r>
            <w:r w:rsidRPr="001C147F">
              <w:rPr>
                <w:rFonts w:asciiTheme="majorHAnsi" w:hAnsiTheme="majorHAnsi" w:cs="Futura PT Heavy"/>
                <w:color w:val="1C1C1C"/>
                <w:sz w:val="16"/>
                <w:szCs w:val="16"/>
                <w:lang w:val="en-US"/>
              </w:rPr>
              <w:br/>
              <w:t>$’000</w:t>
            </w:r>
          </w:p>
        </w:tc>
      </w:tr>
      <w:tr w:rsidR="001C147F" w:rsidRPr="001C147F" w14:paraId="578860BA"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4F04E684" w14:textId="5AE94CC1" w:rsidR="00F51674" w:rsidRPr="001C147F" w:rsidRDefault="00F51674" w:rsidP="00F51674">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1C147F">
              <w:rPr>
                <w:color w:val="1C1C1C"/>
                <w:sz w:val="14"/>
                <w:szCs w:val="14"/>
              </w:rPr>
              <w:t>Short-term employee benefits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0A0C4826" w14:textId="513F7811" w:rsidR="00F51674" w:rsidRPr="001C147F" w:rsidRDefault="00F51674" w:rsidP="00F51674">
            <w:pPr>
              <w:autoSpaceDE w:val="0"/>
              <w:autoSpaceDN w:val="0"/>
              <w:adjustRightInd w:val="0"/>
              <w:spacing w:after="0" w:line="240" w:lineRule="auto"/>
              <w:jc w:val="right"/>
              <w:rPr>
                <w:rFonts w:asciiTheme="majorHAnsi" w:hAnsiTheme="majorHAnsi"/>
                <w:color w:val="1C1C1C"/>
                <w:sz w:val="14"/>
                <w:szCs w:val="14"/>
              </w:rPr>
            </w:pPr>
            <w:r w:rsidRPr="001C147F">
              <w:rPr>
                <w:rFonts w:asciiTheme="majorHAnsi" w:hAnsiTheme="majorHAnsi"/>
                <w:color w:val="1C1C1C"/>
                <w:sz w:val="14"/>
                <w:szCs w:val="14"/>
              </w:rPr>
              <w:t>774</w:t>
            </w: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14388664" w14:textId="60A53C91" w:rsidR="00F51674" w:rsidRPr="001C147F" w:rsidRDefault="00F51674" w:rsidP="00F51674">
            <w:pPr>
              <w:autoSpaceDE w:val="0"/>
              <w:autoSpaceDN w:val="0"/>
              <w:adjustRightInd w:val="0"/>
              <w:spacing w:after="0" w:line="240" w:lineRule="auto"/>
              <w:jc w:val="right"/>
              <w:rPr>
                <w:color w:val="1C1C1C"/>
                <w:sz w:val="14"/>
                <w:szCs w:val="14"/>
              </w:rPr>
            </w:pPr>
            <w:r w:rsidRPr="001C147F">
              <w:rPr>
                <w:color w:val="1C1C1C"/>
                <w:sz w:val="14"/>
                <w:szCs w:val="14"/>
              </w:rPr>
              <w:t>768</w:t>
            </w:r>
          </w:p>
        </w:tc>
      </w:tr>
      <w:tr w:rsidR="001C147F" w:rsidRPr="001C147F" w14:paraId="67A79544" w14:textId="77777777" w:rsidTr="00640451">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25F39477" w14:textId="7FAAF663" w:rsidR="00F51674" w:rsidRPr="001C147F" w:rsidRDefault="00F51674" w:rsidP="00F51674">
            <w:pPr>
              <w:suppressAutoHyphens/>
              <w:autoSpaceDE w:val="0"/>
              <w:autoSpaceDN w:val="0"/>
              <w:adjustRightInd w:val="0"/>
              <w:spacing w:after="0" w:line="240" w:lineRule="auto"/>
              <w:textAlignment w:val="center"/>
              <w:rPr>
                <w:rFonts w:cs="Futura PT Book"/>
                <w:color w:val="1C1C1C"/>
                <w:sz w:val="14"/>
                <w:szCs w:val="14"/>
                <w:lang w:val="en-US"/>
              </w:rPr>
            </w:pPr>
            <w:r w:rsidRPr="001C147F">
              <w:rPr>
                <w:color w:val="1C1C1C"/>
                <w:sz w:val="14"/>
                <w:szCs w:val="14"/>
              </w:rPr>
              <w:t>Post-employment benefits</w:t>
            </w:r>
          </w:p>
        </w:tc>
        <w:tc>
          <w:tcPr>
            <w:tcW w:w="992" w:type="dxa"/>
            <w:tcBorders>
              <w:top w:val="single" w:sz="4" w:space="0" w:color="FFFFFF" w:themeColor="background2"/>
            </w:tcBorders>
            <w:tcMar>
              <w:top w:w="17" w:type="dxa"/>
              <w:left w:w="113" w:type="dxa"/>
              <w:bottom w:w="17" w:type="dxa"/>
              <w:right w:w="113" w:type="dxa"/>
            </w:tcMar>
          </w:tcPr>
          <w:p w14:paraId="0C936B5B" w14:textId="45A54B92" w:rsidR="00F51674" w:rsidRPr="001C147F" w:rsidRDefault="00F51674" w:rsidP="00F51674">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1C147F">
              <w:rPr>
                <w:rFonts w:asciiTheme="majorHAnsi" w:hAnsiTheme="majorHAnsi" w:cs="Futura PT Book"/>
                <w:color w:val="1C1C1C"/>
                <w:sz w:val="14"/>
                <w:szCs w:val="14"/>
                <w:lang w:val="en-US"/>
              </w:rPr>
              <w:t>53</w:t>
            </w:r>
          </w:p>
        </w:tc>
        <w:tc>
          <w:tcPr>
            <w:tcW w:w="993" w:type="dxa"/>
            <w:tcMar>
              <w:top w:w="17" w:type="dxa"/>
              <w:left w:w="113" w:type="dxa"/>
              <w:bottom w:w="17" w:type="dxa"/>
              <w:right w:w="113" w:type="dxa"/>
            </w:tcMar>
          </w:tcPr>
          <w:p w14:paraId="0E8A3889" w14:textId="7C17AB67" w:rsidR="00F51674" w:rsidRPr="001C147F" w:rsidRDefault="00F51674" w:rsidP="00F51674">
            <w:pPr>
              <w:suppressAutoHyphens/>
              <w:autoSpaceDE w:val="0"/>
              <w:autoSpaceDN w:val="0"/>
              <w:adjustRightInd w:val="0"/>
              <w:spacing w:after="0" w:line="240" w:lineRule="auto"/>
              <w:jc w:val="right"/>
              <w:textAlignment w:val="center"/>
              <w:rPr>
                <w:rFonts w:cs="Futura PT Book"/>
                <w:color w:val="1C1C1C"/>
                <w:sz w:val="14"/>
                <w:szCs w:val="14"/>
                <w:lang w:val="en-US"/>
              </w:rPr>
            </w:pPr>
            <w:r w:rsidRPr="001C147F">
              <w:rPr>
                <w:color w:val="1C1C1C"/>
                <w:sz w:val="14"/>
                <w:szCs w:val="14"/>
              </w:rPr>
              <w:t>54</w:t>
            </w:r>
          </w:p>
        </w:tc>
      </w:tr>
      <w:tr w:rsidR="001C147F" w:rsidRPr="001C147F" w14:paraId="4EB89518" w14:textId="77777777" w:rsidTr="00640451">
        <w:trPr>
          <w:trHeight w:val="170"/>
        </w:trPr>
        <w:tc>
          <w:tcPr>
            <w:tcW w:w="5111" w:type="dxa"/>
            <w:tcMar>
              <w:top w:w="17" w:type="dxa"/>
              <w:left w:w="80" w:type="dxa"/>
              <w:bottom w:w="17" w:type="dxa"/>
              <w:right w:w="80" w:type="dxa"/>
            </w:tcMar>
          </w:tcPr>
          <w:p w14:paraId="23164612" w14:textId="125D6382" w:rsidR="00F51674" w:rsidRPr="001C147F" w:rsidRDefault="00F51674" w:rsidP="00F51674">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1C147F">
              <w:rPr>
                <w:color w:val="1C1C1C"/>
                <w:sz w:val="14"/>
                <w:szCs w:val="14"/>
              </w:rPr>
              <w:t>Other long-term benefits</w:t>
            </w:r>
          </w:p>
        </w:tc>
        <w:tc>
          <w:tcPr>
            <w:tcW w:w="992" w:type="dxa"/>
            <w:tcBorders>
              <w:bottom w:val="single" w:sz="8" w:space="0" w:color="FFFFFF" w:themeColor="background2"/>
              <w:right w:val="single" w:sz="8" w:space="0" w:color="FFFFFF" w:themeColor="background2"/>
            </w:tcBorders>
            <w:tcMar>
              <w:top w:w="17" w:type="dxa"/>
              <w:left w:w="113" w:type="dxa"/>
              <w:bottom w:w="17" w:type="dxa"/>
              <w:right w:w="113" w:type="dxa"/>
            </w:tcMar>
          </w:tcPr>
          <w:p w14:paraId="288AD763" w14:textId="47D19DF7" w:rsidR="00F51674" w:rsidRPr="001C147F" w:rsidRDefault="00F51674" w:rsidP="00F51674">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1C147F">
              <w:rPr>
                <w:rFonts w:asciiTheme="majorHAnsi" w:hAnsiTheme="majorHAnsi" w:cs="Futura PT Book"/>
                <w:color w:val="1C1C1C"/>
                <w:sz w:val="14"/>
                <w:szCs w:val="14"/>
                <w:lang w:val="en-US"/>
              </w:rPr>
              <w:t>9</w:t>
            </w:r>
          </w:p>
        </w:tc>
        <w:tc>
          <w:tcPr>
            <w:tcW w:w="993" w:type="dxa"/>
            <w:tcBorders>
              <w:left w:val="single" w:sz="8" w:space="0" w:color="FFFFFF" w:themeColor="background2"/>
              <w:bottom w:val="single" w:sz="8" w:space="0" w:color="FFFFFF" w:themeColor="background2"/>
            </w:tcBorders>
            <w:tcMar>
              <w:top w:w="17" w:type="dxa"/>
              <w:left w:w="113" w:type="dxa"/>
              <w:bottom w:w="17" w:type="dxa"/>
              <w:right w:w="113" w:type="dxa"/>
            </w:tcMar>
          </w:tcPr>
          <w:p w14:paraId="7175C94D" w14:textId="2BAFE586" w:rsidR="00F51674" w:rsidRPr="001C147F" w:rsidRDefault="00F51674" w:rsidP="00F51674">
            <w:pPr>
              <w:suppressAutoHyphens/>
              <w:autoSpaceDE w:val="0"/>
              <w:autoSpaceDN w:val="0"/>
              <w:adjustRightInd w:val="0"/>
              <w:spacing w:after="0" w:line="240" w:lineRule="auto"/>
              <w:jc w:val="right"/>
              <w:textAlignment w:val="center"/>
              <w:rPr>
                <w:rFonts w:cs="Futura PT Book"/>
                <w:color w:val="1C1C1C"/>
                <w:sz w:val="14"/>
                <w:szCs w:val="14"/>
                <w:lang w:val="en-US"/>
              </w:rPr>
            </w:pPr>
            <w:r w:rsidRPr="001C147F">
              <w:rPr>
                <w:color w:val="1C1C1C"/>
                <w:sz w:val="14"/>
                <w:szCs w:val="14"/>
              </w:rPr>
              <w:t>8</w:t>
            </w:r>
          </w:p>
        </w:tc>
      </w:tr>
      <w:tr w:rsidR="001C147F" w:rsidRPr="001C147F" w14:paraId="6CF763FD" w14:textId="77777777" w:rsidTr="00640451">
        <w:trPr>
          <w:trHeight w:val="170"/>
        </w:trPr>
        <w:tc>
          <w:tcPr>
            <w:tcW w:w="5111" w:type="dxa"/>
            <w:tcMar>
              <w:top w:w="17" w:type="dxa"/>
              <w:left w:w="80" w:type="dxa"/>
              <w:bottom w:w="17" w:type="dxa"/>
              <w:right w:w="80" w:type="dxa"/>
            </w:tcMar>
          </w:tcPr>
          <w:p w14:paraId="1A3C98F5" w14:textId="23BF3F1B" w:rsidR="00F51674" w:rsidRPr="001C147F" w:rsidRDefault="00F51674" w:rsidP="00F51674">
            <w:pPr>
              <w:suppressAutoHyphens/>
              <w:autoSpaceDE w:val="0"/>
              <w:autoSpaceDN w:val="0"/>
              <w:adjustRightInd w:val="0"/>
              <w:spacing w:after="0" w:line="240" w:lineRule="auto"/>
              <w:textAlignment w:val="center"/>
              <w:rPr>
                <w:color w:val="1C1C1C"/>
                <w:sz w:val="14"/>
                <w:szCs w:val="14"/>
              </w:rPr>
            </w:pPr>
            <w:r w:rsidRPr="001C147F">
              <w:rPr>
                <w:color w:val="1C1C1C"/>
                <w:sz w:val="14"/>
                <w:szCs w:val="14"/>
              </w:rPr>
              <w:t>Termination benefits</w:t>
            </w:r>
          </w:p>
        </w:tc>
        <w:tc>
          <w:tcPr>
            <w:tcW w:w="992" w:type="dxa"/>
            <w:tcBorders>
              <w:top w:val="single" w:sz="8" w:space="0" w:color="FFFFFF" w:themeColor="background2"/>
              <w:bottom w:val="single" w:sz="8" w:space="0" w:color="FFFFFF" w:themeColor="background2"/>
              <w:right w:val="single" w:sz="8" w:space="0" w:color="FFFFFF" w:themeColor="background2"/>
            </w:tcBorders>
            <w:tcMar>
              <w:top w:w="17" w:type="dxa"/>
              <w:left w:w="113" w:type="dxa"/>
              <w:bottom w:w="17" w:type="dxa"/>
              <w:right w:w="113" w:type="dxa"/>
            </w:tcMar>
          </w:tcPr>
          <w:p w14:paraId="21C49D50" w14:textId="4FA5EE5D" w:rsidR="00F51674" w:rsidRPr="001C147F" w:rsidRDefault="00F51674" w:rsidP="00F51674">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1C147F">
              <w:rPr>
                <w:rFonts w:asciiTheme="majorHAnsi" w:hAnsiTheme="majorHAnsi" w:cs="Futura PT Book"/>
                <w:color w:val="1C1C1C"/>
                <w:sz w:val="14"/>
                <w:szCs w:val="14"/>
                <w:lang w:val="en-US"/>
              </w:rPr>
              <w:t>-</w:t>
            </w:r>
          </w:p>
        </w:tc>
        <w:tc>
          <w:tcPr>
            <w:tcW w:w="993" w:type="dxa"/>
            <w:tcBorders>
              <w:top w:val="single" w:sz="8" w:space="0" w:color="FFFFFF" w:themeColor="background2"/>
              <w:left w:val="single" w:sz="8" w:space="0" w:color="FFFFFF" w:themeColor="background2"/>
              <w:bottom w:val="single" w:sz="8" w:space="0" w:color="FFFFFF" w:themeColor="background2"/>
            </w:tcBorders>
            <w:tcMar>
              <w:top w:w="17" w:type="dxa"/>
              <w:left w:w="113" w:type="dxa"/>
              <w:bottom w:w="17" w:type="dxa"/>
              <w:right w:w="113" w:type="dxa"/>
            </w:tcMar>
          </w:tcPr>
          <w:p w14:paraId="0ED3C348" w14:textId="16051C00" w:rsidR="00F51674" w:rsidRPr="001C147F" w:rsidRDefault="00F51674" w:rsidP="00F51674">
            <w:pPr>
              <w:suppressAutoHyphens/>
              <w:autoSpaceDE w:val="0"/>
              <w:autoSpaceDN w:val="0"/>
              <w:adjustRightInd w:val="0"/>
              <w:spacing w:after="0" w:line="240" w:lineRule="auto"/>
              <w:jc w:val="right"/>
              <w:textAlignment w:val="center"/>
              <w:rPr>
                <w:color w:val="1C1C1C"/>
                <w:sz w:val="14"/>
                <w:szCs w:val="14"/>
              </w:rPr>
            </w:pPr>
            <w:r w:rsidRPr="001C147F">
              <w:rPr>
                <w:color w:val="1C1C1C"/>
                <w:sz w:val="14"/>
                <w:szCs w:val="14"/>
              </w:rPr>
              <w:t>-</w:t>
            </w:r>
          </w:p>
        </w:tc>
      </w:tr>
      <w:tr w:rsidR="001C147F" w:rsidRPr="001C147F" w14:paraId="7880EC84" w14:textId="77777777" w:rsidTr="004E0B26">
        <w:trPr>
          <w:trHeight w:val="57"/>
        </w:trPr>
        <w:tc>
          <w:tcPr>
            <w:tcW w:w="5111" w:type="dxa"/>
            <w:tcBorders>
              <w:top w:val="single" w:sz="8" w:space="0" w:color="FFFFFF" w:themeColor="background2"/>
            </w:tcBorders>
            <w:tcMar>
              <w:top w:w="17" w:type="dxa"/>
              <w:left w:w="80" w:type="dxa"/>
              <w:bottom w:w="17" w:type="dxa"/>
              <w:right w:w="80" w:type="dxa"/>
            </w:tcMar>
          </w:tcPr>
          <w:p w14:paraId="414A46F7" w14:textId="77777777" w:rsidR="004E0B26" w:rsidRPr="001C147F" w:rsidRDefault="004E0B26" w:rsidP="00F51674">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8" w:space="0" w:color="FFFFFF" w:themeColor="background2"/>
              <w:bottom w:val="single" w:sz="4" w:space="0" w:color="auto"/>
              <w:right w:val="single" w:sz="8" w:space="0" w:color="FFFFFF" w:themeColor="background2"/>
            </w:tcBorders>
            <w:tcMar>
              <w:top w:w="17" w:type="dxa"/>
              <w:left w:w="113" w:type="dxa"/>
              <w:bottom w:w="17" w:type="dxa"/>
              <w:right w:w="113" w:type="dxa"/>
            </w:tcMar>
          </w:tcPr>
          <w:p w14:paraId="59914772" w14:textId="77777777" w:rsidR="004E0B26" w:rsidRPr="001C147F" w:rsidRDefault="004E0B26" w:rsidP="00F51674">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8" w:space="0" w:color="FFFFFF" w:themeColor="background2"/>
              <w:left w:val="single" w:sz="8" w:space="0" w:color="FFFFFF" w:themeColor="background2"/>
              <w:bottom w:val="single" w:sz="4" w:space="0" w:color="auto"/>
            </w:tcBorders>
            <w:tcMar>
              <w:top w:w="17" w:type="dxa"/>
              <w:left w:w="113" w:type="dxa"/>
              <w:bottom w:w="17" w:type="dxa"/>
              <w:right w:w="113" w:type="dxa"/>
            </w:tcMar>
          </w:tcPr>
          <w:p w14:paraId="356ED8D3" w14:textId="77777777" w:rsidR="004E0B26" w:rsidRPr="001C147F" w:rsidRDefault="004E0B26" w:rsidP="00F51674">
            <w:pPr>
              <w:autoSpaceDE w:val="0"/>
              <w:autoSpaceDN w:val="0"/>
              <w:adjustRightInd w:val="0"/>
              <w:spacing w:after="0" w:line="240" w:lineRule="auto"/>
              <w:jc w:val="right"/>
              <w:rPr>
                <w:color w:val="1C1C1C"/>
                <w:sz w:val="4"/>
                <w:szCs w:val="4"/>
              </w:rPr>
            </w:pPr>
          </w:p>
        </w:tc>
      </w:tr>
      <w:tr w:rsidR="001C147F" w:rsidRPr="001C147F" w14:paraId="6BA0757D" w14:textId="77777777" w:rsidTr="004E0B26">
        <w:trPr>
          <w:trHeight w:val="170"/>
        </w:trPr>
        <w:tc>
          <w:tcPr>
            <w:tcW w:w="5111" w:type="dxa"/>
            <w:tcMar>
              <w:top w:w="17" w:type="dxa"/>
              <w:left w:w="80" w:type="dxa"/>
              <w:bottom w:w="17" w:type="dxa"/>
              <w:right w:w="80" w:type="dxa"/>
            </w:tcMar>
          </w:tcPr>
          <w:p w14:paraId="69C3E202" w14:textId="7B5FEC24" w:rsidR="00F51674" w:rsidRPr="001C147F" w:rsidRDefault="00F51674" w:rsidP="00F51674">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1C147F">
              <w:rPr>
                <w:rFonts w:asciiTheme="majorHAnsi" w:hAnsiTheme="majorHAnsi"/>
                <w:color w:val="1C1C1C"/>
                <w:sz w:val="14"/>
                <w:szCs w:val="14"/>
              </w:rPr>
              <w:t>Total key management personnel remuneration expenses</w:t>
            </w:r>
            <w:r w:rsidR="004C0028" w:rsidRPr="001C147F">
              <w:rPr>
                <w:rFonts w:asciiTheme="majorHAnsi" w:hAnsiTheme="majorHAnsi"/>
                <w:color w:val="1C1C1C"/>
                <w:sz w:val="14"/>
                <w:szCs w:val="14"/>
                <w:vertAlign w:val="superscript"/>
              </w:rPr>
              <w:t>1</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1AC265BC" w14:textId="39E3618A" w:rsidR="00F51674" w:rsidRPr="001C147F" w:rsidRDefault="00F51674" w:rsidP="00F51674">
            <w:pPr>
              <w:autoSpaceDE w:val="0"/>
              <w:autoSpaceDN w:val="0"/>
              <w:adjustRightInd w:val="0"/>
              <w:spacing w:after="0" w:line="240" w:lineRule="auto"/>
              <w:jc w:val="right"/>
              <w:rPr>
                <w:rFonts w:asciiTheme="majorHAnsi" w:hAnsiTheme="majorHAnsi"/>
                <w:color w:val="1C1C1C"/>
                <w:sz w:val="14"/>
                <w:szCs w:val="14"/>
              </w:rPr>
            </w:pPr>
            <w:r w:rsidRPr="001C147F">
              <w:rPr>
                <w:rFonts w:asciiTheme="majorHAnsi" w:hAnsiTheme="majorHAnsi"/>
                <w:color w:val="1C1C1C"/>
                <w:sz w:val="14"/>
                <w:szCs w:val="14"/>
              </w:rPr>
              <w:t>836</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2EC58C34" w14:textId="608307AB" w:rsidR="00F51674" w:rsidRPr="001C147F" w:rsidRDefault="00F51674" w:rsidP="00F51674">
            <w:pPr>
              <w:autoSpaceDE w:val="0"/>
              <w:autoSpaceDN w:val="0"/>
              <w:adjustRightInd w:val="0"/>
              <w:spacing w:after="0" w:line="240" w:lineRule="auto"/>
              <w:jc w:val="right"/>
              <w:rPr>
                <w:color w:val="1C1C1C"/>
                <w:sz w:val="14"/>
                <w:szCs w:val="14"/>
              </w:rPr>
            </w:pPr>
            <w:r w:rsidRPr="001C147F">
              <w:rPr>
                <w:color w:val="1C1C1C"/>
                <w:sz w:val="14"/>
                <w:szCs w:val="14"/>
              </w:rPr>
              <w:t>830</w:t>
            </w:r>
          </w:p>
        </w:tc>
      </w:tr>
      <w:tr w:rsidR="001C147F" w:rsidRPr="001C147F" w14:paraId="59226D98" w14:textId="77777777" w:rsidTr="004E0B26">
        <w:trPr>
          <w:trHeight w:val="57"/>
        </w:trPr>
        <w:tc>
          <w:tcPr>
            <w:tcW w:w="5111" w:type="dxa"/>
            <w:tcBorders>
              <w:bottom w:val="single" w:sz="8" w:space="0" w:color="FFFFFF" w:themeColor="background2"/>
            </w:tcBorders>
            <w:tcMar>
              <w:top w:w="17" w:type="dxa"/>
              <w:left w:w="80" w:type="dxa"/>
              <w:bottom w:w="17" w:type="dxa"/>
              <w:right w:w="80" w:type="dxa"/>
            </w:tcMar>
          </w:tcPr>
          <w:p w14:paraId="6A4E465E" w14:textId="77777777" w:rsidR="004E0B26" w:rsidRPr="001C147F" w:rsidRDefault="004E0B26" w:rsidP="00F51674">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57EE8733" w14:textId="77777777" w:rsidR="004E0B26" w:rsidRPr="001C147F" w:rsidRDefault="004E0B26" w:rsidP="00F51674">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74C588EA" w14:textId="77777777" w:rsidR="004E0B26" w:rsidRPr="001C147F" w:rsidRDefault="004E0B26" w:rsidP="00F51674">
            <w:pPr>
              <w:autoSpaceDE w:val="0"/>
              <w:autoSpaceDN w:val="0"/>
              <w:adjustRightInd w:val="0"/>
              <w:spacing w:after="0" w:line="240" w:lineRule="auto"/>
              <w:jc w:val="right"/>
              <w:rPr>
                <w:color w:val="1C1C1C"/>
                <w:sz w:val="4"/>
                <w:szCs w:val="4"/>
              </w:rPr>
            </w:pPr>
          </w:p>
        </w:tc>
      </w:tr>
    </w:tbl>
    <w:p w14:paraId="69DF8687" w14:textId="33437280" w:rsidR="00F51674" w:rsidRDefault="004C0028" w:rsidP="000F311A">
      <w:pPr>
        <w:pStyle w:val="Body"/>
      </w:pPr>
      <w:r>
        <w:br/>
      </w:r>
      <w:r w:rsidR="00F51674" w:rsidRPr="00F51674">
        <w:t>The total number of key management personnel that are included in the above table is 10 (2019: 10).</w:t>
      </w:r>
    </w:p>
    <w:p w14:paraId="3D8C5604" w14:textId="07753384" w:rsidR="006308C5" w:rsidRDefault="006308C5" w:rsidP="000F311A">
      <w:pPr>
        <w:pStyle w:val="Body"/>
      </w:pPr>
      <w:r>
        <w:rPr>
          <w:noProof/>
          <w:lang w:val="en-GB" w:eastAsia="en-GB"/>
        </w:rPr>
        <mc:AlternateContent>
          <mc:Choice Requires="wps">
            <w:drawing>
              <wp:anchor distT="0" distB="0" distL="114300" distR="114300" simplePos="0" relativeHeight="251659264" behindDoc="0" locked="0" layoutInCell="1" allowOverlap="1" wp14:anchorId="364602A8" wp14:editId="44432C36">
                <wp:simplePos x="0" y="0"/>
                <wp:positionH relativeFrom="column">
                  <wp:posOffset>13970</wp:posOffset>
                </wp:positionH>
                <wp:positionV relativeFrom="paragraph">
                  <wp:posOffset>115588</wp:posOffset>
                </wp:positionV>
                <wp:extent cx="1792586" cy="0"/>
                <wp:effectExtent l="0" t="0" r="0" b="0"/>
                <wp:wrapNone/>
                <wp:docPr id="25" name="Straight Connector 2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CnPr/>
                      <wps:spPr>
                        <a:xfrm>
                          <a:off x="0" y="0"/>
                          <a:ext cx="1792586" cy="0"/>
                        </a:xfrm>
                        <a:prstGeom prst="line">
                          <a:avLst/>
                        </a:prstGeom>
                        <a:ln w="9525">
                          <a:solidFill>
                            <a:srgbClr val="08080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BB3DDB8" id="Straight Connector 25" o:spid="_x0000_s1026" alt="&quot;&quot;"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9.1pt" to="142.2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" strokecolor="#080808">
                <v:stroke joinstyle="miter"/>
              </v:line>
            </w:pict>
          </mc:Fallback>
        </mc:AlternateContent>
      </w:r>
    </w:p>
    <w:p w14:paraId="3D03E1F1" w14:textId="58FFA28E" w:rsidR="00996509" w:rsidRDefault="00996509" w:rsidP="000F311A">
      <w:pPr>
        <w:pStyle w:val="Body"/>
      </w:pPr>
      <w:r>
        <w:rPr>
          <w:rStyle w:val="FootnoteReference"/>
        </w:rPr>
        <w:footnoteRef/>
      </w:r>
      <w:r>
        <w:t xml:space="preserve"> </w:t>
      </w:r>
      <w:r w:rsidRPr="00996509">
        <w:rPr>
          <w:rStyle w:val="FootnotesChar"/>
        </w:rPr>
        <w:t>The above key management personnel remuneration excludes the remuneration and other benefits of the Portfolio Ministers whose remuneration and other benefits are set by the Remuneration Tribunal and are not paid by the entity.</w:t>
      </w:r>
    </w:p>
    <w:p w14:paraId="07995264" w14:textId="77777777" w:rsidR="008F25A5" w:rsidRDefault="008F25A5" w:rsidP="008F25A5">
      <w:pPr>
        <w:pStyle w:val="H4Financials"/>
      </w:pPr>
    </w:p>
    <w:p w14:paraId="278E91F3" w14:textId="2622295B" w:rsidR="008F25A5" w:rsidRDefault="008F25A5" w:rsidP="008F25A5">
      <w:pPr>
        <w:pStyle w:val="H4Financials"/>
      </w:pPr>
      <w:bookmarkStart w:id="180" w:name="Note33"/>
      <w:bookmarkStart w:id="181" w:name="_Toc48828421"/>
      <w:r>
        <w:t>Note 3.3</w:t>
      </w:r>
      <w:bookmarkEnd w:id="180"/>
      <w:r>
        <w:t xml:space="preserve"> </w:t>
      </w:r>
      <w:r w:rsidRPr="008F25A5">
        <w:t>Related party disclosures</w:t>
      </w:r>
      <w:bookmarkEnd w:id="181"/>
    </w:p>
    <w:p w14:paraId="7B6736FA" w14:textId="7FA84E53" w:rsidR="008F25A5" w:rsidRPr="008F25A5" w:rsidRDefault="008F25A5" w:rsidP="008F25A5">
      <w:pPr>
        <w:pStyle w:val="Body"/>
        <w:rPr>
          <w:rFonts w:asciiTheme="majorHAnsi" w:hAnsiTheme="majorHAnsi"/>
        </w:rPr>
      </w:pPr>
      <w:r w:rsidRPr="008F25A5">
        <w:rPr>
          <w:rFonts w:asciiTheme="majorHAnsi" w:hAnsiTheme="majorHAnsi"/>
        </w:rPr>
        <w:t>Related party relationships:</w:t>
      </w:r>
    </w:p>
    <w:p w14:paraId="7A9B91E4" w14:textId="29050042" w:rsidR="00776B85" w:rsidRDefault="008F25A5" w:rsidP="008F25A5">
      <w:pPr>
        <w:pStyle w:val="Body"/>
      </w:pPr>
      <w:r>
        <w:t>The entity is an Australian Government controlled entity.  Related parties to this entity are the key management personnel as per Note 3.2 Key Management Personnel Remuneration and other Australian</w:t>
      </w:r>
      <w:r>
        <w:tab/>
        <w:t xml:space="preserve"> Government entities.</w:t>
      </w:r>
    </w:p>
    <w:p w14:paraId="3FE7BE31" w14:textId="0B073462" w:rsidR="008F25A5" w:rsidRPr="008F25A5" w:rsidRDefault="008F25A5" w:rsidP="008F25A5">
      <w:pPr>
        <w:pStyle w:val="Body"/>
        <w:rPr>
          <w:rFonts w:asciiTheme="majorHAnsi" w:hAnsiTheme="majorHAnsi"/>
        </w:rPr>
      </w:pPr>
      <w:r w:rsidRPr="008F25A5">
        <w:rPr>
          <w:rFonts w:asciiTheme="majorHAnsi" w:hAnsiTheme="majorHAnsi"/>
        </w:rPr>
        <w:t>Transactions with related parties:</w:t>
      </w:r>
    </w:p>
    <w:p w14:paraId="2B053692" w14:textId="14C5FCA0" w:rsidR="008F25A5" w:rsidRDefault="008F25A5" w:rsidP="008F25A5">
      <w:pPr>
        <w:pStyle w:val="Body"/>
      </w:pPr>
      <w:r>
        <w:t>Given the breadth of Government activities, related parties may transact with the Government sector in</w:t>
      </w:r>
      <w:r w:rsidR="001613B2">
        <w:t> </w:t>
      </w:r>
      <w:r>
        <w:t>the same capacity as ordinary citizens. Such transactions include the payment or refund of taxes, receipt of a Medicare rebate or higher education loans. These transactions have not been separately disclosed in this note.</w:t>
      </w:r>
    </w:p>
    <w:p w14:paraId="2E7148BA" w14:textId="39FFD1D8" w:rsidR="008F25A5" w:rsidRDefault="008F25A5" w:rsidP="008F25A5">
      <w:pPr>
        <w:pStyle w:val="Body"/>
      </w:pPr>
      <w:r>
        <w:lastRenderedPageBreak/>
        <w:t>Giving consideration to relationships with related entities, and transactions entered into during the reporting period by the entity, it has been determined that there are no related party transactions to be separately disclosed.</w:t>
      </w:r>
    </w:p>
    <w:p w14:paraId="2A8A4B5D" w14:textId="77777777" w:rsidR="008F25A5" w:rsidRDefault="008F25A5" w:rsidP="00646163">
      <w:pPr>
        <w:pStyle w:val="Body"/>
      </w:pPr>
    </w:p>
    <w:p w14:paraId="2B243FA1" w14:textId="7AD93A39" w:rsidR="009E5E6F" w:rsidRDefault="009E5E6F" w:rsidP="00646163">
      <w:pPr>
        <w:pStyle w:val="Body"/>
        <w:sectPr w:rsidR="009E5E6F" w:rsidSect="000C706A">
          <w:footnotePr>
            <w:pos w:val="beneathText"/>
            <w:numRestart w:val="eachSect"/>
          </w:footnotePr>
          <w:type w:val="continuous"/>
          <w:pgSz w:w="9979" w:h="14175" w:code="13"/>
          <w:pgMar w:top="1134" w:right="1418" w:bottom="992" w:left="1418" w:header="709" w:footer="709" w:gutter="0"/>
          <w:cols w:space="623"/>
          <w:docGrid w:linePitch="360"/>
        </w:sectPr>
      </w:pPr>
    </w:p>
    <w:p w14:paraId="6BB1A153" w14:textId="69E4382D" w:rsidR="009541BF" w:rsidRDefault="009541BF" w:rsidP="009541BF">
      <w:pPr>
        <w:pStyle w:val="H3Financials"/>
        <w:spacing w:before="0"/>
      </w:pPr>
      <w:bookmarkStart w:id="182" w:name="_Toc48828422"/>
      <w:bookmarkStart w:id="183" w:name="ManagingUncertainties"/>
      <w:r>
        <w:lastRenderedPageBreak/>
        <w:t>Managing uncertainties</w:t>
      </w:r>
      <w:bookmarkEnd w:id="182"/>
    </w:p>
    <w:bookmarkEnd w:id="183"/>
    <w:p w14:paraId="1886E484" w14:textId="5CCAA41A" w:rsidR="009541BF" w:rsidRPr="00C577EA" w:rsidRDefault="009541BF" w:rsidP="009541BF">
      <w:pPr>
        <w:rPr>
          <w:color w:val="1C1C1C"/>
          <w:sz w:val="18"/>
          <w:szCs w:val="18"/>
        </w:rPr>
      </w:pPr>
      <w:r w:rsidRPr="009541BF">
        <w:rPr>
          <w:color w:val="1C1C1C"/>
          <w:sz w:val="18"/>
          <w:szCs w:val="18"/>
        </w:rPr>
        <w:t>This section analyses how IHPA manages financial risks within its operating environment.</w:t>
      </w:r>
    </w:p>
    <w:p w14:paraId="09F95D12" w14:textId="3A7749F6" w:rsidR="009541BF" w:rsidRDefault="009541BF" w:rsidP="00236574">
      <w:pPr>
        <w:pStyle w:val="H4Financials"/>
      </w:pPr>
      <w:bookmarkStart w:id="184" w:name="Note41"/>
      <w:bookmarkStart w:id="185" w:name="_Toc48828423"/>
      <w:r>
        <w:t>Note 4.1</w:t>
      </w:r>
      <w:bookmarkEnd w:id="184"/>
      <w:r>
        <w:t xml:space="preserve"> </w:t>
      </w:r>
      <w:r w:rsidRPr="009541BF">
        <w:t>Contingent assets and liabilities</w:t>
      </w:r>
      <w:bookmarkEnd w:id="185"/>
    </w:p>
    <w:p w14:paraId="339FF228" w14:textId="2544C596" w:rsidR="009541BF" w:rsidRPr="009541BF" w:rsidRDefault="009541BF" w:rsidP="009541BF">
      <w:pPr>
        <w:pStyle w:val="Body"/>
        <w:rPr>
          <w:rFonts w:asciiTheme="majorHAnsi" w:hAnsiTheme="majorHAnsi"/>
        </w:rPr>
      </w:pPr>
      <w:r w:rsidRPr="009541BF">
        <w:rPr>
          <w:rFonts w:asciiTheme="majorHAnsi" w:hAnsiTheme="majorHAnsi"/>
        </w:rPr>
        <w:t>Quantifiable contingencies</w:t>
      </w:r>
    </w:p>
    <w:p w14:paraId="671AA103" w14:textId="583309C2" w:rsidR="009541BF" w:rsidRDefault="009541BF" w:rsidP="009541BF">
      <w:pPr>
        <w:pStyle w:val="Body"/>
      </w:pPr>
      <w:r>
        <w:t>There were no quantifiable contingent assets or liabilities in this reporting period (2019: nil).</w:t>
      </w:r>
    </w:p>
    <w:p w14:paraId="039FE176" w14:textId="49C21CF9" w:rsidR="009541BF" w:rsidRPr="009541BF" w:rsidRDefault="009541BF" w:rsidP="009541BF">
      <w:pPr>
        <w:pStyle w:val="Body"/>
        <w:rPr>
          <w:rFonts w:asciiTheme="majorHAnsi" w:hAnsiTheme="majorHAnsi"/>
        </w:rPr>
      </w:pPr>
      <w:r w:rsidRPr="009541BF">
        <w:rPr>
          <w:rFonts w:asciiTheme="majorHAnsi" w:hAnsiTheme="majorHAnsi"/>
        </w:rPr>
        <w:t>Unquantifiable contingencies</w:t>
      </w:r>
    </w:p>
    <w:p w14:paraId="374EB069" w14:textId="0B4DEB86" w:rsidR="009541BF" w:rsidRDefault="009541BF" w:rsidP="009541BF">
      <w:pPr>
        <w:pStyle w:val="Body"/>
      </w:pPr>
      <w:r>
        <w:t>There were no unquantifiable contingent assets or liabilities in this reporting period (2019: nil)</w:t>
      </w:r>
    </w:p>
    <w:p w14:paraId="60D27CEA" w14:textId="47513BFC" w:rsidR="009541BF" w:rsidRPr="009541BF" w:rsidRDefault="009541BF" w:rsidP="009541BF">
      <w:pPr>
        <w:pStyle w:val="Body"/>
        <w:rPr>
          <w:rFonts w:asciiTheme="majorHAnsi" w:hAnsiTheme="majorHAnsi"/>
        </w:rPr>
      </w:pPr>
      <w:r w:rsidRPr="009541BF">
        <w:rPr>
          <w:rFonts w:asciiTheme="majorHAnsi" w:hAnsiTheme="majorHAnsi"/>
        </w:rPr>
        <w:t>Significant remote contingencies</w:t>
      </w:r>
    </w:p>
    <w:p w14:paraId="194C57EB" w14:textId="12771741" w:rsidR="009541BF" w:rsidRDefault="009541BF" w:rsidP="009541BF">
      <w:pPr>
        <w:pStyle w:val="Body"/>
      </w:pPr>
      <w:r>
        <w:t>There were no significant remote contingent assets or liabilities in this reporting period (2019: nil).</w:t>
      </w:r>
    </w:p>
    <w:tbl>
      <w:tblPr>
        <w:tblStyle w:val="TableGrid"/>
        <w:tblW w:w="4993" w:type="pct"/>
        <w:tblCellMar>
          <w:top w:w="113" w:type="dxa"/>
          <w:bottom w:w="113" w:type="dxa"/>
        </w:tblCellMar>
        <w:tblLook w:val="04A0" w:firstRow="1" w:lastRow="0" w:firstColumn="1" w:lastColumn="0" w:noHBand="0" w:noVBand="1"/>
      </w:tblPr>
      <w:tblGrid>
        <w:gridCol w:w="7123"/>
      </w:tblGrid>
      <w:tr w:rsidR="00E668C6" w14:paraId="17BB81FC" w14:textId="77777777" w:rsidTr="00633EA7">
        <w:tc>
          <w:tcPr>
            <w:tcW w:w="5000" w:type="pct"/>
          </w:tcPr>
          <w:p w14:paraId="375AB8E6" w14:textId="77777777" w:rsidR="00E668C6" w:rsidRPr="005300C0" w:rsidRDefault="00E668C6" w:rsidP="00303955">
            <w:pPr>
              <w:pStyle w:val="Body"/>
              <w:spacing w:after="120" w:line="288" w:lineRule="auto"/>
              <w:rPr>
                <w:rFonts w:asciiTheme="majorHAnsi" w:hAnsiTheme="majorHAnsi"/>
              </w:rPr>
            </w:pPr>
            <w:r w:rsidRPr="005300C0">
              <w:rPr>
                <w:rFonts w:asciiTheme="majorHAnsi" w:hAnsiTheme="majorHAnsi"/>
              </w:rPr>
              <w:t>Accounting Policy</w:t>
            </w:r>
          </w:p>
          <w:p w14:paraId="2E742B6B" w14:textId="04E2A42C" w:rsidR="00E668C6" w:rsidRPr="00303955" w:rsidRDefault="00E668C6" w:rsidP="00633EA7">
            <w:pPr>
              <w:pStyle w:val="Body"/>
              <w:spacing w:after="120" w:line="288" w:lineRule="auto"/>
              <w:rPr>
                <w:b/>
                <w:bCs/>
              </w:rPr>
            </w:pPr>
            <w:r w:rsidRPr="00303955">
              <w:rPr>
                <w:b/>
                <w:bCs/>
              </w:rPr>
              <w:t>Contingent asset and liabilities</w:t>
            </w:r>
          </w:p>
          <w:p w14:paraId="53E8741E" w14:textId="1533EF73" w:rsidR="00E668C6" w:rsidRPr="00E668C6" w:rsidRDefault="00E668C6" w:rsidP="00EE3420">
            <w:pPr>
              <w:pStyle w:val="Body"/>
              <w:spacing w:line="288" w:lineRule="auto"/>
              <w:rPr>
                <w:lang w:val="en-AU"/>
              </w:rPr>
            </w:pPr>
            <w:r w:rsidRPr="00E668C6">
              <w:rPr>
                <w:lang w:val="en-AU"/>
              </w:rPr>
              <w:t>Contingent liabilities and contingent assets are not recognised in the statement of financial position but are reported in the notes.  They may arise from uncertainty as to the existence of a liability or</w:t>
            </w:r>
            <w:r w:rsidR="00677B71">
              <w:rPr>
                <w:lang w:val="en-AU"/>
              </w:rPr>
              <w:t> </w:t>
            </w:r>
            <w:r w:rsidRPr="00E668C6">
              <w:rPr>
                <w:lang w:val="en-AU"/>
              </w:rPr>
              <w:t>asset, or represent an asset or liability in respect of which the amount cannot be reliably measured. Contingent assets are disclosed when settlement is probable but not virtually certain, and</w:t>
            </w:r>
            <w:r w:rsidR="00677B71">
              <w:rPr>
                <w:lang w:val="en-AU"/>
              </w:rPr>
              <w:t> </w:t>
            </w:r>
            <w:r w:rsidRPr="00E668C6">
              <w:rPr>
                <w:lang w:val="en-AU"/>
              </w:rPr>
              <w:t>contingent liabilities are disclosed when settlement is greater than remote.</w:t>
            </w:r>
          </w:p>
        </w:tc>
      </w:tr>
    </w:tbl>
    <w:p w14:paraId="4942F6F6" w14:textId="14B632E6" w:rsidR="00776B85" w:rsidRDefault="00776B85" w:rsidP="00646163">
      <w:pPr>
        <w:pStyle w:val="Body"/>
      </w:pPr>
    </w:p>
    <w:p w14:paraId="2CCB6597" w14:textId="77777777" w:rsidR="009541BF" w:rsidRDefault="009541BF" w:rsidP="00646163">
      <w:pPr>
        <w:pStyle w:val="Body"/>
      </w:pPr>
    </w:p>
    <w:p w14:paraId="159D0836" w14:textId="3D38DB54" w:rsidR="009E5E6F" w:rsidRDefault="009E5E6F" w:rsidP="00646163">
      <w:pPr>
        <w:pStyle w:val="Body"/>
        <w:sectPr w:rsidR="009E5E6F" w:rsidSect="00481983">
          <w:footnotePr>
            <w:pos w:val="beneathText"/>
          </w:footnotePr>
          <w:pgSz w:w="9979" w:h="14175" w:code="13"/>
          <w:pgMar w:top="1134" w:right="1418" w:bottom="992" w:left="1418" w:header="709" w:footer="709" w:gutter="0"/>
          <w:cols w:space="623"/>
          <w:docGrid w:linePitch="360"/>
        </w:sectPr>
      </w:pPr>
    </w:p>
    <w:p w14:paraId="7A31EE2E" w14:textId="542A8387" w:rsidR="002E2C31" w:rsidRDefault="002E2C31" w:rsidP="002E2C31">
      <w:pPr>
        <w:pStyle w:val="H4Financials"/>
        <w:spacing w:after="0"/>
      </w:pPr>
      <w:bookmarkStart w:id="186" w:name="Note42"/>
      <w:bookmarkStart w:id="187" w:name="_Toc48828424"/>
      <w:r>
        <w:lastRenderedPageBreak/>
        <w:t>Note 4.2</w:t>
      </w:r>
      <w:bookmarkEnd w:id="186"/>
      <w:r>
        <w:t xml:space="preserve"> </w:t>
      </w:r>
      <w:r w:rsidRPr="002E2C31">
        <w:t>Cash and financial instruments</w:t>
      </w:r>
      <w:bookmarkEnd w:id="187"/>
    </w:p>
    <w:tbl>
      <w:tblPr>
        <w:tblW w:w="7096" w:type="dxa"/>
        <w:tblInd w:w="-8" w:type="dxa"/>
        <w:tblLayout w:type="fixed"/>
        <w:tblCellMar>
          <w:left w:w="0" w:type="dxa"/>
          <w:right w:w="0" w:type="dxa"/>
        </w:tblCellMar>
        <w:tblLook w:val="0000" w:firstRow="0" w:lastRow="0" w:firstColumn="0" w:lastColumn="0" w:noHBand="0" w:noVBand="0"/>
      </w:tblPr>
      <w:tblGrid>
        <w:gridCol w:w="5111"/>
        <w:gridCol w:w="992"/>
        <w:gridCol w:w="993"/>
      </w:tblGrid>
      <w:tr w:rsidR="002C126E" w:rsidRPr="002C126E" w14:paraId="156C181C" w14:textId="77777777" w:rsidTr="00234087">
        <w:trPr>
          <w:trHeight w:val="340"/>
          <w:tblHeader/>
        </w:trPr>
        <w:tc>
          <w:tcPr>
            <w:tcW w:w="5111" w:type="dxa"/>
            <w:tcBorders>
              <w:bottom w:val="single" w:sz="4" w:space="0" w:color="FFFFFF" w:themeColor="background2"/>
            </w:tcBorders>
            <w:tcMar>
              <w:top w:w="28" w:type="dxa"/>
              <w:left w:w="113" w:type="dxa"/>
              <w:bottom w:w="28" w:type="dxa"/>
              <w:right w:w="113" w:type="dxa"/>
            </w:tcMar>
            <w:vAlign w:val="bottom"/>
          </w:tcPr>
          <w:p w14:paraId="688B440F" w14:textId="77777777" w:rsidR="002E2C31" w:rsidRPr="002C126E" w:rsidRDefault="002E2C31" w:rsidP="00633EA7">
            <w:pPr>
              <w:autoSpaceDE w:val="0"/>
              <w:autoSpaceDN w:val="0"/>
              <w:adjustRightInd w:val="0"/>
              <w:spacing w:after="0" w:line="240" w:lineRule="auto"/>
              <w:rPr>
                <w:rFonts w:ascii="Futura PT Book" w:hAnsi="Futura PT Book"/>
                <w:color w:val="1C1C1C"/>
                <w:sz w:val="24"/>
                <w:szCs w:val="24"/>
              </w:rPr>
            </w:pPr>
          </w:p>
        </w:tc>
        <w:tc>
          <w:tcPr>
            <w:tcW w:w="992" w:type="dxa"/>
            <w:tcBorders>
              <w:bottom w:val="single" w:sz="12" w:space="0" w:color="292929"/>
              <w:right w:val="single" w:sz="18" w:space="0" w:color="FFFFFF" w:themeColor="background2"/>
            </w:tcBorders>
            <w:tcMar>
              <w:top w:w="28" w:type="dxa"/>
              <w:left w:w="113" w:type="dxa"/>
              <w:bottom w:w="28" w:type="dxa"/>
              <w:right w:w="113" w:type="dxa"/>
            </w:tcMar>
            <w:vAlign w:val="bottom"/>
          </w:tcPr>
          <w:p w14:paraId="41BEDC46" w14:textId="77777777" w:rsidR="002E2C31" w:rsidRPr="002C126E" w:rsidRDefault="002E2C31"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2020</w:t>
            </w:r>
            <w:r w:rsidRPr="002C126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292929"/>
            </w:tcBorders>
            <w:tcMar>
              <w:top w:w="28" w:type="dxa"/>
              <w:left w:w="113" w:type="dxa"/>
              <w:bottom w:w="28" w:type="dxa"/>
              <w:right w:w="113" w:type="dxa"/>
            </w:tcMar>
            <w:vAlign w:val="bottom"/>
          </w:tcPr>
          <w:p w14:paraId="521547B0" w14:textId="77777777" w:rsidR="002E2C31" w:rsidRPr="002C126E" w:rsidRDefault="002E2C31" w:rsidP="00633EA7">
            <w:pPr>
              <w:suppressAutoHyphens/>
              <w:autoSpaceDE w:val="0"/>
              <w:autoSpaceDN w:val="0"/>
              <w:adjustRightInd w:val="0"/>
              <w:spacing w:after="57"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2019</w:t>
            </w:r>
            <w:r w:rsidRPr="002C126E">
              <w:rPr>
                <w:rFonts w:asciiTheme="majorHAnsi" w:hAnsiTheme="majorHAnsi" w:cs="Futura PT Heavy"/>
                <w:color w:val="1C1C1C"/>
                <w:sz w:val="16"/>
                <w:szCs w:val="16"/>
                <w:lang w:val="en-US"/>
              </w:rPr>
              <w:br/>
              <w:t>$’000</w:t>
            </w:r>
          </w:p>
        </w:tc>
      </w:tr>
      <w:tr w:rsidR="002C126E" w:rsidRPr="002C126E" w14:paraId="65EC334F" w14:textId="77777777" w:rsidTr="002550CF">
        <w:trPr>
          <w:trHeight w:val="170"/>
        </w:trPr>
        <w:tc>
          <w:tcPr>
            <w:tcW w:w="5111" w:type="dxa"/>
            <w:tcBorders>
              <w:top w:val="single" w:sz="4" w:space="0" w:color="FFFFFF" w:themeColor="background2"/>
              <w:left w:val="single" w:sz="4" w:space="0" w:color="FFFFFF" w:themeColor="background2"/>
              <w:bottom w:val="single" w:sz="4" w:space="0" w:color="FFFFFF" w:themeColor="background2"/>
            </w:tcBorders>
            <w:tcMar>
              <w:top w:w="17" w:type="dxa"/>
              <w:left w:w="80" w:type="dxa"/>
              <w:bottom w:w="17" w:type="dxa"/>
              <w:right w:w="80" w:type="dxa"/>
            </w:tcMar>
          </w:tcPr>
          <w:p w14:paraId="6EE5B699" w14:textId="6687D7DD"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Note 4.2A: Cash and cash equivalents</w:t>
            </w:r>
          </w:p>
        </w:tc>
        <w:tc>
          <w:tcPr>
            <w:tcW w:w="992" w:type="dxa"/>
            <w:tcBorders>
              <w:top w:val="single" w:sz="12" w:space="0" w:color="292929"/>
              <w:bottom w:val="single" w:sz="4" w:space="0" w:color="FFFFFF" w:themeColor="background2"/>
              <w:right w:val="single" w:sz="18" w:space="0" w:color="FFFFFF" w:themeColor="background2"/>
            </w:tcBorders>
            <w:tcMar>
              <w:top w:w="17" w:type="dxa"/>
              <w:left w:w="113" w:type="dxa"/>
              <w:bottom w:w="17" w:type="dxa"/>
              <w:right w:w="113" w:type="dxa"/>
            </w:tcMar>
          </w:tcPr>
          <w:p w14:paraId="7D9AEFE8" w14:textId="77777777" w:rsidR="002E2C31" w:rsidRPr="002C126E" w:rsidRDefault="002E2C31" w:rsidP="002E2C31">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12" w:space="0" w:color="292929"/>
              <w:left w:val="single" w:sz="18" w:space="0" w:color="FFFFFF" w:themeColor="background2"/>
            </w:tcBorders>
            <w:tcMar>
              <w:top w:w="17" w:type="dxa"/>
              <w:left w:w="113" w:type="dxa"/>
              <w:bottom w:w="17" w:type="dxa"/>
              <w:right w:w="113" w:type="dxa"/>
            </w:tcMar>
          </w:tcPr>
          <w:p w14:paraId="3BF29FE0" w14:textId="77777777" w:rsidR="002E2C31" w:rsidRPr="002C126E" w:rsidRDefault="002E2C31" w:rsidP="002E2C31">
            <w:pPr>
              <w:autoSpaceDE w:val="0"/>
              <w:autoSpaceDN w:val="0"/>
              <w:adjustRightInd w:val="0"/>
              <w:spacing w:after="0" w:line="240" w:lineRule="auto"/>
              <w:jc w:val="right"/>
              <w:rPr>
                <w:color w:val="1C1C1C"/>
                <w:sz w:val="14"/>
                <w:szCs w:val="14"/>
              </w:rPr>
            </w:pPr>
          </w:p>
        </w:tc>
      </w:tr>
      <w:tr w:rsidR="002C126E" w:rsidRPr="002C126E" w14:paraId="29D75FB2" w14:textId="77777777" w:rsidTr="00234087">
        <w:trPr>
          <w:trHeight w:val="170"/>
        </w:trPr>
        <w:tc>
          <w:tcPr>
            <w:tcW w:w="5111" w:type="dxa"/>
            <w:tcBorders>
              <w:top w:val="single" w:sz="4" w:space="0" w:color="FFFFFF" w:themeColor="background2"/>
              <w:left w:val="single" w:sz="4" w:space="0" w:color="FFFFFF" w:themeColor="background2"/>
            </w:tcBorders>
            <w:tcMar>
              <w:top w:w="17" w:type="dxa"/>
              <w:left w:w="80" w:type="dxa"/>
              <w:bottom w:w="17" w:type="dxa"/>
              <w:right w:w="80" w:type="dxa"/>
            </w:tcMar>
          </w:tcPr>
          <w:p w14:paraId="31793CDC" w14:textId="011A02C0" w:rsidR="002E2C31" w:rsidRPr="002C126E" w:rsidRDefault="002E2C31" w:rsidP="002E2C31">
            <w:pPr>
              <w:suppressAutoHyphens/>
              <w:autoSpaceDE w:val="0"/>
              <w:autoSpaceDN w:val="0"/>
              <w:adjustRightInd w:val="0"/>
              <w:spacing w:after="0" w:line="240" w:lineRule="auto"/>
              <w:textAlignment w:val="center"/>
              <w:rPr>
                <w:rFonts w:cs="Futura PT Book"/>
                <w:color w:val="1C1C1C"/>
                <w:sz w:val="14"/>
                <w:szCs w:val="14"/>
                <w:lang w:val="en-US"/>
              </w:rPr>
            </w:pPr>
            <w:r w:rsidRPr="002C126E">
              <w:rPr>
                <w:color w:val="1C1C1C"/>
                <w:sz w:val="14"/>
                <w:szCs w:val="14"/>
              </w:rPr>
              <w:t>Cash on deposit</w:t>
            </w:r>
          </w:p>
        </w:tc>
        <w:tc>
          <w:tcPr>
            <w:tcW w:w="992" w:type="dxa"/>
            <w:tcBorders>
              <w:top w:val="single" w:sz="4" w:space="0" w:color="FFFFFF" w:themeColor="background2"/>
            </w:tcBorders>
            <w:tcMar>
              <w:top w:w="17" w:type="dxa"/>
              <w:left w:w="113" w:type="dxa"/>
              <w:bottom w:w="17" w:type="dxa"/>
              <w:right w:w="113" w:type="dxa"/>
            </w:tcMar>
          </w:tcPr>
          <w:p w14:paraId="132091A0" w14:textId="229E822B" w:rsidR="002E2C31" w:rsidRPr="002C126E" w:rsidRDefault="00E055C2" w:rsidP="002E2C3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2C126E">
              <w:rPr>
                <w:rFonts w:asciiTheme="majorHAnsi" w:hAnsiTheme="majorHAnsi" w:cs="Futura PT Book"/>
                <w:color w:val="1C1C1C"/>
                <w:sz w:val="14"/>
                <w:szCs w:val="14"/>
                <w:lang w:val="en-US"/>
              </w:rPr>
              <w:t>14,119</w:t>
            </w:r>
          </w:p>
        </w:tc>
        <w:tc>
          <w:tcPr>
            <w:tcW w:w="993" w:type="dxa"/>
            <w:tcMar>
              <w:top w:w="17" w:type="dxa"/>
              <w:left w:w="113" w:type="dxa"/>
              <w:bottom w:w="17" w:type="dxa"/>
              <w:right w:w="113" w:type="dxa"/>
            </w:tcMar>
          </w:tcPr>
          <w:p w14:paraId="637F6876" w14:textId="6CEB5A40" w:rsidR="002E2C31" w:rsidRPr="002C126E" w:rsidRDefault="00E055C2" w:rsidP="002E2C31">
            <w:pPr>
              <w:suppressAutoHyphens/>
              <w:autoSpaceDE w:val="0"/>
              <w:autoSpaceDN w:val="0"/>
              <w:adjustRightInd w:val="0"/>
              <w:spacing w:after="0" w:line="240" w:lineRule="auto"/>
              <w:jc w:val="right"/>
              <w:textAlignment w:val="center"/>
              <w:rPr>
                <w:rFonts w:cs="Futura PT Book"/>
                <w:color w:val="1C1C1C"/>
                <w:sz w:val="14"/>
                <w:szCs w:val="14"/>
                <w:lang w:val="en-US"/>
              </w:rPr>
            </w:pPr>
            <w:r w:rsidRPr="002C126E">
              <w:rPr>
                <w:color w:val="1C1C1C"/>
                <w:sz w:val="14"/>
                <w:szCs w:val="14"/>
              </w:rPr>
              <w:t>13,896</w:t>
            </w:r>
          </w:p>
        </w:tc>
      </w:tr>
      <w:tr w:rsidR="002C126E" w:rsidRPr="002C126E" w14:paraId="015E4745" w14:textId="77777777" w:rsidTr="00234087">
        <w:trPr>
          <w:trHeight w:val="170"/>
        </w:trPr>
        <w:tc>
          <w:tcPr>
            <w:tcW w:w="5111" w:type="dxa"/>
            <w:tcMar>
              <w:top w:w="17" w:type="dxa"/>
              <w:left w:w="80" w:type="dxa"/>
              <w:bottom w:w="17" w:type="dxa"/>
              <w:right w:w="80" w:type="dxa"/>
            </w:tcMar>
          </w:tcPr>
          <w:p w14:paraId="467EE78F" w14:textId="4F7AE3C2" w:rsidR="002E2C31" w:rsidRPr="002C126E" w:rsidRDefault="002E2C31" w:rsidP="00633EA7">
            <w:pPr>
              <w:suppressAutoHyphens/>
              <w:autoSpaceDE w:val="0"/>
              <w:autoSpaceDN w:val="0"/>
              <w:adjustRightInd w:val="0"/>
              <w:spacing w:after="0" w:line="240" w:lineRule="auto"/>
              <w:textAlignment w:val="center"/>
              <w:rPr>
                <w:rFonts w:cs="Futura PT Book"/>
                <w:color w:val="1C1C1C"/>
                <w:sz w:val="14"/>
                <w:szCs w:val="14"/>
                <w:lang w:val="en-US"/>
              </w:rPr>
            </w:pPr>
          </w:p>
        </w:tc>
        <w:tc>
          <w:tcPr>
            <w:tcW w:w="992" w:type="dxa"/>
            <w:tcMar>
              <w:top w:w="17" w:type="dxa"/>
              <w:left w:w="113" w:type="dxa"/>
              <w:bottom w:w="17" w:type="dxa"/>
              <w:right w:w="113" w:type="dxa"/>
            </w:tcMar>
          </w:tcPr>
          <w:p w14:paraId="0D864620" w14:textId="76A201C7" w:rsidR="002E2C31" w:rsidRPr="002C126E" w:rsidRDefault="002E2C31" w:rsidP="002E2C3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733CDFB0" w14:textId="5196863B" w:rsidR="002E2C31" w:rsidRPr="002C126E" w:rsidRDefault="002E2C31" w:rsidP="002E2C31">
            <w:pPr>
              <w:suppressAutoHyphens/>
              <w:autoSpaceDE w:val="0"/>
              <w:autoSpaceDN w:val="0"/>
              <w:adjustRightInd w:val="0"/>
              <w:spacing w:after="0" w:line="240" w:lineRule="auto"/>
              <w:jc w:val="right"/>
              <w:textAlignment w:val="center"/>
              <w:rPr>
                <w:rFonts w:cs="Futura PT Book"/>
                <w:color w:val="1C1C1C"/>
                <w:sz w:val="14"/>
                <w:szCs w:val="14"/>
                <w:lang w:val="en-US"/>
              </w:rPr>
            </w:pPr>
          </w:p>
        </w:tc>
      </w:tr>
      <w:tr w:rsidR="002C126E" w:rsidRPr="002C126E" w14:paraId="7213522C" w14:textId="77777777" w:rsidTr="00234087">
        <w:trPr>
          <w:trHeight w:val="170"/>
        </w:trPr>
        <w:tc>
          <w:tcPr>
            <w:tcW w:w="5111" w:type="dxa"/>
            <w:tcMar>
              <w:top w:w="17" w:type="dxa"/>
              <w:left w:w="80" w:type="dxa"/>
              <w:bottom w:w="17" w:type="dxa"/>
              <w:right w:w="80" w:type="dxa"/>
            </w:tcMar>
          </w:tcPr>
          <w:p w14:paraId="18E0DDF0" w14:textId="53A46BFF"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olor w:val="1C1C1C"/>
                <w:sz w:val="14"/>
                <w:szCs w:val="14"/>
              </w:rPr>
            </w:pPr>
            <w:r w:rsidRPr="002C126E">
              <w:rPr>
                <w:rFonts w:asciiTheme="majorHAnsi" w:hAnsiTheme="majorHAnsi"/>
                <w:color w:val="1C1C1C"/>
                <w:sz w:val="14"/>
                <w:szCs w:val="14"/>
              </w:rPr>
              <w:t>Note 4.2B: Financial instruments (assets)</w:t>
            </w:r>
          </w:p>
        </w:tc>
        <w:tc>
          <w:tcPr>
            <w:tcW w:w="992" w:type="dxa"/>
            <w:tcMar>
              <w:top w:w="17" w:type="dxa"/>
              <w:left w:w="113" w:type="dxa"/>
              <w:bottom w:w="17" w:type="dxa"/>
              <w:right w:w="113" w:type="dxa"/>
            </w:tcMar>
          </w:tcPr>
          <w:p w14:paraId="05AEF8B0" w14:textId="77777777" w:rsidR="002E2C31" w:rsidRPr="002C126E" w:rsidRDefault="002E2C31" w:rsidP="002E2C3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p>
        </w:tc>
        <w:tc>
          <w:tcPr>
            <w:tcW w:w="993" w:type="dxa"/>
            <w:tcMar>
              <w:top w:w="17" w:type="dxa"/>
              <w:left w:w="113" w:type="dxa"/>
              <w:bottom w:w="17" w:type="dxa"/>
              <w:right w:w="113" w:type="dxa"/>
            </w:tcMar>
          </w:tcPr>
          <w:p w14:paraId="24873545" w14:textId="77777777" w:rsidR="002E2C31" w:rsidRPr="002C126E" w:rsidRDefault="002E2C31" w:rsidP="002E2C31">
            <w:pPr>
              <w:suppressAutoHyphens/>
              <w:autoSpaceDE w:val="0"/>
              <w:autoSpaceDN w:val="0"/>
              <w:adjustRightInd w:val="0"/>
              <w:spacing w:after="0" w:line="240" w:lineRule="auto"/>
              <w:jc w:val="right"/>
              <w:textAlignment w:val="center"/>
              <w:rPr>
                <w:color w:val="1C1C1C"/>
                <w:sz w:val="14"/>
                <w:szCs w:val="14"/>
              </w:rPr>
            </w:pPr>
          </w:p>
        </w:tc>
      </w:tr>
      <w:tr w:rsidR="002C126E" w:rsidRPr="002C126E" w14:paraId="345DFB2C" w14:textId="77777777" w:rsidTr="00234087">
        <w:trPr>
          <w:trHeight w:val="170"/>
        </w:trPr>
        <w:tc>
          <w:tcPr>
            <w:tcW w:w="5111" w:type="dxa"/>
            <w:tcMar>
              <w:top w:w="17" w:type="dxa"/>
              <w:left w:w="80" w:type="dxa"/>
              <w:bottom w:w="17" w:type="dxa"/>
              <w:right w:w="80" w:type="dxa"/>
            </w:tcMar>
          </w:tcPr>
          <w:p w14:paraId="6A4449B8" w14:textId="75902813"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Financial assets at amortised cost</w:t>
            </w:r>
          </w:p>
        </w:tc>
        <w:tc>
          <w:tcPr>
            <w:tcW w:w="992" w:type="dxa"/>
            <w:tcMar>
              <w:top w:w="17" w:type="dxa"/>
              <w:left w:w="113" w:type="dxa"/>
              <w:bottom w:w="17" w:type="dxa"/>
              <w:right w:w="113" w:type="dxa"/>
            </w:tcMar>
          </w:tcPr>
          <w:p w14:paraId="58CD1772" w14:textId="77777777" w:rsidR="002E2C31" w:rsidRPr="002C126E" w:rsidRDefault="002E2C31" w:rsidP="002E2C31">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4F095711" w14:textId="77777777" w:rsidR="002E2C31" w:rsidRPr="002C126E" w:rsidRDefault="002E2C31" w:rsidP="002E2C31">
            <w:pPr>
              <w:autoSpaceDE w:val="0"/>
              <w:autoSpaceDN w:val="0"/>
              <w:adjustRightInd w:val="0"/>
              <w:spacing w:after="0" w:line="240" w:lineRule="auto"/>
              <w:jc w:val="right"/>
              <w:rPr>
                <w:color w:val="1C1C1C"/>
                <w:sz w:val="14"/>
                <w:szCs w:val="14"/>
              </w:rPr>
            </w:pPr>
          </w:p>
        </w:tc>
      </w:tr>
      <w:tr w:rsidR="002C126E" w:rsidRPr="002C126E" w14:paraId="30FA202F" w14:textId="77777777" w:rsidTr="00234087">
        <w:trPr>
          <w:trHeight w:val="170"/>
        </w:trPr>
        <w:tc>
          <w:tcPr>
            <w:tcW w:w="5111" w:type="dxa"/>
            <w:tcMar>
              <w:top w:w="17" w:type="dxa"/>
              <w:left w:w="80" w:type="dxa"/>
              <w:bottom w:w="17" w:type="dxa"/>
              <w:right w:w="80" w:type="dxa"/>
            </w:tcMar>
          </w:tcPr>
          <w:p w14:paraId="14799237" w14:textId="205F16BD" w:rsidR="002E2C31" w:rsidRPr="002C126E" w:rsidRDefault="002E2C31" w:rsidP="002E2C31">
            <w:pPr>
              <w:suppressAutoHyphens/>
              <w:autoSpaceDE w:val="0"/>
              <w:autoSpaceDN w:val="0"/>
              <w:adjustRightInd w:val="0"/>
              <w:spacing w:after="0" w:line="240" w:lineRule="auto"/>
              <w:ind w:left="113"/>
              <w:textAlignment w:val="center"/>
              <w:rPr>
                <w:rFonts w:cs="Futura PT Book"/>
                <w:color w:val="1C1C1C"/>
                <w:sz w:val="14"/>
                <w:szCs w:val="14"/>
                <w:lang w:val="en-US"/>
              </w:rPr>
            </w:pPr>
            <w:r w:rsidRPr="002C126E">
              <w:rPr>
                <w:color w:val="1C1C1C"/>
                <w:sz w:val="14"/>
                <w:szCs w:val="14"/>
              </w:rPr>
              <w:t>Trade and other receivables</w:t>
            </w:r>
          </w:p>
        </w:tc>
        <w:tc>
          <w:tcPr>
            <w:tcW w:w="992" w:type="dxa"/>
            <w:tcMar>
              <w:top w:w="17" w:type="dxa"/>
              <w:left w:w="113" w:type="dxa"/>
              <w:bottom w:w="17" w:type="dxa"/>
              <w:right w:w="113" w:type="dxa"/>
            </w:tcMar>
          </w:tcPr>
          <w:p w14:paraId="16EB098C" w14:textId="2FB1BFF4" w:rsidR="002E2C31" w:rsidRPr="002C126E" w:rsidRDefault="00E055C2" w:rsidP="002E2C31">
            <w:pPr>
              <w:autoSpaceDE w:val="0"/>
              <w:autoSpaceDN w:val="0"/>
              <w:adjustRightInd w:val="0"/>
              <w:spacing w:after="0" w:line="240" w:lineRule="auto"/>
              <w:jc w:val="right"/>
              <w:rPr>
                <w:rFonts w:asciiTheme="majorHAnsi" w:hAnsiTheme="majorHAnsi"/>
                <w:color w:val="1C1C1C"/>
                <w:sz w:val="14"/>
                <w:szCs w:val="14"/>
              </w:rPr>
            </w:pPr>
            <w:r w:rsidRPr="002C126E">
              <w:rPr>
                <w:rFonts w:asciiTheme="majorHAnsi" w:hAnsiTheme="majorHAnsi"/>
                <w:color w:val="1C1C1C"/>
                <w:sz w:val="14"/>
                <w:szCs w:val="14"/>
              </w:rPr>
              <w:t>12</w:t>
            </w:r>
          </w:p>
        </w:tc>
        <w:tc>
          <w:tcPr>
            <w:tcW w:w="993" w:type="dxa"/>
            <w:tcMar>
              <w:top w:w="17" w:type="dxa"/>
              <w:left w:w="113" w:type="dxa"/>
              <w:bottom w:w="17" w:type="dxa"/>
              <w:right w:w="113" w:type="dxa"/>
            </w:tcMar>
          </w:tcPr>
          <w:p w14:paraId="51D9F0DD" w14:textId="50ECED8C" w:rsidR="002E2C31" w:rsidRPr="002C126E" w:rsidRDefault="00E055C2" w:rsidP="002E2C31">
            <w:pPr>
              <w:autoSpaceDE w:val="0"/>
              <w:autoSpaceDN w:val="0"/>
              <w:adjustRightInd w:val="0"/>
              <w:spacing w:after="0" w:line="240" w:lineRule="auto"/>
              <w:jc w:val="right"/>
              <w:rPr>
                <w:color w:val="1C1C1C"/>
                <w:sz w:val="14"/>
                <w:szCs w:val="14"/>
              </w:rPr>
            </w:pPr>
            <w:r w:rsidRPr="002C126E">
              <w:rPr>
                <w:color w:val="1C1C1C"/>
                <w:sz w:val="14"/>
                <w:szCs w:val="14"/>
              </w:rPr>
              <w:t>851</w:t>
            </w:r>
          </w:p>
        </w:tc>
      </w:tr>
      <w:tr w:rsidR="002C126E" w:rsidRPr="002C126E" w14:paraId="181AC3B6" w14:textId="77777777" w:rsidTr="00A233AB">
        <w:trPr>
          <w:trHeight w:val="170"/>
        </w:trPr>
        <w:tc>
          <w:tcPr>
            <w:tcW w:w="5111" w:type="dxa"/>
            <w:tcMar>
              <w:top w:w="17" w:type="dxa"/>
              <w:left w:w="80" w:type="dxa"/>
              <w:bottom w:w="17" w:type="dxa"/>
              <w:right w:w="80" w:type="dxa"/>
            </w:tcMar>
          </w:tcPr>
          <w:p w14:paraId="06B17302" w14:textId="1C8C0D4C" w:rsidR="002E2C31" w:rsidRPr="002C126E" w:rsidRDefault="002E2C31" w:rsidP="002E2C31">
            <w:pPr>
              <w:suppressAutoHyphens/>
              <w:autoSpaceDE w:val="0"/>
              <w:autoSpaceDN w:val="0"/>
              <w:adjustRightInd w:val="0"/>
              <w:spacing w:after="0" w:line="240" w:lineRule="auto"/>
              <w:ind w:left="113"/>
              <w:textAlignment w:val="center"/>
              <w:rPr>
                <w:rFonts w:cs="Futura PT Book"/>
                <w:color w:val="1C1C1C"/>
                <w:sz w:val="14"/>
                <w:szCs w:val="14"/>
                <w:lang w:val="en-US"/>
              </w:rPr>
            </w:pPr>
            <w:r w:rsidRPr="002C126E">
              <w:rPr>
                <w:color w:val="1C1C1C"/>
                <w:sz w:val="14"/>
                <w:szCs w:val="14"/>
              </w:rPr>
              <w:t>Less: Impairment allowance</w:t>
            </w:r>
          </w:p>
        </w:tc>
        <w:tc>
          <w:tcPr>
            <w:tcW w:w="992" w:type="dxa"/>
            <w:tcBorders>
              <w:bottom w:val="single" w:sz="4" w:space="0" w:color="auto"/>
              <w:right w:val="single" w:sz="8" w:space="0" w:color="FFFFFF" w:themeColor="background2"/>
            </w:tcBorders>
            <w:tcMar>
              <w:top w:w="17" w:type="dxa"/>
              <w:left w:w="113" w:type="dxa"/>
              <w:bottom w:w="17" w:type="dxa"/>
              <w:right w:w="113" w:type="dxa"/>
            </w:tcMar>
          </w:tcPr>
          <w:p w14:paraId="6095D596" w14:textId="7F947706" w:rsidR="002E2C31" w:rsidRPr="002C126E" w:rsidRDefault="00E055C2" w:rsidP="002E2C31">
            <w:pPr>
              <w:suppressAutoHyphens/>
              <w:autoSpaceDE w:val="0"/>
              <w:autoSpaceDN w:val="0"/>
              <w:adjustRightInd w:val="0"/>
              <w:spacing w:after="0" w:line="240" w:lineRule="auto"/>
              <w:jc w:val="right"/>
              <w:textAlignment w:val="center"/>
              <w:rPr>
                <w:rFonts w:asciiTheme="majorHAnsi" w:hAnsiTheme="majorHAnsi" w:cs="Futura PT Book"/>
                <w:color w:val="1C1C1C"/>
                <w:sz w:val="14"/>
                <w:szCs w:val="14"/>
                <w:lang w:val="en-US"/>
              </w:rPr>
            </w:pPr>
            <w:r w:rsidRPr="002C126E">
              <w:rPr>
                <w:rFonts w:asciiTheme="majorHAnsi" w:hAnsiTheme="majorHAnsi" w:cs="Futura PT Book"/>
                <w:color w:val="1C1C1C"/>
                <w:sz w:val="14"/>
                <w:szCs w:val="14"/>
                <w:lang w:val="en-US"/>
              </w:rPr>
              <w:t>-</w:t>
            </w:r>
          </w:p>
        </w:tc>
        <w:tc>
          <w:tcPr>
            <w:tcW w:w="993" w:type="dxa"/>
            <w:tcBorders>
              <w:left w:val="single" w:sz="8" w:space="0" w:color="FFFFFF" w:themeColor="background2"/>
              <w:bottom w:val="single" w:sz="4" w:space="0" w:color="auto"/>
            </w:tcBorders>
            <w:tcMar>
              <w:top w:w="17" w:type="dxa"/>
              <w:left w:w="113" w:type="dxa"/>
              <w:bottom w:w="17" w:type="dxa"/>
              <w:right w:w="113" w:type="dxa"/>
            </w:tcMar>
          </w:tcPr>
          <w:p w14:paraId="6F2FCEBB" w14:textId="465881A3" w:rsidR="002E2C31" w:rsidRPr="002C126E" w:rsidRDefault="00E055C2" w:rsidP="002E2C31">
            <w:pPr>
              <w:suppressAutoHyphens/>
              <w:autoSpaceDE w:val="0"/>
              <w:autoSpaceDN w:val="0"/>
              <w:adjustRightInd w:val="0"/>
              <w:spacing w:after="0" w:line="240" w:lineRule="auto"/>
              <w:jc w:val="right"/>
              <w:textAlignment w:val="center"/>
              <w:rPr>
                <w:rFonts w:cs="Futura PT Book"/>
                <w:color w:val="1C1C1C"/>
                <w:sz w:val="14"/>
                <w:szCs w:val="14"/>
                <w:lang w:val="en-US"/>
              </w:rPr>
            </w:pPr>
            <w:r w:rsidRPr="002C126E">
              <w:rPr>
                <w:color w:val="1C1C1C"/>
                <w:sz w:val="14"/>
                <w:szCs w:val="14"/>
              </w:rPr>
              <w:t>-</w:t>
            </w:r>
          </w:p>
        </w:tc>
      </w:tr>
      <w:tr w:rsidR="002C126E" w:rsidRPr="002C126E" w14:paraId="0D2E2A30" w14:textId="77777777" w:rsidTr="00A233AB">
        <w:trPr>
          <w:trHeight w:val="170"/>
        </w:trPr>
        <w:tc>
          <w:tcPr>
            <w:tcW w:w="5111" w:type="dxa"/>
            <w:tcMar>
              <w:top w:w="17" w:type="dxa"/>
              <w:left w:w="80" w:type="dxa"/>
              <w:bottom w:w="17" w:type="dxa"/>
              <w:right w:w="80" w:type="dxa"/>
            </w:tcMar>
          </w:tcPr>
          <w:p w14:paraId="55D2E69F" w14:textId="50DA0653"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Total assets at amortised cost</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16E642DF" w14:textId="438791B4" w:rsidR="002E2C31" w:rsidRPr="002C126E" w:rsidRDefault="00E055C2" w:rsidP="002E2C31">
            <w:pPr>
              <w:autoSpaceDE w:val="0"/>
              <w:autoSpaceDN w:val="0"/>
              <w:adjustRightInd w:val="0"/>
              <w:spacing w:after="0" w:line="240" w:lineRule="auto"/>
              <w:jc w:val="right"/>
              <w:rPr>
                <w:rFonts w:asciiTheme="majorHAnsi" w:hAnsiTheme="majorHAnsi"/>
                <w:color w:val="1C1C1C"/>
                <w:sz w:val="14"/>
                <w:szCs w:val="14"/>
              </w:rPr>
            </w:pPr>
            <w:r w:rsidRPr="002C126E">
              <w:rPr>
                <w:rFonts w:asciiTheme="majorHAnsi" w:hAnsiTheme="majorHAnsi"/>
                <w:color w:val="1C1C1C"/>
                <w:sz w:val="14"/>
                <w:szCs w:val="14"/>
              </w:rPr>
              <w:t>12</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1AA02813" w14:textId="3FED2E6B" w:rsidR="002E2C31" w:rsidRPr="002C126E" w:rsidRDefault="00E055C2" w:rsidP="002E2C31">
            <w:pPr>
              <w:suppressAutoHyphens/>
              <w:autoSpaceDE w:val="0"/>
              <w:autoSpaceDN w:val="0"/>
              <w:adjustRightInd w:val="0"/>
              <w:spacing w:after="0" w:line="240" w:lineRule="auto"/>
              <w:jc w:val="right"/>
              <w:textAlignment w:val="center"/>
              <w:rPr>
                <w:rFonts w:cs="Futura PT Book"/>
                <w:color w:val="1C1C1C"/>
                <w:sz w:val="14"/>
                <w:szCs w:val="14"/>
                <w:lang w:val="en-US"/>
              </w:rPr>
            </w:pPr>
            <w:r w:rsidRPr="002C126E">
              <w:rPr>
                <w:color w:val="1C1C1C"/>
                <w:sz w:val="14"/>
                <w:szCs w:val="14"/>
              </w:rPr>
              <w:t>851</w:t>
            </w:r>
          </w:p>
        </w:tc>
      </w:tr>
      <w:tr w:rsidR="002C126E" w:rsidRPr="002C126E" w14:paraId="1D88A2D5" w14:textId="77777777" w:rsidTr="00A233AB">
        <w:trPr>
          <w:trHeight w:val="57"/>
        </w:trPr>
        <w:tc>
          <w:tcPr>
            <w:tcW w:w="5111" w:type="dxa"/>
            <w:tcBorders>
              <w:bottom w:val="single" w:sz="8" w:space="0" w:color="FFFFFF" w:themeColor="background2"/>
            </w:tcBorders>
            <w:tcMar>
              <w:top w:w="17" w:type="dxa"/>
              <w:left w:w="80" w:type="dxa"/>
              <w:bottom w:w="17" w:type="dxa"/>
              <w:right w:w="80" w:type="dxa"/>
            </w:tcMar>
          </w:tcPr>
          <w:p w14:paraId="1B2E9BF3" w14:textId="77777777" w:rsidR="00A233AB" w:rsidRPr="002C126E" w:rsidRDefault="00A233AB" w:rsidP="002E2C31">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66218CAC" w14:textId="77777777" w:rsidR="00A233AB" w:rsidRPr="002C126E" w:rsidRDefault="00A233AB" w:rsidP="002E2C31">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301E82B2" w14:textId="77777777" w:rsidR="00A233AB" w:rsidRPr="002C126E" w:rsidRDefault="00A233AB" w:rsidP="002E2C31">
            <w:pPr>
              <w:suppressAutoHyphens/>
              <w:autoSpaceDE w:val="0"/>
              <w:autoSpaceDN w:val="0"/>
              <w:adjustRightInd w:val="0"/>
              <w:spacing w:after="0" w:line="240" w:lineRule="auto"/>
              <w:jc w:val="right"/>
              <w:textAlignment w:val="center"/>
              <w:rPr>
                <w:color w:val="1C1C1C"/>
                <w:sz w:val="4"/>
                <w:szCs w:val="4"/>
              </w:rPr>
            </w:pPr>
          </w:p>
        </w:tc>
      </w:tr>
      <w:tr w:rsidR="002C126E" w:rsidRPr="002C126E" w14:paraId="3F444C50" w14:textId="77777777" w:rsidTr="00A233AB">
        <w:trPr>
          <w:trHeight w:val="170"/>
        </w:trPr>
        <w:tc>
          <w:tcPr>
            <w:tcW w:w="5111" w:type="dxa"/>
            <w:tcBorders>
              <w:top w:val="single" w:sz="8" w:space="0" w:color="FFFFFF" w:themeColor="background2"/>
            </w:tcBorders>
            <w:tcMar>
              <w:top w:w="17" w:type="dxa"/>
              <w:left w:w="80" w:type="dxa"/>
              <w:bottom w:w="17" w:type="dxa"/>
              <w:right w:w="80" w:type="dxa"/>
            </w:tcMar>
          </w:tcPr>
          <w:p w14:paraId="04F6D38E" w14:textId="77777777" w:rsidR="002E2C31" w:rsidRPr="002C126E" w:rsidRDefault="002E2C31" w:rsidP="002E2C31">
            <w:pPr>
              <w:suppressAutoHyphens/>
              <w:autoSpaceDE w:val="0"/>
              <w:autoSpaceDN w:val="0"/>
              <w:adjustRightInd w:val="0"/>
              <w:spacing w:after="0" w:line="240" w:lineRule="auto"/>
              <w:textAlignment w:val="center"/>
              <w:rPr>
                <w:color w:val="1C1C1C"/>
                <w:sz w:val="14"/>
                <w:szCs w:val="14"/>
              </w:rPr>
            </w:pPr>
          </w:p>
        </w:tc>
        <w:tc>
          <w:tcPr>
            <w:tcW w:w="992" w:type="dxa"/>
            <w:tcBorders>
              <w:top w:val="single" w:sz="8" w:space="0" w:color="FFFFFF" w:themeColor="background2"/>
            </w:tcBorders>
            <w:tcMar>
              <w:top w:w="17" w:type="dxa"/>
              <w:left w:w="113" w:type="dxa"/>
              <w:bottom w:w="17" w:type="dxa"/>
              <w:right w:w="113" w:type="dxa"/>
            </w:tcMar>
          </w:tcPr>
          <w:p w14:paraId="0C1EA177" w14:textId="77777777" w:rsidR="002E2C31" w:rsidRPr="002C126E" w:rsidRDefault="002E2C31" w:rsidP="002E2C31">
            <w:pPr>
              <w:autoSpaceDE w:val="0"/>
              <w:autoSpaceDN w:val="0"/>
              <w:adjustRightInd w:val="0"/>
              <w:spacing w:after="0" w:line="240" w:lineRule="auto"/>
              <w:jc w:val="right"/>
              <w:rPr>
                <w:rFonts w:asciiTheme="majorHAnsi" w:hAnsiTheme="majorHAnsi"/>
                <w:color w:val="1C1C1C"/>
                <w:sz w:val="14"/>
                <w:szCs w:val="14"/>
              </w:rPr>
            </w:pPr>
          </w:p>
        </w:tc>
        <w:tc>
          <w:tcPr>
            <w:tcW w:w="993" w:type="dxa"/>
            <w:tcBorders>
              <w:top w:val="single" w:sz="8" w:space="0" w:color="FFFFFF" w:themeColor="background2"/>
            </w:tcBorders>
            <w:tcMar>
              <w:top w:w="17" w:type="dxa"/>
              <w:left w:w="113" w:type="dxa"/>
              <w:bottom w:w="17" w:type="dxa"/>
              <w:right w:w="113" w:type="dxa"/>
            </w:tcMar>
          </w:tcPr>
          <w:p w14:paraId="0E251286" w14:textId="77777777" w:rsidR="002E2C31" w:rsidRPr="002C126E" w:rsidRDefault="002E2C31" w:rsidP="002E2C31">
            <w:pPr>
              <w:suppressAutoHyphens/>
              <w:autoSpaceDE w:val="0"/>
              <w:autoSpaceDN w:val="0"/>
              <w:adjustRightInd w:val="0"/>
              <w:spacing w:after="0" w:line="240" w:lineRule="auto"/>
              <w:jc w:val="right"/>
              <w:textAlignment w:val="center"/>
              <w:rPr>
                <w:color w:val="1C1C1C"/>
                <w:sz w:val="14"/>
                <w:szCs w:val="14"/>
              </w:rPr>
            </w:pPr>
          </w:p>
        </w:tc>
      </w:tr>
      <w:tr w:rsidR="002C126E" w:rsidRPr="002C126E" w14:paraId="0C54544A" w14:textId="77777777" w:rsidTr="00234087">
        <w:trPr>
          <w:trHeight w:val="170"/>
        </w:trPr>
        <w:tc>
          <w:tcPr>
            <w:tcW w:w="5111" w:type="dxa"/>
            <w:tcMar>
              <w:top w:w="17" w:type="dxa"/>
              <w:left w:w="80" w:type="dxa"/>
              <w:bottom w:w="17" w:type="dxa"/>
              <w:right w:w="80" w:type="dxa"/>
            </w:tcMar>
          </w:tcPr>
          <w:p w14:paraId="1DB52548" w14:textId="54DFAA53"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olor w:val="1C1C1C"/>
                <w:sz w:val="14"/>
                <w:szCs w:val="14"/>
              </w:rPr>
            </w:pPr>
            <w:r w:rsidRPr="002C126E">
              <w:rPr>
                <w:rFonts w:asciiTheme="majorHAnsi" w:hAnsiTheme="majorHAnsi"/>
                <w:color w:val="1C1C1C"/>
                <w:sz w:val="14"/>
                <w:szCs w:val="14"/>
              </w:rPr>
              <w:t>Note 4.2C: Financial instruments (liabilities)</w:t>
            </w:r>
          </w:p>
        </w:tc>
        <w:tc>
          <w:tcPr>
            <w:tcW w:w="992" w:type="dxa"/>
            <w:tcMar>
              <w:top w:w="17" w:type="dxa"/>
              <w:left w:w="113" w:type="dxa"/>
              <w:bottom w:w="17" w:type="dxa"/>
              <w:right w:w="113" w:type="dxa"/>
            </w:tcMar>
          </w:tcPr>
          <w:p w14:paraId="496405C9" w14:textId="77777777" w:rsidR="002E2C31" w:rsidRPr="002C126E" w:rsidRDefault="002E2C31" w:rsidP="002E2C31">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1D3EC690" w14:textId="77777777" w:rsidR="002E2C31" w:rsidRPr="002C126E" w:rsidRDefault="002E2C31" w:rsidP="002E2C31">
            <w:pPr>
              <w:suppressAutoHyphens/>
              <w:autoSpaceDE w:val="0"/>
              <w:autoSpaceDN w:val="0"/>
              <w:adjustRightInd w:val="0"/>
              <w:spacing w:after="0" w:line="240" w:lineRule="auto"/>
              <w:jc w:val="right"/>
              <w:textAlignment w:val="center"/>
              <w:rPr>
                <w:color w:val="1C1C1C"/>
                <w:sz w:val="14"/>
                <w:szCs w:val="14"/>
              </w:rPr>
            </w:pPr>
          </w:p>
        </w:tc>
      </w:tr>
      <w:tr w:rsidR="002C126E" w:rsidRPr="002C126E" w14:paraId="77FA28BA" w14:textId="77777777" w:rsidTr="00234087">
        <w:trPr>
          <w:trHeight w:val="170"/>
        </w:trPr>
        <w:tc>
          <w:tcPr>
            <w:tcW w:w="5111" w:type="dxa"/>
            <w:tcMar>
              <w:top w:w="17" w:type="dxa"/>
              <w:left w:w="80" w:type="dxa"/>
              <w:bottom w:w="17" w:type="dxa"/>
              <w:right w:w="80" w:type="dxa"/>
            </w:tcMar>
          </w:tcPr>
          <w:p w14:paraId="27D5F49A" w14:textId="239619EE"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olor w:val="1C1C1C"/>
                <w:sz w:val="14"/>
                <w:szCs w:val="14"/>
              </w:rPr>
            </w:pPr>
            <w:r w:rsidRPr="002C126E">
              <w:rPr>
                <w:rFonts w:asciiTheme="majorHAnsi" w:hAnsiTheme="majorHAnsi"/>
                <w:color w:val="1C1C1C"/>
                <w:sz w:val="14"/>
                <w:szCs w:val="14"/>
              </w:rPr>
              <w:t>Financial liabilities measured at amortised cost</w:t>
            </w:r>
          </w:p>
        </w:tc>
        <w:tc>
          <w:tcPr>
            <w:tcW w:w="992" w:type="dxa"/>
            <w:tcMar>
              <w:top w:w="17" w:type="dxa"/>
              <w:left w:w="113" w:type="dxa"/>
              <w:bottom w:w="17" w:type="dxa"/>
              <w:right w:w="113" w:type="dxa"/>
            </w:tcMar>
          </w:tcPr>
          <w:p w14:paraId="5615856C" w14:textId="77777777" w:rsidR="002E2C31" w:rsidRPr="002C126E" w:rsidRDefault="002E2C31" w:rsidP="002E2C31">
            <w:pPr>
              <w:autoSpaceDE w:val="0"/>
              <w:autoSpaceDN w:val="0"/>
              <w:adjustRightInd w:val="0"/>
              <w:spacing w:after="0" w:line="240" w:lineRule="auto"/>
              <w:jc w:val="right"/>
              <w:rPr>
                <w:rFonts w:asciiTheme="majorHAnsi" w:hAnsiTheme="majorHAnsi"/>
                <w:color w:val="1C1C1C"/>
                <w:sz w:val="14"/>
                <w:szCs w:val="14"/>
              </w:rPr>
            </w:pPr>
          </w:p>
        </w:tc>
        <w:tc>
          <w:tcPr>
            <w:tcW w:w="993" w:type="dxa"/>
            <w:tcMar>
              <w:top w:w="17" w:type="dxa"/>
              <w:left w:w="113" w:type="dxa"/>
              <w:bottom w:w="17" w:type="dxa"/>
              <w:right w:w="113" w:type="dxa"/>
            </w:tcMar>
          </w:tcPr>
          <w:p w14:paraId="12AC5309" w14:textId="77777777" w:rsidR="002E2C31" w:rsidRPr="002C126E" w:rsidRDefault="002E2C31" w:rsidP="002E2C31">
            <w:pPr>
              <w:suppressAutoHyphens/>
              <w:autoSpaceDE w:val="0"/>
              <w:autoSpaceDN w:val="0"/>
              <w:adjustRightInd w:val="0"/>
              <w:spacing w:after="0" w:line="240" w:lineRule="auto"/>
              <w:jc w:val="right"/>
              <w:textAlignment w:val="center"/>
              <w:rPr>
                <w:color w:val="1C1C1C"/>
                <w:sz w:val="14"/>
                <w:szCs w:val="14"/>
              </w:rPr>
            </w:pPr>
          </w:p>
        </w:tc>
      </w:tr>
      <w:tr w:rsidR="002C126E" w:rsidRPr="002C126E" w14:paraId="480DF963" w14:textId="77777777" w:rsidTr="00234087">
        <w:trPr>
          <w:trHeight w:val="170"/>
        </w:trPr>
        <w:tc>
          <w:tcPr>
            <w:tcW w:w="5111" w:type="dxa"/>
            <w:tcMar>
              <w:top w:w="17" w:type="dxa"/>
              <w:left w:w="80" w:type="dxa"/>
              <w:bottom w:w="17" w:type="dxa"/>
              <w:right w:w="80" w:type="dxa"/>
            </w:tcMar>
          </w:tcPr>
          <w:p w14:paraId="65DD5CE8" w14:textId="1C27C820" w:rsidR="002E2C31" w:rsidRPr="002C126E" w:rsidRDefault="002E2C31" w:rsidP="002E2C31">
            <w:pPr>
              <w:suppressAutoHyphens/>
              <w:autoSpaceDE w:val="0"/>
              <w:autoSpaceDN w:val="0"/>
              <w:adjustRightInd w:val="0"/>
              <w:spacing w:after="0" w:line="240" w:lineRule="auto"/>
              <w:ind w:left="113"/>
              <w:textAlignment w:val="center"/>
              <w:rPr>
                <w:color w:val="1C1C1C"/>
                <w:sz w:val="14"/>
                <w:szCs w:val="14"/>
              </w:rPr>
            </w:pPr>
            <w:r w:rsidRPr="002C126E">
              <w:rPr>
                <w:color w:val="1C1C1C"/>
                <w:sz w:val="14"/>
                <w:szCs w:val="14"/>
              </w:rPr>
              <w:t>Trade creditors and accruals</w:t>
            </w:r>
          </w:p>
        </w:tc>
        <w:tc>
          <w:tcPr>
            <w:tcW w:w="992" w:type="dxa"/>
            <w:tcMar>
              <w:top w:w="17" w:type="dxa"/>
              <w:left w:w="113" w:type="dxa"/>
              <w:bottom w:w="17" w:type="dxa"/>
              <w:right w:w="113" w:type="dxa"/>
            </w:tcMar>
          </w:tcPr>
          <w:p w14:paraId="784228D6" w14:textId="573D24A9" w:rsidR="002E2C31" w:rsidRPr="002C126E" w:rsidRDefault="00E055C2" w:rsidP="002E2C31">
            <w:pPr>
              <w:autoSpaceDE w:val="0"/>
              <w:autoSpaceDN w:val="0"/>
              <w:adjustRightInd w:val="0"/>
              <w:spacing w:after="0" w:line="240" w:lineRule="auto"/>
              <w:jc w:val="right"/>
              <w:rPr>
                <w:rFonts w:asciiTheme="majorHAnsi" w:hAnsiTheme="majorHAnsi"/>
                <w:color w:val="1C1C1C"/>
                <w:sz w:val="14"/>
                <w:szCs w:val="14"/>
              </w:rPr>
            </w:pPr>
            <w:r w:rsidRPr="002C126E">
              <w:rPr>
                <w:rFonts w:asciiTheme="majorHAnsi" w:hAnsiTheme="majorHAnsi"/>
                <w:color w:val="1C1C1C"/>
                <w:sz w:val="14"/>
                <w:szCs w:val="14"/>
              </w:rPr>
              <w:t>2,416</w:t>
            </w:r>
          </w:p>
        </w:tc>
        <w:tc>
          <w:tcPr>
            <w:tcW w:w="993" w:type="dxa"/>
            <w:tcMar>
              <w:top w:w="17" w:type="dxa"/>
              <w:left w:w="113" w:type="dxa"/>
              <w:bottom w:w="17" w:type="dxa"/>
              <w:right w:w="113" w:type="dxa"/>
            </w:tcMar>
          </w:tcPr>
          <w:p w14:paraId="1D25A3EA" w14:textId="61D3DE33" w:rsidR="002E2C31" w:rsidRPr="002C126E" w:rsidRDefault="00E055C2" w:rsidP="002E2C31">
            <w:pPr>
              <w:suppressAutoHyphens/>
              <w:autoSpaceDE w:val="0"/>
              <w:autoSpaceDN w:val="0"/>
              <w:adjustRightInd w:val="0"/>
              <w:spacing w:after="0" w:line="240" w:lineRule="auto"/>
              <w:jc w:val="right"/>
              <w:textAlignment w:val="center"/>
              <w:rPr>
                <w:color w:val="1C1C1C"/>
                <w:sz w:val="14"/>
                <w:szCs w:val="14"/>
              </w:rPr>
            </w:pPr>
            <w:r w:rsidRPr="002C126E">
              <w:rPr>
                <w:color w:val="1C1C1C"/>
                <w:sz w:val="14"/>
                <w:szCs w:val="14"/>
              </w:rPr>
              <w:t>3,099</w:t>
            </w:r>
          </w:p>
        </w:tc>
      </w:tr>
      <w:tr w:rsidR="002C126E" w:rsidRPr="002C126E" w14:paraId="43B73317" w14:textId="77777777" w:rsidTr="00A233AB">
        <w:trPr>
          <w:trHeight w:val="170"/>
        </w:trPr>
        <w:tc>
          <w:tcPr>
            <w:tcW w:w="5111" w:type="dxa"/>
            <w:tcMar>
              <w:top w:w="17" w:type="dxa"/>
              <w:left w:w="80" w:type="dxa"/>
              <w:bottom w:w="17" w:type="dxa"/>
              <w:right w:w="80" w:type="dxa"/>
            </w:tcMar>
          </w:tcPr>
          <w:p w14:paraId="5827DAB9" w14:textId="71462D46" w:rsidR="002E2C31" w:rsidRPr="002C126E" w:rsidRDefault="002E2C31" w:rsidP="002E2C31">
            <w:pPr>
              <w:suppressAutoHyphens/>
              <w:autoSpaceDE w:val="0"/>
              <w:autoSpaceDN w:val="0"/>
              <w:adjustRightInd w:val="0"/>
              <w:spacing w:after="0" w:line="240" w:lineRule="auto"/>
              <w:textAlignment w:val="center"/>
              <w:rPr>
                <w:rFonts w:asciiTheme="majorHAnsi" w:hAnsiTheme="majorHAnsi"/>
                <w:color w:val="1C1C1C"/>
                <w:sz w:val="14"/>
                <w:szCs w:val="14"/>
              </w:rPr>
            </w:pPr>
            <w:r w:rsidRPr="002C126E">
              <w:rPr>
                <w:rFonts w:asciiTheme="majorHAnsi" w:hAnsiTheme="majorHAnsi"/>
                <w:color w:val="1C1C1C"/>
                <w:sz w:val="14"/>
                <w:szCs w:val="14"/>
              </w:rPr>
              <w:t>Total financial liabilities measured at amortised cost</w:t>
            </w:r>
          </w:p>
        </w:tc>
        <w:tc>
          <w:tcPr>
            <w:tcW w:w="992" w:type="dxa"/>
            <w:tcBorders>
              <w:top w:val="single" w:sz="4" w:space="0" w:color="auto"/>
              <w:bottom w:val="single" w:sz="4" w:space="0" w:color="auto"/>
              <w:right w:val="single" w:sz="8" w:space="0" w:color="FFFFFF" w:themeColor="background2"/>
            </w:tcBorders>
            <w:tcMar>
              <w:top w:w="17" w:type="dxa"/>
              <w:left w:w="113" w:type="dxa"/>
              <w:bottom w:w="17" w:type="dxa"/>
              <w:right w:w="113" w:type="dxa"/>
            </w:tcMar>
          </w:tcPr>
          <w:p w14:paraId="0BFEC114" w14:textId="7A271DB2" w:rsidR="002E2C31" w:rsidRPr="002C126E" w:rsidRDefault="003D26D6" w:rsidP="002E2C31">
            <w:pPr>
              <w:autoSpaceDE w:val="0"/>
              <w:autoSpaceDN w:val="0"/>
              <w:adjustRightInd w:val="0"/>
              <w:spacing w:after="0" w:line="240" w:lineRule="auto"/>
              <w:jc w:val="right"/>
              <w:rPr>
                <w:rFonts w:asciiTheme="majorHAnsi" w:hAnsiTheme="majorHAnsi"/>
                <w:color w:val="1C1C1C"/>
                <w:sz w:val="14"/>
                <w:szCs w:val="14"/>
              </w:rPr>
            </w:pPr>
            <w:r w:rsidRPr="002C126E">
              <w:rPr>
                <w:rFonts w:asciiTheme="majorHAnsi" w:hAnsiTheme="majorHAnsi"/>
                <w:color w:val="1C1C1C"/>
                <w:sz w:val="14"/>
                <w:szCs w:val="14"/>
              </w:rPr>
              <w:t>2</w:t>
            </w:r>
            <w:r w:rsidR="00E055C2" w:rsidRPr="002C126E">
              <w:rPr>
                <w:rFonts w:asciiTheme="majorHAnsi" w:hAnsiTheme="majorHAnsi"/>
                <w:color w:val="1C1C1C"/>
                <w:sz w:val="14"/>
                <w:szCs w:val="14"/>
              </w:rPr>
              <w:t>,</w:t>
            </w:r>
            <w:r w:rsidRPr="002C126E">
              <w:rPr>
                <w:rFonts w:asciiTheme="majorHAnsi" w:hAnsiTheme="majorHAnsi"/>
                <w:color w:val="1C1C1C"/>
                <w:sz w:val="14"/>
                <w:szCs w:val="14"/>
              </w:rPr>
              <w:t>416</w:t>
            </w:r>
          </w:p>
        </w:tc>
        <w:tc>
          <w:tcPr>
            <w:tcW w:w="993" w:type="dxa"/>
            <w:tcBorders>
              <w:top w:val="single" w:sz="4" w:space="0" w:color="auto"/>
              <w:left w:val="single" w:sz="8" w:space="0" w:color="FFFFFF" w:themeColor="background2"/>
              <w:bottom w:val="single" w:sz="4" w:space="0" w:color="auto"/>
            </w:tcBorders>
            <w:tcMar>
              <w:top w:w="17" w:type="dxa"/>
              <w:left w:w="113" w:type="dxa"/>
              <w:bottom w:w="17" w:type="dxa"/>
              <w:right w:w="113" w:type="dxa"/>
            </w:tcMar>
          </w:tcPr>
          <w:p w14:paraId="4741D5E3" w14:textId="7B24017C" w:rsidR="002E2C31" w:rsidRPr="002C126E" w:rsidRDefault="00E055C2" w:rsidP="002E2C31">
            <w:pPr>
              <w:suppressAutoHyphens/>
              <w:autoSpaceDE w:val="0"/>
              <w:autoSpaceDN w:val="0"/>
              <w:adjustRightInd w:val="0"/>
              <w:spacing w:after="0" w:line="240" w:lineRule="auto"/>
              <w:jc w:val="right"/>
              <w:textAlignment w:val="center"/>
              <w:rPr>
                <w:color w:val="1C1C1C"/>
                <w:sz w:val="14"/>
                <w:szCs w:val="14"/>
              </w:rPr>
            </w:pPr>
            <w:r w:rsidRPr="002C126E">
              <w:rPr>
                <w:color w:val="1C1C1C"/>
                <w:sz w:val="14"/>
                <w:szCs w:val="14"/>
              </w:rPr>
              <w:t>3,099</w:t>
            </w:r>
          </w:p>
        </w:tc>
      </w:tr>
      <w:tr w:rsidR="002C126E" w:rsidRPr="002C126E" w14:paraId="77755F5B" w14:textId="77777777" w:rsidTr="00A233AB">
        <w:trPr>
          <w:trHeight w:val="57"/>
        </w:trPr>
        <w:tc>
          <w:tcPr>
            <w:tcW w:w="5111" w:type="dxa"/>
            <w:tcBorders>
              <w:bottom w:val="single" w:sz="8" w:space="0" w:color="FFFFFF" w:themeColor="background2"/>
            </w:tcBorders>
            <w:tcMar>
              <w:top w:w="17" w:type="dxa"/>
              <w:left w:w="80" w:type="dxa"/>
              <w:bottom w:w="17" w:type="dxa"/>
              <w:right w:w="80" w:type="dxa"/>
            </w:tcMar>
          </w:tcPr>
          <w:p w14:paraId="3F9E359D" w14:textId="77777777" w:rsidR="00A233AB" w:rsidRPr="002C126E" w:rsidRDefault="00A233AB" w:rsidP="002E2C31">
            <w:pPr>
              <w:suppressAutoHyphens/>
              <w:autoSpaceDE w:val="0"/>
              <w:autoSpaceDN w:val="0"/>
              <w:adjustRightInd w:val="0"/>
              <w:spacing w:after="0" w:line="240" w:lineRule="auto"/>
              <w:textAlignment w:val="center"/>
              <w:rPr>
                <w:rFonts w:asciiTheme="majorHAnsi" w:hAnsiTheme="majorHAnsi"/>
                <w:color w:val="1C1C1C"/>
                <w:sz w:val="4"/>
                <w:szCs w:val="4"/>
              </w:rPr>
            </w:pPr>
          </w:p>
        </w:tc>
        <w:tc>
          <w:tcPr>
            <w:tcW w:w="992" w:type="dxa"/>
            <w:tcBorders>
              <w:top w:val="single" w:sz="4" w:space="0" w:color="auto"/>
              <w:bottom w:val="single" w:sz="8" w:space="0" w:color="FFFFFF" w:themeColor="background2"/>
              <w:right w:val="single" w:sz="8" w:space="0" w:color="FFFFFF" w:themeColor="background2"/>
            </w:tcBorders>
            <w:tcMar>
              <w:top w:w="17" w:type="dxa"/>
              <w:left w:w="113" w:type="dxa"/>
              <w:bottom w:w="17" w:type="dxa"/>
              <w:right w:w="113" w:type="dxa"/>
            </w:tcMar>
          </w:tcPr>
          <w:p w14:paraId="337B9F67" w14:textId="77777777" w:rsidR="00A233AB" w:rsidRPr="002C126E" w:rsidRDefault="00A233AB" w:rsidP="002E2C31">
            <w:pPr>
              <w:autoSpaceDE w:val="0"/>
              <w:autoSpaceDN w:val="0"/>
              <w:adjustRightInd w:val="0"/>
              <w:spacing w:after="0" w:line="240" w:lineRule="auto"/>
              <w:jc w:val="right"/>
              <w:rPr>
                <w:rFonts w:asciiTheme="majorHAnsi" w:hAnsiTheme="majorHAnsi"/>
                <w:color w:val="1C1C1C"/>
                <w:sz w:val="4"/>
                <w:szCs w:val="4"/>
              </w:rPr>
            </w:pPr>
          </w:p>
        </w:tc>
        <w:tc>
          <w:tcPr>
            <w:tcW w:w="993" w:type="dxa"/>
            <w:tcBorders>
              <w:top w:val="single" w:sz="4" w:space="0" w:color="auto"/>
              <w:left w:val="single" w:sz="8" w:space="0" w:color="FFFFFF" w:themeColor="background2"/>
              <w:bottom w:val="single" w:sz="8" w:space="0" w:color="FFFFFF" w:themeColor="background2"/>
            </w:tcBorders>
            <w:tcMar>
              <w:top w:w="17" w:type="dxa"/>
              <w:left w:w="113" w:type="dxa"/>
              <w:bottom w:w="17" w:type="dxa"/>
              <w:right w:w="113" w:type="dxa"/>
            </w:tcMar>
          </w:tcPr>
          <w:p w14:paraId="289F0451" w14:textId="77777777" w:rsidR="00A233AB" w:rsidRPr="002C126E" w:rsidRDefault="00A233AB" w:rsidP="002E2C31">
            <w:pPr>
              <w:suppressAutoHyphens/>
              <w:autoSpaceDE w:val="0"/>
              <w:autoSpaceDN w:val="0"/>
              <w:adjustRightInd w:val="0"/>
              <w:spacing w:after="0" w:line="240" w:lineRule="auto"/>
              <w:jc w:val="right"/>
              <w:textAlignment w:val="center"/>
              <w:rPr>
                <w:color w:val="1C1C1C"/>
                <w:sz w:val="4"/>
                <w:szCs w:val="4"/>
              </w:rPr>
            </w:pPr>
          </w:p>
        </w:tc>
      </w:tr>
    </w:tbl>
    <w:p w14:paraId="3F151947" w14:textId="77777777" w:rsidR="002E2C31" w:rsidRDefault="002E2C31" w:rsidP="002E2C31">
      <w:pPr>
        <w:pStyle w:val="Body"/>
      </w:pPr>
    </w:p>
    <w:tbl>
      <w:tblPr>
        <w:tblStyle w:val="TableGrid"/>
        <w:tblW w:w="5000" w:type="pct"/>
        <w:tblCellMar>
          <w:top w:w="113" w:type="dxa"/>
          <w:bottom w:w="113" w:type="dxa"/>
        </w:tblCellMar>
        <w:tblLook w:val="04A0" w:firstRow="1" w:lastRow="0" w:firstColumn="1" w:lastColumn="0" w:noHBand="0" w:noVBand="1"/>
      </w:tblPr>
      <w:tblGrid>
        <w:gridCol w:w="7133"/>
      </w:tblGrid>
      <w:tr w:rsidR="00152335" w14:paraId="160D3DE9" w14:textId="77777777" w:rsidTr="00633EA7">
        <w:tc>
          <w:tcPr>
            <w:tcW w:w="5000" w:type="pct"/>
          </w:tcPr>
          <w:p w14:paraId="660CB191" w14:textId="77777777" w:rsidR="00152335" w:rsidRPr="005300C0" w:rsidRDefault="00152335" w:rsidP="00996509">
            <w:pPr>
              <w:pStyle w:val="Body"/>
              <w:spacing w:after="120"/>
              <w:rPr>
                <w:rFonts w:asciiTheme="majorHAnsi" w:hAnsiTheme="majorHAnsi"/>
              </w:rPr>
            </w:pPr>
            <w:r w:rsidRPr="005300C0">
              <w:rPr>
                <w:rFonts w:asciiTheme="majorHAnsi" w:hAnsiTheme="majorHAnsi"/>
              </w:rPr>
              <w:t>Accounting Policy</w:t>
            </w:r>
          </w:p>
          <w:p w14:paraId="1004EABC" w14:textId="2213C06A" w:rsidR="00152335" w:rsidRPr="00303955" w:rsidRDefault="00152335" w:rsidP="00633EA7">
            <w:pPr>
              <w:pStyle w:val="Body"/>
              <w:spacing w:after="80"/>
              <w:rPr>
                <w:b/>
                <w:bCs/>
              </w:rPr>
            </w:pPr>
            <w:r w:rsidRPr="00303955">
              <w:rPr>
                <w:b/>
                <w:bCs/>
              </w:rPr>
              <w:t>Cash and cash equivalents</w:t>
            </w:r>
          </w:p>
          <w:p w14:paraId="0D3C4E32" w14:textId="77777777" w:rsidR="00152335" w:rsidRPr="00152335" w:rsidRDefault="00152335" w:rsidP="00633EA7">
            <w:pPr>
              <w:pStyle w:val="Body"/>
              <w:spacing w:after="80"/>
            </w:pPr>
            <w:r w:rsidRPr="00152335">
              <w:t>Cash is recognised at its nominal amount.</w:t>
            </w:r>
          </w:p>
          <w:p w14:paraId="1BEB4C1F" w14:textId="7223A98E" w:rsidR="00152335" w:rsidRPr="00303955" w:rsidRDefault="00152335" w:rsidP="00633EA7">
            <w:pPr>
              <w:pStyle w:val="Body"/>
              <w:spacing w:after="80"/>
              <w:rPr>
                <w:b/>
                <w:bCs/>
              </w:rPr>
            </w:pPr>
            <w:r w:rsidRPr="00303955">
              <w:rPr>
                <w:b/>
                <w:bCs/>
              </w:rPr>
              <w:t>Classification and measurement</w:t>
            </w:r>
          </w:p>
          <w:p w14:paraId="26CE2DA2" w14:textId="77777777" w:rsidR="00152335" w:rsidRDefault="00152335" w:rsidP="00633EA7">
            <w:pPr>
              <w:pStyle w:val="Body"/>
              <w:spacing w:after="80"/>
            </w:pPr>
            <w:r w:rsidRPr="00152335">
              <w:t>The classification and measurement of IHPA's financial assets under AASB 9 is determined by its business model for managing its financial assets and the contractual cash flow characterisitcs of those assets.</w:t>
            </w:r>
          </w:p>
          <w:p w14:paraId="71D29DF4" w14:textId="763CEC62" w:rsidR="00152335" w:rsidRPr="00303955" w:rsidRDefault="00152335" w:rsidP="00152335">
            <w:pPr>
              <w:pStyle w:val="Body"/>
              <w:spacing w:after="80"/>
              <w:rPr>
                <w:b/>
                <w:bCs/>
              </w:rPr>
            </w:pPr>
            <w:r w:rsidRPr="00303955">
              <w:rPr>
                <w:b/>
                <w:bCs/>
              </w:rPr>
              <w:t>Financial assets</w:t>
            </w:r>
          </w:p>
          <w:p w14:paraId="53316F1E" w14:textId="15A7200F" w:rsidR="00152335" w:rsidRDefault="00152335" w:rsidP="00152335">
            <w:pPr>
              <w:pStyle w:val="Body"/>
              <w:spacing w:after="80"/>
            </w:pPr>
            <w:r>
              <w:t xml:space="preserve">IHPA's financial assets are comprised of trade receivables and other receivables that are held for the purpose of collecting the contractual cash flows. All of IHPA's financial assets are measured, and carried, at amortised cost. </w:t>
            </w:r>
            <w:r>
              <w:tab/>
            </w:r>
          </w:p>
          <w:p w14:paraId="2A80AAC4" w14:textId="77777777" w:rsidR="00152335" w:rsidRPr="00303955" w:rsidRDefault="00152335" w:rsidP="00152335">
            <w:pPr>
              <w:pStyle w:val="Body"/>
              <w:spacing w:after="80"/>
              <w:rPr>
                <w:b/>
                <w:bCs/>
              </w:rPr>
            </w:pPr>
            <w:r w:rsidRPr="00303955">
              <w:rPr>
                <w:b/>
                <w:bCs/>
              </w:rPr>
              <w:t>Financial liabilities</w:t>
            </w:r>
          </w:p>
          <w:p w14:paraId="6D158CB0" w14:textId="7115344F" w:rsidR="00152335" w:rsidRDefault="00152335" w:rsidP="00152335">
            <w:pPr>
              <w:pStyle w:val="Body"/>
              <w:spacing w:after="80"/>
            </w:pPr>
            <w:r>
              <w:t>IHPA's financial liabilities are measured, and carried, at amortised cost. Supplier and other payables are recognised to the extent that the goods or services have been received, irrespective of having been invoiced. Lease liabilities are measured using the effective interest method.</w:t>
            </w:r>
          </w:p>
          <w:p w14:paraId="6EC32BA7" w14:textId="77777777" w:rsidR="00152335" w:rsidRPr="00303955" w:rsidRDefault="00152335" w:rsidP="00152335">
            <w:pPr>
              <w:pStyle w:val="Body"/>
              <w:spacing w:after="80"/>
              <w:rPr>
                <w:b/>
                <w:bCs/>
              </w:rPr>
            </w:pPr>
            <w:r w:rsidRPr="00303955">
              <w:rPr>
                <w:b/>
                <w:bCs/>
              </w:rPr>
              <w:t>Impairment</w:t>
            </w:r>
          </w:p>
          <w:p w14:paraId="3EE13924" w14:textId="50C48901" w:rsidR="00152335" w:rsidRDefault="00152335" w:rsidP="00152335">
            <w:pPr>
              <w:pStyle w:val="Body"/>
              <w:spacing w:after="80"/>
            </w:pPr>
            <w:r>
              <w:t>AASB 9 requires IHPA to impair its financial assets by applying the 'expected credit losses' (ECL) model.  IHPA has taken advantage of the practical expedient which allows the use of a Provision Matrix to calculate expected credit losses on trade receivables.  IHPA has assessed the loss allowance for its financial assets at an amount equal to lifetime expected credit losses.</w:t>
            </w:r>
          </w:p>
          <w:p w14:paraId="6310C973" w14:textId="1A455687" w:rsidR="00152335" w:rsidRDefault="00152335" w:rsidP="00152335">
            <w:pPr>
              <w:pStyle w:val="Body"/>
              <w:spacing w:after="80"/>
            </w:pPr>
            <w:r>
              <w:t>Due to the nature of IHPA's receivables, a nil loss allowance has been calculated. There is no impairment of IHPA's financial assets for 2019-20.</w:t>
            </w:r>
          </w:p>
        </w:tc>
      </w:tr>
    </w:tbl>
    <w:p w14:paraId="580BB5A9" w14:textId="60AE7048" w:rsidR="00B22546" w:rsidRDefault="00B22546" w:rsidP="00646163">
      <w:pPr>
        <w:pStyle w:val="Body"/>
      </w:pPr>
    </w:p>
    <w:p w14:paraId="5CF2C267" w14:textId="695AB62C" w:rsidR="00AF083D" w:rsidRDefault="00AF083D" w:rsidP="00646163">
      <w:pPr>
        <w:pStyle w:val="Body"/>
        <w:sectPr w:rsidR="00AF083D" w:rsidSect="00481983">
          <w:footnotePr>
            <w:pos w:val="beneathText"/>
          </w:footnotePr>
          <w:pgSz w:w="9979" w:h="14175" w:code="13"/>
          <w:pgMar w:top="1134" w:right="1418" w:bottom="992" w:left="1418" w:header="709" w:footer="709" w:gutter="0"/>
          <w:cols w:space="623"/>
          <w:docGrid w:linePitch="360"/>
        </w:sectPr>
      </w:pPr>
    </w:p>
    <w:tbl>
      <w:tblPr>
        <w:tblStyle w:val="TableGrid"/>
        <w:tblW w:w="490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03"/>
      </w:tblGrid>
      <w:tr w:rsidR="0006706A" w14:paraId="6AD9562E" w14:textId="77777777" w:rsidTr="00630AEE">
        <w:trPr>
          <w:trHeight w:val="9490"/>
        </w:trPr>
        <w:tc>
          <w:tcPr>
            <w:tcW w:w="5000" w:type="pct"/>
          </w:tcPr>
          <w:p w14:paraId="53DD4628" w14:textId="1C9482C3" w:rsidR="0006706A" w:rsidRPr="008C1BF9" w:rsidRDefault="0006706A" w:rsidP="00AF083D">
            <w:pPr>
              <w:pStyle w:val="Heading10"/>
              <w:rPr>
                <w:b w:val="0"/>
                <w:bCs w:val="0"/>
              </w:rPr>
            </w:pPr>
            <w:bookmarkStart w:id="188" w:name="_Toc50378087"/>
            <w:r>
              <w:rPr>
                <w:b w:val="0"/>
                <w:bCs w:val="0"/>
              </w:rPr>
              <w:lastRenderedPageBreak/>
              <w:t>Appendices</w:t>
            </w:r>
            <w:bookmarkEnd w:id="188"/>
          </w:p>
        </w:tc>
      </w:tr>
      <w:tr w:rsidR="0006706A" w14:paraId="634B3777" w14:textId="77777777" w:rsidTr="00630AEE">
        <w:trPr>
          <w:trHeight w:val="1569"/>
        </w:trPr>
        <w:tc>
          <w:tcPr>
            <w:tcW w:w="5000" w:type="pct"/>
            <w:vAlign w:val="bottom"/>
          </w:tcPr>
          <w:p w14:paraId="2ECC00E6" w14:textId="0F3EE802" w:rsidR="0006706A" w:rsidRDefault="0006706A" w:rsidP="0006706A">
            <w:pPr>
              <w:pStyle w:val="SectionBreakNumber"/>
            </w:pPr>
            <w:r w:rsidRPr="003C6AC0">
              <w:t>0</w:t>
            </w:r>
            <w:r>
              <w:t>8</w:t>
            </w:r>
          </w:p>
        </w:tc>
      </w:tr>
    </w:tbl>
    <w:p w14:paraId="17122F80" w14:textId="6EEA4E74" w:rsidR="0006706A" w:rsidRDefault="0006706A" w:rsidP="00606349">
      <w:pPr>
        <w:pStyle w:val="Body"/>
      </w:pPr>
    </w:p>
    <w:p w14:paraId="5DC50146" w14:textId="77777777" w:rsidR="0006706A" w:rsidRDefault="0006706A" w:rsidP="00606349">
      <w:pPr>
        <w:pStyle w:val="Body"/>
        <w:sectPr w:rsidR="0006706A" w:rsidSect="00B20BE1">
          <w:headerReference w:type="even" r:id="rId116"/>
          <w:footnotePr>
            <w:pos w:val="beneathText"/>
          </w:footnotePr>
          <w:pgSz w:w="9979" w:h="14175" w:code="13"/>
          <w:pgMar w:top="1134" w:right="1418" w:bottom="992" w:left="1418" w:header="709" w:footer="709" w:gutter="0"/>
          <w:cols w:space="623"/>
          <w:docGrid w:linePitch="360"/>
        </w:sectPr>
      </w:pPr>
    </w:p>
    <w:p w14:paraId="2DD0B340" w14:textId="51F31521" w:rsidR="0006706A" w:rsidRPr="00183CE1" w:rsidRDefault="00183CE1" w:rsidP="00B56C78">
      <w:pPr>
        <w:pStyle w:val="Heading1"/>
        <w:rPr>
          <w:color w:val="292929"/>
        </w:rPr>
      </w:pPr>
      <w:bookmarkStart w:id="189" w:name="_Toc44350190"/>
      <w:bookmarkStart w:id="190" w:name="_Toc50378088"/>
      <w:r w:rsidRPr="00183CE1">
        <w:rPr>
          <w:color w:val="292929"/>
        </w:rPr>
        <w:lastRenderedPageBreak/>
        <w:t>Appendix A: Figures</w:t>
      </w:r>
      <w:r w:rsidR="00E65176">
        <w:rPr>
          <w:color w:val="292929"/>
        </w:rPr>
        <w:t> </w:t>
      </w:r>
      <w:r w:rsidRPr="00183CE1">
        <w:rPr>
          <w:color w:val="292929"/>
        </w:rPr>
        <w:t>and</w:t>
      </w:r>
      <w:r w:rsidR="00E65176">
        <w:rPr>
          <w:color w:val="292929"/>
        </w:rPr>
        <w:t> </w:t>
      </w:r>
      <w:r w:rsidRPr="00183CE1">
        <w:rPr>
          <w:color w:val="292929"/>
        </w:rPr>
        <w:t>Tables</w:t>
      </w:r>
      <w:bookmarkEnd w:id="189"/>
      <w:bookmarkEnd w:id="190"/>
    </w:p>
    <w:p w14:paraId="75DE4F6A" w14:textId="02AD499A" w:rsidR="007F21E0" w:rsidRDefault="00903643">
      <w:pPr>
        <w:pStyle w:val="TOC1"/>
        <w:rPr>
          <w:rFonts w:eastAsiaTheme="minorEastAsia"/>
          <w:sz w:val="22"/>
          <w:szCs w:val="22"/>
          <w:lang w:eastAsia="en-PH"/>
        </w:rPr>
      </w:pPr>
      <w:r>
        <w:fldChar w:fldCharType="begin"/>
      </w:r>
      <w:r>
        <w:instrText xml:space="preserve"> TOC \h \z \t "Figure Heading,1" </w:instrText>
      </w:r>
      <w:r>
        <w:fldChar w:fldCharType="separate"/>
      </w:r>
      <w:hyperlink w:anchor="_Toc48830263" w:history="1">
        <w:r w:rsidR="007F21E0" w:rsidRPr="001638CE">
          <w:rPr>
            <w:rStyle w:val="Hyperlink"/>
          </w:rPr>
          <w:t>Figure 1: National Efficient Price 2020–21</w:t>
        </w:r>
        <w:r w:rsidR="007F21E0">
          <w:rPr>
            <w:webHidden/>
          </w:rPr>
          <w:tab/>
        </w:r>
        <w:r w:rsidR="007F21E0">
          <w:rPr>
            <w:webHidden/>
          </w:rPr>
          <w:fldChar w:fldCharType="begin"/>
        </w:r>
        <w:r w:rsidR="007F21E0">
          <w:rPr>
            <w:webHidden/>
          </w:rPr>
          <w:instrText xml:space="preserve"> PAGEREF _Toc48830263 \h </w:instrText>
        </w:r>
        <w:r w:rsidR="007F21E0">
          <w:rPr>
            <w:webHidden/>
          </w:rPr>
        </w:r>
        <w:r w:rsidR="007F21E0">
          <w:rPr>
            <w:webHidden/>
          </w:rPr>
          <w:fldChar w:fldCharType="separate"/>
        </w:r>
        <w:r w:rsidR="003F3C3E">
          <w:rPr>
            <w:webHidden/>
          </w:rPr>
          <w:t>11</w:t>
        </w:r>
        <w:r w:rsidR="007F21E0">
          <w:rPr>
            <w:webHidden/>
          </w:rPr>
          <w:fldChar w:fldCharType="end"/>
        </w:r>
      </w:hyperlink>
    </w:p>
    <w:p w14:paraId="6C997D35" w14:textId="001A7597" w:rsidR="007F21E0" w:rsidRDefault="001E6FC6">
      <w:pPr>
        <w:pStyle w:val="TOC1"/>
        <w:rPr>
          <w:rFonts w:eastAsiaTheme="minorEastAsia"/>
          <w:sz w:val="22"/>
          <w:szCs w:val="22"/>
          <w:lang w:eastAsia="en-PH"/>
        </w:rPr>
      </w:pPr>
      <w:hyperlink w:anchor="_Toc48830264" w:history="1">
        <w:r w:rsidR="007F21E0" w:rsidRPr="001638CE">
          <w:rPr>
            <w:rStyle w:val="Hyperlink"/>
          </w:rPr>
          <w:t>Figure 2: National Efficient Cost 2020–21</w:t>
        </w:r>
        <w:r w:rsidR="007F21E0">
          <w:rPr>
            <w:webHidden/>
          </w:rPr>
          <w:tab/>
        </w:r>
        <w:r w:rsidR="007F21E0">
          <w:rPr>
            <w:webHidden/>
          </w:rPr>
          <w:fldChar w:fldCharType="begin"/>
        </w:r>
        <w:r w:rsidR="007F21E0">
          <w:rPr>
            <w:webHidden/>
          </w:rPr>
          <w:instrText xml:space="preserve"> PAGEREF _Toc48830264 \h </w:instrText>
        </w:r>
        <w:r w:rsidR="007F21E0">
          <w:rPr>
            <w:webHidden/>
          </w:rPr>
        </w:r>
        <w:r w:rsidR="007F21E0">
          <w:rPr>
            <w:webHidden/>
          </w:rPr>
          <w:fldChar w:fldCharType="separate"/>
        </w:r>
        <w:r w:rsidR="003F3C3E">
          <w:rPr>
            <w:webHidden/>
          </w:rPr>
          <w:t>13</w:t>
        </w:r>
        <w:r w:rsidR="007F21E0">
          <w:rPr>
            <w:webHidden/>
          </w:rPr>
          <w:fldChar w:fldCharType="end"/>
        </w:r>
      </w:hyperlink>
    </w:p>
    <w:p w14:paraId="57654314" w14:textId="323752B2" w:rsidR="007F21E0" w:rsidRDefault="001E6FC6">
      <w:pPr>
        <w:pStyle w:val="TOC1"/>
        <w:rPr>
          <w:rFonts w:eastAsiaTheme="minorEastAsia"/>
          <w:sz w:val="22"/>
          <w:szCs w:val="22"/>
          <w:lang w:eastAsia="en-PH"/>
        </w:rPr>
      </w:pPr>
      <w:hyperlink w:anchor="_Toc48830265" w:history="1">
        <w:r w:rsidR="007F21E0" w:rsidRPr="001638CE">
          <w:rPr>
            <w:rStyle w:val="Hyperlink"/>
          </w:rPr>
          <w:t>Figure 3: IHPA’s organisational structure as at 30 June 2020</w:t>
        </w:r>
        <w:r w:rsidR="007F21E0">
          <w:rPr>
            <w:webHidden/>
          </w:rPr>
          <w:tab/>
        </w:r>
        <w:r w:rsidR="007F21E0">
          <w:rPr>
            <w:webHidden/>
          </w:rPr>
          <w:fldChar w:fldCharType="begin"/>
        </w:r>
        <w:r w:rsidR="007F21E0">
          <w:rPr>
            <w:webHidden/>
          </w:rPr>
          <w:instrText xml:space="preserve"> PAGEREF _Toc48830265 \h </w:instrText>
        </w:r>
        <w:r w:rsidR="007F21E0">
          <w:rPr>
            <w:webHidden/>
          </w:rPr>
        </w:r>
        <w:r w:rsidR="007F21E0">
          <w:rPr>
            <w:webHidden/>
          </w:rPr>
          <w:fldChar w:fldCharType="separate"/>
        </w:r>
        <w:r w:rsidR="003F3C3E">
          <w:rPr>
            <w:webHidden/>
          </w:rPr>
          <w:t>14</w:t>
        </w:r>
        <w:r w:rsidR="007F21E0">
          <w:rPr>
            <w:webHidden/>
          </w:rPr>
          <w:fldChar w:fldCharType="end"/>
        </w:r>
      </w:hyperlink>
    </w:p>
    <w:p w14:paraId="62CB3499" w14:textId="5D3FF137" w:rsidR="007F21E0" w:rsidRDefault="001E6FC6">
      <w:pPr>
        <w:pStyle w:val="TOC1"/>
        <w:rPr>
          <w:rFonts w:eastAsiaTheme="minorEastAsia"/>
          <w:sz w:val="22"/>
          <w:szCs w:val="22"/>
          <w:lang w:eastAsia="en-PH"/>
        </w:rPr>
      </w:pPr>
      <w:hyperlink w:anchor="_Toc48830266" w:history="1">
        <w:r w:rsidR="007F21E0" w:rsidRPr="001638CE">
          <w:rPr>
            <w:rStyle w:val="Hyperlink"/>
          </w:rPr>
          <w:t>Figure 4: IHPA’s management, committees and working groups</w:t>
        </w:r>
        <w:r w:rsidR="007F21E0">
          <w:rPr>
            <w:webHidden/>
          </w:rPr>
          <w:tab/>
        </w:r>
        <w:r w:rsidR="007F21E0">
          <w:rPr>
            <w:webHidden/>
          </w:rPr>
          <w:fldChar w:fldCharType="begin"/>
        </w:r>
        <w:r w:rsidR="007F21E0">
          <w:rPr>
            <w:webHidden/>
          </w:rPr>
          <w:instrText xml:space="preserve"> PAGEREF _Toc48830266 \h </w:instrText>
        </w:r>
        <w:r w:rsidR="007F21E0">
          <w:rPr>
            <w:webHidden/>
          </w:rPr>
        </w:r>
        <w:r w:rsidR="007F21E0">
          <w:rPr>
            <w:webHidden/>
          </w:rPr>
          <w:fldChar w:fldCharType="separate"/>
        </w:r>
        <w:r w:rsidR="003F3C3E">
          <w:rPr>
            <w:webHidden/>
          </w:rPr>
          <w:t>16</w:t>
        </w:r>
        <w:r w:rsidR="007F21E0">
          <w:rPr>
            <w:webHidden/>
          </w:rPr>
          <w:fldChar w:fldCharType="end"/>
        </w:r>
      </w:hyperlink>
    </w:p>
    <w:p w14:paraId="28ADC5B9" w14:textId="23AF2D1D" w:rsidR="007F21E0" w:rsidRDefault="001E6FC6">
      <w:pPr>
        <w:pStyle w:val="TOC1"/>
        <w:rPr>
          <w:rFonts w:eastAsiaTheme="minorEastAsia"/>
          <w:sz w:val="22"/>
          <w:szCs w:val="22"/>
          <w:lang w:eastAsia="en-PH"/>
        </w:rPr>
      </w:pPr>
      <w:hyperlink w:anchor="_Toc48830267" w:history="1">
        <w:r w:rsidR="007F21E0" w:rsidRPr="001638CE">
          <w:rPr>
            <w:rStyle w:val="Hyperlink"/>
          </w:rPr>
          <w:t>Figure 5: Cost per National Weighted Activity Unit (NWAU)</w:t>
        </w:r>
        <w:r w:rsidR="007F21E0">
          <w:rPr>
            <w:webHidden/>
          </w:rPr>
          <w:tab/>
        </w:r>
        <w:r w:rsidR="007F21E0">
          <w:rPr>
            <w:webHidden/>
          </w:rPr>
          <w:fldChar w:fldCharType="begin"/>
        </w:r>
        <w:r w:rsidR="007F21E0">
          <w:rPr>
            <w:webHidden/>
          </w:rPr>
          <w:instrText xml:space="preserve"> PAGEREF _Toc48830267 \h </w:instrText>
        </w:r>
        <w:r w:rsidR="007F21E0">
          <w:rPr>
            <w:webHidden/>
          </w:rPr>
        </w:r>
        <w:r w:rsidR="007F21E0">
          <w:rPr>
            <w:webHidden/>
          </w:rPr>
          <w:fldChar w:fldCharType="separate"/>
        </w:r>
        <w:r w:rsidR="003F3C3E">
          <w:rPr>
            <w:webHidden/>
          </w:rPr>
          <w:t>21</w:t>
        </w:r>
        <w:r w:rsidR="007F21E0">
          <w:rPr>
            <w:webHidden/>
          </w:rPr>
          <w:fldChar w:fldCharType="end"/>
        </w:r>
      </w:hyperlink>
    </w:p>
    <w:p w14:paraId="2D871284" w14:textId="62D8F85B" w:rsidR="007F21E0" w:rsidRDefault="001E6FC6">
      <w:pPr>
        <w:pStyle w:val="TOC1"/>
        <w:rPr>
          <w:rFonts w:eastAsiaTheme="minorEastAsia"/>
          <w:sz w:val="22"/>
          <w:szCs w:val="22"/>
          <w:lang w:eastAsia="en-PH"/>
        </w:rPr>
      </w:pPr>
      <w:hyperlink w:anchor="_Toc48830268" w:history="1">
        <w:r w:rsidR="007F21E0" w:rsidRPr="001638CE">
          <w:rPr>
            <w:rStyle w:val="Hyperlink"/>
          </w:rPr>
          <w:t>Figure 6: National Efficient Price 2012–2020</w:t>
        </w:r>
        <w:r w:rsidR="007F21E0">
          <w:rPr>
            <w:webHidden/>
          </w:rPr>
          <w:tab/>
        </w:r>
        <w:r w:rsidR="007F21E0">
          <w:rPr>
            <w:webHidden/>
          </w:rPr>
          <w:fldChar w:fldCharType="begin"/>
        </w:r>
        <w:r w:rsidR="007F21E0">
          <w:rPr>
            <w:webHidden/>
          </w:rPr>
          <w:instrText xml:space="preserve"> PAGEREF _Toc48830268 \h </w:instrText>
        </w:r>
        <w:r w:rsidR="007F21E0">
          <w:rPr>
            <w:webHidden/>
          </w:rPr>
        </w:r>
        <w:r w:rsidR="007F21E0">
          <w:rPr>
            <w:webHidden/>
          </w:rPr>
          <w:fldChar w:fldCharType="separate"/>
        </w:r>
        <w:r w:rsidR="003F3C3E">
          <w:rPr>
            <w:webHidden/>
          </w:rPr>
          <w:t>21</w:t>
        </w:r>
        <w:r w:rsidR="007F21E0">
          <w:rPr>
            <w:webHidden/>
          </w:rPr>
          <w:fldChar w:fldCharType="end"/>
        </w:r>
      </w:hyperlink>
    </w:p>
    <w:p w14:paraId="31DE104B" w14:textId="7A3A7FF5" w:rsidR="007F21E0" w:rsidRDefault="001E6FC6">
      <w:pPr>
        <w:pStyle w:val="TOC1"/>
        <w:rPr>
          <w:rFonts w:eastAsiaTheme="minorEastAsia"/>
          <w:sz w:val="22"/>
          <w:szCs w:val="22"/>
          <w:lang w:eastAsia="en-PH"/>
        </w:rPr>
      </w:pPr>
      <w:hyperlink w:anchor="_Toc48830269" w:history="1">
        <w:r w:rsidR="007F21E0" w:rsidRPr="001638CE">
          <w:rPr>
            <w:rStyle w:val="Hyperlink"/>
          </w:rPr>
          <w:t>Table 1: Meetings of the Pricing Authority 2019–20</w:t>
        </w:r>
        <w:r w:rsidR="007F21E0">
          <w:rPr>
            <w:webHidden/>
          </w:rPr>
          <w:tab/>
        </w:r>
        <w:r w:rsidR="007F21E0">
          <w:rPr>
            <w:webHidden/>
          </w:rPr>
          <w:fldChar w:fldCharType="begin"/>
        </w:r>
        <w:r w:rsidR="007F21E0">
          <w:rPr>
            <w:webHidden/>
          </w:rPr>
          <w:instrText xml:space="preserve"> PAGEREF _Toc48830269 \h </w:instrText>
        </w:r>
        <w:r w:rsidR="007F21E0">
          <w:rPr>
            <w:webHidden/>
          </w:rPr>
        </w:r>
        <w:r w:rsidR="007F21E0">
          <w:rPr>
            <w:webHidden/>
          </w:rPr>
          <w:fldChar w:fldCharType="separate"/>
        </w:r>
        <w:r w:rsidR="003F3C3E">
          <w:rPr>
            <w:webHidden/>
          </w:rPr>
          <w:t>27</w:t>
        </w:r>
        <w:r w:rsidR="007F21E0">
          <w:rPr>
            <w:webHidden/>
          </w:rPr>
          <w:fldChar w:fldCharType="end"/>
        </w:r>
      </w:hyperlink>
    </w:p>
    <w:p w14:paraId="2F23EBE2" w14:textId="086712F2" w:rsidR="007F21E0" w:rsidRDefault="001E6FC6">
      <w:pPr>
        <w:pStyle w:val="TOC1"/>
        <w:rPr>
          <w:rFonts w:eastAsiaTheme="minorEastAsia"/>
          <w:sz w:val="22"/>
          <w:szCs w:val="22"/>
          <w:lang w:eastAsia="en-PH"/>
        </w:rPr>
      </w:pPr>
      <w:hyperlink w:anchor="_Toc48830270" w:history="1">
        <w:r w:rsidR="007F21E0" w:rsidRPr="001638CE">
          <w:rPr>
            <w:rStyle w:val="Hyperlink"/>
          </w:rPr>
          <w:t>Table 2: Membership and meetings of the Clinical Advisory Committee in 2019–20</w:t>
        </w:r>
        <w:r w:rsidR="007F21E0">
          <w:rPr>
            <w:webHidden/>
          </w:rPr>
          <w:tab/>
        </w:r>
        <w:r w:rsidR="007F21E0">
          <w:rPr>
            <w:webHidden/>
          </w:rPr>
          <w:fldChar w:fldCharType="begin"/>
        </w:r>
        <w:r w:rsidR="007F21E0">
          <w:rPr>
            <w:webHidden/>
          </w:rPr>
          <w:instrText xml:space="preserve"> PAGEREF _Toc48830270 \h </w:instrText>
        </w:r>
        <w:r w:rsidR="007F21E0">
          <w:rPr>
            <w:webHidden/>
          </w:rPr>
        </w:r>
        <w:r w:rsidR="007F21E0">
          <w:rPr>
            <w:webHidden/>
          </w:rPr>
          <w:fldChar w:fldCharType="separate"/>
        </w:r>
        <w:r w:rsidR="003F3C3E">
          <w:rPr>
            <w:webHidden/>
          </w:rPr>
          <w:t>36</w:t>
        </w:r>
        <w:r w:rsidR="007F21E0">
          <w:rPr>
            <w:webHidden/>
          </w:rPr>
          <w:fldChar w:fldCharType="end"/>
        </w:r>
      </w:hyperlink>
    </w:p>
    <w:p w14:paraId="101D0064" w14:textId="63D9329A" w:rsidR="007F21E0" w:rsidRDefault="001E6FC6">
      <w:pPr>
        <w:pStyle w:val="TOC1"/>
        <w:rPr>
          <w:rFonts w:eastAsiaTheme="minorEastAsia"/>
          <w:sz w:val="22"/>
          <w:szCs w:val="22"/>
          <w:lang w:eastAsia="en-PH"/>
        </w:rPr>
      </w:pPr>
      <w:hyperlink w:anchor="_Toc48830271" w:history="1">
        <w:r w:rsidR="007F21E0" w:rsidRPr="001638CE">
          <w:rPr>
            <w:rStyle w:val="Hyperlink"/>
          </w:rPr>
          <w:t>Table 3: Relationship between 2019–20 Portfolio Budget Statements,</w:t>
        </w:r>
        <w:r w:rsidR="007F21E0">
          <w:rPr>
            <w:rStyle w:val="Hyperlink"/>
          </w:rPr>
          <w:br/>
        </w:r>
        <w:r w:rsidR="007F21E0" w:rsidRPr="001638CE">
          <w:rPr>
            <w:rStyle w:val="Hyperlink"/>
          </w:rPr>
          <w:t>IHPA Corporate Plan 2019–20 and the 2019–20 Annual Report Performance Statement</w:t>
        </w:r>
        <w:r w:rsidR="007F21E0">
          <w:rPr>
            <w:webHidden/>
          </w:rPr>
          <w:tab/>
        </w:r>
        <w:r w:rsidR="007F21E0">
          <w:rPr>
            <w:webHidden/>
          </w:rPr>
          <w:fldChar w:fldCharType="begin"/>
        </w:r>
        <w:r w:rsidR="007F21E0">
          <w:rPr>
            <w:webHidden/>
          </w:rPr>
          <w:instrText xml:space="preserve"> PAGEREF _Toc48830271 \h </w:instrText>
        </w:r>
        <w:r w:rsidR="007F21E0">
          <w:rPr>
            <w:webHidden/>
          </w:rPr>
        </w:r>
        <w:r w:rsidR="007F21E0">
          <w:rPr>
            <w:webHidden/>
          </w:rPr>
          <w:fldChar w:fldCharType="separate"/>
        </w:r>
        <w:r w:rsidR="003F3C3E">
          <w:rPr>
            <w:webHidden/>
          </w:rPr>
          <w:t>40</w:t>
        </w:r>
        <w:r w:rsidR="007F21E0">
          <w:rPr>
            <w:webHidden/>
          </w:rPr>
          <w:fldChar w:fldCharType="end"/>
        </w:r>
      </w:hyperlink>
    </w:p>
    <w:p w14:paraId="43A4B426" w14:textId="301934BF" w:rsidR="007F21E0" w:rsidRDefault="001E6FC6">
      <w:pPr>
        <w:pStyle w:val="TOC1"/>
        <w:rPr>
          <w:rFonts w:eastAsiaTheme="minorEastAsia"/>
          <w:sz w:val="22"/>
          <w:szCs w:val="22"/>
          <w:lang w:eastAsia="en-PH"/>
        </w:rPr>
      </w:pPr>
      <w:hyperlink w:anchor="_Toc48830272" w:history="1">
        <w:r w:rsidR="007F21E0" w:rsidRPr="001638CE">
          <w:rPr>
            <w:rStyle w:val="Hyperlink"/>
          </w:rPr>
          <w:t>Table 4: Summary of Performance for 2019–20</w:t>
        </w:r>
        <w:r w:rsidR="007F21E0">
          <w:rPr>
            <w:webHidden/>
          </w:rPr>
          <w:tab/>
        </w:r>
        <w:r w:rsidR="007F21E0">
          <w:rPr>
            <w:webHidden/>
          </w:rPr>
          <w:fldChar w:fldCharType="begin"/>
        </w:r>
        <w:r w:rsidR="007F21E0">
          <w:rPr>
            <w:webHidden/>
          </w:rPr>
          <w:instrText xml:space="preserve"> PAGEREF _Toc48830272 \h </w:instrText>
        </w:r>
        <w:r w:rsidR="007F21E0">
          <w:rPr>
            <w:webHidden/>
          </w:rPr>
        </w:r>
        <w:r w:rsidR="007F21E0">
          <w:rPr>
            <w:webHidden/>
          </w:rPr>
          <w:fldChar w:fldCharType="separate"/>
        </w:r>
        <w:r w:rsidR="003F3C3E">
          <w:rPr>
            <w:webHidden/>
          </w:rPr>
          <w:t>41</w:t>
        </w:r>
        <w:r w:rsidR="007F21E0">
          <w:rPr>
            <w:webHidden/>
          </w:rPr>
          <w:fldChar w:fldCharType="end"/>
        </w:r>
      </w:hyperlink>
    </w:p>
    <w:p w14:paraId="209FFC02" w14:textId="2A2DD299" w:rsidR="007F21E0" w:rsidRDefault="001E6FC6">
      <w:pPr>
        <w:pStyle w:val="TOC1"/>
        <w:rPr>
          <w:rFonts w:eastAsiaTheme="minorEastAsia"/>
          <w:sz w:val="22"/>
          <w:szCs w:val="22"/>
          <w:lang w:eastAsia="en-PH"/>
        </w:rPr>
      </w:pPr>
      <w:hyperlink w:anchor="_Toc48830273" w:history="1">
        <w:r w:rsidR="007F21E0" w:rsidRPr="001638CE">
          <w:rPr>
            <w:rStyle w:val="Hyperlink"/>
          </w:rPr>
          <w:t>Table 5: Proportion of funding for public hospital services using activity based funding</w:t>
        </w:r>
        <w:r w:rsidR="007F21E0">
          <w:rPr>
            <w:webHidden/>
          </w:rPr>
          <w:tab/>
        </w:r>
        <w:r w:rsidR="007F21E0">
          <w:rPr>
            <w:webHidden/>
          </w:rPr>
          <w:fldChar w:fldCharType="begin"/>
        </w:r>
        <w:r w:rsidR="007F21E0">
          <w:rPr>
            <w:webHidden/>
          </w:rPr>
          <w:instrText xml:space="preserve"> PAGEREF _Toc48830273 \h </w:instrText>
        </w:r>
        <w:r w:rsidR="007F21E0">
          <w:rPr>
            <w:webHidden/>
          </w:rPr>
        </w:r>
        <w:r w:rsidR="007F21E0">
          <w:rPr>
            <w:webHidden/>
          </w:rPr>
          <w:fldChar w:fldCharType="separate"/>
        </w:r>
        <w:r w:rsidR="003F3C3E">
          <w:rPr>
            <w:webHidden/>
          </w:rPr>
          <w:t>44</w:t>
        </w:r>
        <w:r w:rsidR="007F21E0">
          <w:rPr>
            <w:webHidden/>
          </w:rPr>
          <w:fldChar w:fldCharType="end"/>
        </w:r>
      </w:hyperlink>
    </w:p>
    <w:p w14:paraId="3493A947" w14:textId="065BE790" w:rsidR="007F21E0" w:rsidRDefault="001E6FC6">
      <w:pPr>
        <w:pStyle w:val="TOC1"/>
        <w:rPr>
          <w:rFonts w:eastAsiaTheme="minorEastAsia"/>
          <w:sz w:val="22"/>
          <w:szCs w:val="22"/>
          <w:lang w:eastAsia="en-PH"/>
        </w:rPr>
      </w:pPr>
      <w:hyperlink w:anchor="_Toc48830274" w:history="1">
        <w:r w:rsidR="007F21E0" w:rsidRPr="001638CE">
          <w:rPr>
            <w:rStyle w:val="Hyperlink"/>
          </w:rPr>
          <w:t>Table 6: Response rate to enquiries 1 July 2019 – 30 June 2020</w:t>
        </w:r>
        <w:r w:rsidR="007F21E0">
          <w:rPr>
            <w:webHidden/>
          </w:rPr>
          <w:tab/>
        </w:r>
        <w:r w:rsidR="007F21E0">
          <w:rPr>
            <w:webHidden/>
          </w:rPr>
          <w:fldChar w:fldCharType="begin"/>
        </w:r>
        <w:r w:rsidR="007F21E0">
          <w:rPr>
            <w:webHidden/>
          </w:rPr>
          <w:instrText xml:space="preserve"> PAGEREF _Toc48830274 \h </w:instrText>
        </w:r>
        <w:r w:rsidR="007F21E0">
          <w:rPr>
            <w:webHidden/>
          </w:rPr>
        </w:r>
        <w:r w:rsidR="007F21E0">
          <w:rPr>
            <w:webHidden/>
          </w:rPr>
          <w:fldChar w:fldCharType="separate"/>
        </w:r>
        <w:r w:rsidR="003F3C3E">
          <w:rPr>
            <w:webHidden/>
          </w:rPr>
          <w:t>50</w:t>
        </w:r>
        <w:r w:rsidR="007F21E0">
          <w:rPr>
            <w:webHidden/>
          </w:rPr>
          <w:fldChar w:fldCharType="end"/>
        </w:r>
      </w:hyperlink>
    </w:p>
    <w:p w14:paraId="1FD1C663" w14:textId="5D45EEE2" w:rsidR="007F21E0" w:rsidRDefault="001E6FC6">
      <w:pPr>
        <w:pStyle w:val="TOC1"/>
        <w:rPr>
          <w:rFonts w:eastAsiaTheme="minorEastAsia"/>
          <w:sz w:val="22"/>
          <w:szCs w:val="22"/>
          <w:lang w:eastAsia="en-PH"/>
        </w:rPr>
      </w:pPr>
      <w:hyperlink w:anchor="_Toc48830275" w:history="1">
        <w:r w:rsidR="007F21E0" w:rsidRPr="001638CE">
          <w:rPr>
            <w:rStyle w:val="Hyperlink"/>
          </w:rPr>
          <w:t>Table 7: Details of Audit, Risk and Compliance Committee during the</w:t>
        </w:r>
        <w:r w:rsidR="007F21E0">
          <w:rPr>
            <w:rStyle w:val="Hyperlink"/>
          </w:rPr>
          <w:br/>
        </w:r>
        <w:r w:rsidR="007F21E0" w:rsidRPr="001638CE">
          <w:rPr>
            <w:rStyle w:val="Hyperlink"/>
          </w:rPr>
          <w:t>reporting period (2019–2020)</w:t>
        </w:r>
        <w:r w:rsidR="007F21E0">
          <w:rPr>
            <w:webHidden/>
          </w:rPr>
          <w:tab/>
        </w:r>
        <w:r w:rsidR="007F21E0">
          <w:rPr>
            <w:webHidden/>
          </w:rPr>
          <w:fldChar w:fldCharType="begin"/>
        </w:r>
        <w:r w:rsidR="007F21E0">
          <w:rPr>
            <w:webHidden/>
          </w:rPr>
          <w:instrText xml:space="preserve"> PAGEREF _Toc48830275 \h </w:instrText>
        </w:r>
        <w:r w:rsidR="007F21E0">
          <w:rPr>
            <w:webHidden/>
          </w:rPr>
        </w:r>
        <w:r w:rsidR="007F21E0">
          <w:rPr>
            <w:webHidden/>
          </w:rPr>
          <w:fldChar w:fldCharType="separate"/>
        </w:r>
        <w:r w:rsidR="003F3C3E">
          <w:rPr>
            <w:webHidden/>
          </w:rPr>
          <w:t>55</w:t>
        </w:r>
        <w:r w:rsidR="007F21E0">
          <w:rPr>
            <w:webHidden/>
          </w:rPr>
          <w:fldChar w:fldCharType="end"/>
        </w:r>
      </w:hyperlink>
    </w:p>
    <w:p w14:paraId="4DB48347" w14:textId="6C8D4C15" w:rsidR="007F21E0" w:rsidRDefault="001E6FC6">
      <w:pPr>
        <w:pStyle w:val="TOC1"/>
        <w:rPr>
          <w:rFonts w:eastAsiaTheme="minorEastAsia"/>
          <w:sz w:val="22"/>
          <w:szCs w:val="22"/>
          <w:lang w:eastAsia="en-PH"/>
        </w:rPr>
      </w:pPr>
      <w:hyperlink w:anchor="_Toc48830276" w:history="1">
        <w:r w:rsidR="007F21E0" w:rsidRPr="001638CE">
          <w:rPr>
            <w:rStyle w:val="Hyperlink"/>
          </w:rPr>
          <w:t>Table 8: Ongoing seconded employees 2020</w:t>
        </w:r>
        <w:r w:rsidR="007F21E0">
          <w:rPr>
            <w:webHidden/>
          </w:rPr>
          <w:tab/>
        </w:r>
        <w:r w:rsidR="007F21E0">
          <w:rPr>
            <w:webHidden/>
          </w:rPr>
          <w:fldChar w:fldCharType="begin"/>
        </w:r>
        <w:r w:rsidR="007F21E0">
          <w:rPr>
            <w:webHidden/>
          </w:rPr>
          <w:instrText xml:space="preserve"> PAGEREF _Toc48830276 \h </w:instrText>
        </w:r>
        <w:r w:rsidR="007F21E0">
          <w:rPr>
            <w:webHidden/>
          </w:rPr>
        </w:r>
        <w:r w:rsidR="007F21E0">
          <w:rPr>
            <w:webHidden/>
          </w:rPr>
          <w:fldChar w:fldCharType="separate"/>
        </w:r>
        <w:r w:rsidR="003F3C3E">
          <w:rPr>
            <w:webHidden/>
          </w:rPr>
          <w:t>58</w:t>
        </w:r>
        <w:r w:rsidR="007F21E0">
          <w:rPr>
            <w:webHidden/>
          </w:rPr>
          <w:fldChar w:fldCharType="end"/>
        </w:r>
      </w:hyperlink>
    </w:p>
    <w:p w14:paraId="211D274B" w14:textId="2EAEB8D8" w:rsidR="007F21E0" w:rsidRDefault="001E6FC6">
      <w:pPr>
        <w:pStyle w:val="TOC1"/>
        <w:rPr>
          <w:rFonts w:eastAsiaTheme="minorEastAsia"/>
          <w:sz w:val="22"/>
          <w:szCs w:val="22"/>
          <w:lang w:eastAsia="en-PH"/>
        </w:rPr>
      </w:pPr>
      <w:hyperlink w:anchor="_Toc48830277" w:history="1">
        <w:r w:rsidR="007F21E0" w:rsidRPr="001638CE">
          <w:rPr>
            <w:rStyle w:val="Hyperlink"/>
          </w:rPr>
          <w:t>Table 9: Ongoing seconded employees 2019</w:t>
        </w:r>
        <w:r w:rsidR="007F21E0">
          <w:rPr>
            <w:webHidden/>
          </w:rPr>
          <w:tab/>
        </w:r>
        <w:r w:rsidR="007F21E0">
          <w:rPr>
            <w:webHidden/>
          </w:rPr>
          <w:fldChar w:fldCharType="begin"/>
        </w:r>
        <w:r w:rsidR="007F21E0">
          <w:rPr>
            <w:webHidden/>
          </w:rPr>
          <w:instrText xml:space="preserve"> PAGEREF _Toc48830277 \h </w:instrText>
        </w:r>
        <w:r w:rsidR="007F21E0">
          <w:rPr>
            <w:webHidden/>
          </w:rPr>
        </w:r>
        <w:r w:rsidR="007F21E0">
          <w:rPr>
            <w:webHidden/>
          </w:rPr>
          <w:fldChar w:fldCharType="separate"/>
        </w:r>
        <w:r w:rsidR="003F3C3E">
          <w:rPr>
            <w:webHidden/>
          </w:rPr>
          <w:t>58</w:t>
        </w:r>
        <w:r w:rsidR="007F21E0">
          <w:rPr>
            <w:webHidden/>
          </w:rPr>
          <w:fldChar w:fldCharType="end"/>
        </w:r>
      </w:hyperlink>
    </w:p>
    <w:p w14:paraId="76791C51" w14:textId="2074373E" w:rsidR="007F21E0" w:rsidRDefault="001E6FC6">
      <w:pPr>
        <w:pStyle w:val="TOC1"/>
        <w:rPr>
          <w:rFonts w:eastAsiaTheme="minorEastAsia"/>
          <w:sz w:val="22"/>
          <w:szCs w:val="22"/>
          <w:lang w:eastAsia="en-PH"/>
        </w:rPr>
      </w:pPr>
      <w:hyperlink w:anchor="_Toc48830278" w:history="1">
        <w:r w:rsidR="007F21E0" w:rsidRPr="001638CE">
          <w:rPr>
            <w:rStyle w:val="Hyperlink"/>
          </w:rPr>
          <w:t>Table 10: Non-ongoing seconded employees 2020</w:t>
        </w:r>
        <w:r w:rsidR="007F21E0">
          <w:rPr>
            <w:webHidden/>
          </w:rPr>
          <w:tab/>
        </w:r>
        <w:r w:rsidR="007F21E0">
          <w:rPr>
            <w:webHidden/>
          </w:rPr>
          <w:fldChar w:fldCharType="begin"/>
        </w:r>
        <w:r w:rsidR="007F21E0">
          <w:rPr>
            <w:webHidden/>
          </w:rPr>
          <w:instrText xml:space="preserve"> PAGEREF _Toc48830278 \h </w:instrText>
        </w:r>
        <w:r w:rsidR="007F21E0">
          <w:rPr>
            <w:webHidden/>
          </w:rPr>
        </w:r>
        <w:r w:rsidR="007F21E0">
          <w:rPr>
            <w:webHidden/>
          </w:rPr>
          <w:fldChar w:fldCharType="separate"/>
        </w:r>
        <w:r w:rsidR="003F3C3E">
          <w:rPr>
            <w:webHidden/>
          </w:rPr>
          <w:t>59</w:t>
        </w:r>
        <w:r w:rsidR="007F21E0">
          <w:rPr>
            <w:webHidden/>
          </w:rPr>
          <w:fldChar w:fldCharType="end"/>
        </w:r>
      </w:hyperlink>
    </w:p>
    <w:p w14:paraId="1F4058D9" w14:textId="2C192F8F" w:rsidR="007F21E0" w:rsidRDefault="001E6FC6">
      <w:pPr>
        <w:pStyle w:val="TOC1"/>
        <w:rPr>
          <w:rFonts w:eastAsiaTheme="minorEastAsia"/>
          <w:sz w:val="22"/>
          <w:szCs w:val="22"/>
          <w:lang w:eastAsia="en-PH"/>
        </w:rPr>
      </w:pPr>
      <w:hyperlink w:anchor="_Toc48830279" w:history="1">
        <w:r w:rsidR="007F21E0" w:rsidRPr="001638CE">
          <w:rPr>
            <w:rStyle w:val="Hyperlink"/>
          </w:rPr>
          <w:t>Table 11: Non-ongoing seconded employees 2019</w:t>
        </w:r>
        <w:r w:rsidR="007F21E0">
          <w:rPr>
            <w:webHidden/>
          </w:rPr>
          <w:tab/>
        </w:r>
        <w:r w:rsidR="007F21E0">
          <w:rPr>
            <w:webHidden/>
          </w:rPr>
          <w:fldChar w:fldCharType="begin"/>
        </w:r>
        <w:r w:rsidR="007F21E0">
          <w:rPr>
            <w:webHidden/>
          </w:rPr>
          <w:instrText xml:space="preserve"> PAGEREF _Toc48830279 \h </w:instrText>
        </w:r>
        <w:r w:rsidR="007F21E0">
          <w:rPr>
            <w:webHidden/>
          </w:rPr>
        </w:r>
        <w:r w:rsidR="007F21E0">
          <w:rPr>
            <w:webHidden/>
          </w:rPr>
          <w:fldChar w:fldCharType="separate"/>
        </w:r>
        <w:r w:rsidR="003F3C3E">
          <w:rPr>
            <w:webHidden/>
          </w:rPr>
          <w:t>59</w:t>
        </w:r>
        <w:r w:rsidR="007F21E0">
          <w:rPr>
            <w:webHidden/>
          </w:rPr>
          <w:fldChar w:fldCharType="end"/>
        </w:r>
      </w:hyperlink>
    </w:p>
    <w:p w14:paraId="029D3568" w14:textId="25BF2AC6" w:rsidR="007F21E0" w:rsidRDefault="001E6FC6">
      <w:pPr>
        <w:pStyle w:val="TOC1"/>
        <w:rPr>
          <w:rFonts w:eastAsiaTheme="minorEastAsia"/>
          <w:sz w:val="22"/>
          <w:szCs w:val="22"/>
          <w:lang w:eastAsia="en-PH"/>
        </w:rPr>
      </w:pPr>
      <w:hyperlink w:anchor="_Toc48830280" w:history="1">
        <w:r w:rsidR="007F21E0" w:rsidRPr="001638CE">
          <w:rPr>
            <w:rStyle w:val="Hyperlink"/>
          </w:rPr>
          <w:t>Table 1</w:t>
        </w:r>
        <w:r w:rsidR="007F21E0">
          <w:rPr>
            <w:rStyle w:val="Hyperlink"/>
          </w:rPr>
          <w:t>2</w:t>
        </w:r>
        <w:r w:rsidR="007F21E0" w:rsidRPr="001638CE">
          <w:rPr>
            <w:rStyle w:val="Hyperlink"/>
          </w:rPr>
          <w:t>: Information about remuneration for key management personnel (KMP)</w:t>
        </w:r>
        <w:r w:rsidR="007F21E0">
          <w:rPr>
            <w:webHidden/>
          </w:rPr>
          <w:tab/>
        </w:r>
        <w:r w:rsidR="007F21E0">
          <w:rPr>
            <w:webHidden/>
          </w:rPr>
          <w:fldChar w:fldCharType="begin"/>
        </w:r>
        <w:r w:rsidR="007F21E0">
          <w:rPr>
            <w:webHidden/>
          </w:rPr>
          <w:instrText xml:space="preserve"> PAGEREF _Toc48830280 \h </w:instrText>
        </w:r>
        <w:r w:rsidR="007F21E0">
          <w:rPr>
            <w:webHidden/>
          </w:rPr>
        </w:r>
        <w:r w:rsidR="007F21E0">
          <w:rPr>
            <w:webHidden/>
          </w:rPr>
          <w:fldChar w:fldCharType="separate"/>
        </w:r>
        <w:r w:rsidR="003F3C3E">
          <w:rPr>
            <w:webHidden/>
          </w:rPr>
          <w:t>60</w:t>
        </w:r>
        <w:r w:rsidR="007F21E0">
          <w:rPr>
            <w:webHidden/>
          </w:rPr>
          <w:fldChar w:fldCharType="end"/>
        </w:r>
      </w:hyperlink>
    </w:p>
    <w:p w14:paraId="64168F93" w14:textId="6F92DB0F" w:rsidR="007F21E0" w:rsidRDefault="001E6FC6">
      <w:pPr>
        <w:pStyle w:val="TOC1"/>
        <w:rPr>
          <w:rFonts w:eastAsiaTheme="minorEastAsia"/>
          <w:sz w:val="22"/>
          <w:szCs w:val="22"/>
          <w:lang w:eastAsia="en-PH"/>
        </w:rPr>
      </w:pPr>
      <w:hyperlink w:anchor="_Toc48830281" w:history="1">
        <w:r w:rsidR="007F21E0" w:rsidRPr="001638CE">
          <w:rPr>
            <w:rStyle w:val="Hyperlink"/>
          </w:rPr>
          <w:t>Table 1</w:t>
        </w:r>
        <w:r w:rsidR="007F21E0">
          <w:rPr>
            <w:rStyle w:val="Hyperlink"/>
          </w:rPr>
          <w:t>3</w:t>
        </w:r>
        <w:r w:rsidR="007F21E0" w:rsidRPr="001638CE">
          <w:rPr>
            <w:rStyle w:val="Hyperlink"/>
          </w:rPr>
          <w:t>: Details of accountable authority during the reporting period</w:t>
        </w:r>
        <w:r w:rsidR="007F21E0">
          <w:rPr>
            <w:rStyle w:val="Hyperlink"/>
          </w:rPr>
          <w:br/>
        </w:r>
        <w:r w:rsidR="007F21E0" w:rsidRPr="001638CE">
          <w:rPr>
            <w:rStyle w:val="Hyperlink"/>
          </w:rPr>
          <w:t>current report period (2019–2020)</w:t>
        </w:r>
        <w:r w:rsidR="007F21E0">
          <w:rPr>
            <w:webHidden/>
          </w:rPr>
          <w:tab/>
        </w:r>
        <w:r w:rsidR="007F21E0">
          <w:rPr>
            <w:webHidden/>
          </w:rPr>
          <w:fldChar w:fldCharType="begin"/>
        </w:r>
        <w:r w:rsidR="007F21E0">
          <w:rPr>
            <w:webHidden/>
          </w:rPr>
          <w:instrText xml:space="preserve"> PAGEREF _Toc48830281 \h </w:instrText>
        </w:r>
        <w:r w:rsidR="007F21E0">
          <w:rPr>
            <w:webHidden/>
          </w:rPr>
        </w:r>
        <w:r w:rsidR="007F21E0">
          <w:rPr>
            <w:webHidden/>
          </w:rPr>
          <w:fldChar w:fldCharType="separate"/>
        </w:r>
        <w:r w:rsidR="003F3C3E">
          <w:rPr>
            <w:webHidden/>
          </w:rPr>
          <w:t>62</w:t>
        </w:r>
        <w:r w:rsidR="007F21E0">
          <w:rPr>
            <w:webHidden/>
          </w:rPr>
          <w:fldChar w:fldCharType="end"/>
        </w:r>
      </w:hyperlink>
    </w:p>
    <w:p w14:paraId="71AE1B1F" w14:textId="508EEE78" w:rsidR="00183CE1" w:rsidRDefault="00903643" w:rsidP="00606349">
      <w:pPr>
        <w:pStyle w:val="Body"/>
      </w:pPr>
      <w:r>
        <w:fldChar w:fldCharType="end"/>
      </w:r>
    </w:p>
    <w:p w14:paraId="3FEE296A" w14:textId="1EA316CB" w:rsidR="00183CE1" w:rsidRDefault="00183CE1" w:rsidP="00606349">
      <w:pPr>
        <w:pStyle w:val="Body"/>
        <w:sectPr w:rsidR="00183CE1" w:rsidSect="00B20BE1">
          <w:footnotePr>
            <w:pos w:val="beneathText"/>
          </w:footnotePr>
          <w:pgSz w:w="9979" w:h="14175" w:code="13"/>
          <w:pgMar w:top="1134" w:right="1418" w:bottom="992" w:left="1418" w:header="709" w:footer="709" w:gutter="0"/>
          <w:cols w:space="623"/>
          <w:docGrid w:linePitch="360"/>
        </w:sectPr>
      </w:pPr>
    </w:p>
    <w:p w14:paraId="3818ADB6" w14:textId="68234B9E" w:rsidR="00183CE1" w:rsidRPr="00EF248A" w:rsidRDefault="00B56C78" w:rsidP="00EF248A">
      <w:pPr>
        <w:pStyle w:val="Heading1"/>
        <w:rPr>
          <w:color w:val="1C1C1C"/>
        </w:rPr>
      </w:pPr>
      <w:bookmarkStart w:id="191" w:name="_Toc50378089"/>
      <w:r w:rsidRPr="00EF248A">
        <w:rPr>
          <w:color w:val="1C1C1C"/>
        </w:rPr>
        <w:lastRenderedPageBreak/>
        <w:t>Appendix B: Acronyms and abbreviations</w:t>
      </w:r>
      <w:bookmarkEnd w:id="191"/>
    </w:p>
    <w:p w14:paraId="58785873" w14:textId="26D028EC" w:rsidR="005929CA" w:rsidRDefault="005929CA" w:rsidP="005929CA">
      <w:pPr>
        <w:pStyle w:val="Body"/>
      </w:pPr>
      <w:r w:rsidRPr="005929CA">
        <w:rPr>
          <w:b/>
          <w:bCs/>
        </w:rPr>
        <w:t>ANAO</w:t>
      </w:r>
      <w:r>
        <w:t xml:space="preserve"> </w:t>
      </w:r>
      <w:r w:rsidR="00CB1338">
        <w:t>–</w:t>
      </w:r>
      <w:r>
        <w:t xml:space="preserve"> Australian National Audit Office</w:t>
      </w:r>
    </w:p>
    <w:p w14:paraId="1BE61530" w14:textId="16B08071" w:rsidR="005929CA" w:rsidRDefault="005929CA" w:rsidP="005929CA">
      <w:pPr>
        <w:pStyle w:val="Body"/>
      </w:pPr>
      <w:r w:rsidRPr="005929CA">
        <w:rPr>
          <w:b/>
          <w:bCs/>
        </w:rPr>
        <w:t>COAG</w:t>
      </w:r>
      <w:r>
        <w:t xml:space="preserve"> </w:t>
      </w:r>
      <w:r w:rsidR="00CB1338">
        <w:t>–</w:t>
      </w:r>
      <w:r>
        <w:t xml:space="preserve"> Council of Australian Governments</w:t>
      </w:r>
    </w:p>
    <w:p w14:paraId="64C78B02" w14:textId="7BFF4FF3" w:rsidR="005929CA" w:rsidRDefault="005929CA" w:rsidP="005929CA">
      <w:pPr>
        <w:pStyle w:val="Body"/>
      </w:pPr>
      <w:r w:rsidRPr="005929CA">
        <w:rPr>
          <w:b/>
          <w:bCs/>
        </w:rPr>
        <w:t>IHPA</w:t>
      </w:r>
      <w:r>
        <w:t xml:space="preserve"> </w:t>
      </w:r>
      <w:r w:rsidR="00CB1338">
        <w:t>–</w:t>
      </w:r>
      <w:r>
        <w:t xml:space="preserve"> Independent Hospital Pricing Authority</w:t>
      </w:r>
    </w:p>
    <w:p w14:paraId="562CAAE2" w14:textId="1C0F8400" w:rsidR="005929CA" w:rsidRDefault="005929CA" w:rsidP="005929CA">
      <w:pPr>
        <w:pStyle w:val="Body"/>
      </w:pPr>
      <w:r w:rsidRPr="005929CA">
        <w:rPr>
          <w:b/>
          <w:bCs/>
        </w:rPr>
        <w:t>MoU</w:t>
      </w:r>
      <w:r>
        <w:t xml:space="preserve"> </w:t>
      </w:r>
      <w:r w:rsidR="00CB1338">
        <w:t>–</w:t>
      </w:r>
      <w:r>
        <w:t xml:space="preserve"> Memorandum of Understanding</w:t>
      </w:r>
    </w:p>
    <w:p w14:paraId="0AA4942B" w14:textId="4DB97969" w:rsidR="005929CA" w:rsidRDefault="005929CA" w:rsidP="005929CA">
      <w:pPr>
        <w:pStyle w:val="Body"/>
      </w:pPr>
      <w:r w:rsidRPr="005929CA">
        <w:rPr>
          <w:b/>
          <w:bCs/>
        </w:rPr>
        <w:t>NHCDC</w:t>
      </w:r>
      <w:r>
        <w:t xml:space="preserve"> </w:t>
      </w:r>
      <w:r w:rsidR="00CB1338">
        <w:t>–</w:t>
      </w:r>
      <w:r>
        <w:t xml:space="preserve"> National Hospital Cost Data Collection</w:t>
      </w:r>
    </w:p>
    <w:p w14:paraId="66D4F6F5" w14:textId="6D6E6550" w:rsidR="005929CA" w:rsidRDefault="005929CA" w:rsidP="005929CA">
      <w:pPr>
        <w:pStyle w:val="Body"/>
      </w:pPr>
      <w:r w:rsidRPr="005929CA">
        <w:rPr>
          <w:b/>
          <w:bCs/>
        </w:rPr>
        <w:t>NWAU</w:t>
      </w:r>
      <w:r>
        <w:t xml:space="preserve"> </w:t>
      </w:r>
      <w:r w:rsidR="00CB1338">
        <w:t>–</w:t>
      </w:r>
      <w:r>
        <w:t xml:space="preserve"> National Weighted Activity Unit</w:t>
      </w:r>
    </w:p>
    <w:p w14:paraId="77805FF1" w14:textId="3A612E2C" w:rsidR="0096476C" w:rsidRDefault="005929CA" w:rsidP="005929CA">
      <w:pPr>
        <w:pStyle w:val="Body"/>
        <w:rPr>
          <w:i/>
          <w:iCs/>
        </w:rPr>
        <w:sectPr w:rsidR="0096476C" w:rsidSect="00B20BE1">
          <w:headerReference w:type="even" r:id="rId117"/>
          <w:headerReference w:type="default" r:id="rId118"/>
          <w:footerReference w:type="default" r:id="rId119"/>
          <w:footnotePr>
            <w:pos w:val="beneathText"/>
          </w:footnotePr>
          <w:pgSz w:w="9979" w:h="14175" w:code="13"/>
          <w:pgMar w:top="1134" w:right="1418" w:bottom="992" w:left="1418" w:header="709" w:footer="709" w:gutter="0"/>
          <w:cols w:space="623"/>
          <w:docGrid w:linePitch="360"/>
        </w:sectPr>
      </w:pPr>
      <w:r w:rsidRPr="005929CA">
        <w:rPr>
          <w:b/>
          <w:bCs/>
        </w:rPr>
        <w:t>PGPA</w:t>
      </w:r>
      <w:r>
        <w:t xml:space="preserve"> </w:t>
      </w:r>
      <w:r w:rsidR="00CB1338">
        <w:t>–</w:t>
      </w:r>
      <w:r>
        <w:t xml:space="preserve"> </w:t>
      </w:r>
      <w:r w:rsidRPr="005929CA">
        <w:rPr>
          <w:i/>
          <w:iCs/>
        </w:rPr>
        <w:t>Public Governance, Performance and Accountability Act 2013</w:t>
      </w:r>
    </w:p>
    <w:p w14:paraId="2D18DC58" w14:textId="64EC4C57" w:rsidR="005929CA" w:rsidRPr="00EF248A" w:rsidRDefault="0096476C" w:rsidP="00EF248A">
      <w:pPr>
        <w:pStyle w:val="Heading1"/>
        <w:rPr>
          <w:color w:val="1C1C1C"/>
        </w:rPr>
      </w:pPr>
      <w:bookmarkStart w:id="192" w:name="_Toc50378090"/>
      <w:r w:rsidRPr="00EF248A">
        <w:rPr>
          <w:color w:val="1C1C1C"/>
        </w:rPr>
        <w:lastRenderedPageBreak/>
        <w:t>Appendix C: Glossary</w:t>
      </w:r>
      <w:bookmarkEnd w:id="192"/>
    </w:p>
    <w:p w14:paraId="6882B31D" w14:textId="77777777" w:rsidR="00BC7550" w:rsidRDefault="00BC7550" w:rsidP="005929CA">
      <w:pPr>
        <w:pStyle w:val="Body"/>
      </w:pPr>
    </w:p>
    <w:p w14:paraId="2EEA82B4" w14:textId="6B92598F" w:rsidR="00BC7550" w:rsidRDefault="00BC7550" w:rsidP="005929CA">
      <w:pPr>
        <w:pStyle w:val="Body"/>
        <w:sectPr w:rsidR="00BC7550" w:rsidSect="00B20BE1">
          <w:footnotePr>
            <w:pos w:val="beneathText"/>
          </w:footnotePr>
          <w:pgSz w:w="9979" w:h="14175" w:code="13"/>
          <w:pgMar w:top="1134" w:right="1418" w:bottom="992" w:left="1418" w:header="709" w:footer="709" w:gutter="0"/>
          <w:cols w:space="623"/>
          <w:docGrid w:linePitch="360"/>
        </w:sectPr>
      </w:pPr>
    </w:p>
    <w:p w14:paraId="14C215B8" w14:textId="77777777" w:rsidR="00BC7550" w:rsidRDefault="00BC7550" w:rsidP="00D876E7">
      <w:pPr>
        <w:pStyle w:val="H4"/>
      </w:pPr>
      <w:r>
        <w:t>Activity based funding</w:t>
      </w:r>
    </w:p>
    <w:p w14:paraId="74C7F7A7" w14:textId="49142BAE" w:rsidR="00BC7550" w:rsidRDefault="00BC7550" w:rsidP="00BC7550">
      <w:pPr>
        <w:pStyle w:val="Body"/>
      </w:pPr>
      <w:r>
        <w:t>A system for funding public hospital services based on the actual number of services provided to patients and the efficient cost of</w:t>
      </w:r>
      <w:r w:rsidR="00133BEE">
        <w:t> </w:t>
      </w:r>
      <w:r>
        <w:t>delivering those services. Activity based funding uses national classifications, cost</w:t>
      </w:r>
      <w:r w:rsidR="00D27AD7">
        <w:t> </w:t>
      </w:r>
      <w:r>
        <w:t xml:space="preserve">weights and </w:t>
      </w:r>
      <w:r w:rsidR="00583F06">
        <w:t xml:space="preserve">the </w:t>
      </w:r>
      <w:r>
        <w:t>National Efficient Price to</w:t>
      </w:r>
      <w:r w:rsidR="00133BEE">
        <w:t> </w:t>
      </w:r>
      <w:r>
        <w:t>determine the amount of funding for each</w:t>
      </w:r>
      <w:r w:rsidR="00133BEE">
        <w:t> </w:t>
      </w:r>
      <w:r>
        <w:t>activity or service.</w:t>
      </w:r>
    </w:p>
    <w:p w14:paraId="3674AA45" w14:textId="77777777" w:rsidR="00BC7550" w:rsidRDefault="00BC7550" w:rsidP="00D876E7">
      <w:pPr>
        <w:pStyle w:val="H4"/>
      </w:pPr>
      <w:r>
        <w:t>Australian Refined Diagnosis Related Groups</w:t>
      </w:r>
    </w:p>
    <w:p w14:paraId="34B4E26C" w14:textId="236A0B2F" w:rsidR="00BC7550" w:rsidRDefault="00BC7550" w:rsidP="00BC7550">
      <w:pPr>
        <w:pStyle w:val="Body"/>
      </w:pPr>
      <w:r>
        <w:t>Australian Refined Diagnosis Related Groups</w:t>
      </w:r>
      <w:r w:rsidR="001E4875">
        <w:t> </w:t>
      </w:r>
      <w:r>
        <w:t>are an Australian admitted patient classification system</w:t>
      </w:r>
      <w:r w:rsidR="00AE7C05">
        <w:t>,</w:t>
      </w:r>
      <w:r>
        <w:t xml:space="preserve"> which provides a clinically meaningful way of relating a hospital’s casemix to the resources required by the hospital. Each Australian Refined Diagnosis Related Group represents a class of patients with similar clinical conditions requiring similar hospital services. The classification categorises acute admitted patient episodes of care into groups with similar conditions and similar usage of hospital resources, using information in the hospital morbidity record such as the</w:t>
      </w:r>
      <w:r w:rsidR="002B0D03">
        <w:t> </w:t>
      </w:r>
      <w:r>
        <w:t>diagnoses, procedures and demographic characteristics of the patient.</w:t>
      </w:r>
    </w:p>
    <w:p w14:paraId="1A5F1C68" w14:textId="7E66B54C" w:rsidR="00BC7550" w:rsidRDefault="00D876E7" w:rsidP="00D876E7">
      <w:pPr>
        <w:pStyle w:val="H4"/>
      </w:pPr>
      <w:r>
        <w:br w:type="column"/>
      </w:r>
      <w:r w:rsidR="00BC7550">
        <w:t>Avoidable hospital readmissions</w:t>
      </w:r>
    </w:p>
    <w:p w14:paraId="4DD18D15" w14:textId="2A605165" w:rsidR="00BC7550" w:rsidRDefault="00BC7550" w:rsidP="00BC7550">
      <w:pPr>
        <w:pStyle w:val="Body"/>
      </w:pPr>
      <w:r>
        <w:t>An avoidable hospital readmission occurs when a patient who has been discharged from</w:t>
      </w:r>
      <w:r w:rsidR="002B0D03">
        <w:t> </w:t>
      </w:r>
      <w:r>
        <w:t>hospital (index admission) is admitted again</w:t>
      </w:r>
      <w:r w:rsidR="002B0D03">
        <w:t> </w:t>
      </w:r>
      <w:r>
        <w:t>within a certain time interval, and</w:t>
      </w:r>
      <w:r w:rsidR="002B0D03">
        <w:t> </w:t>
      </w:r>
      <w:r>
        <w:t>the</w:t>
      </w:r>
      <w:r w:rsidR="002B0D03">
        <w:t> </w:t>
      </w:r>
      <w:r>
        <w:t>readmission:</w:t>
      </w:r>
    </w:p>
    <w:p w14:paraId="7B1E4D85" w14:textId="5659CE68" w:rsidR="00BC7550" w:rsidRDefault="00BC7550" w:rsidP="00D876E7">
      <w:pPr>
        <w:pStyle w:val="Bullets"/>
      </w:pPr>
      <w:r>
        <w:t>is clinically related to the index</w:t>
      </w:r>
      <w:r w:rsidR="002B0D03">
        <w:t> </w:t>
      </w:r>
      <w:r>
        <w:t>admission, and</w:t>
      </w:r>
    </w:p>
    <w:p w14:paraId="5490E0ED" w14:textId="67DEE917" w:rsidR="00BC7550" w:rsidRDefault="00BC7550" w:rsidP="00D876E7">
      <w:pPr>
        <w:pStyle w:val="Bulletslast"/>
      </w:pPr>
      <w:r w:rsidRPr="00D876E7">
        <w:rPr>
          <w:rStyle w:val="BulletsChar"/>
        </w:rPr>
        <w:t>has the potential to be avoided through improved clinical management</w:t>
      </w:r>
      <w:r>
        <w:t xml:space="preserve"> and/or appropriate discharge planning in the</w:t>
      </w:r>
      <w:r w:rsidR="002B0D03">
        <w:t> </w:t>
      </w:r>
      <w:r>
        <w:t>index admission.</w:t>
      </w:r>
    </w:p>
    <w:p w14:paraId="5511B671" w14:textId="5084371A" w:rsidR="00BC7550" w:rsidRDefault="00BC7550" w:rsidP="00BC7550">
      <w:pPr>
        <w:pStyle w:val="Body"/>
      </w:pPr>
      <w:r>
        <w:t>The complete list of hospital acquired complications is available on the Australian</w:t>
      </w:r>
      <w:r w:rsidR="002B0D03">
        <w:t> </w:t>
      </w:r>
      <w:r>
        <w:t>Commission for Safety and</w:t>
      </w:r>
      <w:r w:rsidR="00103190">
        <w:t> </w:t>
      </w:r>
      <w:r>
        <w:t>Quality</w:t>
      </w:r>
      <w:r w:rsidR="002B0D03">
        <w:t> </w:t>
      </w:r>
      <w:r>
        <w:t>in Healthcare’s website.</w:t>
      </w:r>
    </w:p>
    <w:p w14:paraId="2390FECB" w14:textId="77777777" w:rsidR="00BC7550" w:rsidRDefault="00BC7550" w:rsidP="00D876E7">
      <w:pPr>
        <w:pStyle w:val="H4"/>
      </w:pPr>
      <w:r>
        <w:t>Back-casting</w:t>
      </w:r>
    </w:p>
    <w:p w14:paraId="0C8B8140" w14:textId="4B50046A" w:rsidR="00BC7550" w:rsidRDefault="00BC7550" w:rsidP="00BC7550">
      <w:pPr>
        <w:pStyle w:val="Body"/>
      </w:pPr>
      <w:r>
        <w:t>The process by which the effect of significant changes to the activity based funding classification systems or costing methodologies are reflected in the pricing model the year prior to implementation, for the calculation of</w:t>
      </w:r>
      <w:r w:rsidR="00103190">
        <w:t> </w:t>
      </w:r>
      <w:r>
        <w:t>Commonwealth Government funding for each activity based funding service category.</w:t>
      </w:r>
    </w:p>
    <w:p w14:paraId="5EEA1D02" w14:textId="77777777" w:rsidR="00BC7550" w:rsidRDefault="00BC7550" w:rsidP="0084206C">
      <w:pPr>
        <w:pStyle w:val="H4"/>
      </w:pPr>
      <w:r>
        <w:t>Block funding</w:t>
      </w:r>
    </w:p>
    <w:p w14:paraId="5667CEBC" w14:textId="77777777" w:rsidR="00BC7550" w:rsidRDefault="00BC7550" w:rsidP="00BC7550">
      <w:pPr>
        <w:pStyle w:val="Body"/>
      </w:pPr>
      <w:r>
        <w:t xml:space="preserve">A system of funding public hospital functions and services as a fixed </w:t>
      </w:r>
      <w:r>
        <w:lastRenderedPageBreak/>
        <w:t>amount based on population and previous funding.</w:t>
      </w:r>
    </w:p>
    <w:p w14:paraId="6772E98C" w14:textId="77777777" w:rsidR="00BC7550" w:rsidRDefault="00BC7550" w:rsidP="0084206C">
      <w:pPr>
        <w:pStyle w:val="H4"/>
      </w:pPr>
      <w:r>
        <w:t>Casemix</w:t>
      </w:r>
    </w:p>
    <w:p w14:paraId="3E76853D" w14:textId="447EECED" w:rsidR="00BC7550" w:rsidRDefault="00BC7550" w:rsidP="00BC7550">
      <w:pPr>
        <w:pStyle w:val="Body"/>
      </w:pPr>
      <w:r>
        <w:t>The number and type of patients treated in</w:t>
      </w:r>
      <w:r w:rsidR="002B0D03">
        <w:t> </w:t>
      </w:r>
      <w:r>
        <w:t>a</w:t>
      </w:r>
      <w:r w:rsidR="002B0D03">
        <w:t> </w:t>
      </w:r>
      <w:r>
        <w:t>hospital.</w:t>
      </w:r>
    </w:p>
    <w:p w14:paraId="63E245C8" w14:textId="77777777" w:rsidR="00BC7550" w:rsidRDefault="00BC7550" w:rsidP="0084206C">
      <w:pPr>
        <w:pStyle w:val="H4"/>
      </w:pPr>
      <w:r>
        <w:t>Council of Australian Governments (COAG)</w:t>
      </w:r>
    </w:p>
    <w:p w14:paraId="7A9BF493" w14:textId="516F5565" w:rsidR="00BC7550" w:rsidRDefault="00BC7550" w:rsidP="00BC7550">
      <w:pPr>
        <w:pStyle w:val="Body"/>
      </w:pPr>
      <w:r>
        <w:t>The Council of Australian Governments (COAG) is the peak intergovernmental forum</w:t>
      </w:r>
      <w:r w:rsidR="00576033">
        <w:t> </w:t>
      </w:r>
      <w:r>
        <w:t>in Australia.</w:t>
      </w:r>
    </w:p>
    <w:p w14:paraId="4C02B352" w14:textId="73056F3B" w:rsidR="00BC7550" w:rsidRDefault="00BC7550" w:rsidP="00BC7550">
      <w:pPr>
        <w:pStyle w:val="Body"/>
      </w:pPr>
      <w:r>
        <w:t>The members include the Prime Minister, state</w:t>
      </w:r>
      <w:r w:rsidR="00FA417C">
        <w:t> </w:t>
      </w:r>
      <w:r>
        <w:t>and territory Premiers and Chief</w:t>
      </w:r>
      <w:r w:rsidR="00576033">
        <w:t> </w:t>
      </w:r>
      <w:r>
        <w:t>Ministers, and</w:t>
      </w:r>
      <w:r w:rsidR="00FA417C">
        <w:t> </w:t>
      </w:r>
      <w:r>
        <w:t>the President of the Australian Local Government Association. The</w:t>
      </w:r>
      <w:r w:rsidR="00576033">
        <w:t> </w:t>
      </w:r>
      <w:r>
        <w:t>role of COAG is to promote policy reforms that are of</w:t>
      </w:r>
      <w:r w:rsidR="00FA417C">
        <w:t> </w:t>
      </w:r>
      <w:r>
        <w:t>national significance, or</w:t>
      </w:r>
      <w:r w:rsidR="00576033">
        <w:t> </w:t>
      </w:r>
      <w:r>
        <w:t>which need</w:t>
      </w:r>
      <w:r w:rsidR="009A30BE">
        <w:t> </w:t>
      </w:r>
      <w:r>
        <w:t>coordinated action by all Australian</w:t>
      </w:r>
      <w:r w:rsidR="00FA417C">
        <w:t> </w:t>
      </w:r>
      <w:r>
        <w:t>governments.</w:t>
      </w:r>
    </w:p>
    <w:p w14:paraId="6A9E130D" w14:textId="77777777" w:rsidR="00BC7550" w:rsidRDefault="00BC7550" w:rsidP="0084206C">
      <w:pPr>
        <w:pStyle w:val="H4"/>
      </w:pPr>
      <w:r>
        <w:t>Corporate Plan</w:t>
      </w:r>
    </w:p>
    <w:p w14:paraId="4D4DC64B" w14:textId="77777777" w:rsidR="00BC7550" w:rsidRDefault="00BC7550" w:rsidP="00BC7550">
      <w:pPr>
        <w:pStyle w:val="Body"/>
      </w:pPr>
      <w:r>
        <w:t>The primary strategic planning document of a Commonwealth Government entity. It sets out the objectives, capabilities and intended results over a four‑year period, in accordance with the entity’s stated purposes. The Corporate Plan should provide a clear line of sight with the relevant annual performance statement, Portfolio Budget Statement and Annual Report.</w:t>
      </w:r>
    </w:p>
    <w:p w14:paraId="3BBD0CA7" w14:textId="77777777" w:rsidR="00BC7550" w:rsidRDefault="00BC7550" w:rsidP="0084206C">
      <w:pPr>
        <w:pStyle w:val="H4"/>
      </w:pPr>
      <w:r>
        <w:t>Hospital acquired complication</w:t>
      </w:r>
    </w:p>
    <w:p w14:paraId="5E9B419A" w14:textId="77777777" w:rsidR="00BC7550" w:rsidRDefault="00BC7550" w:rsidP="00BC7550">
      <w:pPr>
        <w:pStyle w:val="Body"/>
      </w:pPr>
      <w:r>
        <w:t xml:space="preserve">A complication which occurs during a hospital stay such as falls, infections or pressure injuries. Clinical risk mitigation strategies may reduce (but not necessarily eliminate) the risk of that complication occurring. The complete list of hospital acquired complications is available on the </w:t>
      </w:r>
      <w:r>
        <w:t>Australian Commission for Safety and Quality in Healthcare’s website.</w:t>
      </w:r>
    </w:p>
    <w:p w14:paraId="0530901C" w14:textId="77777777" w:rsidR="00BC7550" w:rsidRDefault="00BC7550" w:rsidP="0084206C">
      <w:pPr>
        <w:pStyle w:val="H4"/>
      </w:pPr>
      <w:r>
        <w:t>National Efficient Cost</w:t>
      </w:r>
    </w:p>
    <w:p w14:paraId="33152983" w14:textId="379D8C19" w:rsidR="00BC7550" w:rsidRDefault="00BC7550" w:rsidP="00BC7550">
      <w:pPr>
        <w:pStyle w:val="Body"/>
      </w:pPr>
      <w:r>
        <w:t>IHPA determines a National Efficient Cost for</w:t>
      </w:r>
      <w:r w:rsidR="0058523A">
        <w:t> </w:t>
      </w:r>
      <w:r>
        <w:t>services that are not suitable for activity based</w:t>
      </w:r>
      <w:r w:rsidR="009A30BE">
        <w:t> </w:t>
      </w:r>
      <w:r>
        <w:t>funding, such as small rural hospitals. The</w:t>
      </w:r>
      <w:r w:rsidR="009A30BE">
        <w:t> </w:t>
      </w:r>
      <w:r>
        <w:t xml:space="preserve">National Efficient Cost determines the </w:t>
      </w:r>
      <w:r w:rsidR="00AE7C05">
        <w:t>Commonwealth</w:t>
      </w:r>
      <w:r>
        <w:t xml:space="preserve"> Government contribution to</w:t>
      </w:r>
      <w:r w:rsidR="00AE7C05">
        <w:t> </w:t>
      </w:r>
      <w:r>
        <w:t>block</w:t>
      </w:r>
      <w:r w:rsidR="009A30BE">
        <w:t> </w:t>
      </w:r>
      <w:r>
        <w:t>funded hospitals.</w:t>
      </w:r>
    </w:p>
    <w:p w14:paraId="4DE647ED" w14:textId="0E891DBA" w:rsidR="00BC7550" w:rsidRDefault="0084206C" w:rsidP="0084206C">
      <w:pPr>
        <w:pStyle w:val="H4"/>
      </w:pPr>
      <w:r>
        <w:br w:type="column"/>
      </w:r>
      <w:r w:rsidR="00BC7550">
        <w:lastRenderedPageBreak/>
        <w:t>National Efficient Price</w:t>
      </w:r>
    </w:p>
    <w:p w14:paraId="166237ED" w14:textId="2BE877DF" w:rsidR="00BC7550" w:rsidRDefault="00BC7550" w:rsidP="00BC7550">
      <w:pPr>
        <w:pStyle w:val="Body"/>
      </w:pPr>
      <w:r>
        <w:t>A base price calculated by IHPA as a benchmark to guide governments about the</w:t>
      </w:r>
      <w:r w:rsidR="00F07C86">
        <w:t> </w:t>
      </w:r>
      <w:r>
        <w:t>level of funding that would meet the average</w:t>
      </w:r>
      <w:r w:rsidR="00F07C86">
        <w:t> </w:t>
      </w:r>
      <w:r>
        <w:t>cost of providing acute care (admitted,</w:t>
      </w:r>
      <w:r w:rsidR="00F07C86">
        <w:t> </w:t>
      </w:r>
      <w:r>
        <w:t>emergency and outpatient) services</w:t>
      </w:r>
      <w:r w:rsidR="00F07C86">
        <w:t> </w:t>
      </w:r>
      <w:r>
        <w:t>in public hospitals across Australia. The National Efficient Price is based on the</w:t>
      </w:r>
      <w:r w:rsidR="0058523A">
        <w:t> </w:t>
      </w:r>
      <w:r>
        <w:t>projected average cost of a National Weighted Activity</w:t>
      </w:r>
      <w:r w:rsidR="00F07C86">
        <w:t> </w:t>
      </w:r>
      <w:r>
        <w:t>Unit (NWAU) after the deduction of specified</w:t>
      </w:r>
      <w:r w:rsidR="00F07C86">
        <w:t> </w:t>
      </w:r>
      <w:r>
        <w:t>Commonwealth Government funded</w:t>
      </w:r>
      <w:r w:rsidR="00F07C86">
        <w:t> </w:t>
      </w:r>
      <w:r>
        <w:t>programs.</w:t>
      </w:r>
    </w:p>
    <w:p w14:paraId="510836FE" w14:textId="77777777" w:rsidR="00BC7550" w:rsidRDefault="00BC7550" w:rsidP="0084206C">
      <w:pPr>
        <w:pStyle w:val="H4"/>
      </w:pPr>
      <w:r>
        <w:t>National Health Reform Act 2011</w:t>
      </w:r>
    </w:p>
    <w:p w14:paraId="43329B72" w14:textId="7EC93A6B" w:rsidR="00BC7550" w:rsidRDefault="00BC7550" w:rsidP="00BC7550">
      <w:pPr>
        <w:pStyle w:val="Body"/>
      </w:pPr>
      <w:r>
        <w:t xml:space="preserve">IHPA was established under the National Health Reform Act 2011. The </w:t>
      </w:r>
      <w:r w:rsidRPr="00BA616D">
        <w:rPr>
          <w:i/>
          <w:iCs/>
        </w:rPr>
        <w:t>National Health Reform Act 2011</w:t>
      </w:r>
      <w:r>
        <w:t xml:space="preserve"> gave effect to the National</w:t>
      </w:r>
      <w:r w:rsidR="00745B8D">
        <w:t> </w:t>
      </w:r>
      <w:r>
        <w:t>Health Reform Agreement signed by</w:t>
      </w:r>
      <w:r w:rsidR="00745B8D">
        <w:t> </w:t>
      </w:r>
      <w:r>
        <w:t>the</w:t>
      </w:r>
      <w:r w:rsidR="00AE7C05">
        <w:t xml:space="preserve"> Commonwealth</w:t>
      </w:r>
      <w:r>
        <w:t xml:space="preserve"> Government and all states and</w:t>
      </w:r>
      <w:r w:rsidR="00F07C86">
        <w:t> </w:t>
      </w:r>
      <w:r>
        <w:t>territories in August 2011.</w:t>
      </w:r>
    </w:p>
    <w:p w14:paraId="078230D8" w14:textId="23C24163" w:rsidR="00BC7550" w:rsidRDefault="00BC7550" w:rsidP="0084206C">
      <w:pPr>
        <w:pStyle w:val="H4"/>
      </w:pPr>
      <w:r>
        <w:t>National Health Reform</w:t>
      </w:r>
      <w:r w:rsidR="00576033">
        <w:t> </w:t>
      </w:r>
      <w:r>
        <w:t>Agreement</w:t>
      </w:r>
    </w:p>
    <w:p w14:paraId="28988C70" w14:textId="77447BAD" w:rsidR="00BC7550" w:rsidRDefault="00BC7550" w:rsidP="00BC7550">
      <w:pPr>
        <w:pStyle w:val="Body"/>
      </w:pPr>
      <w:r>
        <w:t>The Agreement outlines the funding, governance and performance arrangements for the delivery of public hospital services in</w:t>
      </w:r>
      <w:r w:rsidR="00F07C86">
        <w:t> </w:t>
      </w:r>
      <w:r>
        <w:t>Australia.</w:t>
      </w:r>
    </w:p>
    <w:p w14:paraId="7F50607A" w14:textId="77777777" w:rsidR="00BC7550" w:rsidRDefault="00BC7550" w:rsidP="00BC7550">
      <w:pPr>
        <w:pStyle w:val="Body"/>
      </w:pPr>
      <w:r>
        <w:t>The Agreement was entered into by the Commonwealth Government and all states and territories in August 2011.</w:t>
      </w:r>
    </w:p>
    <w:p w14:paraId="49922693" w14:textId="4DFAE945" w:rsidR="00BC7550" w:rsidRDefault="00BA616D" w:rsidP="0084206C">
      <w:pPr>
        <w:pStyle w:val="H4"/>
      </w:pPr>
      <w:r>
        <w:br w:type="column"/>
      </w:r>
      <w:r w:rsidR="00BC7550">
        <w:t>National Weighted Activity Unit (NWAU)</w:t>
      </w:r>
    </w:p>
    <w:p w14:paraId="06DEB1CB" w14:textId="39071E7B" w:rsidR="00BC7550" w:rsidRDefault="00BC7550" w:rsidP="00BC7550">
      <w:pPr>
        <w:pStyle w:val="Body"/>
      </w:pPr>
      <w:r>
        <w:t>An NWAU is a measure of health service activity expressed as a common unit, against</w:t>
      </w:r>
      <w:r w:rsidR="00C24E33">
        <w:t> </w:t>
      </w:r>
      <w:r>
        <w:t>which the National Efficient Price is</w:t>
      </w:r>
      <w:r w:rsidR="00C24E33">
        <w:t> </w:t>
      </w:r>
      <w:r>
        <w:t>paid. It provides a way of comparing and</w:t>
      </w:r>
      <w:r w:rsidR="00C24E33">
        <w:t> </w:t>
      </w:r>
      <w:r>
        <w:t>valuing each public hospital service</w:t>
      </w:r>
      <w:r w:rsidR="00C24E33">
        <w:t> </w:t>
      </w:r>
      <w:r>
        <w:t>(whether</w:t>
      </w:r>
      <w:r w:rsidR="00C24E33">
        <w:t> </w:t>
      </w:r>
      <w:r>
        <w:t>it</w:t>
      </w:r>
      <w:r w:rsidR="00C24E33">
        <w:t> </w:t>
      </w:r>
      <w:r>
        <w:t>is an admission, emergency</w:t>
      </w:r>
      <w:r w:rsidR="00C24E33">
        <w:t> </w:t>
      </w:r>
      <w:r>
        <w:t>department presentation or outpatient</w:t>
      </w:r>
      <w:r w:rsidR="00C24E33">
        <w:t> </w:t>
      </w:r>
      <w:r>
        <w:t>episode), by weighting it for its</w:t>
      </w:r>
      <w:r w:rsidR="00C24E33">
        <w:t> </w:t>
      </w:r>
      <w:r>
        <w:t>clinical</w:t>
      </w:r>
      <w:r w:rsidR="00C24E33">
        <w:t> </w:t>
      </w:r>
      <w:r>
        <w:t>complexity.</w:t>
      </w:r>
    </w:p>
    <w:p w14:paraId="28576ACD" w14:textId="018937C6" w:rsidR="00BC7550" w:rsidRDefault="00BC7550" w:rsidP="00BC7550">
      <w:pPr>
        <w:pStyle w:val="Body"/>
      </w:pPr>
      <w:r>
        <w:t>The average hospital service is worth one</w:t>
      </w:r>
      <w:r w:rsidR="00C24E33">
        <w:t> </w:t>
      </w:r>
      <w:r>
        <w:t>NWAU. The most intensive and expensive activities are worth multiple NWAUs, and the simplest and least expensive are worth fractions of an NWAU.</w:t>
      </w:r>
    </w:p>
    <w:p w14:paraId="3CA8FAD6" w14:textId="4D93693B" w:rsidR="00BC7550" w:rsidRDefault="00BC7550" w:rsidP="0084206C">
      <w:pPr>
        <w:pStyle w:val="H4"/>
      </w:pPr>
      <w:r>
        <w:t>Protective Security Policy</w:t>
      </w:r>
      <w:r w:rsidR="00C24E33">
        <w:t> </w:t>
      </w:r>
      <w:r>
        <w:t>Framework</w:t>
      </w:r>
    </w:p>
    <w:p w14:paraId="39ABBEB5" w14:textId="5B1A573B" w:rsidR="00BC7550" w:rsidRDefault="00BC7550" w:rsidP="00BC7550">
      <w:pPr>
        <w:pStyle w:val="Body"/>
      </w:pPr>
      <w:r>
        <w:t>The Protective Security Policy Framework provides policy, guidance and better practice</w:t>
      </w:r>
      <w:r w:rsidR="00C24E33">
        <w:t> </w:t>
      </w:r>
      <w:r>
        <w:t>advice for governance, personnel, physical</w:t>
      </w:r>
      <w:r w:rsidR="00C24E33">
        <w:t> </w:t>
      </w:r>
      <w:r>
        <w:t>and information security. The</w:t>
      </w:r>
      <w:r w:rsidR="00C24E33">
        <w:t> </w:t>
      </w:r>
      <w:r>
        <w:t>36</w:t>
      </w:r>
      <w:r w:rsidR="00C24E33">
        <w:t> </w:t>
      </w:r>
      <w:r>
        <w:t>mandatory requirements assist agency heads to identify their responsibilities to manage security risks to their people, information and assets.</w:t>
      </w:r>
    </w:p>
    <w:p w14:paraId="39EE9C39" w14:textId="4C74BEC0" w:rsidR="00BC7550" w:rsidRPr="003D7252" w:rsidRDefault="00BC7550" w:rsidP="0084206C">
      <w:pPr>
        <w:pStyle w:val="H4"/>
        <w:rPr>
          <w:i/>
          <w:iCs/>
        </w:rPr>
      </w:pPr>
      <w:r w:rsidRPr="003D7252">
        <w:rPr>
          <w:i/>
          <w:iCs/>
        </w:rPr>
        <w:t>Public Governance, Performance</w:t>
      </w:r>
      <w:r w:rsidR="00576033">
        <w:rPr>
          <w:i/>
          <w:iCs/>
        </w:rPr>
        <w:t> </w:t>
      </w:r>
      <w:r w:rsidRPr="003D7252">
        <w:rPr>
          <w:i/>
          <w:iCs/>
        </w:rPr>
        <w:t>and Accountability Act 2013 (PGPA ACT)</w:t>
      </w:r>
    </w:p>
    <w:p w14:paraId="11EC0A8E" w14:textId="0B99E873" w:rsidR="00BC7550" w:rsidRDefault="00BC7550" w:rsidP="00BC7550">
      <w:pPr>
        <w:pStyle w:val="Body"/>
      </w:pPr>
      <w:r>
        <w:t>The PGPA Act establishes a coherent system of</w:t>
      </w:r>
      <w:r w:rsidR="00C24E33">
        <w:t> </w:t>
      </w:r>
      <w:r>
        <w:t>governance and accountability for public</w:t>
      </w:r>
      <w:r w:rsidR="00C24E33">
        <w:t> </w:t>
      </w:r>
      <w:r>
        <w:t>resources, with an emphasis on</w:t>
      </w:r>
      <w:r w:rsidR="00FE1685">
        <w:t> </w:t>
      </w:r>
      <w:r>
        <w:t>planning, performance and reporting. The</w:t>
      </w:r>
      <w:r w:rsidR="00C24E33">
        <w:t> </w:t>
      </w:r>
      <w:r>
        <w:t>PGPA Act applies to all Commonwealth entities and Commonwealth companies.</w:t>
      </w:r>
    </w:p>
    <w:p w14:paraId="275DA6E1" w14:textId="2DD3D3F5" w:rsidR="00BC7550" w:rsidRDefault="00BA616D" w:rsidP="0084206C">
      <w:pPr>
        <w:pStyle w:val="H4"/>
      </w:pPr>
      <w:r>
        <w:br w:type="column"/>
      </w:r>
      <w:r w:rsidR="00BC7550">
        <w:lastRenderedPageBreak/>
        <w:t>Sentinel event</w:t>
      </w:r>
    </w:p>
    <w:p w14:paraId="4ED7CF8B" w14:textId="380F677D" w:rsidR="00BC7550" w:rsidRDefault="00BC7550" w:rsidP="00BC7550">
      <w:pPr>
        <w:pStyle w:val="Body"/>
      </w:pPr>
      <w:r>
        <w:t>A sentinel event is a subset of adverse events</w:t>
      </w:r>
      <w:r w:rsidR="00884241">
        <w:t> </w:t>
      </w:r>
      <w:r>
        <w:t>that result in death or serious harm to</w:t>
      </w:r>
      <w:r w:rsidR="00884241">
        <w:t> </w:t>
      </w:r>
      <w:r>
        <w:t>the</w:t>
      </w:r>
      <w:r w:rsidR="00884241">
        <w:t> </w:t>
      </w:r>
      <w:r>
        <w:t>patient, such as surgical procedures involving the wrong body part or medication errors leading to death.</w:t>
      </w:r>
    </w:p>
    <w:p w14:paraId="4841DE1D" w14:textId="3003294F" w:rsidR="00BC7550" w:rsidRDefault="00BC7550" w:rsidP="0084206C">
      <w:pPr>
        <w:pStyle w:val="H4"/>
      </w:pPr>
      <w:r w:rsidRPr="004B4304">
        <w:t>Shadow pricing</w:t>
      </w:r>
    </w:p>
    <w:p w14:paraId="25BEE890" w14:textId="672C8A1C" w:rsidR="00753C1F" w:rsidRDefault="00753C1F" w:rsidP="00EB5F05">
      <w:pPr>
        <w:pStyle w:val="Body"/>
        <w:rPr>
          <w:bCs/>
        </w:rPr>
      </w:pPr>
      <w:r>
        <w:t xml:space="preserve">Shadow pricing </w:t>
      </w:r>
      <w:r w:rsidR="00AE7C05">
        <w:t>is the</w:t>
      </w:r>
      <w:r>
        <w:t xml:space="preserve"> </w:t>
      </w:r>
      <w:r w:rsidRPr="00753C1F">
        <w:t>indicative o</w:t>
      </w:r>
      <w:r>
        <w:t>r</w:t>
      </w:r>
      <w:r w:rsidRPr="00753C1F">
        <w:t xml:space="preserve"> likely cost</w:t>
      </w:r>
      <w:r w:rsidR="00884241">
        <w:t> </w:t>
      </w:r>
      <w:r w:rsidRPr="009416BA">
        <w:t>of services.</w:t>
      </w:r>
    </w:p>
    <w:p w14:paraId="3837E145" w14:textId="784C64AB" w:rsidR="00753C1F" w:rsidRPr="004B4304" w:rsidRDefault="00753C1F" w:rsidP="00EB5F05">
      <w:pPr>
        <w:pStyle w:val="Body"/>
        <w:rPr>
          <w:bCs/>
        </w:rPr>
      </w:pPr>
      <w:r w:rsidRPr="004B4304">
        <w:t>Clause A40 of the National Health Reform Agreement requires IHPA to consider transitional</w:t>
      </w:r>
      <w:r>
        <w:t xml:space="preserve"> </w:t>
      </w:r>
      <w:r w:rsidRPr="004B4304">
        <w:t xml:space="preserve">arrangements when developing new </w:t>
      </w:r>
      <w:r>
        <w:t xml:space="preserve">activity based funding </w:t>
      </w:r>
      <w:r w:rsidRPr="004B4304">
        <w:t>classification systems or costing methodologies.</w:t>
      </w:r>
    </w:p>
    <w:p w14:paraId="726D5E9F" w14:textId="60E0AD70" w:rsidR="00753C1F" w:rsidRPr="004B4304" w:rsidRDefault="00753C1F" w:rsidP="00EB5F05">
      <w:pPr>
        <w:pStyle w:val="Body"/>
        <w:rPr>
          <w:bCs/>
        </w:rPr>
      </w:pPr>
      <w:r w:rsidRPr="004B4304">
        <w:t>This includes shadowing the pricing of new</w:t>
      </w:r>
      <w:r w:rsidR="00884241">
        <w:t> </w:t>
      </w:r>
      <w:r w:rsidRPr="004B4304">
        <w:t>classifica</w:t>
      </w:r>
      <w:r w:rsidRPr="00753C1F">
        <w:t>tions, costing methodologies or</w:t>
      </w:r>
      <w:r w:rsidR="00884241">
        <w:t> </w:t>
      </w:r>
      <w:r w:rsidRPr="004B4304">
        <w:t>adjustments, when appropriate. Shadow</w:t>
      </w:r>
      <w:r w:rsidR="00884241">
        <w:t> </w:t>
      </w:r>
      <w:r w:rsidRPr="004B4304">
        <w:t xml:space="preserve">pricing enables </w:t>
      </w:r>
      <w:r>
        <w:t>states and territories</w:t>
      </w:r>
      <w:r w:rsidRPr="00753C1F">
        <w:t xml:space="preserve"> to understand and</w:t>
      </w:r>
      <w:r>
        <w:t xml:space="preserve"> </w:t>
      </w:r>
      <w:r w:rsidRPr="004B4304">
        <w:t>assess the impact of a new approach on the level and distributi</w:t>
      </w:r>
      <w:r w:rsidRPr="00753C1F">
        <w:t>on of funding to local hospital</w:t>
      </w:r>
      <w:r>
        <w:t xml:space="preserve"> </w:t>
      </w:r>
      <w:r w:rsidRPr="00753C1F">
        <w:t>networks.</w:t>
      </w:r>
    </w:p>
    <w:p w14:paraId="21F2D77A" w14:textId="77777777" w:rsidR="00BC7550" w:rsidRDefault="00BC7550" w:rsidP="0084206C">
      <w:pPr>
        <w:pStyle w:val="H4"/>
      </w:pPr>
      <w:r>
        <w:t>Work program</w:t>
      </w:r>
    </w:p>
    <w:p w14:paraId="5839A4D5" w14:textId="1CCCFFF9" w:rsidR="0096476C" w:rsidRDefault="00BC7550" w:rsidP="00BC7550">
      <w:pPr>
        <w:pStyle w:val="Body"/>
      </w:pPr>
      <w:r>
        <w:t>Each year IHPA consults on and publishes a</w:t>
      </w:r>
      <w:r w:rsidR="007268B1">
        <w:t> </w:t>
      </w:r>
      <w:r>
        <w:t>work program for the year ahead. As</w:t>
      </w:r>
      <w:r w:rsidR="007268B1">
        <w:t> </w:t>
      </w:r>
      <w:r>
        <w:t xml:space="preserve">prescribed in s225 of the </w:t>
      </w:r>
      <w:r w:rsidRPr="00BA616D">
        <w:rPr>
          <w:i/>
          <w:iCs/>
        </w:rPr>
        <w:t>National Health Reform Act 2011</w:t>
      </w:r>
      <w:r>
        <w:t>, the objectives of the IHPA Work Program are to: set out IHPA’s work program for the coming year, and invite interested persons (including states and</w:t>
      </w:r>
      <w:r w:rsidR="007268B1">
        <w:t> </w:t>
      </w:r>
      <w:r>
        <w:t>territories) to make submissions to the Pricing</w:t>
      </w:r>
      <w:r w:rsidR="00884241">
        <w:t> </w:t>
      </w:r>
      <w:r>
        <w:t>Authority about the work program up</w:t>
      </w:r>
      <w:r w:rsidR="00566D35">
        <w:t> </w:t>
      </w:r>
      <w:r>
        <w:t>to 30</w:t>
      </w:r>
      <w:r w:rsidR="00884241">
        <w:t> </w:t>
      </w:r>
      <w:r>
        <w:t>days after publication. IHPA</w:t>
      </w:r>
      <w:r w:rsidR="002D6418">
        <w:t> </w:t>
      </w:r>
      <w:r>
        <w:t>Work</w:t>
      </w:r>
      <w:r w:rsidR="002D6418">
        <w:t> </w:t>
      </w:r>
      <w:r>
        <w:t>Programs are available at</w:t>
      </w:r>
      <w:r w:rsidR="00BA616D">
        <w:t xml:space="preserve"> </w:t>
      </w:r>
      <w:hyperlink r:id="rId120" w:history="1">
        <w:r w:rsidR="00BA616D" w:rsidRPr="00BA616D">
          <w:rPr>
            <w:rStyle w:val="Hyperlink"/>
          </w:rPr>
          <w:t>www.ihpa.gov.au/publications</w:t>
        </w:r>
      </w:hyperlink>
    </w:p>
    <w:p w14:paraId="73F72BD9" w14:textId="77777777" w:rsidR="004A2D49" w:rsidRDefault="004A2D49" w:rsidP="00BC7550">
      <w:pPr>
        <w:pStyle w:val="Body"/>
        <w:sectPr w:rsidR="004A2D49" w:rsidSect="004A2D49">
          <w:footnotePr>
            <w:pos w:val="beneathText"/>
          </w:footnotePr>
          <w:type w:val="continuous"/>
          <w:pgSz w:w="9979" w:h="14175" w:code="13"/>
          <w:pgMar w:top="1134" w:right="1418" w:bottom="992" w:left="1418" w:header="709" w:footer="709" w:gutter="0"/>
          <w:cols w:num="2" w:space="623"/>
          <w:docGrid w:linePitch="360"/>
        </w:sectPr>
      </w:pPr>
    </w:p>
    <w:p w14:paraId="2A6ACE05" w14:textId="2398CB0B" w:rsidR="00281BE3" w:rsidRPr="00EF248A" w:rsidRDefault="00281BE3" w:rsidP="00EF248A">
      <w:pPr>
        <w:pStyle w:val="Heading1"/>
        <w:rPr>
          <w:color w:val="1C1C1C"/>
        </w:rPr>
      </w:pPr>
      <w:bookmarkStart w:id="193" w:name="_Toc50378091"/>
      <w:r w:rsidRPr="00EF248A">
        <w:rPr>
          <w:color w:val="1C1C1C"/>
        </w:rPr>
        <w:lastRenderedPageBreak/>
        <w:t>Appendix D: Compliance</w:t>
      </w:r>
      <w:r w:rsidR="009901E2" w:rsidRPr="00EF248A">
        <w:rPr>
          <w:color w:val="1C1C1C"/>
        </w:rPr>
        <w:t> </w:t>
      </w:r>
      <w:r w:rsidRPr="00EF248A">
        <w:rPr>
          <w:color w:val="1C1C1C"/>
        </w:rPr>
        <w:t>index</w:t>
      </w:r>
      <w:bookmarkEnd w:id="193"/>
    </w:p>
    <w:p w14:paraId="5107BAC9" w14:textId="0DBC9AF7" w:rsidR="004A2D49" w:rsidRDefault="002B12F3" w:rsidP="00BC7550">
      <w:pPr>
        <w:pStyle w:val="Body"/>
      </w:pPr>
      <w:r w:rsidRPr="002B12F3">
        <w:t xml:space="preserve">The Independent Hospital Pricing Authority, as a corporate Commonwealth entity, has prepared this annual report under section 17BA of the Public Governance, Performance and Accountability Rule 2014, and section 46 of the </w:t>
      </w:r>
      <w:r w:rsidRPr="002B12F3">
        <w:rPr>
          <w:i/>
          <w:iCs/>
        </w:rPr>
        <w:t>Public Governance, Performance and Accountability Act 2013.</w:t>
      </w:r>
    </w:p>
    <w:tbl>
      <w:tblPr>
        <w:tblStyle w:val="IHPA"/>
        <w:tblW w:w="5259" w:type="pct"/>
        <w:tblLayout w:type="fixed"/>
        <w:tblCellMar>
          <w:top w:w="57" w:type="dxa"/>
          <w:bottom w:w="57" w:type="dxa"/>
          <w:right w:w="28" w:type="dxa"/>
        </w:tblCellMar>
        <w:tblLook w:val="04A0" w:firstRow="1" w:lastRow="0" w:firstColumn="1" w:lastColumn="0" w:noHBand="0" w:noVBand="1"/>
      </w:tblPr>
      <w:tblGrid>
        <w:gridCol w:w="992"/>
        <w:gridCol w:w="1276"/>
        <w:gridCol w:w="566"/>
        <w:gridCol w:w="3403"/>
        <w:gridCol w:w="1276"/>
      </w:tblGrid>
      <w:tr w:rsidR="001E7D0C" w14:paraId="7540225E" w14:textId="77777777" w:rsidTr="005F5D62">
        <w:trPr>
          <w:trHeight w:val="170"/>
          <w:tblHeader/>
        </w:trPr>
        <w:tc>
          <w:tcPr>
            <w:tcW w:w="660" w:type="pct"/>
            <w:shd w:val="clear" w:color="auto" w:fill="292929"/>
          </w:tcPr>
          <w:p w14:paraId="6EE2BCA4" w14:textId="7D49DBEC" w:rsidR="001E7D0C" w:rsidRPr="00CF6A18" w:rsidRDefault="001E7D0C" w:rsidP="00CF6A18">
            <w:pPr>
              <w:pStyle w:val="Body"/>
              <w:rPr>
                <w:b/>
                <w:bCs/>
                <w:color w:val="FFFFFF" w:themeColor="background2"/>
              </w:rPr>
            </w:pPr>
            <w:r w:rsidRPr="00CF6A18">
              <w:rPr>
                <w:b/>
                <w:bCs/>
                <w:color w:val="FFFFFF" w:themeColor="background2"/>
              </w:rPr>
              <w:t>PGPA Rule Reference</w:t>
            </w:r>
          </w:p>
        </w:tc>
        <w:tc>
          <w:tcPr>
            <w:tcW w:w="849" w:type="pct"/>
            <w:shd w:val="clear" w:color="auto" w:fill="292929"/>
          </w:tcPr>
          <w:p w14:paraId="0B6BDF09" w14:textId="0B9AB3A5" w:rsidR="001E7D0C" w:rsidRPr="00CF6A18" w:rsidRDefault="001E7D0C" w:rsidP="00CF6A18">
            <w:pPr>
              <w:pStyle w:val="Body"/>
              <w:rPr>
                <w:b/>
                <w:bCs/>
                <w:color w:val="FFFFFF" w:themeColor="background2"/>
              </w:rPr>
            </w:pPr>
            <w:r w:rsidRPr="00CF6A18">
              <w:rPr>
                <w:b/>
                <w:bCs/>
                <w:color w:val="FFFFFF" w:themeColor="background2"/>
              </w:rPr>
              <w:t>Part of Report</w:t>
            </w:r>
          </w:p>
        </w:tc>
        <w:tc>
          <w:tcPr>
            <w:tcW w:w="377" w:type="pct"/>
            <w:shd w:val="clear" w:color="auto" w:fill="292929"/>
          </w:tcPr>
          <w:p w14:paraId="2CD35321" w14:textId="77777777" w:rsidR="001E7D0C" w:rsidRPr="00CF6A18" w:rsidRDefault="001E7D0C" w:rsidP="00CF6A18">
            <w:pPr>
              <w:pStyle w:val="Body"/>
              <w:rPr>
                <w:b/>
                <w:bCs/>
                <w:color w:val="FFFFFF" w:themeColor="background2"/>
              </w:rPr>
            </w:pPr>
          </w:p>
        </w:tc>
        <w:tc>
          <w:tcPr>
            <w:tcW w:w="2265" w:type="pct"/>
            <w:shd w:val="clear" w:color="auto" w:fill="292929"/>
          </w:tcPr>
          <w:p w14:paraId="44580EB2" w14:textId="55DA253C" w:rsidR="001E7D0C" w:rsidRPr="00CF6A18" w:rsidRDefault="001E7D0C" w:rsidP="00CF6A18">
            <w:pPr>
              <w:pStyle w:val="Body"/>
              <w:rPr>
                <w:b/>
                <w:bCs/>
                <w:color w:val="FFFFFF" w:themeColor="background2"/>
              </w:rPr>
            </w:pPr>
            <w:r w:rsidRPr="00CF6A18">
              <w:rPr>
                <w:b/>
                <w:bCs/>
                <w:color w:val="FFFFFF" w:themeColor="background2"/>
              </w:rPr>
              <w:t>Description</w:t>
            </w:r>
          </w:p>
        </w:tc>
        <w:tc>
          <w:tcPr>
            <w:tcW w:w="849" w:type="pct"/>
            <w:shd w:val="clear" w:color="auto" w:fill="292929"/>
          </w:tcPr>
          <w:p w14:paraId="0138A5E0" w14:textId="65729F30" w:rsidR="001E7D0C" w:rsidRPr="00CF6A18" w:rsidRDefault="001E7D0C" w:rsidP="00CF6A18">
            <w:pPr>
              <w:pStyle w:val="Body"/>
              <w:rPr>
                <w:b/>
                <w:bCs/>
                <w:color w:val="FFFFFF" w:themeColor="background2"/>
              </w:rPr>
            </w:pPr>
            <w:r w:rsidRPr="00CF6A18">
              <w:rPr>
                <w:b/>
                <w:bCs/>
                <w:color w:val="FFFFFF" w:themeColor="background2"/>
              </w:rPr>
              <w:t>Requirement</w:t>
            </w:r>
          </w:p>
        </w:tc>
      </w:tr>
      <w:tr w:rsidR="001E7D0C" w14:paraId="79923360" w14:textId="77777777" w:rsidTr="005F5D62">
        <w:trPr>
          <w:trHeight w:val="170"/>
        </w:trPr>
        <w:tc>
          <w:tcPr>
            <w:tcW w:w="660" w:type="pct"/>
            <w:tcBorders>
              <w:bottom w:val="single" w:sz="2" w:space="0" w:color="D9D9D9" w:themeColor="background2" w:themeShade="D9"/>
            </w:tcBorders>
            <w:shd w:val="clear" w:color="auto" w:fill="F2F2F2" w:themeFill="background2" w:themeFillShade="F2"/>
          </w:tcPr>
          <w:p w14:paraId="38735F7E" w14:textId="7F6EC920" w:rsidR="001E7D0C" w:rsidRDefault="001E7D0C" w:rsidP="00CF6A18">
            <w:pPr>
              <w:pStyle w:val="Body"/>
            </w:pPr>
            <w:r>
              <w:rPr>
                <w:b/>
              </w:rPr>
              <w:t>17BE</w:t>
            </w:r>
          </w:p>
        </w:tc>
        <w:tc>
          <w:tcPr>
            <w:tcW w:w="4340" w:type="pct"/>
            <w:gridSpan w:val="4"/>
            <w:tcBorders>
              <w:bottom w:val="single" w:sz="2" w:space="0" w:color="D9D9D9" w:themeColor="background2" w:themeShade="D9"/>
            </w:tcBorders>
            <w:shd w:val="clear" w:color="auto" w:fill="F2F2F2" w:themeFill="background2" w:themeFillShade="F2"/>
          </w:tcPr>
          <w:p w14:paraId="62ABF2E5" w14:textId="0029CBFD" w:rsidR="001E7D0C" w:rsidRDefault="001E7D0C" w:rsidP="001E7D0C">
            <w:pPr>
              <w:pStyle w:val="Body"/>
            </w:pPr>
            <w:r>
              <w:rPr>
                <w:b/>
              </w:rPr>
              <w:t>Contents of annual report</w:t>
            </w:r>
          </w:p>
        </w:tc>
      </w:tr>
      <w:tr w:rsidR="001E7D0C" w14:paraId="7FD8C07B"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8C9D133" w14:textId="5826CC08" w:rsidR="001E7D0C" w:rsidRDefault="001E7D0C" w:rsidP="00CF6A18">
            <w:pPr>
              <w:pStyle w:val="Body"/>
            </w:pPr>
            <w:r>
              <w:t>17BE(a)</w:t>
            </w:r>
          </w:p>
        </w:tc>
        <w:tc>
          <w:tcPr>
            <w:tcW w:w="849" w:type="pct"/>
            <w:tcBorders>
              <w:top w:val="single" w:sz="2" w:space="0" w:color="D9D9D9" w:themeColor="background2" w:themeShade="D9"/>
              <w:bottom w:val="single" w:sz="2" w:space="0" w:color="D9D9D9" w:themeColor="background2" w:themeShade="D9"/>
            </w:tcBorders>
          </w:tcPr>
          <w:p w14:paraId="716B7DF2" w14:textId="758B86BD" w:rsidR="001E7D0C" w:rsidRPr="00036606" w:rsidRDefault="00036606" w:rsidP="00036606">
            <w:pPr>
              <w:pStyle w:val="Body"/>
            </w:pPr>
            <w:r>
              <w:t>Legislation</w:t>
            </w:r>
          </w:p>
        </w:tc>
        <w:tc>
          <w:tcPr>
            <w:tcW w:w="377" w:type="pct"/>
            <w:tcBorders>
              <w:top w:val="single" w:sz="2" w:space="0" w:color="D9D9D9" w:themeColor="background2" w:themeShade="D9"/>
              <w:bottom w:val="single" w:sz="2" w:space="0" w:color="D9D9D9" w:themeColor="background2" w:themeShade="D9"/>
            </w:tcBorders>
          </w:tcPr>
          <w:p w14:paraId="08E1F86F" w14:textId="5E242581" w:rsidR="001E7D0C" w:rsidRDefault="001E6FC6" w:rsidP="00CF6A18">
            <w:pPr>
              <w:pStyle w:val="Body"/>
            </w:pPr>
            <w:hyperlink w:anchor="_Legislation" w:history="1">
              <w:r w:rsidR="001E7D0C" w:rsidRPr="003A1B2B">
                <w:rPr>
                  <w:rStyle w:val="Hyperlink"/>
                </w:rPr>
                <w:t>3</w:t>
              </w:r>
            </w:hyperlink>
          </w:p>
        </w:tc>
        <w:tc>
          <w:tcPr>
            <w:tcW w:w="2265" w:type="pct"/>
            <w:tcBorders>
              <w:top w:val="single" w:sz="2" w:space="0" w:color="D9D9D9" w:themeColor="background2" w:themeShade="D9"/>
              <w:bottom w:val="single" w:sz="2" w:space="0" w:color="D9D9D9" w:themeColor="background2" w:themeShade="D9"/>
            </w:tcBorders>
          </w:tcPr>
          <w:p w14:paraId="43CBA6D3" w14:textId="1721DB2D" w:rsidR="001E7D0C" w:rsidRDefault="001E7D0C" w:rsidP="00CF6A18">
            <w:pPr>
              <w:pStyle w:val="Body"/>
            </w:pPr>
            <w:r>
              <w:t>Details of the legislation establishing the body</w:t>
            </w:r>
          </w:p>
        </w:tc>
        <w:tc>
          <w:tcPr>
            <w:tcW w:w="849" w:type="pct"/>
            <w:tcBorders>
              <w:top w:val="single" w:sz="2" w:space="0" w:color="D9D9D9" w:themeColor="background2" w:themeShade="D9"/>
              <w:bottom w:val="single" w:sz="2" w:space="0" w:color="D9D9D9" w:themeColor="background2" w:themeShade="D9"/>
            </w:tcBorders>
          </w:tcPr>
          <w:p w14:paraId="76CBB481" w14:textId="577C3513" w:rsidR="001E7D0C" w:rsidRDefault="001E7D0C" w:rsidP="00CF6A18">
            <w:pPr>
              <w:pStyle w:val="Body"/>
            </w:pPr>
            <w:r>
              <w:t>Mandatory</w:t>
            </w:r>
          </w:p>
        </w:tc>
      </w:tr>
      <w:tr w:rsidR="001E7D0C" w14:paraId="0B8FA46D"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95D2632" w14:textId="636E2F0A" w:rsidR="001E7D0C" w:rsidRDefault="001E7D0C" w:rsidP="00CF6A18">
            <w:pPr>
              <w:pStyle w:val="Body"/>
            </w:pPr>
            <w:r>
              <w:t>17BE(b)(i)</w:t>
            </w:r>
          </w:p>
        </w:tc>
        <w:tc>
          <w:tcPr>
            <w:tcW w:w="849" w:type="pct"/>
            <w:tcBorders>
              <w:top w:val="single" w:sz="2" w:space="0" w:color="D9D9D9" w:themeColor="background2" w:themeShade="D9"/>
              <w:bottom w:val="single" w:sz="2" w:space="0" w:color="D9D9D9" w:themeColor="background2" w:themeShade="D9"/>
            </w:tcBorders>
          </w:tcPr>
          <w:p w14:paraId="458F1B37" w14:textId="363A0DBE" w:rsidR="001E7D0C" w:rsidRDefault="00036606" w:rsidP="00CF6A18">
            <w:pPr>
              <w:pStyle w:val="Body"/>
            </w:pPr>
            <w:r w:rsidRPr="00036606">
              <w:t>Who we are</w:t>
            </w:r>
          </w:p>
        </w:tc>
        <w:tc>
          <w:tcPr>
            <w:tcW w:w="377" w:type="pct"/>
            <w:tcBorders>
              <w:top w:val="single" w:sz="2" w:space="0" w:color="D9D9D9" w:themeColor="background2" w:themeShade="D9"/>
              <w:bottom w:val="single" w:sz="2" w:space="0" w:color="D9D9D9" w:themeColor="background2" w:themeShade="D9"/>
            </w:tcBorders>
          </w:tcPr>
          <w:p w14:paraId="2781A5CA" w14:textId="44A93B95" w:rsidR="001E7D0C" w:rsidRDefault="001E6FC6" w:rsidP="00CF6A18">
            <w:pPr>
              <w:pStyle w:val="Body"/>
            </w:pPr>
            <w:hyperlink w:anchor="_Who_we_are" w:history="1">
              <w:r w:rsidR="001E7D0C" w:rsidRPr="003A1B2B">
                <w:rPr>
                  <w:rStyle w:val="Hyperlink"/>
                </w:rPr>
                <w:t>5</w:t>
              </w:r>
            </w:hyperlink>
          </w:p>
        </w:tc>
        <w:tc>
          <w:tcPr>
            <w:tcW w:w="2265" w:type="pct"/>
            <w:tcBorders>
              <w:top w:val="single" w:sz="2" w:space="0" w:color="D9D9D9" w:themeColor="background2" w:themeShade="D9"/>
              <w:bottom w:val="single" w:sz="2" w:space="0" w:color="D9D9D9" w:themeColor="background2" w:themeShade="D9"/>
            </w:tcBorders>
          </w:tcPr>
          <w:p w14:paraId="1E13D8A9" w14:textId="60047ECF" w:rsidR="001E7D0C" w:rsidRDefault="001E7D0C" w:rsidP="00CF6A18">
            <w:pPr>
              <w:pStyle w:val="Body"/>
            </w:pPr>
            <w:r>
              <w:t>A summary of the objects and functions of the entity as set out in legislation</w:t>
            </w:r>
          </w:p>
        </w:tc>
        <w:tc>
          <w:tcPr>
            <w:tcW w:w="849" w:type="pct"/>
            <w:tcBorders>
              <w:top w:val="single" w:sz="2" w:space="0" w:color="D9D9D9" w:themeColor="background2" w:themeShade="D9"/>
              <w:bottom w:val="single" w:sz="2" w:space="0" w:color="D9D9D9" w:themeColor="background2" w:themeShade="D9"/>
            </w:tcBorders>
          </w:tcPr>
          <w:p w14:paraId="7A6B9066" w14:textId="530CEB6C" w:rsidR="001E7D0C" w:rsidRDefault="001E7D0C" w:rsidP="00CF6A18">
            <w:pPr>
              <w:pStyle w:val="Body"/>
            </w:pPr>
            <w:r>
              <w:t>Mandatory</w:t>
            </w:r>
          </w:p>
        </w:tc>
      </w:tr>
      <w:tr w:rsidR="001E7D0C" w14:paraId="163A402B"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20A39762" w14:textId="150F6E33" w:rsidR="001E7D0C" w:rsidRDefault="001E7D0C" w:rsidP="00CF6A18">
            <w:pPr>
              <w:pStyle w:val="Body"/>
            </w:pPr>
            <w:r>
              <w:t>17BE(b)(ii)</w:t>
            </w:r>
          </w:p>
        </w:tc>
        <w:tc>
          <w:tcPr>
            <w:tcW w:w="849" w:type="pct"/>
            <w:tcBorders>
              <w:top w:val="single" w:sz="2" w:space="0" w:color="D9D9D9" w:themeColor="background2" w:themeShade="D9"/>
              <w:bottom w:val="single" w:sz="2" w:space="0" w:color="D9D9D9" w:themeColor="background2" w:themeShade="D9"/>
            </w:tcBorders>
          </w:tcPr>
          <w:p w14:paraId="3EF33D67" w14:textId="177332F2" w:rsidR="001E7D0C" w:rsidRDefault="00036606" w:rsidP="00CF6A18">
            <w:pPr>
              <w:pStyle w:val="Body"/>
            </w:pPr>
            <w:r w:rsidRPr="00036606">
              <w:t>Who we are</w:t>
            </w:r>
          </w:p>
        </w:tc>
        <w:tc>
          <w:tcPr>
            <w:tcW w:w="377" w:type="pct"/>
            <w:tcBorders>
              <w:top w:val="single" w:sz="2" w:space="0" w:color="D9D9D9" w:themeColor="background2" w:themeShade="D9"/>
              <w:bottom w:val="single" w:sz="2" w:space="0" w:color="D9D9D9" w:themeColor="background2" w:themeShade="D9"/>
            </w:tcBorders>
          </w:tcPr>
          <w:p w14:paraId="34ADA6A2" w14:textId="35CD16C5" w:rsidR="001E7D0C" w:rsidRDefault="001E6FC6" w:rsidP="00CF6A18">
            <w:pPr>
              <w:pStyle w:val="Body"/>
            </w:pPr>
            <w:hyperlink w:anchor="_Who_we_are" w:history="1">
              <w:r w:rsidR="001E7D0C" w:rsidRPr="003A1B2B">
                <w:rPr>
                  <w:rStyle w:val="Hyperlink"/>
                </w:rPr>
                <w:t>5</w:t>
              </w:r>
            </w:hyperlink>
          </w:p>
        </w:tc>
        <w:tc>
          <w:tcPr>
            <w:tcW w:w="2265" w:type="pct"/>
            <w:tcBorders>
              <w:top w:val="single" w:sz="2" w:space="0" w:color="D9D9D9" w:themeColor="background2" w:themeShade="D9"/>
              <w:bottom w:val="single" w:sz="2" w:space="0" w:color="D9D9D9" w:themeColor="background2" w:themeShade="D9"/>
            </w:tcBorders>
          </w:tcPr>
          <w:p w14:paraId="1487781B" w14:textId="33C20103" w:rsidR="001E7D0C" w:rsidRDefault="001E7D0C" w:rsidP="00CF6A18">
            <w:pPr>
              <w:pStyle w:val="Body"/>
            </w:pPr>
            <w:r>
              <w:t>The purposes of the entity as included in the entity’s corporate plan for the reporting period</w:t>
            </w:r>
          </w:p>
        </w:tc>
        <w:tc>
          <w:tcPr>
            <w:tcW w:w="849" w:type="pct"/>
            <w:tcBorders>
              <w:top w:val="single" w:sz="2" w:space="0" w:color="D9D9D9" w:themeColor="background2" w:themeShade="D9"/>
              <w:bottom w:val="single" w:sz="2" w:space="0" w:color="D9D9D9" w:themeColor="background2" w:themeShade="D9"/>
            </w:tcBorders>
          </w:tcPr>
          <w:p w14:paraId="2C175590" w14:textId="31B0800D" w:rsidR="001E7D0C" w:rsidRDefault="001E7D0C" w:rsidP="00CF6A18">
            <w:pPr>
              <w:pStyle w:val="Body"/>
            </w:pPr>
            <w:r>
              <w:t>Mandatory</w:t>
            </w:r>
          </w:p>
        </w:tc>
      </w:tr>
      <w:tr w:rsidR="001E7D0C" w14:paraId="6715A935"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53BC76B4" w14:textId="0C034CA8" w:rsidR="001E7D0C" w:rsidRDefault="001E7D0C" w:rsidP="00CF6A18">
            <w:pPr>
              <w:pStyle w:val="Body"/>
            </w:pPr>
            <w:r>
              <w:t>17BE(c)</w:t>
            </w:r>
          </w:p>
        </w:tc>
        <w:tc>
          <w:tcPr>
            <w:tcW w:w="849" w:type="pct"/>
            <w:tcBorders>
              <w:top w:val="single" w:sz="2" w:space="0" w:color="D9D9D9" w:themeColor="background2" w:themeShade="D9"/>
              <w:bottom w:val="single" w:sz="2" w:space="0" w:color="D9D9D9" w:themeColor="background2" w:themeShade="D9"/>
            </w:tcBorders>
          </w:tcPr>
          <w:p w14:paraId="0022C35E" w14:textId="73500B7A" w:rsidR="001E7D0C" w:rsidRDefault="00036606" w:rsidP="00CF6A18">
            <w:pPr>
              <w:pStyle w:val="Body"/>
            </w:pPr>
            <w:r w:rsidRPr="00036606">
              <w:t>Responsible Minister</w:t>
            </w:r>
          </w:p>
        </w:tc>
        <w:tc>
          <w:tcPr>
            <w:tcW w:w="377" w:type="pct"/>
            <w:tcBorders>
              <w:top w:val="single" w:sz="2" w:space="0" w:color="D9D9D9" w:themeColor="background2" w:themeShade="D9"/>
              <w:bottom w:val="single" w:sz="2" w:space="0" w:color="D9D9D9" w:themeColor="background2" w:themeShade="D9"/>
            </w:tcBorders>
          </w:tcPr>
          <w:p w14:paraId="631B7B8D" w14:textId="0EC58DBD" w:rsidR="001E7D0C" w:rsidRDefault="001E6FC6" w:rsidP="00CF6A18">
            <w:pPr>
              <w:pStyle w:val="Body"/>
            </w:pPr>
            <w:hyperlink w:anchor="_Responsible_Minister" w:history="1">
              <w:r w:rsidR="001E7D0C" w:rsidRPr="003A1B2B">
                <w:rPr>
                  <w:rStyle w:val="Hyperlink"/>
                </w:rPr>
                <w:t>9</w:t>
              </w:r>
            </w:hyperlink>
          </w:p>
        </w:tc>
        <w:tc>
          <w:tcPr>
            <w:tcW w:w="2265" w:type="pct"/>
            <w:tcBorders>
              <w:top w:val="single" w:sz="2" w:space="0" w:color="D9D9D9" w:themeColor="background2" w:themeShade="D9"/>
              <w:bottom w:val="single" w:sz="2" w:space="0" w:color="D9D9D9" w:themeColor="background2" w:themeShade="D9"/>
            </w:tcBorders>
          </w:tcPr>
          <w:p w14:paraId="50AD96CF" w14:textId="04DE66D4" w:rsidR="001E7D0C" w:rsidRDefault="001E7D0C" w:rsidP="00CF6A18">
            <w:pPr>
              <w:pStyle w:val="Body"/>
            </w:pPr>
            <w:r>
              <w:t>The names of the persons holding the position of responsible Minister or responsible Ministers during the reporting period, and the titles of those responsible Ministers</w:t>
            </w:r>
          </w:p>
        </w:tc>
        <w:tc>
          <w:tcPr>
            <w:tcW w:w="849" w:type="pct"/>
            <w:tcBorders>
              <w:top w:val="single" w:sz="2" w:space="0" w:color="D9D9D9" w:themeColor="background2" w:themeShade="D9"/>
              <w:bottom w:val="single" w:sz="2" w:space="0" w:color="D9D9D9" w:themeColor="background2" w:themeShade="D9"/>
            </w:tcBorders>
          </w:tcPr>
          <w:p w14:paraId="2E7F5CBE" w14:textId="5B2D4930" w:rsidR="001E7D0C" w:rsidRDefault="001E7D0C" w:rsidP="00CF6A18">
            <w:pPr>
              <w:pStyle w:val="Body"/>
            </w:pPr>
            <w:r>
              <w:t>Mandatory</w:t>
            </w:r>
          </w:p>
        </w:tc>
      </w:tr>
      <w:tr w:rsidR="001E7D0C" w14:paraId="606C6BA4"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45093B55" w14:textId="75A0905C" w:rsidR="001E7D0C" w:rsidRDefault="001E7D0C" w:rsidP="00CF6A18">
            <w:pPr>
              <w:pStyle w:val="Body"/>
            </w:pPr>
            <w:r>
              <w:t>17BE(d)</w:t>
            </w:r>
          </w:p>
        </w:tc>
        <w:tc>
          <w:tcPr>
            <w:tcW w:w="849" w:type="pct"/>
            <w:tcBorders>
              <w:top w:val="single" w:sz="2" w:space="0" w:color="D9D9D9" w:themeColor="background2" w:themeShade="D9"/>
              <w:bottom w:val="single" w:sz="2" w:space="0" w:color="D9D9D9" w:themeColor="background2" w:themeShade="D9"/>
            </w:tcBorders>
          </w:tcPr>
          <w:p w14:paraId="0E3606FF" w14:textId="3DAC2348" w:rsidR="001E7D0C" w:rsidRDefault="001E7D0C" w:rsidP="00CF6A18">
            <w:pPr>
              <w:pStyle w:val="Body"/>
            </w:pPr>
            <w:r>
              <w:t>Ministerial directions and government policy orders</w:t>
            </w:r>
          </w:p>
        </w:tc>
        <w:tc>
          <w:tcPr>
            <w:tcW w:w="377" w:type="pct"/>
            <w:tcBorders>
              <w:top w:val="single" w:sz="2" w:space="0" w:color="D9D9D9" w:themeColor="background2" w:themeShade="D9"/>
              <w:bottom w:val="single" w:sz="2" w:space="0" w:color="D9D9D9" w:themeColor="background2" w:themeShade="D9"/>
            </w:tcBorders>
          </w:tcPr>
          <w:p w14:paraId="6295C7C4" w14:textId="79083E29" w:rsidR="001E7D0C" w:rsidRDefault="001E6FC6" w:rsidP="00CF6A18">
            <w:pPr>
              <w:pStyle w:val="Body"/>
            </w:pPr>
            <w:hyperlink w:anchor="_Ministerial_directions_and" w:history="1">
              <w:r w:rsidR="001E7D0C" w:rsidRPr="003A1B2B">
                <w:rPr>
                  <w:rStyle w:val="Hyperlink"/>
                </w:rPr>
                <w:t>10</w:t>
              </w:r>
            </w:hyperlink>
          </w:p>
        </w:tc>
        <w:tc>
          <w:tcPr>
            <w:tcW w:w="2265" w:type="pct"/>
            <w:tcBorders>
              <w:top w:val="single" w:sz="2" w:space="0" w:color="D9D9D9" w:themeColor="background2" w:themeShade="D9"/>
              <w:bottom w:val="single" w:sz="2" w:space="0" w:color="D9D9D9" w:themeColor="background2" w:themeShade="D9"/>
            </w:tcBorders>
          </w:tcPr>
          <w:p w14:paraId="49B71351" w14:textId="766BF18A" w:rsidR="001E7D0C" w:rsidRDefault="001E7D0C" w:rsidP="00CF6A18">
            <w:pPr>
              <w:pStyle w:val="Body"/>
            </w:pPr>
            <w:r>
              <w:t>Directions given to the entity by the Minister under an Act or instrument during the reporting</w:t>
            </w:r>
            <w:r w:rsidR="00AE3D2B">
              <w:t> </w:t>
            </w:r>
            <w:r>
              <w:t>period</w:t>
            </w:r>
          </w:p>
        </w:tc>
        <w:tc>
          <w:tcPr>
            <w:tcW w:w="849" w:type="pct"/>
            <w:tcBorders>
              <w:top w:val="single" w:sz="2" w:space="0" w:color="D9D9D9" w:themeColor="background2" w:themeShade="D9"/>
              <w:bottom w:val="single" w:sz="2" w:space="0" w:color="D9D9D9" w:themeColor="background2" w:themeShade="D9"/>
            </w:tcBorders>
          </w:tcPr>
          <w:p w14:paraId="0F6CEA7D" w14:textId="735DA7CD" w:rsidR="001E7D0C" w:rsidRDefault="001E7D0C" w:rsidP="00CF6A18">
            <w:pPr>
              <w:pStyle w:val="Body"/>
            </w:pPr>
            <w:r>
              <w:t>If applicable, mandatory</w:t>
            </w:r>
          </w:p>
        </w:tc>
      </w:tr>
      <w:tr w:rsidR="001E7D0C" w14:paraId="55FADFB5"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A6A4F31" w14:textId="2BCF16A1" w:rsidR="001E7D0C" w:rsidRDefault="001E7D0C" w:rsidP="00CF6A18">
            <w:pPr>
              <w:pStyle w:val="Body"/>
            </w:pPr>
            <w:r>
              <w:t>17BE(e)</w:t>
            </w:r>
          </w:p>
        </w:tc>
        <w:tc>
          <w:tcPr>
            <w:tcW w:w="849" w:type="pct"/>
            <w:tcBorders>
              <w:top w:val="single" w:sz="2" w:space="0" w:color="D9D9D9" w:themeColor="background2" w:themeShade="D9"/>
              <w:bottom w:val="single" w:sz="2" w:space="0" w:color="D9D9D9" w:themeColor="background2" w:themeShade="D9"/>
            </w:tcBorders>
          </w:tcPr>
          <w:p w14:paraId="1B6CD1C3" w14:textId="74773975" w:rsidR="001E7D0C" w:rsidRDefault="001E7D0C" w:rsidP="00CF6A18">
            <w:pPr>
              <w:pStyle w:val="Body"/>
            </w:pPr>
            <w:r w:rsidRPr="00C5444F">
              <w:t>Ministerial directions and government policy</w:t>
            </w:r>
            <w:r>
              <w:t> </w:t>
            </w:r>
            <w:r w:rsidRPr="00C5444F">
              <w:t>orders</w:t>
            </w:r>
          </w:p>
        </w:tc>
        <w:tc>
          <w:tcPr>
            <w:tcW w:w="377" w:type="pct"/>
            <w:tcBorders>
              <w:top w:val="single" w:sz="2" w:space="0" w:color="D9D9D9" w:themeColor="background2" w:themeShade="D9"/>
              <w:bottom w:val="single" w:sz="2" w:space="0" w:color="D9D9D9" w:themeColor="background2" w:themeShade="D9"/>
            </w:tcBorders>
          </w:tcPr>
          <w:p w14:paraId="33EEF9B1" w14:textId="56FB07F6" w:rsidR="001E7D0C" w:rsidRDefault="001E6FC6" w:rsidP="00CF6A18">
            <w:pPr>
              <w:pStyle w:val="Body"/>
            </w:pPr>
            <w:hyperlink w:anchor="_Ministerial_directions_and" w:history="1">
              <w:r w:rsidR="001E7D0C" w:rsidRPr="003A1B2B">
                <w:rPr>
                  <w:rStyle w:val="Hyperlink"/>
                </w:rPr>
                <w:t>10</w:t>
              </w:r>
            </w:hyperlink>
          </w:p>
        </w:tc>
        <w:tc>
          <w:tcPr>
            <w:tcW w:w="2265" w:type="pct"/>
            <w:tcBorders>
              <w:top w:val="single" w:sz="2" w:space="0" w:color="D9D9D9" w:themeColor="background2" w:themeShade="D9"/>
              <w:bottom w:val="single" w:sz="2" w:space="0" w:color="D9D9D9" w:themeColor="background2" w:themeShade="D9"/>
            </w:tcBorders>
          </w:tcPr>
          <w:p w14:paraId="38B7D9D7" w14:textId="271D8E76" w:rsidR="001E7D0C" w:rsidRDefault="001E7D0C" w:rsidP="00CF6A18">
            <w:pPr>
              <w:pStyle w:val="Body"/>
            </w:pPr>
            <w:r>
              <w:t>Any government policy order that applied in relation to the entity during the reporting period under section 22 of the Act</w:t>
            </w:r>
          </w:p>
        </w:tc>
        <w:tc>
          <w:tcPr>
            <w:tcW w:w="849" w:type="pct"/>
            <w:tcBorders>
              <w:top w:val="single" w:sz="2" w:space="0" w:color="D9D9D9" w:themeColor="background2" w:themeShade="D9"/>
              <w:bottom w:val="single" w:sz="2" w:space="0" w:color="D9D9D9" w:themeColor="background2" w:themeShade="D9"/>
            </w:tcBorders>
          </w:tcPr>
          <w:p w14:paraId="002CE932" w14:textId="6AFB5CDB" w:rsidR="001E7D0C" w:rsidRDefault="001E7D0C" w:rsidP="00CF6A18">
            <w:pPr>
              <w:pStyle w:val="Body"/>
            </w:pPr>
            <w:r>
              <w:t>If applicable, mandatory</w:t>
            </w:r>
          </w:p>
        </w:tc>
      </w:tr>
      <w:tr w:rsidR="001E7D0C" w14:paraId="2836EF0D"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0FC4FFD1" w14:textId="42A3E60C" w:rsidR="001E7D0C" w:rsidRDefault="001E7D0C" w:rsidP="00CF6A18">
            <w:pPr>
              <w:pStyle w:val="Body"/>
            </w:pPr>
            <w:r>
              <w:t>17BE(f)</w:t>
            </w:r>
          </w:p>
        </w:tc>
        <w:tc>
          <w:tcPr>
            <w:tcW w:w="849" w:type="pct"/>
            <w:tcBorders>
              <w:top w:val="single" w:sz="2" w:space="0" w:color="D9D9D9" w:themeColor="background2" w:themeShade="D9"/>
              <w:bottom w:val="single" w:sz="2" w:space="0" w:color="D9D9D9" w:themeColor="background2" w:themeShade="D9"/>
            </w:tcBorders>
          </w:tcPr>
          <w:p w14:paraId="1396AED9" w14:textId="1C04081B" w:rsidR="001E7D0C" w:rsidRDefault="001E7D0C" w:rsidP="00CF6A18">
            <w:pPr>
              <w:pStyle w:val="Body"/>
            </w:pPr>
            <w:r>
              <w:t>N/A</w:t>
            </w:r>
          </w:p>
        </w:tc>
        <w:tc>
          <w:tcPr>
            <w:tcW w:w="377" w:type="pct"/>
            <w:tcBorders>
              <w:top w:val="single" w:sz="2" w:space="0" w:color="D9D9D9" w:themeColor="background2" w:themeShade="D9"/>
              <w:bottom w:val="single" w:sz="2" w:space="0" w:color="D9D9D9" w:themeColor="background2" w:themeShade="D9"/>
            </w:tcBorders>
          </w:tcPr>
          <w:p w14:paraId="4C69F400" w14:textId="39EDD46A" w:rsidR="001E7D0C" w:rsidRDefault="001E7D0C" w:rsidP="00CF6A18">
            <w:pPr>
              <w:pStyle w:val="Body"/>
            </w:pPr>
          </w:p>
        </w:tc>
        <w:tc>
          <w:tcPr>
            <w:tcW w:w="2265" w:type="pct"/>
            <w:tcBorders>
              <w:top w:val="single" w:sz="2" w:space="0" w:color="D9D9D9" w:themeColor="background2" w:themeShade="D9"/>
              <w:bottom w:val="single" w:sz="2" w:space="0" w:color="D9D9D9" w:themeColor="background2" w:themeShade="D9"/>
            </w:tcBorders>
          </w:tcPr>
          <w:p w14:paraId="2C56286C" w14:textId="71EDD74F" w:rsidR="001E7D0C" w:rsidRDefault="001E7D0C" w:rsidP="00CF6A18">
            <w:pPr>
              <w:pStyle w:val="Body"/>
              <w:spacing w:after="160"/>
            </w:pPr>
            <w:r>
              <w:t>Particulars of non‑compliance with:</w:t>
            </w:r>
          </w:p>
          <w:p w14:paraId="00597F18" w14:textId="3EDDD1E4" w:rsidR="001E7D0C" w:rsidRDefault="001E7D0C" w:rsidP="00CF6A18">
            <w:pPr>
              <w:pStyle w:val="Body"/>
              <w:spacing w:after="160"/>
            </w:pPr>
            <w:r>
              <w:t>(a) a direction given to the entity by the Minister under an Act or instrument during the reporting period, or</w:t>
            </w:r>
          </w:p>
          <w:p w14:paraId="16BE7DF8" w14:textId="0E6F5039" w:rsidR="001E7D0C" w:rsidRDefault="001E7D0C" w:rsidP="00CF6A18">
            <w:pPr>
              <w:pStyle w:val="Body"/>
            </w:pPr>
            <w:r>
              <w:lastRenderedPageBreak/>
              <w:t>(b) a government policy order that applied in relation to the entity during the reporting period under section 22 of the Act</w:t>
            </w:r>
          </w:p>
        </w:tc>
        <w:tc>
          <w:tcPr>
            <w:tcW w:w="849" w:type="pct"/>
            <w:tcBorders>
              <w:top w:val="single" w:sz="2" w:space="0" w:color="D9D9D9" w:themeColor="background2" w:themeShade="D9"/>
              <w:bottom w:val="single" w:sz="2" w:space="0" w:color="D9D9D9" w:themeColor="background2" w:themeShade="D9"/>
            </w:tcBorders>
          </w:tcPr>
          <w:p w14:paraId="24F36358" w14:textId="4826214A" w:rsidR="001E7D0C" w:rsidRDefault="001E7D0C" w:rsidP="00CF6A18">
            <w:pPr>
              <w:pStyle w:val="Body"/>
            </w:pPr>
            <w:r>
              <w:lastRenderedPageBreak/>
              <w:t>If applicable, mandatory</w:t>
            </w:r>
          </w:p>
        </w:tc>
      </w:tr>
      <w:tr w:rsidR="001E7D0C" w14:paraId="44979CAD"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9E6FA78" w14:textId="73F5CEAB" w:rsidR="001E7D0C" w:rsidRDefault="001E7D0C" w:rsidP="0038585D">
            <w:pPr>
              <w:pStyle w:val="Body"/>
            </w:pPr>
            <w:r>
              <w:t>17BE(g)</w:t>
            </w:r>
          </w:p>
        </w:tc>
        <w:tc>
          <w:tcPr>
            <w:tcW w:w="849" w:type="pct"/>
            <w:tcBorders>
              <w:top w:val="single" w:sz="2" w:space="0" w:color="D9D9D9" w:themeColor="background2" w:themeShade="D9"/>
              <w:bottom w:val="single" w:sz="2" w:space="0" w:color="D9D9D9" w:themeColor="background2" w:themeShade="D9"/>
            </w:tcBorders>
          </w:tcPr>
          <w:p w14:paraId="6D23A302" w14:textId="17A4C75B" w:rsidR="001E7D0C" w:rsidRPr="002E54BE" w:rsidRDefault="001E7D0C" w:rsidP="002E54BE">
            <w:pPr>
              <w:pStyle w:val="Body"/>
            </w:pPr>
            <w:r>
              <w:t>Annual performance statements</w:t>
            </w:r>
          </w:p>
        </w:tc>
        <w:tc>
          <w:tcPr>
            <w:tcW w:w="377" w:type="pct"/>
            <w:tcBorders>
              <w:top w:val="single" w:sz="2" w:space="0" w:color="D9D9D9" w:themeColor="background2" w:themeShade="D9"/>
              <w:bottom w:val="single" w:sz="2" w:space="0" w:color="D9D9D9" w:themeColor="background2" w:themeShade="D9"/>
            </w:tcBorders>
          </w:tcPr>
          <w:p w14:paraId="1AAA7B0F" w14:textId="2ED83936" w:rsidR="001E7D0C" w:rsidRDefault="001E6FC6" w:rsidP="0038585D">
            <w:pPr>
              <w:pStyle w:val="Body"/>
            </w:pPr>
            <w:hyperlink w:anchor="AnnualPerformanceStatements" w:history="1">
              <w:r w:rsidR="001E7D0C" w:rsidRPr="003A1B2B">
                <w:rPr>
                  <w:rStyle w:val="Hyperlink"/>
                </w:rPr>
                <w:t>38-51</w:t>
              </w:r>
            </w:hyperlink>
          </w:p>
        </w:tc>
        <w:tc>
          <w:tcPr>
            <w:tcW w:w="2265" w:type="pct"/>
            <w:tcBorders>
              <w:top w:val="single" w:sz="2" w:space="0" w:color="D9D9D9" w:themeColor="background2" w:themeShade="D9"/>
              <w:bottom w:val="single" w:sz="2" w:space="0" w:color="D9D9D9" w:themeColor="background2" w:themeShade="D9"/>
            </w:tcBorders>
          </w:tcPr>
          <w:p w14:paraId="0B3186A1" w14:textId="17C2790C" w:rsidR="001E7D0C" w:rsidRDefault="001E7D0C" w:rsidP="0038585D">
            <w:pPr>
              <w:pStyle w:val="Body"/>
            </w:pPr>
            <w:r>
              <w:t>Annual performance statements in accordance with paragraph 39(1)(b) of the Act and section 16F of the rule</w:t>
            </w:r>
          </w:p>
        </w:tc>
        <w:tc>
          <w:tcPr>
            <w:tcW w:w="849" w:type="pct"/>
            <w:tcBorders>
              <w:top w:val="single" w:sz="2" w:space="0" w:color="D9D9D9" w:themeColor="background2" w:themeShade="D9"/>
              <w:bottom w:val="single" w:sz="2" w:space="0" w:color="D9D9D9" w:themeColor="background2" w:themeShade="D9"/>
            </w:tcBorders>
          </w:tcPr>
          <w:p w14:paraId="06068E8E" w14:textId="255BD0DF" w:rsidR="001E7D0C" w:rsidRDefault="001E7D0C" w:rsidP="0038585D">
            <w:pPr>
              <w:pStyle w:val="Body"/>
            </w:pPr>
            <w:r>
              <w:t>Mandatory</w:t>
            </w:r>
          </w:p>
        </w:tc>
      </w:tr>
      <w:tr w:rsidR="001E7D0C" w14:paraId="7806772D"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2AFF8351" w14:textId="38066BAF" w:rsidR="001E7D0C" w:rsidRDefault="001E7D0C" w:rsidP="0038585D">
            <w:pPr>
              <w:pStyle w:val="Body"/>
            </w:pPr>
            <w:r>
              <w:t>17BE(h), 17BE(i)</w:t>
            </w:r>
          </w:p>
        </w:tc>
        <w:tc>
          <w:tcPr>
            <w:tcW w:w="849" w:type="pct"/>
            <w:tcBorders>
              <w:top w:val="single" w:sz="2" w:space="0" w:color="D9D9D9" w:themeColor="background2" w:themeShade="D9"/>
              <w:bottom w:val="single" w:sz="2" w:space="0" w:color="D9D9D9" w:themeColor="background2" w:themeShade="D9"/>
            </w:tcBorders>
          </w:tcPr>
          <w:p w14:paraId="275D8AC0" w14:textId="385E6889" w:rsidR="001E7D0C" w:rsidRDefault="001E7D0C" w:rsidP="0038585D">
            <w:pPr>
              <w:pStyle w:val="Body"/>
            </w:pPr>
            <w:r>
              <w:t>N/A</w:t>
            </w:r>
          </w:p>
        </w:tc>
        <w:tc>
          <w:tcPr>
            <w:tcW w:w="377" w:type="pct"/>
            <w:tcBorders>
              <w:top w:val="single" w:sz="2" w:space="0" w:color="D9D9D9" w:themeColor="background2" w:themeShade="D9"/>
              <w:bottom w:val="single" w:sz="2" w:space="0" w:color="D9D9D9" w:themeColor="background2" w:themeShade="D9"/>
            </w:tcBorders>
          </w:tcPr>
          <w:p w14:paraId="386A9BD3" w14:textId="77777777" w:rsidR="001E7D0C" w:rsidRDefault="001E7D0C" w:rsidP="0038585D">
            <w:pPr>
              <w:pStyle w:val="Body"/>
            </w:pPr>
          </w:p>
        </w:tc>
        <w:tc>
          <w:tcPr>
            <w:tcW w:w="2265" w:type="pct"/>
            <w:tcBorders>
              <w:top w:val="single" w:sz="2" w:space="0" w:color="D9D9D9" w:themeColor="background2" w:themeShade="D9"/>
              <w:bottom w:val="single" w:sz="2" w:space="0" w:color="D9D9D9" w:themeColor="background2" w:themeShade="D9"/>
            </w:tcBorders>
          </w:tcPr>
          <w:p w14:paraId="4AA0B6CD" w14:textId="193F9CAF" w:rsidR="001E7D0C" w:rsidRDefault="001E7D0C" w:rsidP="0038585D">
            <w:pPr>
              <w:pStyle w:val="Body"/>
            </w:pPr>
            <w:r>
              <w:t>A statement of significant issues reported to the Minister under paragraph 19(1)(e) of the Act that relates to non‑compliance with finance law and action taken to remedy non‑compliance</w:t>
            </w:r>
          </w:p>
        </w:tc>
        <w:tc>
          <w:tcPr>
            <w:tcW w:w="849" w:type="pct"/>
            <w:tcBorders>
              <w:top w:val="single" w:sz="2" w:space="0" w:color="D9D9D9" w:themeColor="background2" w:themeShade="D9"/>
              <w:bottom w:val="single" w:sz="2" w:space="0" w:color="D9D9D9" w:themeColor="background2" w:themeShade="D9"/>
            </w:tcBorders>
          </w:tcPr>
          <w:p w14:paraId="1291A227" w14:textId="4E68B874" w:rsidR="001E7D0C" w:rsidRDefault="001E7D0C" w:rsidP="0038585D">
            <w:pPr>
              <w:pStyle w:val="Body"/>
            </w:pPr>
            <w:r>
              <w:t>If applicable, mandatory</w:t>
            </w:r>
          </w:p>
        </w:tc>
      </w:tr>
      <w:tr w:rsidR="001E7D0C" w14:paraId="3357D57D"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568C62DD" w14:textId="695DF243" w:rsidR="001E7D0C" w:rsidRDefault="001E7D0C" w:rsidP="0038585D">
            <w:pPr>
              <w:pStyle w:val="Body"/>
            </w:pPr>
            <w:r>
              <w:t>17BE(j)</w:t>
            </w:r>
          </w:p>
        </w:tc>
        <w:tc>
          <w:tcPr>
            <w:tcW w:w="849" w:type="pct"/>
            <w:tcBorders>
              <w:top w:val="single" w:sz="2" w:space="0" w:color="D9D9D9" w:themeColor="background2" w:themeShade="D9"/>
              <w:bottom w:val="single" w:sz="2" w:space="0" w:color="D9D9D9" w:themeColor="background2" w:themeShade="D9"/>
            </w:tcBorders>
          </w:tcPr>
          <w:p w14:paraId="62B9A980" w14:textId="4DF828B9" w:rsidR="001E7D0C" w:rsidRDefault="00036606" w:rsidP="0038585D">
            <w:pPr>
              <w:pStyle w:val="Body"/>
            </w:pPr>
            <w:r w:rsidRPr="00036606">
              <w:t>The accountable authority</w:t>
            </w:r>
          </w:p>
        </w:tc>
        <w:tc>
          <w:tcPr>
            <w:tcW w:w="377" w:type="pct"/>
            <w:tcBorders>
              <w:top w:val="single" w:sz="2" w:space="0" w:color="D9D9D9" w:themeColor="background2" w:themeShade="D9"/>
              <w:bottom w:val="single" w:sz="2" w:space="0" w:color="D9D9D9" w:themeColor="background2" w:themeShade="D9"/>
            </w:tcBorders>
          </w:tcPr>
          <w:p w14:paraId="36659F09" w14:textId="550A11FA" w:rsidR="001E7D0C" w:rsidRDefault="001E6FC6" w:rsidP="0038585D">
            <w:pPr>
              <w:pStyle w:val="Body"/>
            </w:pPr>
            <w:hyperlink w:anchor="TheAccountableAuthority" w:history="1">
              <w:r w:rsidR="001E7D0C" w:rsidRPr="009D48E1">
                <w:rPr>
                  <w:rStyle w:val="Hyperlink"/>
                </w:rPr>
                <w:t>61</w:t>
              </w:r>
            </w:hyperlink>
          </w:p>
        </w:tc>
        <w:tc>
          <w:tcPr>
            <w:tcW w:w="2265" w:type="pct"/>
            <w:tcBorders>
              <w:top w:val="single" w:sz="2" w:space="0" w:color="D9D9D9" w:themeColor="background2" w:themeShade="D9"/>
              <w:bottom w:val="single" w:sz="2" w:space="0" w:color="D9D9D9" w:themeColor="background2" w:themeShade="D9"/>
            </w:tcBorders>
          </w:tcPr>
          <w:p w14:paraId="07A87EF3" w14:textId="0991448A" w:rsidR="001E7D0C" w:rsidRDefault="001E7D0C" w:rsidP="0038585D">
            <w:pPr>
              <w:pStyle w:val="Body"/>
            </w:pPr>
            <w:r>
              <w:t>Information on the accountable authority, or</w:t>
            </w:r>
            <w:r w:rsidR="005F5D62">
              <w:t> </w:t>
            </w:r>
            <w:r>
              <w:t>each member of the accountable authority, of the entity during the reporting period</w:t>
            </w:r>
          </w:p>
        </w:tc>
        <w:tc>
          <w:tcPr>
            <w:tcW w:w="849" w:type="pct"/>
            <w:tcBorders>
              <w:top w:val="single" w:sz="2" w:space="0" w:color="D9D9D9" w:themeColor="background2" w:themeShade="D9"/>
              <w:bottom w:val="single" w:sz="2" w:space="0" w:color="D9D9D9" w:themeColor="background2" w:themeShade="D9"/>
            </w:tcBorders>
          </w:tcPr>
          <w:p w14:paraId="661AF5E2" w14:textId="227911E2" w:rsidR="001E7D0C" w:rsidRDefault="001E7D0C" w:rsidP="0038585D">
            <w:pPr>
              <w:pStyle w:val="Body"/>
            </w:pPr>
            <w:r>
              <w:t>Mandatory</w:t>
            </w:r>
          </w:p>
        </w:tc>
      </w:tr>
      <w:tr w:rsidR="001E7D0C" w14:paraId="66C7A39F"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662BB79" w14:textId="5423DE70" w:rsidR="001E7D0C" w:rsidRDefault="001E7D0C" w:rsidP="0038585D">
            <w:pPr>
              <w:pStyle w:val="Body"/>
            </w:pPr>
            <w:r>
              <w:t>17BE(k)</w:t>
            </w:r>
          </w:p>
        </w:tc>
        <w:tc>
          <w:tcPr>
            <w:tcW w:w="849" w:type="pct"/>
            <w:tcBorders>
              <w:top w:val="single" w:sz="2" w:space="0" w:color="D9D9D9" w:themeColor="background2" w:themeShade="D9"/>
              <w:bottom w:val="single" w:sz="2" w:space="0" w:color="D9D9D9" w:themeColor="background2" w:themeShade="D9"/>
            </w:tcBorders>
          </w:tcPr>
          <w:p w14:paraId="44BEF9A2" w14:textId="6279F087" w:rsidR="001E7D0C" w:rsidRPr="002E54BE" w:rsidRDefault="001E7D0C" w:rsidP="002E54BE">
            <w:pPr>
              <w:pStyle w:val="Body"/>
            </w:pPr>
            <w:r>
              <w:t>Organisational structure</w:t>
            </w:r>
          </w:p>
        </w:tc>
        <w:tc>
          <w:tcPr>
            <w:tcW w:w="377" w:type="pct"/>
            <w:tcBorders>
              <w:top w:val="single" w:sz="2" w:space="0" w:color="D9D9D9" w:themeColor="background2" w:themeShade="D9"/>
              <w:bottom w:val="single" w:sz="2" w:space="0" w:color="D9D9D9" w:themeColor="background2" w:themeShade="D9"/>
            </w:tcBorders>
          </w:tcPr>
          <w:p w14:paraId="68545DB4" w14:textId="3D5D62C7" w:rsidR="001E7D0C" w:rsidRDefault="001E6FC6" w:rsidP="0038585D">
            <w:pPr>
              <w:pStyle w:val="Body"/>
            </w:pPr>
            <w:hyperlink w:anchor="_Organisational_structure" w:history="1">
              <w:r w:rsidR="001E7D0C" w:rsidRPr="009D48E1">
                <w:rPr>
                  <w:rStyle w:val="Hyperlink"/>
                </w:rPr>
                <w:t>14</w:t>
              </w:r>
            </w:hyperlink>
          </w:p>
        </w:tc>
        <w:tc>
          <w:tcPr>
            <w:tcW w:w="2265" w:type="pct"/>
            <w:tcBorders>
              <w:top w:val="single" w:sz="2" w:space="0" w:color="D9D9D9" w:themeColor="background2" w:themeShade="D9"/>
              <w:bottom w:val="single" w:sz="2" w:space="0" w:color="D9D9D9" w:themeColor="background2" w:themeShade="D9"/>
            </w:tcBorders>
          </w:tcPr>
          <w:p w14:paraId="6D7B8C3F" w14:textId="7392F881" w:rsidR="001E7D0C" w:rsidRDefault="001E7D0C" w:rsidP="0038585D">
            <w:pPr>
              <w:pStyle w:val="Body"/>
            </w:pPr>
            <w:r>
              <w:t>Outline of the organisational structure of the entity (including any subsidiaries of the entity)</w:t>
            </w:r>
          </w:p>
        </w:tc>
        <w:tc>
          <w:tcPr>
            <w:tcW w:w="849" w:type="pct"/>
            <w:tcBorders>
              <w:top w:val="single" w:sz="2" w:space="0" w:color="D9D9D9" w:themeColor="background2" w:themeShade="D9"/>
              <w:bottom w:val="single" w:sz="2" w:space="0" w:color="D9D9D9" w:themeColor="background2" w:themeShade="D9"/>
            </w:tcBorders>
          </w:tcPr>
          <w:p w14:paraId="37C04945" w14:textId="19AFD97B" w:rsidR="001E7D0C" w:rsidRDefault="001E7D0C" w:rsidP="0038585D">
            <w:pPr>
              <w:pStyle w:val="Body"/>
            </w:pPr>
            <w:r>
              <w:t>Mandatory</w:t>
            </w:r>
          </w:p>
        </w:tc>
      </w:tr>
      <w:tr w:rsidR="001E7D0C" w14:paraId="698DFF8A"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80DF79D" w14:textId="7F195051" w:rsidR="001E7D0C" w:rsidRDefault="001E7D0C" w:rsidP="0038585D">
            <w:pPr>
              <w:pStyle w:val="Body"/>
            </w:pPr>
            <w:r>
              <w:t>17BE(ka)</w:t>
            </w:r>
          </w:p>
        </w:tc>
        <w:tc>
          <w:tcPr>
            <w:tcW w:w="849" w:type="pct"/>
            <w:tcBorders>
              <w:top w:val="single" w:sz="2" w:space="0" w:color="D9D9D9" w:themeColor="background2" w:themeShade="D9"/>
              <w:bottom w:val="single" w:sz="2" w:space="0" w:color="D9D9D9" w:themeColor="background2" w:themeShade="D9"/>
            </w:tcBorders>
          </w:tcPr>
          <w:p w14:paraId="0AE12638" w14:textId="38C57F7F" w:rsidR="001E7D0C" w:rsidRDefault="00036606" w:rsidP="0038585D">
            <w:pPr>
              <w:pStyle w:val="Body"/>
            </w:pPr>
            <w:r w:rsidRPr="00036606">
              <w:t>Ongoing and Non-ongoing Employees</w:t>
            </w:r>
          </w:p>
        </w:tc>
        <w:tc>
          <w:tcPr>
            <w:tcW w:w="377" w:type="pct"/>
            <w:tcBorders>
              <w:top w:val="single" w:sz="2" w:space="0" w:color="D9D9D9" w:themeColor="background2" w:themeShade="D9"/>
              <w:bottom w:val="single" w:sz="2" w:space="0" w:color="D9D9D9" w:themeColor="background2" w:themeShade="D9"/>
            </w:tcBorders>
          </w:tcPr>
          <w:p w14:paraId="7AF5B060" w14:textId="11739990" w:rsidR="001E7D0C" w:rsidRDefault="001E6FC6" w:rsidP="0038585D">
            <w:pPr>
              <w:pStyle w:val="Body"/>
            </w:pPr>
            <w:hyperlink w:anchor="OngoingAndNonongoingEmployees" w:history="1">
              <w:r w:rsidR="001E7D0C" w:rsidRPr="009D48E1">
                <w:rPr>
                  <w:rStyle w:val="Hyperlink"/>
                </w:rPr>
                <w:t>57-59</w:t>
              </w:r>
            </w:hyperlink>
          </w:p>
        </w:tc>
        <w:tc>
          <w:tcPr>
            <w:tcW w:w="2265" w:type="pct"/>
            <w:tcBorders>
              <w:top w:val="single" w:sz="2" w:space="0" w:color="D9D9D9" w:themeColor="background2" w:themeShade="D9"/>
              <w:bottom w:val="single" w:sz="2" w:space="0" w:color="D9D9D9" w:themeColor="background2" w:themeShade="D9"/>
            </w:tcBorders>
          </w:tcPr>
          <w:p w14:paraId="53F10F85" w14:textId="0088EF5D" w:rsidR="001E7D0C" w:rsidRDefault="001E7D0C" w:rsidP="0038585D">
            <w:pPr>
              <w:pStyle w:val="Body"/>
              <w:spacing w:after="160"/>
            </w:pPr>
            <w:r>
              <w:t>Statistics on the entity’s employees on an</w:t>
            </w:r>
            <w:r w:rsidR="00C33636">
              <w:t> </w:t>
            </w:r>
            <w:r>
              <w:t>ongoing and non‑ongoing basis, including</w:t>
            </w:r>
            <w:r w:rsidR="00C33636">
              <w:t> </w:t>
            </w:r>
            <w:r>
              <w:t>the</w:t>
            </w:r>
            <w:r w:rsidR="005F5D62">
              <w:t> </w:t>
            </w:r>
            <w:r>
              <w:t>following:</w:t>
            </w:r>
          </w:p>
          <w:p w14:paraId="61ED348F" w14:textId="69AABE49" w:rsidR="001E7D0C" w:rsidRDefault="001E7D0C" w:rsidP="0038585D">
            <w:pPr>
              <w:pStyle w:val="Body"/>
              <w:spacing w:after="160"/>
            </w:pPr>
            <w:r>
              <w:t>(a) statistics on full‑time employees</w:t>
            </w:r>
          </w:p>
          <w:p w14:paraId="64064A95" w14:textId="2FA86155" w:rsidR="001E7D0C" w:rsidRDefault="001E7D0C" w:rsidP="0038585D">
            <w:pPr>
              <w:pStyle w:val="Body"/>
              <w:spacing w:after="160"/>
            </w:pPr>
            <w:r>
              <w:t>(b) statistics on part‑time employees</w:t>
            </w:r>
          </w:p>
          <w:p w14:paraId="606820E6" w14:textId="1C8EDC5B" w:rsidR="001E7D0C" w:rsidRDefault="001E7D0C" w:rsidP="0038585D">
            <w:pPr>
              <w:pStyle w:val="Body"/>
              <w:spacing w:after="160"/>
            </w:pPr>
            <w:r>
              <w:t>(c) statistics on gender</w:t>
            </w:r>
          </w:p>
          <w:p w14:paraId="7A83F733" w14:textId="15C3118A" w:rsidR="001E7D0C" w:rsidRDefault="001E7D0C" w:rsidP="0038585D">
            <w:pPr>
              <w:pStyle w:val="Body"/>
            </w:pPr>
            <w:r>
              <w:t>(d) statistics on staff location</w:t>
            </w:r>
          </w:p>
        </w:tc>
        <w:tc>
          <w:tcPr>
            <w:tcW w:w="849" w:type="pct"/>
            <w:tcBorders>
              <w:top w:val="single" w:sz="2" w:space="0" w:color="D9D9D9" w:themeColor="background2" w:themeShade="D9"/>
              <w:bottom w:val="single" w:sz="2" w:space="0" w:color="D9D9D9" w:themeColor="background2" w:themeShade="D9"/>
            </w:tcBorders>
          </w:tcPr>
          <w:p w14:paraId="33AF5CF5" w14:textId="0A36F703" w:rsidR="001E7D0C" w:rsidRDefault="001E7D0C" w:rsidP="0038585D">
            <w:pPr>
              <w:pStyle w:val="Body"/>
            </w:pPr>
            <w:r>
              <w:t>Mandatory</w:t>
            </w:r>
          </w:p>
        </w:tc>
      </w:tr>
      <w:tr w:rsidR="001E7D0C" w14:paraId="28C3CB43"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CAF119B" w14:textId="092B2745" w:rsidR="001E7D0C" w:rsidRDefault="001E7D0C" w:rsidP="0038585D">
            <w:pPr>
              <w:pStyle w:val="Body"/>
            </w:pPr>
            <w:r>
              <w:t>17BE(l)</w:t>
            </w:r>
          </w:p>
        </w:tc>
        <w:tc>
          <w:tcPr>
            <w:tcW w:w="849" w:type="pct"/>
            <w:tcBorders>
              <w:top w:val="single" w:sz="2" w:space="0" w:color="D9D9D9" w:themeColor="background2" w:themeShade="D9"/>
              <w:bottom w:val="single" w:sz="2" w:space="0" w:color="D9D9D9" w:themeColor="background2" w:themeShade="D9"/>
            </w:tcBorders>
          </w:tcPr>
          <w:p w14:paraId="23433EE7" w14:textId="2E10CB27" w:rsidR="001E7D0C" w:rsidRPr="002E54BE" w:rsidRDefault="001E7D0C" w:rsidP="002E54BE">
            <w:pPr>
              <w:pStyle w:val="Body"/>
            </w:pPr>
            <w:r>
              <w:t>Organisational structure</w:t>
            </w:r>
          </w:p>
        </w:tc>
        <w:tc>
          <w:tcPr>
            <w:tcW w:w="377" w:type="pct"/>
            <w:tcBorders>
              <w:top w:val="single" w:sz="2" w:space="0" w:color="D9D9D9" w:themeColor="background2" w:themeShade="D9"/>
              <w:bottom w:val="single" w:sz="2" w:space="0" w:color="D9D9D9" w:themeColor="background2" w:themeShade="D9"/>
            </w:tcBorders>
          </w:tcPr>
          <w:p w14:paraId="3F8F5A6A" w14:textId="34C1BE33" w:rsidR="001E7D0C" w:rsidRDefault="001E6FC6" w:rsidP="0038585D">
            <w:pPr>
              <w:pStyle w:val="Body"/>
            </w:pPr>
            <w:hyperlink w:anchor="_Management_of_human" w:history="1">
              <w:r w:rsidR="001E7D0C" w:rsidRPr="002E50B5">
                <w:rPr>
                  <w:rStyle w:val="Hyperlink"/>
                </w:rPr>
                <w:t>57</w:t>
              </w:r>
            </w:hyperlink>
          </w:p>
        </w:tc>
        <w:tc>
          <w:tcPr>
            <w:tcW w:w="2265" w:type="pct"/>
            <w:tcBorders>
              <w:top w:val="single" w:sz="2" w:space="0" w:color="D9D9D9" w:themeColor="background2" w:themeShade="D9"/>
              <w:bottom w:val="single" w:sz="2" w:space="0" w:color="D9D9D9" w:themeColor="background2" w:themeShade="D9"/>
            </w:tcBorders>
          </w:tcPr>
          <w:p w14:paraId="65D0E45B" w14:textId="5CD17029" w:rsidR="001E7D0C" w:rsidRDefault="001E7D0C" w:rsidP="0038585D">
            <w:pPr>
              <w:pStyle w:val="Body"/>
            </w:pPr>
            <w:r>
              <w:t>Outline of the location (whether or not in Australia) of major activities or facilities of the</w:t>
            </w:r>
            <w:r w:rsidR="005F5D62">
              <w:t> </w:t>
            </w:r>
            <w:r>
              <w:t>entity</w:t>
            </w:r>
          </w:p>
        </w:tc>
        <w:tc>
          <w:tcPr>
            <w:tcW w:w="849" w:type="pct"/>
            <w:tcBorders>
              <w:top w:val="single" w:sz="2" w:space="0" w:color="D9D9D9" w:themeColor="background2" w:themeShade="D9"/>
              <w:bottom w:val="single" w:sz="2" w:space="0" w:color="D9D9D9" w:themeColor="background2" w:themeShade="D9"/>
            </w:tcBorders>
          </w:tcPr>
          <w:p w14:paraId="19D558FE" w14:textId="79AEF1D2" w:rsidR="001E7D0C" w:rsidRDefault="001E7D0C" w:rsidP="0038585D">
            <w:pPr>
              <w:pStyle w:val="Body"/>
            </w:pPr>
            <w:r>
              <w:t>Mandatory</w:t>
            </w:r>
          </w:p>
        </w:tc>
      </w:tr>
      <w:tr w:rsidR="001E7D0C" w14:paraId="7A670692"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3FA1DF8A" w14:textId="578E2EA6" w:rsidR="001E7D0C" w:rsidRDefault="001E7D0C" w:rsidP="0038585D">
            <w:pPr>
              <w:pStyle w:val="Body"/>
            </w:pPr>
            <w:r>
              <w:t>17BE(m)</w:t>
            </w:r>
          </w:p>
        </w:tc>
        <w:tc>
          <w:tcPr>
            <w:tcW w:w="849" w:type="pct"/>
            <w:tcBorders>
              <w:top w:val="single" w:sz="2" w:space="0" w:color="D9D9D9" w:themeColor="background2" w:themeShade="D9"/>
              <w:bottom w:val="single" w:sz="2" w:space="0" w:color="D9D9D9" w:themeColor="background2" w:themeShade="D9"/>
            </w:tcBorders>
          </w:tcPr>
          <w:p w14:paraId="40097DB6" w14:textId="31DE0625" w:rsidR="001E7D0C" w:rsidRDefault="00036606" w:rsidP="0038585D">
            <w:pPr>
              <w:pStyle w:val="Body"/>
            </w:pPr>
            <w:r w:rsidRPr="00036606">
              <w:t>Key corporate governance practices</w:t>
            </w:r>
          </w:p>
        </w:tc>
        <w:tc>
          <w:tcPr>
            <w:tcW w:w="377" w:type="pct"/>
            <w:tcBorders>
              <w:top w:val="single" w:sz="2" w:space="0" w:color="D9D9D9" w:themeColor="background2" w:themeShade="D9"/>
              <w:bottom w:val="single" w:sz="2" w:space="0" w:color="D9D9D9" w:themeColor="background2" w:themeShade="D9"/>
            </w:tcBorders>
          </w:tcPr>
          <w:p w14:paraId="19F98EF3" w14:textId="3DB7A3E9" w:rsidR="001E7D0C" w:rsidRDefault="001E6FC6" w:rsidP="0038585D">
            <w:pPr>
              <w:pStyle w:val="Body"/>
            </w:pPr>
            <w:hyperlink w:anchor="_Key_corporate_governance" w:history="1">
              <w:r w:rsidR="001E7D0C" w:rsidRPr="00A22190">
                <w:rPr>
                  <w:rStyle w:val="Hyperlink"/>
                </w:rPr>
                <w:t>53-56</w:t>
              </w:r>
            </w:hyperlink>
          </w:p>
        </w:tc>
        <w:tc>
          <w:tcPr>
            <w:tcW w:w="2265" w:type="pct"/>
            <w:tcBorders>
              <w:top w:val="single" w:sz="2" w:space="0" w:color="D9D9D9" w:themeColor="background2" w:themeShade="D9"/>
              <w:bottom w:val="single" w:sz="2" w:space="0" w:color="D9D9D9" w:themeColor="background2" w:themeShade="D9"/>
            </w:tcBorders>
          </w:tcPr>
          <w:p w14:paraId="47287B05" w14:textId="798C6487" w:rsidR="001E7D0C" w:rsidRDefault="001E7D0C" w:rsidP="0038585D">
            <w:pPr>
              <w:pStyle w:val="Body"/>
            </w:pPr>
            <w:r>
              <w:t>Information relating to the main corporate governance practices used by the entity during the reporting period</w:t>
            </w:r>
          </w:p>
        </w:tc>
        <w:tc>
          <w:tcPr>
            <w:tcW w:w="849" w:type="pct"/>
            <w:tcBorders>
              <w:top w:val="single" w:sz="2" w:space="0" w:color="D9D9D9" w:themeColor="background2" w:themeShade="D9"/>
              <w:bottom w:val="single" w:sz="2" w:space="0" w:color="D9D9D9" w:themeColor="background2" w:themeShade="D9"/>
            </w:tcBorders>
          </w:tcPr>
          <w:p w14:paraId="770448BA" w14:textId="47800D49" w:rsidR="001E7D0C" w:rsidRDefault="001E7D0C" w:rsidP="0038585D">
            <w:pPr>
              <w:pStyle w:val="Body"/>
            </w:pPr>
            <w:r>
              <w:t>Mandatory</w:t>
            </w:r>
          </w:p>
        </w:tc>
      </w:tr>
      <w:tr w:rsidR="001E7D0C" w14:paraId="04BC7B79"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6A908860" w14:textId="04A07312" w:rsidR="001E7D0C" w:rsidRDefault="001E7D0C" w:rsidP="0038585D">
            <w:pPr>
              <w:pStyle w:val="Body"/>
            </w:pPr>
            <w:r>
              <w:t>17BE(n), 17BE(o)</w:t>
            </w:r>
          </w:p>
        </w:tc>
        <w:tc>
          <w:tcPr>
            <w:tcW w:w="849" w:type="pct"/>
            <w:tcBorders>
              <w:top w:val="single" w:sz="2" w:space="0" w:color="D9D9D9" w:themeColor="background2" w:themeShade="D9"/>
              <w:bottom w:val="single" w:sz="2" w:space="0" w:color="D9D9D9" w:themeColor="background2" w:themeShade="D9"/>
            </w:tcBorders>
          </w:tcPr>
          <w:p w14:paraId="45CCC263" w14:textId="6411A13B" w:rsidR="001E7D0C" w:rsidRDefault="001E7D0C" w:rsidP="0038585D">
            <w:pPr>
              <w:pStyle w:val="Body"/>
            </w:pPr>
            <w:r>
              <w:t>N/A</w:t>
            </w:r>
          </w:p>
        </w:tc>
        <w:tc>
          <w:tcPr>
            <w:tcW w:w="377" w:type="pct"/>
            <w:tcBorders>
              <w:top w:val="single" w:sz="2" w:space="0" w:color="D9D9D9" w:themeColor="background2" w:themeShade="D9"/>
              <w:bottom w:val="single" w:sz="2" w:space="0" w:color="D9D9D9" w:themeColor="background2" w:themeShade="D9"/>
            </w:tcBorders>
          </w:tcPr>
          <w:p w14:paraId="5B71C0A5" w14:textId="77777777" w:rsidR="001E7D0C" w:rsidRDefault="001E7D0C" w:rsidP="0038585D">
            <w:pPr>
              <w:pStyle w:val="Body"/>
            </w:pPr>
          </w:p>
        </w:tc>
        <w:tc>
          <w:tcPr>
            <w:tcW w:w="2265" w:type="pct"/>
            <w:tcBorders>
              <w:top w:val="single" w:sz="2" w:space="0" w:color="D9D9D9" w:themeColor="background2" w:themeShade="D9"/>
              <w:bottom w:val="single" w:sz="2" w:space="0" w:color="D9D9D9" w:themeColor="background2" w:themeShade="D9"/>
            </w:tcBorders>
          </w:tcPr>
          <w:p w14:paraId="6E318E12" w14:textId="7E69CE17" w:rsidR="001E7D0C" w:rsidRDefault="001E7D0C" w:rsidP="0038585D">
            <w:pPr>
              <w:pStyle w:val="Body"/>
              <w:spacing w:after="160"/>
            </w:pPr>
            <w:r>
              <w:t>For transactions with a related Commonwealth entity or related company where the value of the transaction, or if there is more than one transaction, the aggregate of those transactions, is more than $10,000 (inclusive</w:t>
            </w:r>
            <w:r w:rsidR="005F5D62">
              <w:t> </w:t>
            </w:r>
            <w:r>
              <w:t>of GST):</w:t>
            </w:r>
          </w:p>
          <w:p w14:paraId="7E243B7A" w14:textId="623EFA16" w:rsidR="001E7D0C" w:rsidRDefault="001E7D0C" w:rsidP="0038585D">
            <w:pPr>
              <w:pStyle w:val="Body"/>
              <w:spacing w:after="160"/>
            </w:pPr>
            <w:r>
              <w:lastRenderedPageBreak/>
              <w:t>(a) the decision‑making process undertaken by</w:t>
            </w:r>
            <w:r w:rsidR="005F5D62">
              <w:t> </w:t>
            </w:r>
            <w:r>
              <w:t>the accountable authority to approve the entity</w:t>
            </w:r>
            <w:r w:rsidR="005F5D62">
              <w:t> </w:t>
            </w:r>
            <w:r>
              <w:t>paying for a good or service from,</w:t>
            </w:r>
            <w:r w:rsidR="005F5D62">
              <w:t xml:space="preserve"> </w:t>
            </w:r>
            <w:r>
              <w:t>or</w:t>
            </w:r>
            <w:r w:rsidR="005F5D62">
              <w:t> </w:t>
            </w:r>
            <w:r>
              <w:t>providing</w:t>
            </w:r>
            <w:r w:rsidR="005F5D62">
              <w:t xml:space="preserve"> </w:t>
            </w:r>
            <w:r>
              <w:t>a grant to, the related Commonwealth entity or related company, and</w:t>
            </w:r>
          </w:p>
          <w:p w14:paraId="5B4A1EF0" w14:textId="6F8F9A85" w:rsidR="001E7D0C" w:rsidRDefault="001E7D0C" w:rsidP="0038585D">
            <w:pPr>
              <w:pStyle w:val="Body"/>
            </w:pPr>
            <w:r>
              <w:t>(b) the value of the transaction, or if there is more than one transaction, the number of transactions and the aggregate of value of the</w:t>
            </w:r>
            <w:r w:rsidR="005F5D62">
              <w:t> </w:t>
            </w:r>
            <w:r>
              <w:t>transactions</w:t>
            </w:r>
          </w:p>
        </w:tc>
        <w:tc>
          <w:tcPr>
            <w:tcW w:w="849" w:type="pct"/>
            <w:tcBorders>
              <w:top w:val="single" w:sz="2" w:space="0" w:color="D9D9D9" w:themeColor="background2" w:themeShade="D9"/>
              <w:bottom w:val="single" w:sz="2" w:space="0" w:color="D9D9D9" w:themeColor="background2" w:themeShade="D9"/>
            </w:tcBorders>
          </w:tcPr>
          <w:p w14:paraId="4591C843" w14:textId="168A7713" w:rsidR="001E7D0C" w:rsidRDefault="001E7D0C" w:rsidP="0038585D">
            <w:pPr>
              <w:pStyle w:val="Body"/>
            </w:pPr>
            <w:r>
              <w:lastRenderedPageBreak/>
              <w:t>If applicable, mandatory</w:t>
            </w:r>
          </w:p>
        </w:tc>
      </w:tr>
      <w:tr w:rsidR="001E7D0C" w14:paraId="51265C92"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69E70DD" w14:textId="03937859" w:rsidR="001E7D0C" w:rsidRDefault="001E7D0C" w:rsidP="00775A4E">
            <w:pPr>
              <w:pStyle w:val="Body"/>
            </w:pPr>
            <w:r>
              <w:t>17BE(p)</w:t>
            </w:r>
          </w:p>
        </w:tc>
        <w:tc>
          <w:tcPr>
            <w:tcW w:w="849" w:type="pct"/>
            <w:tcBorders>
              <w:top w:val="single" w:sz="2" w:space="0" w:color="D9D9D9" w:themeColor="background2" w:themeShade="D9"/>
              <w:bottom w:val="single" w:sz="2" w:space="0" w:color="D9D9D9" w:themeColor="background2" w:themeShade="D9"/>
            </w:tcBorders>
          </w:tcPr>
          <w:p w14:paraId="375CD0E3" w14:textId="5FFF012E"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15DD8CDC"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7EC65F04" w14:textId="35F868E9" w:rsidR="001E7D0C" w:rsidRDefault="001E7D0C" w:rsidP="00775A4E">
            <w:pPr>
              <w:pStyle w:val="Body"/>
            </w:pPr>
            <w:r>
              <w:t>Any significant activities and changes that affected the operation or structure of the entity during the reporting period</w:t>
            </w:r>
          </w:p>
        </w:tc>
        <w:tc>
          <w:tcPr>
            <w:tcW w:w="849" w:type="pct"/>
            <w:tcBorders>
              <w:top w:val="single" w:sz="2" w:space="0" w:color="D9D9D9" w:themeColor="background2" w:themeShade="D9"/>
              <w:bottom w:val="single" w:sz="2" w:space="0" w:color="D9D9D9" w:themeColor="background2" w:themeShade="D9"/>
            </w:tcBorders>
          </w:tcPr>
          <w:p w14:paraId="1B381265" w14:textId="396170F4" w:rsidR="001E7D0C" w:rsidRDefault="001E7D0C" w:rsidP="00775A4E">
            <w:pPr>
              <w:pStyle w:val="Body"/>
            </w:pPr>
            <w:r>
              <w:t>If applicable, mandatory</w:t>
            </w:r>
          </w:p>
        </w:tc>
      </w:tr>
      <w:tr w:rsidR="001E7D0C" w14:paraId="32D77ADA"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6190054D" w14:textId="4B7CA7BA" w:rsidR="001E7D0C" w:rsidRDefault="001E7D0C" w:rsidP="00775A4E">
            <w:pPr>
              <w:pStyle w:val="Body"/>
            </w:pPr>
            <w:r>
              <w:t>17BE(q)</w:t>
            </w:r>
          </w:p>
        </w:tc>
        <w:tc>
          <w:tcPr>
            <w:tcW w:w="849" w:type="pct"/>
            <w:tcBorders>
              <w:top w:val="single" w:sz="2" w:space="0" w:color="D9D9D9" w:themeColor="background2" w:themeShade="D9"/>
              <w:bottom w:val="single" w:sz="2" w:space="0" w:color="D9D9D9" w:themeColor="background2" w:themeShade="D9"/>
            </w:tcBorders>
          </w:tcPr>
          <w:p w14:paraId="6D285507" w14:textId="54DD3613"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756377AF"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3F52E9A0" w14:textId="0F4A6861" w:rsidR="001E7D0C" w:rsidRDefault="001E7D0C" w:rsidP="00775A4E">
            <w:pPr>
              <w:pStyle w:val="Body"/>
            </w:pPr>
            <w:r>
              <w:t>Particulars of judicial decisions or decisions of</w:t>
            </w:r>
            <w:r w:rsidR="005F5D62">
              <w:t> </w:t>
            </w:r>
            <w:r>
              <w:t>administrative tribunals that may have a significant effect on the operations of the entity</w:t>
            </w:r>
          </w:p>
        </w:tc>
        <w:tc>
          <w:tcPr>
            <w:tcW w:w="849" w:type="pct"/>
            <w:tcBorders>
              <w:top w:val="single" w:sz="2" w:space="0" w:color="D9D9D9" w:themeColor="background2" w:themeShade="D9"/>
              <w:bottom w:val="single" w:sz="2" w:space="0" w:color="D9D9D9" w:themeColor="background2" w:themeShade="D9"/>
            </w:tcBorders>
          </w:tcPr>
          <w:p w14:paraId="6AD9712B" w14:textId="6A3715E8" w:rsidR="001E7D0C" w:rsidRDefault="001E7D0C" w:rsidP="00775A4E">
            <w:pPr>
              <w:pStyle w:val="Body"/>
            </w:pPr>
            <w:r>
              <w:t>If applicable, mandatory</w:t>
            </w:r>
          </w:p>
        </w:tc>
      </w:tr>
      <w:tr w:rsidR="001E7D0C" w14:paraId="452E001A"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067F270C" w14:textId="083B69A8" w:rsidR="001E7D0C" w:rsidRDefault="001E7D0C" w:rsidP="00775A4E">
            <w:pPr>
              <w:pStyle w:val="Body"/>
            </w:pPr>
            <w:r>
              <w:t>17BE(r)</w:t>
            </w:r>
          </w:p>
        </w:tc>
        <w:tc>
          <w:tcPr>
            <w:tcW w:w="849" w:type="pct"/>
            <w:tcBorders>
              <w:top w:val="single" w:sz="2" w:space="0" w:color="D9D9D9" w:themeColor="background2" w:themeShade="D9"/>
              <w:bottom w:val="single" w:sz="2" w:space="0" w:color="D9D9D9" w:themeColor="background2" w:themeShade="D9"/>
            </w:tcBorders>
          </w:tcPr>
          <w:p w14:paraId="5709987A" w14:textId="21B5C945"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2C63D898"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39DA27AD" w14:textId="3B54CF89" w:rsidR="001E7D0C" w:rsidRDefault="001E7D0C" w:rsidP="00775A4E">
            <w:pPr>
              <w:pStyle w:val="Body"/>
              <w:spacing w:after="160"/>
            </w:pPr>
            <w:r>
              <w:t>Particulars of any reports on the entity given</w:t>
            </w:r>
            <w:r w:rsidR="005F5D62">
              <w:t> </w:t>
            </w:r>
            <w:r>
              <w:t>by:</w:t>
            </w:r>
          </w:p>
          <w:p w14:paraId="0130EAA6" w14:textId="4B499462" w:rsidR="001E7D0C" w:rsidRDefault="001E7D0C" w:rsidP="00775A4E">
            <w:pPr>
              <w:pStyle w:val="Body"/>
              <w:spacing w:after="160"/>
            </w:pPr>
            <w:r>
              <w:t>(a) the Auditor‑General (other than a report under section 43 of the Act), or</w:t>
            </w:r>
          </w:p>
          <w:p w14:paraId="4CA68AC4" w14:textId="66F0890A" w:rsidR="001E7D0C" w:rsidRDefault="001E7D0C" w:rsidP="00775A4E">
            <w:pPr>
              <w:pStyle w:val="Body"/>
              <w:spacing w:after="160"/>
            </w:pPr>
            <w:r>
              <w:t>(b) a Parliamentary Committee, or</w:t>
            </w:r>
          </w:p>
          <w:p w14:paraId="2C265E57" w14:textId="304C70F7" w:rsidR="001E7D0C" w:rsidRDefault="001E7D0C" w:rsidP="00775A4E">
            <w:pPr>
              <w:pStyle w:val="Body"/>
              <w:spacing w:after="160"/>
            </w:pPr>
            <w:r>
              <w:t>(c) the Commonwealth Ombudsman, or</w:t>
            </w:r>
          </w:p>
          <w:p w14:paraId="262B651A" w14:textId="7DA9DE4B" w:rsidR="001E7D0C" w:rsidRDefault="001E7D0C" w:rsidP="00775A4E">
            <w:pPr>
              <w:pStyle w:val="Body"/>
            </w:pPr>
            <w:r>
              <w:t>(d) the Office of the Australian Information</w:t>
            </w:r>
            <w:r w:rsidR="003F16A3">
              <w:t> </w:t>
            </w:r>
            <w:r>
              <w:t>Commissioner</w:t>
            </w:r>
          </w:p>
        </w:tc>
        <w:tc>
          <w:tcPr>
            <w:tcW w:w="849" w:type="pct"/>
            <w:tcBorders>
              <w:top w:val="single" w:sz="2" w:space="0" w:color="D9D9D9" w:themeColor="background2" w:themeShade="D9"/>
              <w:bottom w:val="single" w:sz="2" w:space="0" w:color="D9D9D9" w:themeColor="background2" w:themeShade="D9"/>
            </w:tcBorders>
          </w:tcPr>
          <w:p w14:paraId="69D255AF" w14:textId="5E505A3E" w:rsidR="001E7D0C" w:rsidRDefault="001E7D0C" w:rsidP="00775A4E">
            <w:pPr>
              <w:pStyle w:val="Body"/>
            </w:pPr>
            <w:r>
              <w:t>If applicable, mandatory</w:t>
            </w:r>
          </w:p>
        </w:tc>
      </w:tr>
      <w:tr w:rsidR="001E7D0C" w14:paraId="02AC369A"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50C1D88B" w14:textId="6A5118C3" w:rsidR="001E7D0C" w:rsidRDefault="001E7D0C" w:rsidP="00775A4E">
            <w:pPr>
              <w:pStyle w:val="Body"/>
            </w:pPr>
            <w:r>
              <w:t>17BE(s)</w:t>
            </w:r>
          </w:p>
        </w:tc>
        <w:tc>
          <w:tcPr>
            <w:tcW w:w="849" w:type="pct"/>
            <w:tcBorders>
              <w:top w:val="single" w:sz="2" w:space="0" w:color="D9D9D9" w:themeColor="background2" w:themeShade="D9"/>
              <w:bottom w:val="single" w:sz="2" w:space="0" w:color="D9D9D9" w:themeColor="background2" w:themeShade="D9"/>
            </w:tcBorders>
          </w:tcPr>
          <w:p w14:paraId="379D1EB1" w14:textId="4570541D"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794D4B6C"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21AF501C" w14:textId="6983A258" w:rsidR="001E7D0C" w:rsidRDefault="001E7D0C" w:rsidP="00775A4E">
            <w:pPr>
              <w:pStyle w:val="Body"/>
            </w:pPr>
            <w:r>
              <w:t>An explanation of information not obtained from a subsidiary of the entity and the effect of</w:t>
            </w:r>
            <w:r w:rsidR="005F5D62">
              <w:t> </w:t>
            </w:r>
            <w:r>
              <w:t>not having the information on the annual</w:t>
            </w:r>
            <w:r w:rsidR="005F5D62">
              <w:t> </w:t>
            </w:r>
            <w:r>
              <w:t>report</w:t>
            </w:r>
          </w:p>
        </w:tc>
        <w:tc>
          <w:tcPr>
            <w:tcW w:w="849" w:type="pct"/>
            <w:tcBorders>
              <w:top w:val="single" w:sz="2" w:space="0" w:color="D9D9D9" w:themeColor="background2" w:themeShade="D9"/>
              <w:bottom w:val="single" w:sz="2" w:space="0" w:color="D9D9D9" w:themeColor="background2" w:themeShade="D9"/>
            </w:tcBorders>
          </w:tcPr>
          <w:p w14:paraId="5DA0F38C" w14:textId="4BA2EB1E" w:rsidR="001E7D0C" w:rsidRDefault="001E7D0C" w:rsidP="00775A4E">
            <w:pPr>
              <w:pStyle w:val="Body"/>
            </w:pPr>
            <w:r>
              <w:t>If applicable, mandatory</w:t>
            </w:r>
          </w:p>
        </w:tc>
      </w:tr>
      <w:tr w:rsidR="001E7D0C" w14:paraId="61A9512B"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478BDD91" w14:textId="442FDCA9" w:rsidR="001E7D0C" w:rsidRDefault="001E7D0C" w:rsidP="00775A4E">
            <w:pPr>
              <w:pStyle w:val="Body"/>
            </w:pPr>
            <w:r>
              <w:t>17BE(t)</w:t>
            </w:r>
          </w:p>
        </w:tc>
        <w:tc>
          <w:tcPr>
            <w:tcW w:w="849" w:type="pct"/>
            <w:tcBorders>
              <w:top w:val="single" w:sz="2" w:space="0" w:color="D9D9D9" w:themeColor="background2" w:themeShade="D9"/>
              <w:bottom w:val="single" w:sz="2" w:space="0" w:color="D9D9D9" w:themeColor="background2" w:themeShade="D9"/>
            </w:tcBorders>
          </w:tcPr>
          <w:p w14:paraId="5BBFD26D" w14:textId="0157B4E1"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09429895"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68F875C3" w14:textId="25535723" w:rsidR="001E7D0C" w:rsidRDefault="001E7D0C" w:rsidP="00775A4E">
            <w:pPr>
              <w:pStyle w:val="Body"/>
            </w:pPr>
            <w:r>
              <w:t>Details of any indemnity that applied during the reporting period to the accountable authority, any member of the accountable authority or officer of the entity against a liability (including premiums paid, or agreed to be paid, for insurance against the authority, member or officer’s liability for legal costs)</w:t>
            </w:r>
          </w:p>
        </w:tc>
        <w:tc>
          <w:tcPr>
            <w:tcW w:w="849" w:type="pct"/>
            <w:tcBorders>
              <w:top w:val="single" w:sz="2" w:space="0" w:color="D9D9D9" w:themeColor="background2" w:themeShade="D9"/>
              <w:bottom w:val="single" w:sz="2" w:space="0" w:color="D9D9D9" w:themeColor="background2" w:themeShade="D9"/>
            </w:tcBorders>
          </w:tcPr>
          <w:p w14:paraId="1ECAB5B3" w14:textId="4422BBA2" w:rsidR="001E7D0C" w:rsidRDefault="001E7D0C" w:rsidP="00775A4E">
            <w:pPr>
              <w:pStyle w:val="Body"/>
            </w:pPr>
            <w:r>
              <w:t>If applicable, mandatory</w:t>
            </w:r>
          </w:p>
        </w:tc>
      </w:tr>
      <w:tr w:rsidR="001E7D0C" w14:paraId="14F48CCB"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6DCE7A3B" w14:textId="7B3127D7" w:rsidR="001E7D0C" w:rsidRDefault="001E7D0C" w:rsidP="00775A4E">
            <w:pPr>
              <w:pStyle w:val="Body"/>
            </w:pPr>
            <w:r>
              <w:lastRenderedPageBreak/>
              <w:t>17BE(ta)</w:t>
            </w:r>
          </w:p>
        </w:tc>
        <w:tc>
          <w:tcPr>
            <w:tcW w:w="849" w:type="pct"/>
            <w:tcBorders>
              <w:top w:val="single" w:sz="2" w:space="0" w:color="D9D9D9" w:themeColor="background2" w:themeShade="D9"/>
              <w:bottom w:val="single" w:sz="2" w:space="0" w:color="D9D9D9" w:themeColor="background2" w:themeShade="D9"/>
            </w:tcBorders>
          </w:tcPr>
          <w:p w14:paraId="253411A9" w14:textId="4C6E486B" w:rsidR="001E7D0C" w:rsidRDefault="00583AAA" w:rsidP="00775A4E">
            <w:pPr>
              <w:pStyle w:val="Body"/>
            </w:pPr>
            <w:r w:rsidRPr="00583AAA">
              <w:t>Key management personnel</w:t>
            </w:r>
          </w:p>
        </w:tc>
        <w:tc>
          <w:tcPr>
            <w:tcW w:w="377" w:type="pct"/>
            <w:tcBorders>
              <w:top w:val="single" w:sz="2" w:space="0" w:color="D9D9D9" w:themeColor="background2" w:themeShade="D9"/>
              <w:bottom w:val="single" w:sz="2" w:space="0" w:color="D9D9D9" w:themeColor="background2" w:themeShade="D9"/>
            </w:tcBorders>
          </w:tcPr>
          <w:p w14:paraId="03B074BB" w14:textId="30D835E9" w:rsidR="001E7D0C" w:rsidRDefault="001E6FC6" w:rsidP="00775A4E">
            <w:pPr>
              <w:pStyle w:val="Body"/>
            </w:pPr>
            <w:hyperlink w:anchor="KeyManagementPersonnel" w:history="1">
              <w:r w:rsidR="001E7D0C" w:rsidRPr="00A22190">
                <w:rPr>
                  <w:rStyle w:val="Hyperlink"/>
                </w:rPr>
                <w:t>60</w:t>
              </w:r>
            </w:hyperlink>
          </w:p>
        </w:tc>
        <w:tc>
          <w:tcPr>
            <w:tcW w:w="2265" w:type="pct"/>
            <w:tcBorders>
              <w:top w:val="single" w:sz="2" w:space="0" w:color="D9D9D9" w:themeColor="background2" w:themeShade="D9"/>
              <w:bottom w:val="single" w:sz="2" w:space="0" w:color="D9D9D9" w:themeColor="background2" w:themeShade="D9"/>
            </w:tcBorders>
          </w:tcPr>
          <w:p w14:paraId="59964D58" w14:textId="5AE44ED0" w:rsidR="001E7D0C" w:rsidRDefault="001E7D0C" w:rsidP="00775A4E">
            <w:pPr>
              <w:pStyle w:val="Body"/>
            </w:pPr>
            <w:r>
              <w:t>Information about executive remuneration</w:t>
            </w:r>
          </w:p>
        </w:tc>
        <w:tc>
          <w:tcPr>
            <w:tcW w:w="849" w:type="pct"/>
            <w:tcBorders>
              <w:top w:val="single" w:sz="2" w:space="0" w:color="D9D9D9" w:themeColor="background2" w:themeShade="D9"/>
              <w:bottom w:val="single" w:sz="2" w:space="0" w:color="D9D9D9" w:themeColor="background2" w:themeShade="D9"/>
            </w:tcBorders>
          </w:tcPr>
          <w:p w14:paraId="762217B6" w14:textId="0385189C" w:rsidR="001E7D0C" w:rsidRDefault="001E7D0C" w:rsidP="00775A4E">
            <w:pPr>
              <w:pStyle w:val="Body"/>
            </w:pPr>
            <w:r>
              <w:t>Mandatory</w:t>
            </w:r>
          </w:p>
        </w:tc>
      </w:tr>
      <w:tr w:rsidR="001E7D0C" w14:paraId="0E7BD567"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6B36C0EC" w14:textId="27D26B41" w:rsidR="001E7D0C" w:rsidRDefault="001E7D0C" w:rsidP="00775A4E">
            <w:pPr>
              <w:pStyle w:val="Body"/>
            </w:pPr>
            <w:r>
              <w:rPr>
                <w:b/>
              </w:rPr>
              <w:t>17BF</w:t>
            </w:r>
          </w:p>
        </w:tc>
        <w:tc>
          <w:tcPr>
            <w:tcW w:w="3491" w:type="pct"/>
            <w:gridSpan w:val="3"/>
            <w:tcBorders>
              <w:top w:val="single" w:sz="2" w:space="0" w:color="D9D9D9" w:themeColor="background2" w:themeShade="D9"/>
              <w:bottom w:val="single" w:sz="2" w:space="0" w:color="D9D9D9" w:themeColor="background2" w:themeShade="D9"/>
            </w:tcBorders>
          </w:tcPr>
          <w:p w14:paraId="7F17625A" w14:textId="237AE461" w:rsidR="001E7D0C" w:rsidRDefault="001E7D0C" w:rsidP="00AD08BA">
            <w:pPr>
              <w:pStyle w:val="Body"/>
              <w:ind w:right="880"/>
            </w:pPr>
            <w:r>
              <w:rPr>
                <w:b/>
              </w:rPr>
              <w:t>Disclosure requirements for government business enterprises</w:t>
            </w:r>
          </w:p>
        </w:tc>
        <w:tc>
          <w:tcPr>
            <w:tcW w:w="849" w:type="pct"/>
            <w:tcBorders>
              <w:top w:val="single" w:sz="2" w:space="0" w:color="D9D9D9" w:themeColor="background2" w:themeShade="D9"/>
              <w:bottom w:val="single" w:sz="2" w:space="0" w:color="D9D9D9" w:themeColor="background2" w:themeShade="D9"/>
            </w:tcBorders>
          </w:tcPr>
          <w:p w14:paraId="3F252150" w14:textId="77777777" w:rsidR="001E7D0C" w:rsidRDefault="001E7D0C" w:rsidP="00775A4E">
            <w:pPr>
              <w:pStyle w:val="Body"/>
            </w:pPr>
          </w:p>
        </w:tc>
      </w:tr>
      <w:tr w:rsidR="001E7D0C" w14:paraId="0ABEEDFB"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0B9BFFFE" w14:textId="3E7C0640" w:rsidR="001E7D0C" w:rsidRDefault="001E7D0C" w:rsidP="00775A4E">
            <w:pPr>
              <w:pStyle w:val="Body"/>
            </w:pPr>
            <w:r>
              <w:t>17BF(1)(a)</w:t>
            </w:r>
            <w:r w:rsidR="009D15A7">
              <w:br/>
            </w:r>
            <w:r>
              <w:t>(</w:t>
            </w:r>
            <w:r w:rsidR="009D15A7">
              <w:rPr>
                <w:rFonts w:ascii="Arial" w:hAnsi="Arial" w:cs="Arial" w:hint="cs"/>
                <w:rtl/>
              </w:rPr>
              <w:t>‍</w:t>
            </w:r>
            <w:r>
              <w:t>i)</w:t>
            </w:r>
          </w:p>
        </w:tc>
        <w:tc>
          <w:tcPr>
            <w:tcW w:w="849" w:type="pct"/>
            <w:tcBorders>
              <w:top w:val="single" w:sz="2" w:space="0" w:color="D9D9D9" w:themeColor="background2" w:themeShade="D9"/>
              <w:bottom w:val="single" w:sz="2" w:space="0" w:color="D9D9D9" w:themeColor="background2" w:themeShade="D9"/>
            </w:tcBorders>
          </w:tcPr>
          <w:p w14:paraId="7AB86CE4" w14:textId="728892EB"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20D1B983"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10365AD2" w14:textId="3C965353" w:rsidR="001E7D0C" w:rsidRDefault="001E7D0C" w:rsidP="00775A4E">
            <w:pPr>
              <w:pStyle w:val="Body"/>
            </w:pPr>
            <w:r>
              <w:t>An assessment of significant changes in the</w:t>
            </w:r>
            <w:r w:rsidR="005F5D62">
              <w:t> </w:t>
            </w:r>
            <w:r>
              <w:t>entity’s overall financial structure and financial</w:t>
            </w:r>
            <w:r w:rsidR="005F5D62">
              <w:t> </w:t>
            </w:r>
            <w:r>
              <w:t>conditions</w:t>
            </w:r>
          </w:p>
        </w:tc>
        <w:tc>
          <w:tcPr>
            <w:tcW w:w="849" w:type="pct"/>
            <w:tcBorders>
              <w:top w:val="single" w:sz="2" w:space="0" w:color="D9D9D9" w:themeColor="background2" w:themeShade="D9"/>
              <w:bottom w:val="single" w:sz="2" w:space="0" w:color="D9D9D9" w:themeColor="background2" w:themeShade="D9"/>
            </w:tcBorders>
          </w:tcPr>
          <w:p w14:paraId="1046E4A9" w14:textId="240DDB96" w:rsidR="001E7D0C" w:rsidRDefault="001E7D0C" w:rsidP="00775A4E">
            <w:pPr>
              <w:pStyle w:val="Body"/>
            </w:pPr>
            <w:r>
              <w:t>If applicable, mandatory</w:t>
            </w:r>
          </w:p>
        </w:tc>
      </w:tr>
      <w:tr w:rsidR="001E7D0C" w14:paraId="1E9C02E3"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936FE98" w14:textId="3708A1DD" w:rsidR="001E7D0C" w:rsidRDefault="001E7D0C" w:rsidP="00775A4E">
            <w:pPr>
              <w:pStyle w:val="Body"/>
            </w:pPr>
            <w:r>
              <w:t>17BF(1)(a)</w:t>
            </w:r>
            <w:r w:rsidR="009D15A7">
              <w:br/>
            </w:r>
            <w:r>
              <w:t>(ii)</w:t>
            </w:r>
          </w:p>
        </w:tc>
        <w:tc>
          <w:tcPr>
            <w:tcW w:w="849" w:type="pct"/>
            <w:tcBorders>
              <w:top w:val="single" w:sz="2" w:space="0" w:color="D9D9D9" w:themeColor="background2" w:themeShade="D9"/>
              <w:bottom w:val="single" w:sz="2" w:space="0" w:color="D9D9D9" w:themeColor="background2" w:themeShade="D9"/>
            </w:tcBorders>
          </w:tcPr>
          <w:p w14:paraId="4DD1FF7C" w14:textId="7C793BE0"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64385982" w14:textId="77777777" w:rsidR="001E7D0C" w:rsidRDefault="001E7D0C" w:rsidP="00C56D4C">
            <w:pPr>
              <w:pStyle w:val="Body"/>
              <w:ind w:right="-94"/>
            </w:pPr>
          </w:p>
        </w:tc>
        <w:tc>
          <w:tcPr>
            <w:tcW w:w="2265" w:type="pct"/>
            <w:tcBorders>
              <w:top w:val="single" w:sz="2" w:space="0" w:color="D9D9D9" w:themeColor="background2" w:themeShade="D9"/>
              <w:bottom w:val="single" w:sz="2" w:space="0" w:color="D9D9D9" w:themeColor="background2" w:themeShade="D9"/>
            </w:tcBorders>
          </w:tcPr>
          <w:p w14:paraId="0C43120A" w14:textId="4113C831" w:rsidR="001E7D0C" w:rsidRDefault="001E7D0C" w:rsidP="00C56D4C">
            <w:pPr>
              <w:pStyle w:val="Body"/>
              <w:ind w:right="-94"/>
            </w:pPr>
            <w:r>
              <w:t>An assessment of any events or risks that could cause financial information that is reported not</w:t>
            </w:r>
            <w:r w:rsidR="005F5D62">
              <w:t> </w:t>
            </w:r>
            <w:r>
              <w:t>to be indicative of future operations or financial</w:t>
            </w:r>
            <w:r w:rsidR="005F5D62">
              <w:t> </w:t>
            </w:r>
            <w:r>
              <w:t>conditions</w:t>
            </w:r>
          </w:p>
        </w:tc>
        <w:tc>
          <w:tcPr>
            <w:tcW w:w="849" w:type="pct"/>
            <w:tcBorders>
              <w:top w:val="single" w:sz="2" w:space="0" w:color="D9D9D9" w:themeColor="background2" w:themeShade="D9"/>
              <w:bottom w:val="single" w:sz="2" w:space="0" w:color="D9D9D9" w:themeColor="background2" w:themeShade="D9"/>
            </w:tcBorders>
          </w:tcPr>
          <w:p w14:paraId="0417C2E2" w14:textId="42ADC4D6" w:rsidR="001E7D0C" w:rsidRDefault="001E7D0C" w:rsidP="00775A4E">
            <w:pPr>
              <w:pStyle w:val="Body"/>
            </w:pPr>
            <w:r>
              <w:t>If applicable, mandatory</w:t>
            </w:r>
          </w:p>
        </w:tc>
      </w:tr>
      <w:tr w:rsidR="001E7D0C" w14:paraId="68643160"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0950BDF" w14:textId="54DB8387" w:rsidR="001E7D0C" w:rsidRDefault="001E7D0C" w:rsidP="00775A4E">
            <w:pPr>
              <w:pStyle w:val="Body"/>
            </w:pPr>
            <w:r>
              <w:t>17BF(1)(b)</w:t>
            </w:r>
          </w:p>
        </w:tc>
        <w:tc>
          <w:tcPr>
            <w:tcW w:w="849" w:type="pct"/>
            <w:tcBorders>
              <w:top w:val="single" w:sz="2" w:space="0" w:color="D9D9D9" w:themeColor="background2" w:themeShade="D9"/>
              <w:bottom w:val="single" w:sz="2" w:space="0" w:color="D9D9D9" w:themeColor="background2" w:themeShade="D9"/>
            </w:tcBorders>
          </w:tcPr>
          <w:p w14:paraId="20F557C9" w14:textId="51FAFFFA"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77898FDD"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7F358877" w14:textId="60CEC5DD" w:rsidR="001E7D0C" w:rsidRDefault="001E7D0C" w:rsidP="00775A4E">
            <w:pPr>
              <w:pStyle w:val="Body"/>
            </w:pPr>
            <w:r>
              <w:t>Information on dividends paid or recommended</w:t>
            </w:r>
          </w:p>
        </w:tc>
        <w:tc>
          <w:tcPr>
            <w:tcW w:w="849" w:type="pct"/>
            <w:tcBorders>
              <w:top w:val="single" w:sz="2" w:space="0" w:color="D9D9D9" w:themeColor="background2" w:themeShade="D9"/>
              <w:bottom w:val="single" w:sz="2" w:space="0" w:color="D9D9D9" w:themeColor="background2" w:themeShade="D9"/>
            </w:tcBorders>
          </w:tcPr>
          <w:p w14:paraId="43C14440" w14:textId="1F651A30" w:rsidR="001E7D0C" w:rsidRDefault="001E7D0C" w:rsidP="00775A4E">
            <w:pPr>
              <w:pStyle w:val="Body"/>
            </w:pPr>
            <w:r>
              <w:t>If applicable, mandatory</w:t>
            </w:r>
          </w:p>
        </w:tc>
      </w:tr>
      <w:tr w:rsidR="001E7D0C" w14:paraId="04FE079E"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7B741A56" w14:textId="0451A884" w:rsidR="001E7D0C" w:rsidRDefault="001E7D0C" w:rsidP="00775A4E">
            <w:pPr>
              <w:pStyle w:val="Body"/>
            </w:pPr>
            <w:r>
              <w:t>17BF(1)(c)</w:t>
            </w:r>
          </w:p>
        </w:tc>
        <w:tc>
          <w:tcPr>
            <w:tcW w:w="849" w:type="pct"/>
            <w:tcBorders>
              <w:top w:val="single" w:sz="2" w:space="0" w:color="D9D9D9" w:themeColor="background2" w:themeShade="D9"/>
              <w:bottom w:val="single" w:sz="2" w:space="0" w:color="D9D9D9" w:themeColor="background2" w:themeShade="D9"/>
            </w:tcBorders>
          </w:tcPr>
          <w:p w14:paraId="302357FE" w14:textId="253B008D"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6EAF1128"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75481357" w14:textId="0799814B" w:rsidR="001E7D0C" w:rsidRDefault="001E7D0C" w:rsidP="00775A4E">
            <w:pPr>
              <w:pStyle w:val="Body"/>
              <w:spacing w:after="160"/>
            </w:pPr>
            <w:r>
              <w:t>Details of any community service obligations the government business enterprise has</w:t>
            </w:r>
            <w:r w:rsidR="00506B11">
              <w:t> </w:t>
            </w:r>
            <w:r>
              <w:t>including:</w:t>
            </w:r>
          </w:p>
          <w:p w14:paraId="691AF1B4" w14:textId="4603CC3A" w:rsidR="001E7D0C" w:rsidRDefault="001E7D0C" w:rsidP="00775A4E">
            <w:pPr>
              <w:pStyle w:val="Body"/>
              <w:spacing w:after="160"/>
            </w:pPr>
            <w:r>
              <w:t>(a) an outline of actions taken to fulfil those</w:t>
            </w:r>
            <w:r w:rsidR="00D80BB5">
              <w:t> </w:t>
            </w:r>
            <w:r>
              <w:t>obligations, and</w:t>
            </w:r>
          </w:p>
          <w:p w14:paraId="56F383C3" w14:textId="09133CD8" w:rsidR="001E7D0C" w:rsidRDefault="001E7D0C" w:rsidP="00775A4E">
            <w:pPr>
              <w:pStyle w:val="Body"/>
            </w:pPr>
            <w:r>
              <w:t>(b) an assessment of the cost of fulfilling those</w:t>
            </w:r>
            <w:r w:rsidR="00506B11">
              <w:t> </w:t>
            </w:r>
            <w:r>
              <w:t>obligations</w:t>
            </w:r>
          </w:p>
        </w:tc>
        <w:tc>
          <w:tcPr>
            <w:tcW w:w="849" w:type="pct"/>
            <w:tcBorders>
              <w:top w:val="single" w:sz="2" w:space="0" w:color="D9D9D9" w:themeColor="background2" w:themeShade="D9"/>
              <w:bottom w:val="single" w:sz="2" w:space="0" w:color="D9D9D9" w:themeColor="background2" w:themeShade="D9"/>
            </w:tcBorders>
          </w:tcPr>
          <w:p w14:paraId="5712BD89" w14:textId="04AA721E" w:rsidR="001E7D0C" w:rsidRDefault="001E7D0C" w:rsidP="00775A4E">
            <w:pPr>
              <w:pStyle w:val="Body"/>
            </w:pPr>
            <w:r>
              <w:t>If applicable, mandatory</w:t>
            </w:r>
          </w:p>
        </w:tc>
      </w:tr>
      <w:tr w:rsidR="001E7D0C" w14:paraId="06730734" w14:textId="77777777" w:rsidTr="005F5D62">
        <w:trPr>
          <w:trHeight w:val="170"/>
        </w:trPr>
        <w:tc>
          <w:tcPr>
            <w:tcW w:w="660" w:type="pct"/>
            <w:tcBorders>
              <w:top w:val="single" w:sz="2" w:space="0" w:color="D9D9D9" w:themeColor="background2" w:themeShade="D9"/>
              <w:bottom w:val="single" w:sz="2" w:space="0" w:color="D9D9D9" w:themeColor="background2" w:themeShade="D9"/>
            </w:tcBorders>
          </w:tcPr>
          <w:p w14:paraId="0E63E33F" w14:textId="4BBA7498" w:rsidR="001E7D0C" w:rsidRDefault="001E7D0C" w:rsidP="00775A4E">
            <w:pPr>
              <w:pStyle w:val="Body"/>
            </w:pPr>
            <w:r>
              <w:t>17BF(2)</w:t>
            </w:r>
          </w:p>
        </w:tc>
        <w:tc>
          <w:tcPr>
            <w:tcW w:w="849" w:type="pct"/>
            <w:tcBorders>
              <w:top w:val="single" w:sz="2" w:space="0" w:color="D9D9D9" w:themeColor="background2" w:themeShade="D9"/>
              <w:bottom w:val="single" w:sz="2" w:space="0" w:color="D9D9D9" w:themeColor="background2" w:themeShade="D9"/>
            </w:tcBorders>
          </w:tcPr>
          <w:p w14:paraId="2911AB2D" w14:textId="6390D5D2" w:rsidR="001E7D0C" w:rsidRDefault="001E7D0C" w:rsidP="00775A4E">
            <w:pPr>
              <w:pStyle w:val="Body"/>
            </w:pPr>
            <w:r>
              <w:t>N/A</w:t>
            </w:r>
          </w:p>
        </w:tc>
        <w:tc>
          <w:tcPr>
            <w:tcW w:w="377" w:type="pct"/>
            <w:tcBorders>
              <w:top w:val="single" w:sz="2" w:space="0" w:color="D9D9D9" w:themeColor="background2" w:themeShade="D9"/>
              <w:bottom w:val="single" w:sz="2" w:space="0" w:color="D9D9D9" w:themeColor="background2" w:themeShade="D9"/>
            </w:tcBorders>
          </w:tcPr>
          <w:p w14:paraId="1657B8FB" w14:textId="77777777" w:rsidR="001E7D0C" w:rsidRDefault="001E7D0C" w:rsidP="00775A4E">
            <w:pPr>
              <w:pStyle w:val="Body"/>
            </w:pPr>
          </w:p>
        </w:tc>
        <w:tc>
          <w:tcPr>
            <w:tcW w:w="2265" w:type="pct"/>
            <w:tcBorders>
              <w:top w:val="single" w:sz="2" w:space="0" w:color="D9D9D9" w:themeColor="background2" w:themeShade="D9"/>
              <w:bottom w:val="single" w:sz="2" w:space="0" w:color="D9D9D9" w:themeColor="background2" w:themeShade="D9"/>
            </w:tcBorders>
          </w:tcPr>
          <w:p w14:paraId="25E0952C" w14:textId="4D321B8C" w:rsidR="001E7D0C" w:rsidRDefault="001E7D0C" w:rsidP="00775A4E">
            <w:pPr>
              <w:pStyle w:val="Body"/>
            </w:pPr>
            <w:r>
              <w:t>A statement regarding the exclusion of information on the grounds that the information is commercially sensitive and would be likely to result in unreasonable commercial prejudice to the government business enterprise</w:t>
            </w:r>
          </w:p>
        </w:tc>
        <w:tc>
          <w:tcPr>
            <w:tcW w:w="849" w:type="pct"/>
            <w:tcBorders>
              <w:top w:val="single" w:sz="2" w:space="0" w:color="D9D9D9" w:themeColor="background2" w:themeShade="D9"/>
              <w:bottom w:val="single" w:sz="2" w:space="0" w:color="D9D9D9" w:themeColor="background2" w:themeShade="D9"/>
            </w:tcBorders>
          </w:tcPr>
          <w:p w14:paraId="33C778D3" w14:textId="19E891BD" w:rsidR="001E7D0C" w:rsidRDefault="001E7D0C" w:rsidP="00775A4E">
            <w:pPr>
              <w:pStyle w:val="Body"/>
            </w:pPr>
            <w:r>
              <w:t>If applicable, mandatory</w:t>
            </w:r>
          </w:p>
        </w:tc>
      </w:tr>
    </w:tbl>
    <w:p w14:paraId="6DBF6D19" w14:textId="77777777" w:rsidR="00BC1841" w:rsidRDefault="00BC1841" w:rsidP="00BC7550">
      <w:pPr>
        <w:pStyle w:val="Body"/>
      </w:pPr>
    </w:p>
    <w:p w14:paraId="185E8153" w14:textId="77777777" w:rsidR="007E155B" w:rsidRDefault="007E155B" w:rsidP="00BC7550">
      <w:pPr>
        <w:pStyle w:val="Body"/>
        <w:sectPr w:rsidR="007E155B" w:rsidSect="004A2D49">
          <w:footnotePr>
            <w:pos w:val="beneathText"/>
          </w:footnotePr>
          <w:pgSz w:w="9979" w:h="14175" w:code="13"/>
          <w:pgMar w:top="1134" w:right="1418" w:bottom="992" w:left="1418" w:header="709" w:footer="709" w:gutter="0"/>
          <w:cols w:space="623"/>
          <w:docGrid w:linePitch="360"/>
        </w:sectPr>
      </w:pPr>
    </w:p>
    <w:p w14:paraId="2482EE21" w14:textId="77777777" w:rsidR="00283039" w:rsidRDefault="002B2536" w:rsidP="002B2536">
      <w:pPr>
        <w:pStyle w:val="Heading1"/>
        <w:rPr>
          <w:color w:val="1C1C1C"/>
        </w:rPr>
        <w:sectPr w:rsidR="00283039" w:rsidSect="004A2D49">
          <w:footnotePr>
            <w:pos w:val="beneathText"/>
          </w:footnotePr>
          <w:pgSz w:w="9979" w:h="14175" w:code="13"/>
          <w:pgMar w:top="1134" w:right="1418" w:bottom="992" w:left="1418" w:header="709" w:footer="709" w:gutter="0"/>
          <w:cols w:space="623"/>
          <w:docGrid w:linePitch="360"/>
        </w:sectPr>
      </w:pPr>
      <w:bookmarkStart w:id="194" w:name="_Toc50378092"/>
      <w:r w:rsidRPr="002B2536">
        <w:rPr>
          <w:color w:val="1C1C1C"/>
        </w:rPr>
        <w:lastRenderedPageBreak/>
        <w:t>Index</w:t>
      </w:r>
      <w:bookmarkEnd w:id="194"/>
    </w:p>
    <w:p w14:paraId="5321EFE5" w14:textId="77777777" w:rsidR="00283039" w:rsidRPr="00DD236E" w:rsidRDefault="00283039" w:rsidP="00283039">
      <w:pPr>
        <w:pStyle w:val="H3"/>
        <w:spacing w:before="0"/>
        <w:rPr>
          <w:color w:val="1C1C1C"/>
        </w:rPr>
      </w:pPr>
      <w:r w:rsidRPr="00DD236E">
        <w:rPr>
          <w:color w:val="1C1C1C"/>
        </w:rPr>
        <w:t>A</w:t>
      </w:r>
    </w:p>
    <w:p w14:paraId="57FD0BD1" w14:textId="77777777" w:rsidR="00283039" w:rsidRDefault="00283039" w:rsidP="00283039">
      <w:pPr>
        <w:pStyle w:val="indexcopy"/>
      </w:pPr>
      <w:r>
        <w:t>AASB 16 Leases, 75</w:t>
      </w:r>
    </w:p>
    <w:p w14:paraId="21BB32C9" w14:textId="77777777" w:rsidR="00283039" w:rsidRDefault="00283039" w:rsidP="00283039">
      <w:pPr>
        <w:pStyle w:val="indexcopy"/>
      </w:pPr>
      <w:r>
        <w:t xml:space="preserve">ABF. </w:t>
      </w:r>
      <w:r w:rsidRPr="009C541B">
        <w:rPr>
          <w:i/>
          <w:iCs/>
        </w:rPr>
        <w:t>See</w:t>
      </w:r>
      <w:r>
        <w:t xml:space="preserve"> activity based funding (ABF)</w:t>
      </w:r>
    </w:p>
    <w:p w14:paraId="2598050A" w14:textId="77777777" w:rsidR="00283039" w:rsidRDefault="00283039" w:rsidP="00283039">
      <w:pPr>
        <w:pStyle w:val="indexcopy"/>
      </w:pPr>
      <w:r>
        <w:t>accountability and management, 53–63</w:t>
      </w:r>
    </w:p>
    <w:p w14:paraId="54061711" w14:textId="77777777" w:rsidR="00283039" w:rsidRDefault="00283039" w:rsidP="00283039">
      <w:pPr>
        <w:pStyle w:val="indexcopy"/>
      </w:pPr>
      <w:r>
        <w:t>accountable authority, 1, 54, 61, 62</w:t>
      </w:r>
    </w:p>
    <w:p w14:paraId="08AFB721" w14:textId="77777777" w:rsidR="00283039" w:rsidRDefault="00283039" w:rsidP="009C541B">
      <w:pPr>
        <w:pStyle w:val="indentindexcopy"/>
      </w:pPr>
      <w:r>
        <w:t>annual performance statements, 39–51</w:t>
      </w:r>
    </w:p>
    <w:p w14:paraId="58111932" w14:textId="77777777" w:rsidR="00283039" w:rsidRDefault="00283039" w:rsidP="00283039">
      <w:pPr>
        <w:pStyle w:val="indexcopy"/>
      </w:pPr>
      <w:r>
        <w:t>acronyms and abbreviations, 92</w:t>
      </w:r>
    </w:p>
    <w:p w14:paraId="23007373" w14:textId="77777777" w:rsidR="00283039" w:rsidRDefault="00283039" w:rsidP="00283039">
      <w:pPr>
        <w:pStyle w:val="indexcopy"/>
      </w:pPr>
      <w:r>
        <w:t>activity based funding (ABF), 6, 11–12, 43</w:t>
      </w:r>
    </w:p>
    <w:p w14:paraId="6359C5E9" w14:textId="77777777" w:rsidR="00283039" w:rsidRDefault="00283039" w:rsidP="009C541B">
      <w:pPr>
        <w:pStyle w:val="indentindexcopy"/>
      </w:pPr>
      <w:r>
        <w:t>Addendum to the National Health Reform Agreement, 19</w:t>
      </w:r>
    </w:p>
    <w:p w14:paraId="060A7243" w14:textId="77777777" w:rsidR="00283039" w:rsidRDefault="00283039" w:rsidP="009C541B">
      <w:pPr>
        <w:pStyle w:val="indentindexcopy"/>
      </w:pPr>
      <w:r>
        <w:t>classifications for, 11, 12, 44–46</w:t>
      </w:r>
    </w:p>
    <w:p w14:paraId="59CE160E" w14:textId="77777777" w:rsidR="00283039" w:rsidRDefault="00283039" w:rsidP="009C541B">
      <w:pPr>
        <w:pStyle w:val="indentindexcopy"/>
      </w:pPr>
      <w:r>
        <w:t>costing, 12, 41</w:t>
      </w:r>
    </w:p>
    <w:p w14:paraId="52310D3F" w14:textId="77777777" w:rsidR="00283039" w:rsidRDefault="00283039" w:rsidP="009C541B">
      <w:pPr>
        <w:pStyle w:val="indentindexcopy"/>
      </w:pPr>
      <w:r>
        <w:t>costing information for, 47</w:t>
      </w:r>
    </w:p>
    <w:p w14:paraId="3ED614E2" w14:textId="77777777" w:rsidR="00283039" w:rsidRDefault="00283039" w:rsidP="009C541B">
      <w:pPr>
        <w:pStyle w:val="indentindexcopy"/>
      </w:pPr>
      <w:r>
        <w:t>data collection, 12</w:t>
      </w:r>
    </w:p>
    <w:p w14:paraId="35EC0AA1" w14:textId="77777777" w:rsidR="00283039" w:rsidRDefault="00283039" w:rsidP="009C541B">
      <w:pPr>
        <w:pStyle w:val="indentindexcopy"/>
      </w:pPr>
      <w:r>
        <w:t>defined, 93</w:t>
      </w:r>
    </w:p>
    <w:p w14:paraId="3B6084E0" w14:textId="77777777" w:rsidR="00283039" w:rsidRDefault="00283039" w:rsidP="009C541B">
      <w:pPr>
        <w:pStyle w:val="indentindexcopy"/>
      </w:pPr>
      <w:r>
        <w:t>jurisdictional reporting, 42</w:t>
      </w:r>
    </w:p>
    <w:p w14:paraId="00D65CAC" w14:textId="77777777" w:rsidR="00283039" w:rsidRDefault="00283039" w:rsidP="009C541B">
      <w:pPr>
        <w:pStyle w:val="indentindexcopy"/>
      </w:pPr>
      <w:r>
        <w:t>national pricing model for, 51</w:t>
      </w:r>
    </w:p>
    <w:p w14:paraId="3AADD70D" w14:textId="77777777" w:rsidR="00283039" w:rsidRDefault="00283039" w:rsidP="009C541B">
      <w:pPr>
        <w:pStyle w:val="indentindexcopy"/>
      </w:pPr>
      <w:r>
        <w:t>pricing model, 12</w:t>
      </w:r>
    </w:p>
    <w:p w14:paraId="3A1FD9C7" w14:textId="77777777" w:rsidR="00283039" w:rsidRDefault="00283039" w:rsidP="009C541B">
      <w:pPr>
        <w:pStyle w:val="indentindexcopy"/>
      </w:pPr>
      <w:r>
        <w:t>public hospital services, 44</w:t>
      </w:r>
    </w:p>
    <w:p w14:paraId="72F2743E" w14:textId="77777777" w:rsidR="00283039" w:rsidRDefault="00283039" w:rsidP="009C541B">
      <w:pPr>
        <w:pStyle w:val="indentindexcopy"/>
      </w:pPr>
      <w:r>
        <w:t>slowdown in costs, 21</w:t>
      </w:r>
    </w:p>
    <w:p w14:paraId="5A625D44" w14:textId="77777777" w:rsidR="00283039" w:rsidRDefault="00283039" w:rsidP="00283039">
      <w:pPr>
        <w:pStyle w:val="indexcopy"/>
      </w:pPr>
      <w:r>
        <w:t>acute care classifications, 30, 33</w:t>
      </w:r>
    </w:p>
    <w:p w14:paraId="0AA0E587" w14:textId="77777777" w:rsidR="00283039" w:rsidRDefault="00283039" w:rsidP="00283039">
      <w:pPr>
        <w:pStyle w:val="indexcopy"/>
      </w:pPr>
      <w:r>
        <w:t>Addendum to the National Health Reform Agreement 2017–20, 3, 7, 33, 51</w:t>
      </w:r>
    </w:p>
    <w:p w14:paraId="59922E21" w14:textId="77777777" w:rsidR="00283039" w:rsidRDefault="00283039" w:rsidP="00283039">
      <w:pPr>
        <w:pStyle w:val="indexcopy"/>
      </w:pPr>
      <w:r>
        <w:t>Addendum to the National Health Reform Agreement 2020–25, 4, 8, 29, 30</w:t>
      </w:r>
    </w:p>
    <w:p w14:paraId="580089C5" w14:textId="77777777" w:rsidR="00283039" w:rsidRDefault="00283039" w:rsidP="00283039">
      <w:pPr>
        <w:pStyle w:val="indexcopy"/>
      </w:pPr>
      <w:r>
        <w:t>Administrator of the National Health Funding Pool, 3, 11, 44, 51</w:t>
      </w:r>
    </w:p>
    <w:p w14:paraId="27B225FB" w14:textId="77777777" w:rsidR="00283039" w:rsidRDefault="00283039" w:rsidP="00283039">
      <w:pPr>
        <w:pStyle w:val="indexcopy"/>
      </w:pPr>
      <w:r>
        <w:t>admitted acute classification, 37</w:t>
      </w:r>
    </w:p>
    <w:p w14:paraId="7867D8BC" w14:textId="77777777" w:rsidR="00283039" w:rsidRDefault="00283039" w:rsidP="00283039">
      <w:pPr>
        <w:pStyle w:val="indexcopy"/>
      </w:pPr>
      <w:r>
        <w:t>admitted subacute classification, 45</w:t>
      </w:r>
    </w:p>
    <w:p w14:paraId="42F29A3C" w14:textId="77777777" w:rsidR="00283039" w:rsidRDefault="00283039" w:rsidP="00283039">
      <w:pPr>
        <w:pStyle w:val="indexcopy"/>
      </w:pPr>
      <w:r>
        <w:t>advertising and market research, 63</w:t>
      </w:r>
    </w:p>
    <w:p w14:paraId="7013C609" w14:textId="77777777" w:rsidR="00283039" w:rsidRDefault="00283039" w:rsidP="00283039">
      <w:pPr>
        <w:pStyle w:val="indexcopy"/>
      </w:pPr>
      <w:r>
        <w:t>advisory committees, 16, 17</w:t>
      </w:r>
    </w:p>
    <w:p w14:paraId="41A14A18" w14:textId="77777777" w:rsidR="00283039" w:rsidRDefault="00283039" w:rsidP="009C541B">
      <w:pPr>
        <w:pStyle w:val="indentindexcopy"/>
      </w:pPr>
      <w:r w:rsidRPr="009C541B">
        <w:rPr>
          <w:i/>
          <w:iCs/>
        </w:rPr>
        <w:t>See also</w:t>
      </w:r>
      <w:r>
        <w:t xml:space="preserve"> Clinical Advisory Committee (CAC)</w:t>
      </w:r>
    </w:p>
    <w:p w14:paraId="63A45A40" w14:textId="77777777" w:rsidR="00283039" w:rsidRDefault="00283039" w:rsidP="00283039">
      <w:pPr>
        <w:pStyle w:val="indexcopy"/>
      </w:pPr>
      <w:r>
        <w:t>ANAO Report, 67–68</w:t>
      </w:r>
    </w:p>
    <w:p w14:paraId="332739CB" w14:textId="77777777" w:rsidR="00283039" w:rsidRDefault="00283039" w:rsidP="00283039">
      <w:pPr>
        <w:pStyle w:val="indexcopy"/>
      </w:pPr>
      <w:r>
        <w:t>annual performance statements, 39–51</w:t>
      </w:r>
    </w:p>
    <w:p w14:paraId="02E0F3D8" w14:textId="77777777" w:rsidR="00283039" w:rsidRDefault="00283039" w:rsidP="009C541B">
      <w:pPr>
        <w:pStyle w:val="indentindexcopy"/>
      </w:pPr>
      <w:r>
        <w:t>Activity 1, 43–44</w:t>
      </w:r>
    </w:p>
    <w:p w14:paraId="0AF769CF" w14:textId="77777777" w:rsidR="00283039" w:rsidRDefault="00283039" w:rsidP="009C541B">
      <w:pPr>
        <w:pStyle w:val="indentindexcopy"/>
      </w:pPr>
      <w:r>
        <w:t>Activity 2, 44–46</w:t>
      </w:r>
    </w:p>
    <w:p w14:paraId="50A2D07D" w14:textId="77777777" w:rsidR="00283039" w:rsidRDefault="00283039" w:rsidP="009C541B">
      <w:pPr>
        <w:pStyle w:val="indentindexcopy"/>
      </w:pPr>
      <w:r>
        <w:t>Activity 3, 47</w:t>
      </w:r>
    </w:p>
    <w:p w14:paraId="11253547" w14:textId="77777777" w:rsidR="00283039" w:rsidRDefault="00283039" w:rsidP="009C541B">
      <w:pPr>
        <w:pStyle w:val="indentindexcopy"/>
      </w:pPr>
      <w:r>
        <w:t>Activity 4, 48</w:t>
      </w:r>
    </w:p>
    <w:p w14:paraId="5B79A23C" w14:textId="77777777" w:rsidR="00283039" w:rsidRDefault="00283039" w:rsidP="009C541B">
      <w:pPr>
        <w:pStyle w:val="indentindexcopy"/>
      </w:pPr>
      <w:r>
        <w:t>Activity 5, 49</w:t>
      </w:r>
    </w:p>
    <w:p w14:paraId="6451AF89" w14:textId="77777777" w:rsidR="00283039" w:rsidRDefault="00283039" w:rsidP="009C541B">
      <w:pPr>
        <w:pStyle w:val="indentindexcopy"/>
      </w:pPr>
      <w:r>
        <w:t>Activity 6, 49–50</w:t>
      </w:r>
    </w:p>
    <w:p w14:paraId="2CC80F82" w14:textId="77777777" w:rsidR="00283039" w:rsidRDefault="00283039" w:rsidP="009C541B">
      <w:pPr>
        <w:pStyle w:val="indentindexcopy"/>
      </w:pPr>
      <w:r>
        <w:t>analysis, 51</w:t>
      </w:r>
    </w:p>
    <w:p w14:paraId="1207C7EB" w14:textId="77777777" w:rsidR="00283039" w:rsidRDefault="00283039" w:rsidP="009C541B">
      <w:pPr>
        <w:pStyle w:val="indentindexcopy"/>
      </w:pPr>
      <w:r>
        <w:t>summary, 41–42</w:t>
      </w:r>
    </w:p>
    <w:p w14:paraId="4F8D461B" w14:textId="77777777" w:rsidR="00283039" w:rsidRDefault="00283039" w:rsidP="00283039">
      <w:pPr>
        <w:pStyle w:val="indexcopy"/>
      </w:pPr>
      <w:r>
        <w:t>Appleyard, Glenn, 24</w:t>
      </w:r>
    </w:p>
    <w:p w14:paraId="79C75B70" w14:textId="77777777" w:rsidR="00283039" w:rsidRDefault="00283039" w:rsidP="00283039">
      <w:pPr>
        <w:pStyle w:val="indexcopy"/>
      </w:pPr>
      <w:r>
        <w:t>Audit, Risk and Compliance Committee, 54–56</w:t>
      </w:r>
    </w:p>
    <w:p w14:paraId="700BCB86" w14:textId="77777777" w:rsidR="00283039" w:rsidRDefault="00283039" w:rsidP="00283039">
      <w:pPr>
        <w:pStyle w:val="indexcopy"/>
      </w:pPr>
      <w:r>
        <w:t>audits, 47, 53, 54</w:t>
      </w:r>
    </w:p>
    <w:p w14:paraId="0F8BCCFE" w14:textId="77777777" w:rsidR="00283039" w:rsidRDefault="00283039" w:rsidP="009C541B">
      <w:pPr>
        <w:pStyle w:val="indentindexcopy"/>
      </w:pPr>
      <w:r>
        <w:t>independent auditor’s report, 67–68</w:t>
      </w:r>
    </w:p>
    <w:p w14:paraId="0143E2C0" w14:textId="77777777" w:rsidR="00283039" w:rsidRDefault="00283039" w:rsidP="00283039">
      <w:pPr>
        <w:pStyle w:val="indexcopy"/>
      </w:pPr>
      <w:r>
        <w:t>Australian Accounting Standards, 74</w:t>
      </w:r>
    </w:p>
    <w:p w14:paraId="245E9540" w14:textId="77777777" w:rsidR="00283039" w:rsidRDefault="00283039" w:rsidP="00283039">
      <w:pPr>
        <w:pStyle w:val="indexcopy"/>
      </w:pPr>
      <w:r>
        <w:t>Australian Commission on Safety and Quality in Health Care, 7, 8, 20, 33, 51</w:t>
      </w:r>
    </w:p>
    <w:p w14:paraId="5B908640" w14:textId="77777777" w:rsidR="00283039" w:rsidRDefault="00283039" w:rsidP="00283039">
      <w:pPr>
        <w:pStyle w:val="indexcopy"/>
      </w:pPr>
      <w:r>
        <w:t>Australian Emergency Care Classification, 41, 45</w:t>
      </w:r>
    </w:p>
    <w:p w14:paraId="527B2DF6" w14:textId="77777777" w:rsidR="00283039" w:rsidRDefault="00283039" w:rsidP="00283039">
      <w:pPr>
        <w:pStyle w:val="indexcopy"/>
      </w:pPr>
      <w:r>
        <w:t>Australian Health Minsters Advisory Council, 10</w:t>
      </w:r>
    </w:p>
    <w:p w14:paraId="5A9F1D51" w14:textId="77777777" w:rsidR="00283039" w:rsidRDefault="00283039" w:rsidP="00283039">
      <w:pPr>
        <w:pStyle w:val="indexcopy"/>
      </w:pPr>
      <w:r>
        <w:t>Australian Hospital Patient Costing Standards, 41, 47</w:t>
      </w:r>
    </w:p>
    <w:p w14:paraId="25349C4C" w14:textId="77777777" w:rsidR="00283039" w:rsidRDefault="00283039" w:rsidP="00283039">
      <w:pPr>
        <w:pStyle w:val="indexcopy"/>
      </w:pPr>
      <w:r>
        <w:t>Australian Mental Health Care Classification, 30, 31, 41, 45</w:t>
      </w:r>
    </w:p>
    <w:p w14:paraId="6E5CCA5A" w14:textId="77777777" w:rsidR="00283039" w:rsidRDefault="00283039" w:rsidP="00283039">
      <w:pPr>
        <w:pStyle w:val="indexcopy"/>
      </w:pPr>
      <w:r>
        <w:t>Australian National Audit Office (ANAO), 67–68</w:t>
      </w:r>
    </w:p>
    <w:p w14:paraId="78CBC81E" w14:textId="77777777" w:rsidR="00283039" w:rsidRDefault="00283039" w:rsidP="00283039">
      <w:pPr>
        <w:pStyle w:val="indexcopy"/>
      </w:pPr>
      <w:r>
        <w:t>Australian National Subacute and Non-Acute Patient Classification, 30, 37, 41, 46</w:t>
      </w:r>
    </w:p>
    <w:p w14:paraId="3CC9169E" w14:textId="77777777" w:rsidR="00283039" w:rsidRDefault="00283039" w:rsidP="00283039">
      <w:pPr>
        <w:pStyle w:val="indexcopy"/>
      </w:pPr>
      <w:r>
        <w:t>Australian Non-Admitted Care Classification, 46</w:t>
      </w:r>
    </w:p>
    <w:p w14:paraId="09757EA6" w14:textId="77777777" w:rsidR="00283039" w:rsidRDefault="00283039" w:rsidP="00283039">
      <w:pPr>
        <w:pStyle w:val="indexcopy"/>
      </w:pPr>
      <w:r>
        <w:t>Australian Refined Diagnosis Related Groups (AR-DRGs), 41, 45, 46</w:t>
      </w:r>
    </w:p>
    <w:p w14:paraId="7B885236" w14:textId="77777777" w:rsidR="00283039" w:rsidRDefault="00283039" w:rsidP="00283039">
      <w:pPr>
        <w:pStyle w:val="indexcopy"/>
      </w:pPr>
      <w:r>
        <w:t>defined, 93</w:t>
      </w:r>
    </w:p>
    <w:p w14:paraId="37C6CC64" w14:textId="77777777" w:rsidR="00283039" w:rsidRDefault="00283039" w:rsidP="00283039">
      <w:pPr>
        <w:pStyle w:val="indexcopy"/>
      </w:pPr>
      <w:r>
        <w:lastRenderedPageBreak/>
        <w:t>Australian Teaching and Training Classification, 30, 41, 45</w:t>
      </w:r>
    </w:p>
    <w:p w14:paraId="609BEC05" w14:textId="77777777" w:rsidR="00283039" w:rsidRDefault="00283039" w:rsidP="00283039">
      <w:pPr>
        <w:pStyle w:val="indexcopy"/>
      </w:pPr>
      <w:r>
        <w:t>avoidable hospital readmissions, 4, 8, 19, 20, 33, 51</w:t>
      </w:r>
    </w:p>
    <w:p w14:paraId="40B472CD" w14:textId="58BA77E5" w:rsidR="007E155B" w:rsidRPr="002B2536" w:rsidRDefault="00283039" w:rsidP="009C541B">
      <w:pPr>
        <w:pStyle w:val="indentindexcopy"/>
      </w:pPr>
      <w:r>
        <w:t>defined, 93</w:t>
      </w:r>
    </w:p>
    <w:p w14:paraId="0A44E8C7" w14:textId="77777777" w:rsidR="00F63A53" w:rsidRPr="00DD236E" w:rsidRDefault="00F63A53" w:rsidP="00F63A53">
      <w:pPr>
        <w:pStyle w:val="H3"/>
        <w:rPr>
          <w:color w:val="1C1C1C"/>
        </w:rPr>
      </w:pPr>
      <w:r w:rsidRPr="00DD236E">
        <w:rPr>
          <w:color w:val="1C1C1C"/>
        </w:rPr>
        <w:t>B</w:t>
      </w:r>
    </w:p>
    <w:p w14:paraId="10A2CED2" w14:textId="77777777" w:rsidR="00F63A53" w:rsidRDefault="00F63A53" w:rsidP="00F63A53">
      <w:pPr>
        <w:pStyle w:val="indexcopy"/>
      </w:pPr>
      <w:r>
        <w:t>back-casting, 21</w:t>
      </w:r>
    </w:p>
    <w:p w14:paraId="50E50E6D" w14:textId="77777777" w:rsidR="00F63A53" w:rsidRDefault="00F63A53" w:rsidP="00F63A53">
      <w:pPr>
        <w:pStyle w:val="indentindexcopy"/>
      </w:pPr>
      <w:r>
        <w:t>defined, 93</w:t>
      </w:r>
    </w:p>
    <w:p w14:paraId="7E675804" w14:textId="77777777" w:rsidR="00F63A53" w:rsidRDefault="00F63A53" w:rsidP="00F63A53">
      <w:pPr>
        <w:pStyle w:val="indexcopy"/>
      </w:pPr>
      <w:r>
        <w:t>benchmarking portal, 42</w:t>
      </w:r>
    </w:p>
    <w:p w14:paraId="5DA88B49" w14:textId="77777777" w:rsidR="00F63A53" w:rsidRDefault="00F63A53" w:rsidP="00F63A53">
      <w:pPr>
        <w:pStyle w:val="indexcopy"/>
      </w:pPr>
      <w:r>
        <w:t>Birch, Jim, 27</w:t>
      </w:r>
    </w:p>
    <w:p w14:paraId="25F456D9" w14:textId="77777777" w:rsidR="00F63A53" w:rsidRDefault="00F63A53" w:rsidP="00F63A53">
      <w:pPr>
        <w:pStyle w:val="indexcopy"/>
      </w:pPr>
      <w:r>
        <w:t>block funding, 13, 41</w:t>
      </w:r>
    </w:p>
    <w:p w14:paraId="29B488D1" w14:textId="77777777" w:rsidR="00F63A53" w:rsidRDefault="00F63A53" w:rsidP="00F63A53">
      <w:pPr>
        <w:pStyle w:val="indentindexcopy"/>
      </w:pPr>
      <w:r>
        <w:t>defined, 93</w:t>
      </w:r>
    </w:p>
    <w:p w14:paraId="05BEEEE6" w14:textId="77777777" w:rsidR="00F63A53" w:rsidRPr="00DD236E" w:rsidRDefault="00F63A53" w:rsidP="00F63A53">
      <w:pPr>
        <w:pStyle w:val="H3"/>
        <w:rPr>
          <w:color w:val="1C1C1C"/>
        </w:rPr>
      </w:pPr>
      <w:r w:rsidRPr="00DD236E">
        <w:rPr>
          <w:color w:val="1C1C1C"/>
        </w:rPr>
        <w:t>C</w:t>
      </w:r>
    </w:p>
    <w:p w14:paraId="08DFA53B" w14:textId="77777777" w:rsidR="00F63A53" w:rsidRDefault="00F63A53" w:rsidP="00F63A53">
      <w:pPr>
        <w:pStyle w:val="indexcopy"/>
      </w:pPr>
      <w:r>
        <w:t>Care Clinical Refinement Project, 31</w:t>
      </w:r>
    </w:p>
    <w:p w14:paraId="06D27A57" w14:textId="77777777" w:rsidR="00F63A53" w:rsidRDefault="00F63A53" w:rsidP="00F63A53">
      <w:pPr>
        <w:pStyle w:val="indexcopy"/>
      </w:pPr>
      <w:r>
        <w:t>casemix, defined, 93</w:t>
      </w:r>
    </w:p>
    <w:p w14:paraId="53AC0E08" w14:textId="77777777" w:rsidR="00F63A53" w:rsidRDefault="00F63A53" w:rsidP="00F63A53">
      <w:pPr>
        <w:pStyle w:val="indexcopy"/>
      </w:pPr>
      <w:r>
        <w:t>Chater, Bruce, 25</w:t>
      </w:r>
    </w:p>
    <w:p w14:paraId="0AA32C1D" w14:textId="77777777" w:rsidR="00F63A53" w:rsidRDefault="00F63A53" w:rsidP="00F63A53">
      <w:pPr>
        <w:pStyle w:val="indexcopy"/>
      </w:pPr>
      <w:r>
        <w:t>Chief Executive Officer, 14, 54, 57, 61</w:t>
      </w:r>
    </w:p>
    <w:p w14:paraId="30E01AE5" w14:textId="77777777" w:rsidR="00F63A53" w:rsidRDefault="00F63A53" w:rsidP="00F63A53">
      <w:pPr>
        <w:pStyle w:val="indentindexcopy"/>
      </w:pPr>
      <w:r>
        <w:t>remuneration, 60</w:t>
      </w:r>
    </w:p>
    <w:p w14:paraId="20748C2C" w14:textId="77777777" w:rsidR="00F63A53" w:rsidRDefault="00F63A53" w:rsidP="00F63A53">
      <w:pPr>
        <w:pStyle w:val="indentindexcopy"/>
      </w:pPr>
      <w:r>
        <w:t>reporting requirements, 1, 66</w:t>
      </w:r>
    </w:p>
    <w:p w14:paraId="32324AAD" w14:textId="77777777" w:rsidR="00F63A53" w:rsidRDefault="00F63A53" w:rsidP="00F63A53">
      <w:pPr>
        <w:pStyle w:val="indentindexcopy"/>
      </w:pPr>
      <w:r>
        <w:t>review of year, 29–30</w:t>
      </w:r>
    </w:p>
    <w:p w14:paraId="4E67AEC1" w14:textId="77777777" w:rsidR="00F63A53" w:rsidRDefault="00F63A53" w:rsidP="00F63A53">
      <w:pPr>
        <w:pStyle w:val="indentindexcopy"/>
      </w:pPr>
      <w:r>
        <w:t>training of, 62, 63</w:t>
      </w:r>
    </w:p>
    <w:p w14:paraId="7AA80F21" w14:textId="77777777" w:rsidR="00F63A53" w:rsidRDefault="00F63A53" w:rsidP="00F63A53">
      <w:pPr>
        <w:pStyle w:val="indexcopy"/>
      </w:pPr>
      <w:r>
        <w:t>Chief Financial Officer, 66</w:t>
      </w:r>
    </w:p>
    <w:p w14:paraId="1C597035" w14:textId="77777777" w:rsidR="00F63A53" w:rsidRDefault="00F63A53" w:rsidP="00F63A53">
      <w:pPr>
        <w:pStyle w:val="indexcopy"/>
      </w:pPr>
      <w:r>
        <w:t>classification levels of staff, 58–59</w:t>
      </w:r>
    </w:p>
    <w:p w14:paraId="2E32679D" w14:textId="77777777" w:rsidR="00F63A53" w:rsidRDefault="00F63A53" w:rsidP="00F63A53">
      <w:pPr>
        <w:pStyle w:val="indexcopy"/>
      </w:pPr>
      <w:r>
        <w:t>classification systems, 51</w:t>
      </w:r>
    </w:p>
    <w:p w14:paraId="5EBDBB04" w14:textId="77777777" w:rsidR="00F63A53" w:rsidRDefault="00F63A53" w:rsidP="00F63A53">
      <w:pPr>
        <w:pStyle w:val="indentindexcopy"/>
      </w:pPr>
      <w:r>
        <w:t>for ABF, 41, 44–46</w:t>
      </w:r>
    </w:p>
    <w:p w14:paraId="2FBC5F25" w14:textId="77777777" w:rsidR="00F63A53" w:rsidRDefault="00F63A53" w:rsidP="00F63A53">
      <w:pPr>
        <w:pStyle w:val="indentindexcopy"/>
      </w:pPr>
      <w:r>
        <w:t>for COVID-19, 3, 29</w:t>
      </w:r>
    </w:p>
    <w:p w14:paraId="689AEE59" w14:textId="77777777" w:rsidR="00F63A53" w:rsidRDefault="00F63A53" w:rsidP="00F63A53">
      <w:pPr>
        <w:pStyle w:val="indexcopy"/>
      </w:pPr>
      <w:r>
        <w:t>Clinical Advisory Committee (CAC), 17, 20, 33–37</w:t>
      </w:r>
    </w:p>
    <w:p w14:paraId="1AB6B95B" w14:textId="77777777" w:rsidR="00F63A53" w:rsidRDefault="00F63A53" w:rsidP="00F63A53">
      <w:pPr>
        <w:pStyle w:val="indentindexcopy"/>
      </w:pPr>
      <w:r>
        <w:t>2019-20 highlights, 37</w:t>
      </w:r>
    </w:p>
    <w:p w14:paraId="6EF1968C" w14:textId="77777777" w:rsidR="00F63A53" w:rsidRDefault="00F63A53" w:rsidP="00F63A53">
      <w:pPr>
        <w:pStyle w:val="indentindexcopy"/>
      </w:pPr>
      <w:r>
        <w:t>functions, 35</w:t>
      </w:r>
    </w:p>
    <w:p w14:paraId="4529656E" w14:textId="77777777" w:rsidR="00F63A53" w:rsidRDefault="00F63A53" w:rsidP="00F63A53">
      <w:pPr>
        <w:pStyle w:val="indentindexcopy"/>
      </w:pPr>
      <w:r>
        <w:t>meetings, 36–37</w:t>
      </w:r>
    </w:p>
    <w:p w14:paraId="60250E71" w14:textId="77777777" w:rsidR="00F63A53" w:rsidRDefault="00F63A53" w:rsidP="00F63A53">
      <w:pPr>
        <w:pStyle w:val="indentindexcopy"/>
      </w:pPr>
      <w:r>
        <w:t>membership, 35, 36</w:t>
      </w:r>
    </w:p>
    <w:p w14:paraId="08A7EAF5" w14:textId="77777777" w:rsidR="00F63A53" w:rsidRDefault="00F63A53" w:rsidP="00F63A53">
      <w:pPr>
        <w:pStyle w:val="indentindexcopy"/>
      </w:pPr>
      <w:r>
        <w:t>remuneration, 35</w:t>
      </w:r>
    </w:p>
    <w:p w14:paraId="2CED6DAE" w14:textId="77777777" w:rsidR="00F63A53" w:rsidRDefault="00F63A53" w:rsidP="00F63A53">
      <w:pPr>
        <w:pStyle w:val="indexcopy"/>
      </w:pPr>
      <w:r>
        <w:t>COAG Heads of Agreement on Public Hospital Funding, 7</w:t>
      </w:r>
    </w:p>
    <w:p w14:paraId="2B957A4A" w14:textId="77777777" w:rsidR="00F63A53" w:rsidRDefault="00F63A53" w:rsidP="00F63A53">
      <w:pPr>
        <w:pStyle w:val="indexcopy"/>
      </w:pPr>
      <w:r>
        <w:t>COAG Health Council, 4, 8, 10</w:t>
      </w:r>
    </w:p>
    <w:p w14:paraId="208126B3" w14:textId="77777777" w:rsidR="00F63A53" w:rsidRDefault="00F63A53" w:rsidP="00F63A53">
      <w:pPr>
        <w:pStyle w:val="indexcopy"/>
      </w:pPr>
      <w:r>
        <w:t>coding of COVID-19 episodes, 3, 19, 29, 31, 37, 44, 46</w:t>
      </w:r>
    </w:p>
    <w:p w14:paraId="15B67540" w14:textId="77777777" w:rsidR="00F63A53" w:rsidRDefault="00F63A53" w:rsidP="00F63A53">
      <w:pPr>
        <w:pStyle w:val="indexcopy"/>
      </w:pPr>
      <w:r>
        <w:t>committees and working groups, 15–17, 36, 42, 49–50, 63</w:t>
      </w:r>
    </w:p>
    <w:p w14:paraId="13BCD206" w14:textId="77777777" w:rsidR="00F63A53" w:rsidRDefault="00F63A53" w:rsidP="00F63A53">
      <w:pPr>
        <w:pStyle w:val="indexcopy"/>
      </w:pPr>
      <w:r w:rsidRPr="00F63A53">
        <w:rPr>
          <w:i/>
          <w:iCs/>
        </w:rPr>
        <w:t>Commonwealth Electoral Act 1918</w:t>
      </w:r>
      <w:r>
        <w:t>, 63</w:t>
      </w:r>
    </w:p>
    <w:p w14:paraId="4DD1E561" w14:textId="77777777" w:rsidR="00F63A53" w:rsidRDefault="00F63A53" w:rsidP="00F63A53">
      <w:pPr>
        <w:pStyle w:val="indexcopy"/>
      </w:pPr>
      <w:r>
        <w:t>Commonwealth Fraud Control Framework, 56</w:t>
      </w:r>
    </w:p>
    <w:p w14:paraId="085992BB" w14:textId="77777777" w:rsidR="00F63A53" w:rsidRDefault="00F63A53" w:rsidP="00F63A53">
      <w:pPr>
        <w:pStyle w:val="indexcopy"/>
      </w:pPr>
      <w:r>
        <w:t>Commonwealth Procurement Rules, 54</w:t>
      </w:r>
    </w:p>
    <w:p w14:paraId="6F5ED743" w14:textId="77777777" w:rsidR="00F63A53" w:rsidRDefault="00F63A53" w:rsidP="00F63A53">
      <w:pPr>
        <w:pStyle w:val="indexcopy"/>
      </w:pPr>
      <w:r>
        <w:t>compliance index, 96–99</w:t>
      </w:r>
    </w:p>
    <w:p w14:paraId="2475228C" w14:textId="77777777" w:rsidR="00F63A53" w:rsidRDefault="00F63A53" w:rsidP="00F63A53">
      <w:pPr>
        <w:pStyle w:val="indexcopy"/>
      </w:pPr>
      <w:r>
        <w:t>compliance obligations, 54</w:t>
      </w:r>
    </w:p>
    <w:p w14:paraId="3CBB1C6B" w14:textId="77777777" w:rsidR="00F63A53" w:rsidRDefault="00F63A53" w:rsidP="00F63A53">
      <w:pPr>
        <w:pStyle w:val="indexcopy"/>
      </w:pPr>
      <w:r>
        <w:t>compliance reports, 48</w:t>
      </w:r>
    </w:p>
    <w:p w14:paraId="713DFA41" w14:textId="77777777" w:rsidR="00F63A53" w:rsidRDefault="00F63A53" w:rsidP="00F63A53">
      <w:pPr>
        <w:pStyle w:val="indexcopy"/>
      </w:pPr>
      <w:r>
        <w:t>conferences, 49, 50</w:t>
      </w:r>
    </w:p>
    <w:p w14:paraId="71B67118" w14:textId="77777777" w:rsidR="00F63A53" w:rsidRDefault="00F63A53" w:rsidP="00F63A53">
      <w:pPr>
        <w:pStyle w:val="indexcopy"/>
      </w:pPr>
      <w:r>
        <w:t xml:space="preserve">contact details, </w:t>
      </w:r>
      <w:r w:rsidRPr="00F63A53">
        <w:rPr>
          <w:i/>
          <w:iCs/>
        </w:rPr>
        <w:t>inside front cover</w:t>
      </w:r>
    </w:p>
    <w:p w14:paraId="7F1D8BB1" w14:textId="77777777" w:rsidR="00F63A53" w:rsidRDefault="00F63A53" w:rsidP="00F63A53">
      <w:pPr>
        <w:pStyle w:val="indexcopy"/>
      </w:pPr>
      <w:r>
        <w:t>corporate Commonwealth entity status, 1, 14, 54, 73</w:t>
      </w:r>
    </w:p>
    <w:p w14:paraId="2B850DBF" w14:textId="77777777" w:rsidR="00F63A53" w:rsidRDefault="00F63A53" w:rsidP="00F63A53">
      <w:pPr>
        <w:pStyle w:val="indexcopy"/>
      </w:pPr>
      <w:r>
        <w:t>corporate governance, 53–56</w:t>
      </w:r>
    </w:p>
    <w:p w14:paraId="2A6D2963" w14:textId="77777777" w:rsidR="00F63A53" w:rsidRDefault="00F63A53" w:rsidP="00F63A53">
      <w:pPr>
        <w:pStyle w:val="indexcopy"/>
      </w:pPr>
      <w:r>
        <w:t>Corporate Plan, 40</w:t>
      </w:r>
    </w:p>
    <w:p w14:paraId="38D97C01" w14:textId="77777777" w:rsidR="00F63A53" w:rsidRDefault="00F63A53" w:rsidP="00F63A53">
      <w:pPr>
        <w:pStyle w:val="indentindexcopy"/>
      </w:pPr>
      <w:r>
        <w:t>defined, 94</w:t>
      </w:r>
    </w:p>
    <w:p w14:paraId="0A76FF51" w14:textId="77777777" w:rsidR="00F63A53" w:rsidRDefault="00F63A53" w:rsidP="00F63A53">
      <w:pPr>
        <w:pStyle w:val="indentindexcopy"/>
      </w:pPr>
      <w:r w:rsidRPr="00F63A53">
        <w:rPr>
          <w:i/>
          <w:iCs/>
        </w:rPr>
        <w:t>See also</w:t>
      </w:r>
      <w:r>
        <w:t xml:space="preserve"> annual performance statements</w:t>
      </w:r>
    </w:p>
    <w:p w14:paraId="122D8ECF" w14:textId="77777777" w:rsidR="00F63A53" w:rsidRDefault="00F63A53" w:rsidP="00F63A53">
      <w:pPr>
        <w:pStyle w:val="indexcopy"/>
      </w:pPr>
      <w:r>
        <w:t>cost growth slowdown, 21</w:t>
      </w:r>
    </w:p>
    <w:p w14:paraId="78CC6081" w14:textId="77777777" w:rsidR="00F63A53" w:rsidRDefault="00F63A53" w:rsidP="00F63A53">
      <w:pPr>
        <w:pStyle w:val="indexcopy"/>
      </w:pPr>
      <w:r>
        <w:t xml:space="preserve">cost of providing public hospital services. </w:t>
      </w:r>
      <w:r w:rsidRPr="00F63A53">
        <w:rPr>
          <w:i/>
          <w:iCs/>
        </w:rPr>
        <w:t>See</w:t>
      </w:r>
      <w:r>
        <w:t xml:space="preserve"> pricing and funding for public hospitals</w:t>
      </w:r>
    </w:p>
    <w:p w14:paraId="539F35BD" w14:textId="77777777" w:rsidR="00F63A53" w:rsidRDefault="00F63A53" w:rsidP="00F63A53">
      <w:pPr>
        <w:pStyle w:val="indexcopy"/>
      </w:pPr>
      <w:r>
        <w:t>cost-shifting, 42</w:t>
      </w:r>
    </w:p>
    <w:p w14:paraId="1DDD7DB0" w14:textId="77777777" w:rsidR="00F63A53" w:rsidRDefault="00F63A53" w:rsidP="00F63A53">
      <w:pPr>
        <w:pStyle w:val="indexcopy"/>
      </w:pPr>
      <w:r>
        <w:t>Cost-shifting and Cross-border and Dispute Resolution Framework, 42, 49</w:t>
      </w:r>
    </w:p>
    <w:p w14:paraId="552B7D3D" w14:textId="77777777" w:rsidR="00F63A53" w:rsidRDefault="00F63A53" w:rsidP="00F63A53">
      <w:pPr>
        <w:pStyle w:val="indexcopy"/>
      </w:pPr>
      <w:r>
        <w:t>costing and pricing guidelines for COVID-19, 29</w:t>
      </w:r>
    </w:p>
    <w:p w14:paraId="00705EC3" w14:textId="77777777" w:rsidR="00F63A53" w:rsidRDefault="00F63A53" w:rsidP="00F63A53">
      <w:pPr>
        <w:pStyle w:val="indexcopy"/>
      </w:pPr>
      <w:r>
        <w:t>costing standards, 41</w:t>
      </w:r>
    </w:p>
    <w:p w14:paraId="71F00AE5" w14:textId="77777777" w:rsidR="00F63A53" w:rsidRDefault="00F63A53" w:rsidP="00F63A53">
      <w:pPr>
        <w:pStyle w:val="indexcopy"/>
      </w:pPr>
      <w:r>
        <w:t>costing studies, 41, 45, 46</w:t>
      </w:r>
    </w:p>
    <w:p w14:paraId="20DEEBE7" w14:textId="77777777" w:rsidR="00F63A53" w:rsidRDefault="00F63A53" w:rsidP="00F63A53">
      <w:pPr>
        <w:pStyle w:val="indexcopy"/>
      </w:pPr>
      <w:r>
        <w:t>Council of Australian Governments (COAG), 4</w:t>
      </w:r>
    </w:p>
    <w:p w14:paraId="230CD3E9" w14:textId="77777777" w:rsidR="00F63A53" w:rsidRDefault="00F63A53" w:rsidP="00F63A53">
      <w:pPr>
        <w:pStyle w:val="indentindexcopy"/>
      </w:pPr>
      <w:r>
        <w:t>defined, 94</w:t>
      </w:r>
    </w:p>
    <w:p w14:paraId="3E2A6710" w14:textId="77777777" w:rsidR="00F63A53" w:rsidRDefault="00F63A53" w:rsidP="00F63A53">
      <w:pPr>
        <w:pStyle w:val="indexcopy"/>
      </w:pPr>
      <w:r>
        <w:t>COVID-19</w:t>
      </w:r>
    </w:p>
    <w:p w14:paraId="7BC0AD58" w14:textId="77777777" w:rsidR="00F63A53" w:rsidRDefault="00F63A53" w:rsidP="00F63A53">
      <w:pPr>
        <w:pStyle w:val="indentindexcopy"/>
        <w:ind w:right="-284"/>
      </w:pPr>
      <w:r>
        <w:t>coding of episodes, 3, 19, 29, 31, 37, 44, 46</w:t>
      </w:r>
    </w:p>
    <w:p w14:paraId="29C715B0" w14:textId="77777777" w:rsidR="00F63A53" w:rsidRDefault="00F63A53" w:rsidP="00F63A53">
      <w:pPr>
        <w:pStyle w:val="indentindexcopy"/>
      </w:pPr>
      <w:r>
        <w:t>costing and pricing guidelines, 29</w:t>
      </w:r>
    </w:p>
    <w:p w14:paraId="5597B935" w14:textId="77777777" w:rsidR="00F63A53" w:rsidRDefault="00F63A53" w:rsidP="00F63A53">
      <w:pPr>
        <w:pStyle w:val="indentindexcopy"/>
      </w:pPr>
      <w:r>
        <w:t>impacts of, 74</w:t>
      </w:r>
    </w:p>
    <w:p w14:paraId="38A90FE7" w14:textId="77777777" w:rsidR="00F63A53" w:rsidRDefault="00F63A53" w:rsidP="00F63A53">
      <w:pPr>
        <w:pStyle w:val="indentindexcopy"/>
      </w:pPr>
      <w:r>
        <w:t>response to, 3, 19, 29, 37, 44, 51</w:t>
      </w:r>
    </w:p>
    <w:p w14:paraId="48D3EF1A" w14:textId="72D4B428" w:rsidR="00F63A53" w:rsidRDefault="00F63A53" w:rsidP="00F63A53">
      <w:pPr>
        <w:pStyle w:val="indentindexcopy"/>
      </w:pPr>
      <w:r w:rsidRPr="00F63A53">
        <w:rPr>
          <w:i/>
          <w:iCs/>
        </w:rPr>
        <w:t>See also</w:t>
      </w:r>
      <w:r>
        <w:t xml:space="preserve"> National Partnership on COVID-</w:t>
      </w:r>
      <w:r>
        <w:rPr>
          <w:rFonts w:ascii="Arial" w:hAnsi="Arial" w:cs="Arial" w:hint="cs"/>
          <w:rtl/>
        </w:rPr>
        <w:t>‍</w:t>
      </w:r>
      <w:r>
        <w:t>19 Response</w:t>
      </w:r>
    </w:p>
    <w:p w14:paraId="5B84B4F7" w14:textId="05889EA7" w:rsidR="002B2536" w:rsidRDefault="00F63A53" w:rsidP="00F63A53">
      <w:pPr>
        <w:pStyle w:val="indexcopy"/>
      </w:pPr>
      <w:r>
        <w:t>cross-border disputes, 49</w:t>
      </w:r>
    </w:p>
    <w:p w14:paraId="14105AD8" w14:textId="37A70C2E" w:rsidR="006355A0" w:rsidRDefault="008B06FE" w:rsidP="006355A0">
      <w:pPr>
        <w:pStyle w:val="H3"/>
      </w:pPr>
      <w:r>
        <w:br w:type="column"/>
      </w:r>
      <w:r w:rsidR="006355A0" w:rsidRPr="00DD236E">
        <w:rPr>
          <w:color w:val="1C1C1C"/>
        </w:rPr>
        <w:lastRenderedPageBreak/>
        <w:t>D</w:t>
      </w:r>
    </w:p>
    <w:p w14:paraId="5279D627" w14:textId="77777777" w:rsidR="006355A0" w:rsidRDefault="006355A0" w:rsidP="006355A0">
      <w:pPr>
        <w:pStyle w:val="indexcopy"/>
      </w:pPr>
      <w:r>
        <w:t>data collection, 41, 42, 46, 48</w:t>
      </w:r>
    </w:p>
    <w:p w14:paraId="27196D29" w14:textId="77777777" w:rsidR="006355A0" w:rsidRDefault="006355A0" w:rsidP="006355A0">
      <w:pPr>
        <w:pStyle w:val="indentindexcopy"/>
      </w:pPr>
      <w:r>
        <w:t>on COVID-19, 3, 29</w:t>
      </w:r>
    </w:p>
    <w:p w14:paraId="157D9351" w14:textId="77777777" w:rsidR="006355A0" w:rsidRDefault="006355A0" w:rsidP="006355A0">
      <w:pPr>
        <w:pStyle w:val="indexcopy"/>
      </w:pPr>
      <w:r>
        <w:t>Data Compliance Policy and reports, 42, 48</w:t>
      </w:r>
    </w:p>
    <w:p w14:paraId="0D89409A" w14:textId="77777777" w:rsidR="006355A0" w:rsidRDefault="006355A0" w:rsidP="006355A0">
      <w:pPr>
        <w:pStyle w:val="indexcopy"/>
      </w:pPr>
      <w:r>
        <w:t>data management systems, 48</w:t>
      </w:r>
    </w:p>
    <w:p w14:paraId="658013EF" w14:textId="77777777" w:rsidR="006355A0" w:rsidRDefault="006355A0" w:rsidP="006355A0">
      <w:pPr>
        <w:pStyle w:val="indexcopy"/>
      </w:pPr>
      <w:r>
        <w:t>data requirements and standards, 48</w:t>
      </w:r>
    </w:p>
    <w:p w14:paraId="7D89964E" w14:textId="77777777" w:rsidR="006355A0" w:rsidRDefault="006355A0" w:rsidP="006355A0">
      <w:pPr>
        <w:pStyle w:val="indexcopy"/>
      </w:pPr>
      <w:r>
        <w:t>deliverables, 51</w:t>
      </w:r>
    </w:p>
    <w:p w14:paraId="2258306A" w14:textId="77777777" w:rsidR="006355A0" w:rsidRDefault="006355A0" w:rsidP="006355A0">
      <w:pPr>
        <w:pStyle w:val="indexcopy"/>
      </w:pPr>
      <w:r>
        <w:t>Department of Health, 9, 56, 57</w:t>
      </w:r>
    </w:p>
    <w:p w14:paraId="2C461293" w14:textId="77777777" w:rsidR="006355A0" w:rsidRDefault="006355A0" w:rsidP="006355A0">
      <w:pPr>
        <w:pStyle w:val="indexcopy"/>
      </w:pPr>
      <w:r>
        <w:t>Determinations (NEP and NEC), 11, 19, 31, 33, 40, 51</w:t>
      </w:r>
    </w:p>
    <w:p w14:paraId="1743507F" w14:textId="77777777" w:rsidR="006355A0" w:rsidRDefault="006355A0" w:rsidP="006355A0">
      <w:pPr>
        <w:pStyle w:val="indexcopy"/>
      </w:pPr>
      <w:r>
        <w:t>disputes on cost-shifting and cross-border issues, 42, 49</w:t>
      </w:r>
    </w:p>
    <w:p w14:paraId="0C73C95E" w14:textId="77777777" w:rsidR="006355A0" w:rsidRDefault="006355A0" w:rsidP="006355A0">
      <w:pPr>
        <w:pStyle w:val="indexcopy"/>
      </w:pPr>
      <w:r>
        <w:t>diversity of staff, 57</w:t>
      </w:r>
    </w:p>
    <w:p w14:paraId="5100DB96" w14:textId="77777777" w:rsidR="006355A0" w:rsidRDefault="006355A0" w:rsidP="006355A0">
      <w:pPr>
        <w:pStyle w:val="indexcopy"/>
      </w:pPr>
      <w:r>
        <w:t>Downie, James (CEO), 1, 20, 62</w:t>
      </w:r>
    </w:p>
    <w:p w14:paraId="28F4EB6D" w14:textId="77777777" w:rsidR="006355A0" w:rsidRDefault="006355A0" w:rsidP="006355A0">
      <w:pPr>
        <w:pStyle w:val="indentindexcopy"/>
      </w:pPr>
      <w:r w:rsidRPr="006355A0">
        <w:rPr>
          <w:i/>
          <w:iCs/>
        </w:rPr>
        <w:t>See also</w:t>
      </w:r>
      <w:r>
        <w:t xml:space="preserve"> Chief Executive Officer</w:t>
      </w:r>
    </w:p>
    <w:p w14:paraId="151077CF" w14:textId="77777777" w:rsidR="006355A0" w:rsidRPr="00DD236E" w:rsidRDefault="006355A0" w:rsidP="006355A0">
      <w:pPr>
        <w:pStyle w:val="H3"/>
        <w:rPr>
          <w:color w:val="1C1C1C"/>
        </w:rPr>
      </w:pPr>
      <w:r w:rsidRPr="00DD236E">
        <w:rPr>
          <w:color w:val="1C1C1C"/>
        </w:rPr>
        <w:t>E</w:t>
      </w:r>
    </w:p>
    <w:p w14:paraId="33D0EA29" w14:textId="77777777" w:rsidR="006355A0" w:rsidRDefault="006355A0" w:rsidP="006355A0">
      <w:pPr>
        <w:pStyle w:val="indexcopy"/>
      </w:pPr>
      <w:r>
        <w:t>ecologically sustainable development and environmental performance, 56</w:t>
      </w:r>
    </w:p>
    <w:p w14:paraId="70B3F5F1" w14:textId="77777777" w:rsidR="006355A0" w:rsidRDefault="006355A0" w:rsidP="006355A0">
      <w:pPr>
        <w:pStyle w:val="indexcopy"/>
      </w:pPr>
      <w:r>
        <w:t>education and review processes, 63</w:t>
      </w:r>
    </w:p>
    <w:p w14:paraId="42EF1098" w14:textId="77777777" w:rsidR="006355A0" w:rsidRDefault="006355A0" w:rsidP="006355A0">
      <w:pPr>
        <w:pStyle w:val="indexcopy"/>
      </w:pPr>
      <w:r>
        <w:t>emergency care classification, 45</w:t>
      </w:r>
    </w:p>
    <w:p w14:paraId="685C5C60" w14:textId="77777777" w:rsidR="006355A0" w:rsidRDefault="006355A0" w:rsidP="006355A0">
      <w:pPr>
        <w:pStyle w:val="indexcopy"/>
      </w:pPr>
      <w:r>
        <w:t xml:space="preserve">employees. </w:t>
      </w:r>
      <w:r w:rsidRPr="00B418FF">
        <w:rPr>
          <w:i/>
          <w:iCs/>
        </w:rPr>
        <w:t>See</w:t>
      </w:r>
      <w:r>
        <w:t xml:space="preserve"> staff</w:t>
      </w:r>
    </w:p>
    <w:p w14:paraId="3A50C1D1" w14:textId="77777777" w:rsidR="006355A0" w:rsidRDefault="006355A0" w:rsidP="006355A0">
      <w:pPr>
        <w:pStyle w:val="indexcopy"/>
      </w:pPr>
      <w:r>
        <w:t>enquiries, inbox, 49, 50</w:t>
      </w:r>
    </w:p>
    <w:p w14:paraId="47283AD4" w14:textId="77777777" w:rsidR="006355A0" w:rsidRDefault="006355A0" w:rsidP="006355A0">
      <w:pPr>
        <w:pStyle w:val="indexcopy"/>
      </w:pPr>
      <w:r w:rsidRPr="00B418FF">
        <w:rPr>
          <w:i/>
          <w:iCs/>
        </w:rPr>
        <w:t>Environmental Protection Act 1999</w:t>
      </w:r>
      <w:r>
        <w:t>, 56</w:t>
      </w:r>
    </w:p>
    <w:p w14:paraId="6D65B0ED" w14:textId="77777777" w:rsidR="006355A0" w:rsidRDefault="006355A0" w:rsidP="006355A0">
      <w:pPr>
        <w:pStyle w:val="indexcopy"/>
      </w:pPr>
      <w:r>
        <w:t>ethical standards, 56</w:t>
      </w:r>
    </w:p>
    <w:p w14:paraId="71417319" w14:textId="77777777" w:rsidR="006355A0" w:rsidRDefault="006355A0" w:rsidP="006355A0">
      <w:pPr>
        <w:pStyle w:val="indexcopy"/>
      </w:pPr>
      <w:r>
        <w:t>external scrutiny, 47, 67–68</w:t>
      </w:r>
    </w:p>
    <w:p w14:paraId="7724F806" w14:textId="1E8B0BCB" w:rsidR="006355A0" w:rsidRDefault="008B06FE" w:rsidP="006355A0">
      <w:pPr>
        <w:pStyle w:val="H3"/>
      </w:pPr>
      <w:r>
        <w:br w:type="column"/>
      </w:r>
      <w:r w:rsidR="006355A0" w:rsidRPr="00DD236E">
        <w:rPr>
          <w:color w:val="1C1C1C"/>
        </w:rPr>
        <w:t>F</w:t>
      </w:r>
    </w:p>
    <w:p w14:paraId="604BEFB2" w14:textId="77777777" w:rsidR="006355A0" w:rsidRDefault="006355A0" w:rsidP="006355A0">
      <w:pPr>
        <w:pStyle w:val="indexcopy"/>
      </w:pPr>
      <w:r>
        <w:t>female staff, 58–59</w:t>
      </w:r>
    </w:p>
    <w:p w14:paraId="5C3760B2" w14:textId="77777777" w:rsidR="006355A0" w:rsidRDefault="006355A0" w:rsidP="006355A0">
      <w:pPr>
        <w:pStyle w:val="indexcopy"/>
      </w:pPr>
      <w:r>
        <w:t>financial management</w:t>
      </w:r>
    </w:p>
    <w:p w14:paraId="53856F1E" w14:textId="77777777" w:rsidR="006355A0" w:rsidRDefault="006355A0" w:rsidP="00ED769D">
      <w:pPr>
        <w:pStyle w:val="indentindexcopy"/>
      </w:pPr>
      <w:r>
        <w:t>ANAO report, 67–68</w:t>
      </w:r>
    </w:p>
    <w:p w14:paraId="4104C5AA" w14:textId="77777777" w:rsidR="006355A0" w:rsidRDefault="006355A0" w:rsidP="00ED769D">
      <w:pPr>
        <w:pStyle w:val="indentindexcopy"/>
      </w:pPr>
      <w:r>
        <w:t>COVID-19 pandemic impacts, 74</w:t>
      </w:r>
    </w:p>
    <w:p w14:paraId="6F1FD695" w14:textId="77777777" w:rsidR="006355A0" w:rsidRDefault="006355A0" w:rsidP="00ED769D">
      <w:pPr>
        <w:pStyle w:val="indentindexcopy"/>
      </w:pPr>
      <w:r>
        <w:t>financial statements, 69–89</w:t>
      </w:r>
    </w:p>
    <w:p w14:paraId="33780B70" w14:textId="77777777" w:rsidR="006355A0" w:rsidRDefault="006355A0" w:rsidP="00ED769D">
      <w:pPr>
        <w:pStyle w:val="indentindexcopy"/>
      </w:pPr>
      <w:r>
        <w:t>overview, 73–75</w:t>
      </w:r>
    </w:p>
    <w:p w14:paraId="1F5BA487" w14:textId="77777777" w:rsidR="006355A0" w:rsidRDefault="006355A0" w:rsidP="006355A0">
      <w:pPr>
        <w:pStyle w:val="indexcopy"/>
      </w:pPr>
      <w:r>
        <w:t>fixed-plus-variable cost model, 13</w:t>
      </w:r>
    </w:p>
    <w:p w14:paraId="19C3848B" w14:textId="77777777" w:rsidR="006355A0" w:rsidRDefault="006355A0" w:rsidP="006355A0">
      <w:pPr>
        <w:pStyle w:val="indexcopy"/>
      </w:pPr>
      <w:r>
        <w:t>Ford, Prudence, 25</w:t>
      </w:r>
    </w:p>
    <w:p w14:paraId="7CC0967E" w14:textId="77777777" w:rsidR="006355A0" w:rsidRDefault="006355A0" w:rsidP="006355A0">
      <w:pPr>
        <w:pStyle w:val="indexcopy"/>
      </w:pPr>
      <w:r>
        <w:t>fraud control plan, 56</w:t>
      </w:r>
    </w:p>
    <w:p w14:paraId="035A635A" w14:textId="77777777" w:rsidR="006355A0" w:rsidRDefault="006355A0" w:rsidP="006355A0">
      <w:pPr>
        <w:pStyle w:val="indexcopy"/>
      </w:pPr>
      <w:r>
        <w:t>full-time staff, 58, 59</w:t>
      </w:r>
    </w:p>
    <w:p w14:paraId="3DA225AC" w14:textId="77777777" w:rsidR="006355A0" w:rsidRDefault="006355A0" w:rsidP="006355A0">
      <w:pPr>
        <w:pStyle w:val="indexcopy"/>
      </w:pPr>
      <w:r>
        <w:t xml:space="preserve">functions. </w:t>
      </w:r>
      <w:r w:rsidRPr="00ED769D">
        <w:rPr>
          <w:i/>
          <w:iCs/>
        </w:rPr>
        <w:t>See</w:t>
      </w:r>
      <w:r>
        <w:t xml:space="preserve"> roles and functions</w:t>
      </w:r>
    </w:p>
    <w:p w14:paraId="108C173F" w14:textId="77777777" w:rsidR="006355A0" w:rsidRDefault="006355A0" w:rsidP="006355A0">
      <w:pPr>
        <w:pStyle w:val="indexcopy"/>
      </w:pPr>
      <w:r>
        <w:t>funding adjustments, 21, 44</w:t>
      </w:r>
    </w:p>
    <w:p w14:paraId="6964849B" w14:textId="77777777" w:rsidR="006355A0" w:rsidRDefault="006355A0" w:rsidP="006355A0">
      <w:pPr>
        <w:pStyle w:val="indexcopy"/>
      </w:pPr>
      <w:r>
        <w:t>funding models, 4, 19</w:t>
      </w:r>
    </w:p>
    <w:p w14:paraId="3E1095D8" w14:textId="50401B67" w:rsidR="007E155B" w:rsidRDefault="006355A0" w:rsidP="006355A0">
      <w:pPr>
        <w:pStyle w:val="indexcopy"/>
      </w:pPr>
      <w:r>
        <w:t xml:space="preserve">future. </w:t>
      </w:r>
      <w:r w:rsidRPr="00ED769D">
        <w:rPr>
          <w:i/>
          <w:iCs/>
        </w:rPr>
        <w:t>See</w:t>
      </w:r>
      <w:r>
        <w:t xml:space="preserve"> outlook</w:t>
      </w:r>
    </w:p>
    <w:p w14:paraId="1F448C6A" w14:textId="57501E5F" w:rsidR="004819BE" w:rsidRPr="00DD236E" w:rsidRDefault="004819BE" w:rsidP="004819BE">
      <w:pPr>
        <w:pStyle w:val="H3"/>
        <w:rPr>
          <w:color w:val="1C1C1C"/>
        </w:rPr>
      </w:pPr>
      <w:r w:rsidRPr="00DD236E">
        <w:rPr>
          <w:color w:val="1C1C1C"/>
        </w:rPr>
        <w:t>G</w:t>
      </w:r>
    </w:p>
    <w:p w14:paraId="23CB7535" w14:textId="77777777" w:rsidR="004819BE" w:rsidRDefault="004819BE" w:rsidP="004819BE">
      <w:pPr>
        <w:pStyle w:val="indexcopy"/>
      </w:pPr>
      <w:r>
        <w:t>gender of staff, 58–59</w:t>
      </w:r>
    </w:p>
    <w:p w14:paraId="4F5C3CA8" w14:textId="77777777" w:rsidR="004819BE" w:rsidRDefault="004819BE" w:rsidP="004819BE">
      <w:pPr>
        <w:pStyle w:val="indexcopy"/>
      </w:pPr>
      <w:r>
        <w:t>global horizon scan, 31, 41</w:t>
      </w:r>
    </w:p>
    <w:p w14:paraId="208FE109" w14:textId="77777777" w:rsidR="004819BE" w:rsidRDefault="004819BE" w:rsidP="004819BE">
      <w:pPr>
        <w:pStyle w:val="indexcopy"/>
      </w:pPr>
      <w:r>
        <w:t>glossary, 93–95</w:t>
      </w:r>
    </w:p>
    <w:p w14:paraId="4AB8CE3E" w14:textId="77777777" w:rsidR="004819BE" w:rsidRDefault="004819BE" w:rsidP="004819BE">
      <w:pPr>
        <w:pStyle w:val="indexcopy"/>
      </w:pPr>
      <w:r>
        <w:t>goals, 20, 51, 73</w:t>
      </w:r>
    </w:p>
    <w:p w14:paraId="2ECCEE4D" w14:textId="77777777" w:rsidR="004819BE" w:rsidRDefault="004819BE" w:rsidP="004819BE">
      <w:pPr>
        <w:pStyle w:val="indexcopy"/>
      </w:pPr>
      <w:r>
        <w:t>governance, 53–56</w:t>
      </w:r>
    </w:p>
    <w:p w14:paraId="06DEC848" w14:textId="77777777" w:rsidR="004819BE" w:rsidRDefault="004819BE" w:rsidP="004819BE">
      <w:pPr>
        <w:pStyle w:val="indexcopy"/>
      </w:pPr>
      <w:r>
        <w:t>government policy orders, 10</w:t>
      </w:r>
    </w:p>
    <w:p w14:paraId="2BB63080" w14:textId="77777777" w:rsidR="004819BE" w:rsidRDefault="004819BE" w:rsidP="004819BE">
      <w:pPr>
        <w:pStyle w:val="indexcopy"/>
      </w:pPr>
      <w:r>
        <w:t>growth funding, 21</w:t>
      </w:r>
    </w:p>
    <w:p w14:paraId="5560AD37" w14:textId="77777777" w:rsidR="004819BE" w:rsidRPr="00DD236E" w:rsidRDefault="004819BE" w:rsidP="004819BE">
      <w:pPr>
        <w:pStyle w:val="H3"/>
        <w:rPr>
          <w:color w:val="1C1C1C"/>
        </w:rPr>
      </w:pPr>
      <w:r w:rsidRPr="00DD236E">
        <w:rPr>
          <w:color w:val="1C1C1C"/>
        </w:rPr>
        <w:t>H</w:t>
      </w:r>
    </w:p>
    <w:p w14:paraId="78E1F52A" w14:textId="77777777" w:rsidR="004819BE" w:rsidRDefault="004819BE" w:rsidP="004819BE">
      <w:pPr>
        <w:pStyle w:val="indexcopy"/>
      </w:pPr>
      <w:r>
        <w:t>Hall, Jane, 25</w:t>
      </w:r>
    </w:p>
    <w:p w14:paraId="0F873277" w14:textId="77777777" w:rsidR="004819BE" w:rsidRDefault="004819BE" w:rsidP="004819BE">
      <w:pPr>
        <w:pStyle w:val="indexcopy"/>
      </w:pPr>
      <w:r>
        <w:t>health and safety of staff, 63</w:t>
      </w:r>
    </w:p>
    <w:p w14:paraId="50A7A96A" w14:textId="77777777" w:rsidR="004819BE" w:rsidRDefault="004819BE" w:rsidP="004819BE">
      <w:pPr>
        <w:pStyle w:val="indexcopy"/>
      </w:pPr>
      <w:r>
        <w:t>hospital acquired complications, 8, 93</w:t>
      </w:r>
    </w:p>
    <w:p w14:paraId="4B1B2B76" w14:textId="77777777" w:rsidR="004819BE" w:rsidRDefault="004819BE" w:rsidP="004819BE">
      <w:pPr>
        <w:pStyle w:val="indentindexcopy"/>
      </w:pPr>
      <w:r>
        <w:t>defined, 94</w:t>
      </w:r>
    </w:p>
    <w:p w14:paraId="6C5F338B" w14:textId="77777777" w:rsidR="004819BE" w:rsidRDefault="004819BE" w:rsidP="004819BE">
      <w:pPr>
        <w:pStyle w:val="indexcopy"/>
      </w:pPr>
      <w:r>
        <w:t>hospital activity classification systems, 41</w:t>
      </w:r>
    </w:p>
    <w:p w14:paraId="1B4947FF" w14:textId="77777777" w:rsidR="004819BE" w:rsidRDefault="004819BE" w:rsidP="004819BE">
      <w:pPr>
        <w:pStyle w:val="indexcopy"/>
      </w:pPr>
      <w:r>
        <w:t>hospital costing, 41, 47</w:t>
      </w:r>
    </w:p>
    <w:p w14:paraId="655BB5B6" w14:textId="77777777" w:rsidR="004819BE" w:rsidRDefault="004819BE" w:rsidP="004819BE">
      <w:pPr>
        <w:pStyle w:val="indexcopy"/>
      </w:pPr>
      <w:r>
        <w:t xml:space="preserve">human resources. </w:t>
      </w:r>
      <w:r w:rsidRPr="004819BE">
        <w:rPr>
          <w:i/>
          <w:iCs/>
        </w:rPr>
        <w:t>See</w:t>
      </w:r>
      <w:r>
        <w:t xml:space="preserve"> staff</w:t>
      </w:r>
    </w:p>
    <w:p w14:paraId="436278C5" w14:textId="37AA021F" w:rsidR="004819BE" w:rsidRDefault="008B06FE" w:rsidP="004819BE">
      <w:pPr>
        <w:pStyle w:val="H3"/>
      </w:pPr>
      <w:r>
        <w:br w:type="column"/>
      </w:r>
      <w:r w:rsidR="004819BE" w:rsidRPr="00DD236E">
        <w:rPr>
          <w:color w:val="1C1C1C"/>
        </w:rPr>
        <w:lastRenderedPageBreak/>
        <w:t>I</w:t>
      </w:r>
    </w:p>
    <w:p w14:paraId="33BFEECA" w14:textId="77777777" w:rsidR="004819BE" w:rsidRDefault="004819BE" w:rsidP="004819BE">
      <w:pPr>
        <w:pStyle w:val="indexcopy"/>
      </w:pPr>
      <w:r>
        <w:t>IHPA overview, 5–6</w:t>
      </w:r>
    </w:p>
    <w:p w14:paraId="65389153" w14:textId="77777777" w:rsidR="004819BE" w:rsidRDefault="004819BE" w:rsidP="006D500F">
      <w:pPr>
        <w:pStyle w:val="indentindexcopy"/>
      </w:pPr>
      <w:r>
        <w:t>2019–20 highlights, 29–30, 31</w:t>
      </w:r>
    </w:p>
    <w:p w14:paraId="462C041B" w14:textId="77777777" w:rsidR="004819BE" w:rsidRDefault="004819BE" w:rsidP="006D500F">
      <w:pPr>
        <w:pStyle w:val="indentindexcopy"/>
      </w:pPr>
      <w:r>
        <w:t>CEO’s review, 29–30</w:t>
      </w:r>
    </w:p>
    <w:p w14:paraId="21A64951" w14:textId="77777777" w:rsidR="004819BE" w:rsidRDefault="004819BE" w:rsidP="006D500F">
      <w:pPr>
        <w:pStyle w:val="indentindexcopy"/>
      </w:pPr>
      <w:r>
        <w:t>Chair’s welcome, 19–20</w:t>
      </w:r>
    </w:p>
    <w:p w14:paraId="0357632C" w14:textId="77777777" w:rsidR="004819BE" w:rsidRDefault="004819BE" w:rsidP="006D500F">
      <w:pPr>
        <w:pStyle w:val="indentindexcopy"/>
      </w:pPr>
      <w:r>
        <w:t>enabling legislation, 3–4</w:t>
      </w:r>
    </w:p>
    <w:p w14:paraId="4A84520B" w14:textId="77777777" w:rsidR="004819BE" w:rsidRDefault="004819BE" w:rsidP="006D500F">
      <w:pPr>
        <w:pStyle w:val="indentindexcopy"/>
      </w:pPr>
      <w:r>
        <w:t>financial statements, 69–89</w:t>
      </w:r>
    </w:p>
    <w:p w14:paraId="514C5FA3" w14:textId="77777777" w:rsidR="004819BE" w:rsidRDefault="004819BE" w:rsidP="006D500F">
      <w:pPr>
        <w:pStyle w:val="indentindexcopy"/>
      </w:pPr>
      <w:r>
        <w:t>goals, 20, 51, 73</w:t>
      </w:r>
    </w:p>
    <w:p w14:paraId="79FDE2C7" w14:textId="77777777" w:rsidR="004819BE" w:rsidRDefault="004819BE" w:rsidP="006D500F">
      <w:pPr>
        <w:pStyle w:val="indentindexcopy"/>
      </w:pPr>
      <w:r>
        <w:t>governance, 53–56</w:t>
      </w:r>
    </w:p>
    <w:p w14:paraId="1BF1E215" w14:textId="77777777" w:rsidR="004819BE" w:rsidRDefault="004819BE" w:rsidP="006D500F">
      <w:pPr>
        <w:pStyle w:val="indentindexcopy"/>
      </w:pPr>
      <w:r>
        <w:t>meetings, 27</w:t>
      </w:r>
    </w:p>
    <w:p w14:paraId="297B07C9" w14:textId="77777777" w:rsidR="004819BE" w:rsidRDefault="004819BE" w:rsidP="006D500F">
      <w:pPr>
        <w:pStyle w:val="indentindexcopy"/>
      </w:pPr>
      <w:r>
        <w:t>members, 22–26</w:t>
      </w:r>
    </w:p>
    <w:p w14:paraId="6FE680C9" w14:textId="77777777" w:rsidR="004819BE" w:rsidRDefault="004819BE" w:rsidP="006D500F">
      <w:pPr>
        <w:pStyle w:val="indentindexcopy"/>
      </w:pPr>
      <w:r>
        <w:t>organisational structure, 14</w:t>
      </w:r>
    </w:p>
    <w:p w14:paraId="78E785E5" w14:textId="77777777" w:rsidR="004819BE" w:rsidRDefault="004819BE" w:rsidP="006D500F">
      <w:pPr>
        <w:pStyle w:val="indentindexcopy"/>
      </w:pPr>
      <w:r>
        <w:t>organisational values, 5</w:t>
      </w:r>
    </w:p>
    <w:p w14:paraId="65088B2A" w14:textId="77777777" w:rsidR="004819BE" w:rsidRDefault="004819BE" w:rsidP="006D500F">
      <w:pPr>
        <w:pStyle w:val="indentindexcopy"/>
      </w:pPr>
      <w:r>
        <w:t>performance statements, 39–51</w:t>
      </w:r>
    </w:p>
    <w:p w14:paraId="13CFB688" w14:textId="77777777" w:rsidR="004819BE" w:rsidRDefault="004819BE" w:rsidP="006D500F">
      <w:pPr>
        <w:pStyle w:val="indentindexcopy"/>
      </w:pPr>
      <w:r>
        <w:t>purpose, 5, 40</w:t>
      </w:r>
    </w:p>
    <w:p w14:paraId="229A44F1" w14:textId="77777777" w:rsidR="004819BE" w:rsidRDefault="004819BE" w:rsidP="006D500F">
      <w:pPr>
        <w:pStyle w:val="indentindexcopy"/>
      </w:pPr>
      <w:r>
        <w:t>remuneration, 87</w:t>
      </w:r>
    </w:p>
    <w:p w14:paraId="13539A9C" w14:textId="77777777" w:rsidR="004819BE" w:rsidRDefault="004819BE" w:rsidP="006D500F">
      <w:pPr>
        <w:pStyle w:val="indentindexcopy"/>
      </w:pPr>
      <w:r>
        <w:t>roles and functions, 6, 43</w:t>
      </w:r>
    </w:p>
    <w:p w14:paraId="095F09F9" w14:textId="77777777" w:rsidR="004819BE" w:rsidRDefault="004819BE" w:rsidP="006D500F">
      <w:pPr>
        <w:pStyle w:val="indentindexcopy"/>
      </w:pPr>
      <w:r>
        <w:t>staff benefits, 76</w:t>
      </w:r>
    </w:p>
    <w:p w14:paraId="1E0E4AE2" w14:textId="77777777" w:rsidR="004819BE" w:rsidRDefault="004819BE" w:rsidP="006D500F">
      <w:pPr>
        <w:pStyle w:val="indentindexcopy"/>
      </w:pPr>
      <w:r>
        <w:t>stakeholders, 20, 30</w:t>
      </w:r>
    </w:p>
    <w:p w14:paraId="255B8723" w14:textId="77777777" w:rsidR="004819BE" w:rsidRDefault="004819BE" w:rsidP="006D500F">
      <w:pPr>
        <w:pStyle w:val="indentindexcopy"/>
      </w:pPr>
      <w:r>
        <w:t>vision statement, 5</w:t>
      </w:r>
    </w:p>
    <w:p w14:paraId="435C04AF" w14:textId="77777777" w:rsidR="004819BE" w:rsidRDefault="004819BE" w:rsidP="006D500F">
      <w:pPr>
        <w:pStyle w:val="indentindexcopy"/>
      </w:pPr>
      <w:r>
        <w:t>work program, 31, 50, 51</w:t>
      </w:r>
    </w:p>
    <w:p w14:paraId="3C2C858A" w14:textId="77777777" w:rsidR="004819BE" w:rsidRDefault="004819BE" w:rsidP="006D500F">
      <w:pPr>
        <w:pStyle w:val="indentindexcopy"/>
      </w:pPr>
      <w:r>
        <w:t>working groups and committees, 15–17</w:t>
      </w:r>
    </w:p>
    <w:p w14:paraId="130BE26A" w14:textId="77777777" w:rsidR="004819BE" w:rsidRDefault="004819BE" w:rsidP="004819BE">
      <w:pPr>
        <w:pStyle w:val="indexcopy"/>
      </w:pPr>
      <w:r>
        <w:t>inbox enquiries, 49, 50</w:t>
      </w:r>
    </w:p>
    <w:p w14:paraId="49F9C9D5" w14:textId="77777777" w:rsidR="004819BE" w:rsidRDefault="004819BE" w:rsidP="004819BE">
      <w:pPr>
        <w:pStyle w:val="indexcopy"/>
      </w:pPr>
      <w:r>
        <w:t>Individual Healthcare Identifiers, 42</w:t>
      </w:r>
    </w:p>
    <w:p w14:paraId="0EC0DB9B" w14:textId="77777777" w:rsidR="004819BE" w:rsidRDefault="004819BE" w:rsidP="004819BE">
      <w:pPr>
        <w:pStyle w:val="indexcopy"/>
      </w:pPr>
      <w:r>
        <w:t>inter-agency financial activity, 56</w:t>
      </w:r>
    </w:p>
    <w:p w14:paraId="17B57A04" w14:textId="77777777" w:rsidR="004819BE" w:rsidRDefault="004819BE" w:rsidP="004819BE">
      <w:pPr>
        <w:pStyle w:val="indexcopy"/>
      </w:pPr>
      <w:r>
        <w:t>internal audits, 53, 54</w:t>
      </w:r>
    </w:p>
    <w:p w14:paraId="2816A17A" w14:textId="77777777" w:rsidR="004819BE" w:rsidRDefault="004819BE" w:rsidP="004819BE">
      <w:pPr>
        <w:pStyle w:val="indexcopy"/>
      </w:pPr>
      <w:r>
        <w:t>International Statistical Classification of Diseases and Related Health Problems, Tenth Revision, Australian Modification, Australian Classification of Health Interventions, Australian Coding Standards (ICD-10-AM/ACHI/ACS), 31, 41, 45, 46</w:t>
      </w:r>
    </w:p>
    <w:p w14:paraId="2FD5CA4A" w14:textId="3BB1FD23" w:rsidR="00F63A53" w:rsidRDefault="004819BE" w:rsidP="004819BE">
      <w:pPr>
        <w:pStyle w:val="indexcopy"/>
        <w:rPr>
          <w:i/>
          <w:iCs/>
        </w:rPr>
      </w:pPr>
      <w:r>
        <w:t>internet home page,</w:t>
      </w:r>
      <w:r w:rsidRPr="002C64A4">
        <w:rPr>
          <w:i/>
          <w:iCs/>
        </w:rPr>
        <w:t xml:space="preserve"> inside front cover</w:t>
      </w:r>
    </w:p>
    <w:p w14:paraId="448CC97B" w14:textId="107598EE" w:rsidR="001129EE" w:rsidRDefault="008B06FE" w:rsidP="001129EE">
      <w:pPr>
        <w:pStyle w:val="H3"/>
      </w:pPr>
      <w:r>
        <w:br w:type="column"/>
      </w:r>
      <w:r w:rsidR="001129EE" w:rsidRPr="00DD236E">
        <w:rPr>
          <w:color w:val="1C1C1C"/>
        </w:rPr>
        <w:t>J</w:t>
      </w:r>
    </w:p>
    <w:p w14:paraId="681A3C70" w14:textId="77777777" w:rsidR="001129EE" w:rsidRDefault="001129EE" w:rsidP="001129EE">
      <w:pPr>
        <w:pStyle w:val="indexcopy"/>
      </w:pPr>
      <w:r>
        <w:t>Jurisdictional Advisory Committee, 15, 17</w:t>
      </w:r>
    </w:p>
    <w:p w14:paraId="518D7CD6" w14:textId="77777777" w:rsidR="001129EE" w:rsidRDefault="001129EE" w:rsidP="001129EE">
      <w:pPr>
        <w:pStyle w:val="indexcopy"/>
      </w:pPr>
      <w:r>
        <w:t>jurisdictional compliance, 47, 48</w:t>
      </w:r>
    </w:p>
    <w:p w14:paraId="28BC00FD" w14:textId="77777777" w:rsidR="001129EE" w:rsidRPr="00DD236E" w:rsidRDefault="001129EE" w:rsidP="001129EE">
      <w:pPr>
        <w:pStyle w:val="H3"/>
        <w:rPr>
          <w:color w:val="1C1C1C"/>
        </w:rPr>
      </w:pPr>
      <w:r w:rsidRPr="00DD236E">
        <w:rPr>
          <w:color w:val="1C1C1C"/>
        </w:rPr>
        <w:t>K</w:t>
      </w:r>
    </w:p>
    <w:p w14:paraId="4F7EB2F7" w14:textId="77777777" w:rsidR="001129EE" w:rsidRDefault="001129EE" w:rsidP="001129EE">
      <w:pPr>
        <w:pStyle w:val="indexcopy"/>
      </w:pPr>
      <w:r>
        <w:t>key management personnel, 60</w:t>
      </w:r>
    </w:p>
    <w:p w14:paraId="4AA48B64" w14:textId="77777777" w:rsidR="001129EE" w:rsidRDefault="001129EE" w:rsidP="001129EE">
      <w:pPr>
        <w:pStyle w:val="indentindexcopy"/>
      </w:pPr>
      <w:r>
        <w:t>remuneration, 87</w:t>
      </w:r>
    </w:p>
    <w:p w14:paraId="610EE0EE" w14:textId="77777777" w:rsidR="001129EE" w:rsidRPr="00DD236E" w:rsidRDefault="001129EE" w:rsidP="001129EE">
      <w:pPr>
        <w:pStyle w:val="H3"/>
        <w:rPr>
          <w:color w:val="1C1C1C"/>
        </w:rPr>
      </w:pPr>
      <w:r w:rsidRPr="00DD236E">
        <w:rPr>
          <w:color w:val="1C1C1C"/>
        </w:rPr>
        <w:t>L</w:t>
      </w:r>
    </w:p>
    <w:p w14:paraId="12D7EBCC" w14:textId="77777777" w:rsidR="001129EE" w:rsidRDefault="001129EE" w:rsidP="001129EE">
      <w:pPr>
        <w:pStyle w:val="indexcopy"/>
      </w:pPr>
      <w:r>
        <w:t>legislation, 3–4</w:t>
      </w:r>
    </w:p>
    <w:p w14:paraId="007DA2B7" w14:textId="77777777" w:rsidR="001129EE" w:rsidRDefault="001129EE" w:rsidP="001129EE">
      <w:pPr>
        <w:pStyle w:val="indexcopy"/>
      </w:pPr>
      <w:r>
        <w:t>letter of transmittal, i</w:t>
      </w:r>
    </w:p>
    <w:p w14:paraId="70072D61" w14:textId="77777777" w:rsidR="001129EE" w:rsidRPr="00DD236E" w:rsidRDefault="001129EE" w:rsidP="001129EE">
      <w:pPr>
        <w:pStyle w:val="H3"/>
        <w:rPr>
          <w:color w:val="1C1C1C"/>
        </w:rPr>
      </w:pPr>
      <w:r w:rsidRPr="00DD236E">
        <w:rPr>
          <w:color w:val="1C1C1C"/>
        </w:rPr>
        <w:t>M</w:t>
      </w:r>
    </w:p>
    <w:p w14:paraId="5E64D900" w14:textId="77777777" w:rsidR="001129EE" w:rsidRDefault="001129EE" w:rsidP="001129EE">
      <w:pPr>
        <w:pStyle w:val="indexcopy"/>
      </w:pPr>
      <w:r>
        <w:t>MacDonald, Alasdair, 33–34, 35</w:t>
      </w:r>
    </w:p>
    <w:p w14:paraId="5DE5AB17" w14:textId="77777777" w:rsidR="001129EE" w:rsidRDefault="001129EE" w:rsidP="001129EE">
      <w:pPr>
        <w:pStyle w:val="indexcopy"/>
      </w:pPr>
      <w:r>
        <w:t>management and accountability, 53–63</w:t>
      </w:r>
    </w:p>
    <w:p w14:paraId="4EE1863E" w14:textId="77777777" w:rsidR="001129EE" w:rsidRDefault="001129EE" w:rsidP="001129EE">
      <w:pPr>
        <w:pStyle w:val="indexcopy"/>
      </w:pPr>
      <w:r>
        <w:t>management committees, 16</w:t>
      </w:r>
    </w:p>
    <w:p w14:paraId="3CE7E026" w14:textId="77777777" w:rsidR="001129EE" w:rsidRDefault="001129EE" w:rsidP="001129EE">
      <w:pPr>
        <w:pStyle w:val="indexcopy"/>
      </w:pPr>
      <w:r>
        <w:t>meetings, 27</w:t>
      </w:r>
    </w:p>
    <w:p w14:paraId="268EF3AA" w14:textId="77777777" w:rsidR="001129EE" w:rsidRDefault="001129EE" w:rsidP="001129EE">
      <w:pPr>
        <w:pStyle w:val="indentindexcopy"/>
      </w:pPr>
      <w:r>
        <w:t>Audit, Risk and Compliance Committee, 55–56</w:t>
      </w:r>
    </w:p>
    <w:p w14:paraId="55267CC6" w14:textId="77777777" w:rsidR="001129EE" w:rsidRDefault="001129EE" w:rsidP="001129EE">
      <w:pPr>
        <w:pStyle w:val="indentindexcopy"/>
      </w:pPr>
      <w:r>
        <w:t>Clinical Advisory Committee, 36–37</w:t>
      </w:r>
    </w:p>
    <w:p w14:paraId="408DA4BA" w14:textId="77777777" w:rsidR="001129EE" w:rsidRDefault="001129EE" w:rsidP="001129EE">
      <w:pPr>
        <w:pStyle w:val="indexcopy"/>
      </w:pPr>
      <w:r>
        <w:t>mental health care classification, 30, 45</w:t>
      </w:r>
    </w:p>
    <w:p w14:paraId="14F54386" w14:textId="77777777" w:rsidR="001129EE" w:rsidRDefault="001129EE" w:rsidP="001129EE">
      <w:pPr>
        <w:pStyle w:val="indexcopy"/>
      </w:pPr>
      <w:r>
        <w:t>Mental Health Phase of Care Clinical Refinement project, 45</w:t>
      </w:r>
    </w:p>
    <w:p w14:paraId="202C17E4" w14:textId="77777777" w:rsidR="001129EE" w:rsidRDefault="001129EE" w:rsidP="001129EE">
      <w:pPr>
        <w:pStyle w:val="indexcopy"/>
      </w:pPr>
      <w:r>
        <w:t>Minister responsible, 9, 10, 17</w:t>
      </w:r>
    </w:p>
    <w:p w14:paraId="569D3FBF" w14:textId="77777777" w:rsidR="001129EE" w:rsidRDefault="001129EE" w:rsidP="001129EE">
      <w:pPr>
        <w:pStyle w:val="indexcopy"/>
      </w:pPr>
      <w:r>
        <w:t>Ministerial directions, 10</w:t>
      </w:r>
    </w:p>
    <w:p w14:paraId="3D6EB3B7" w14:textId="5F263FF7" w:rsidR="001129EE" w:rsidRDefault="008B06FE" w:rsidP="001129EE">
      <w:pPr>
        <w:pStyle w:val="H3"/>
      </w:pPr>
      <w:r>
        <w:br w:type="column"/>
      </w:r>
      <w:r w:rsidR="001129EE" w:rsidRPr="00DD236E">
        <w:rPr>
          <w:color w:val="1C1C1C"/>
        </w:rPr>
        <w:lastRenderedPageBreak/>
        <w:t>N</w:t>
      </w:r>
    </w:p>
    <w:p w14:paraId="5AF13B8F" w14:textId="77777777" w:rsidR="001129EE" w:rsidRDefault="001129EE" w:rsidP="001129EE">
      <w:pPr>
        <w:pStyle w:val="indexcopy"/>
      </w:pPr>
      <w:r>
        <w:t>National Benchmarking Portal, 42</w:t>
      </w:r>
    </w:p>
    <w:p w14:paraId="7386D31C" w14:textId="77777777" w:rsidR="001129EE" w:rsidRDefault="001129EE" w:rsidP="001129EE">
      <w:pPr>
        <w:pStyle w:val="indexcopy"/>
      </w:pPr>
      <w:r>
        <w:t>National Efficient Cost (NEC), 6, 13, 51</w:t>
      </w:r>
    </w:p>
    <w:p w14:paraId="165DC42C" w14:textId="77777777" w:rsidR="001129EE" w:rsidRDefault="001129EE" w:rsidP="001129EE">
      <w:pPr>
        <w:pStyle w:val="indentindexcopy"/>
      </w:pPr>
      <w:r>
        <w:t>defined, 94</w:t>
      </w:r>
    </w:p>
    <w:p w14:paraId="263B8E26" w14:textId="77777777" w:rsidR="001129EE" w:rsidRDefault="001129EE" w:rsidP="001129EE">
      <w:pPr>
        <w:pStyle w:val="indentindexcopy"/>
      </w:pPr>
      <w:r>
        <w:t>determinations, 11, 19, 31, 33, 41, 43, 44</w:t>
      </w:r>
    </w:p>
    <w:p w14:paraId="55C90A31" w14:textId="77777777" w:rsidR="001129EE" w:rsidRDefault="001129EE" w:rsidP="001129EE">
      <w:pPr>
        <w:pStyle w:val="indexcopy"/>
      </w:pPr>
      <w:r>
        <w:t>National Efficient Price (NEP), 6, 11, 47, 51</w:t>
      </w:r>
    </w:p>
    <w:p w14:paraId="1C98D118" w14:textId="77777777" w:rsidR="001129EE" w:rsidRDefault="001129EE" w:rsidP="001129EE">
      <w:pPr>
        <w:pStyle w:val="indentindexcopy"/>
      </w:pPr>
      <w:r>
        <w:t>defined, 94</w:t>
      </w:r>
    </w:p>
    <w:p w14:paraId="2D9A50A6" w14:textId="77777777" w:rsidR="001129EE" w:rsidRDefault="001129EE" w:rsidP="001129EE">
      <w:pPr>
        <w:pStyle w:val="indentindexcopy"/>
      </w:pPr>
      <w:r>
        <w:t>determinations, 11, 19, 31, 33, 41, 43, 44</w:t>
      </w:r>
    </w:p>
    <w:p w14:paraId="1414BC5C" w14:textId="77777777" w:rsidR="001129EE" w:rsidRDefault="001129EE" w:rsidP="001129EE">
      <w:pPr>
        <w:pStyle w:val="indexcopy"/>
      </w:pPr>
      <w:r>
        <w:t>National Health Funding Body, 53</w:t>
      </w:r>
    </w:p>
    <w:p w14:paraId="7A8AD6E8" w14:textId="77777777" w:rsidR="001129EE" w:rsidRDefault="001129EE" w:rsidP="001129EE">
      <w:pPr>
        <w:pStyle w:val="indexcopy"/>
      </w:pPr>
      <w:r>
        <w:t>National Health Funding Pool, 3, 11, 44, 51</w:t>
      </w:r>
    </w:p>
    <w:p w14:paraId="3B63790B" w14:textId="77777777" w:rsidR="001129EE" w:rsidRDefault="001129EE" w:rsidP="001129EE">
      <w:pPr>
        <w:pStyle w:val="indexcopy"/>
      </w:pPr>
      <w:r w:rsidRPr="001129EE">
        <w:rPr>
          <w:i/>
          <w:iCs/>
        </w:rPr>
        <w:t>National Health Reform Act 2011</w:t>
      </w:r>
      <w:r>
        <w:t>, 3, 5, 6, 14, 49, 50, 54, 73</w:t>
      </w:r>
    </w:p>
    <w:p w14:paraId="72277116" w14:textId="77777777" w:rsidR="001129EE" w:rsidRDefault="001129EE" w:rsidP="001129EE">
      <w:pPr>
        <w:pStyle w:val="indentindexcopy"/>
      </w:pPr>
      <w:r>
        <w:t>defined, 94</w:t>
      </w:r>
    </w:p>
    <w:p w14:paraId="6E2A4DE1" w14:textId="77777777" w:rsidR="001129EE" w:rsidRDefault="001129EE" w:rsidP="001129EE">
      <w:pPr>
        <w:pStyle w:val="indexcopy"/>
      </w:pPr>
      <w:r>
        <w:t>National Health Reform Agreement, 6, 11, 19</w:t>
      </w:r>
    </w:p>
    <w:p w14:paraId="67FA985D" w14:textId="77777777" w:rsidR="001129EE" w:rsidRDefault="001129EE" w:rsidP="00E85051">
      <w:pPr>
        <w:pStyle w:val="indentindexcopy"/>
      </w:pPr>
      <w:r>
        <w:t>defined, 94</w:t>
      </w:r>
    </w:p>
    <w:p w14:paraId="13B409B8" w14:textId="77777777" w:rsidR="001129EE" w:rsidRDefault="001129EE" w:rsidP="001129EE">
      <w:pPr>
        <w:pStyle w:val="indexcopy"/>
      </w:pPr>
      <w:r>
        <w:t>National Hospital Cost Data Collection, 12, 31, 47</w:t>
      </w:r>
    </w:p>
    <w:p w14:paraId="7CE59AD4" w14:textId="77777777" w:rsidR="001129EE" w:rsidRDefault="001129EE" w:rsidP="001129EE">
      <w:pPr>
        <w:pStyle w:val="indexcopy"/>
      </w:pPr>
      <w:r>
        <w:t>National Partnership on COVID-19 Response, 3, 19, 29, 30, 33, 44, 51</w:t>
      </w:r>
    </w:p>
    <w:p w14:paraId="0F719FB2" w14:textId="77777777" w:rsidR="001129EE" w:rsidRDefault="001129EE" w:rsidP="001129EE">
      <w:pPr>
        <w:pStyle w:val="indexcopy"/>
      </w:pPr>
      <w:r>
        <w:t>National Weighted Activity Units (NWAU), 21</w:t>
      </w:r>
    </w:p>
    <w:p w14:paraId="150819B4" w14:textId="77777777" w:rsidR="001129EE" w:rsidRDefault="001129EE" w:rsidP="00E85051">
      <w:pPr>
        <w:pStyle w:val="indentindexcopy"/>
      </w:pPr>
      <w:r>
        <w:t>defined, 95</w:t>
      </w:r>
    </w:p>
    <w:p w14:paraId="72CEBE0B" w14:textId="77777777" w:rsidR="001129EE" w:rsidRDefault="001129EE" w:rsidP="001129EE">
      <w:pPr>
        <w:pStyle w:val="indexcopy"/>
      </w:pPr>
      <w:r>
        <w:t>Nationally Funded Centres, 10</w:t>
      </w:r>
    </w:p>
    <w:p w14:paraId="005D99EC" w14:textId="77777777" w:rsidR="001129EE" w:rsidRDefault="001129EE" w:rsidP="001129EE">
      <w:pPr>
        <w:pStyle w:val="indexcopy"/>
      </w:pPr>
      <w:r>
        <w:t>new health technology assessments, 4, 19</w:t>
      </w:r>
    </w:p>
    <w:p w14:paraId="21E691D5" w14:textId="77777777" w:rsidR="001129EE" w:rsidRDefault="001129EE" w:rsidP="001129EE">
      <w:pPr>
        <w:pStyle w:val="indexcopy"/>
      </w:pPr>
      <w:r>
        <w:t>NHCDC Independent Financial Review, 47</w:t>
      </w:r>
    </w:p>
    <w:p w14:paraId="25755A78" w14:textId="77777777" w:rsidR="001129EE" w:rsidRDefault="001129EE" w:rsidP="001129EE">
      <w:pPr>
        <w:pStyle w:val="indexcopy"/>
      </w:pPr>
      <w:r>
        <w:t>non-acute patient classification, 30, 37, 45, 46</w:t>
      </w:r>
    </w:p>
    <w:p w14:paraId="221C7766" w14:textId="77777777" w:rsidR="001129EE" w:rsidRDefault="001129EE" w:rsidP="001129EE">
      <w:pPr>
        <w:pStyle w:val="indexcopy"/>
      </w:pPr>
      <w:r>
        <w:t>non-admitted care classification, 41, 45, 46</w:t>
      </w:r>
    </w:p>
    <w:p w14:paraId="391D5AAC" w14:textId="77777777" w:rsidR="001129EE" w:rsidRDefault="001129EE" w:rsidP="001129EE">
      <w:pPr>
        <w:pStyle w:val="indexcopy"/>
      </w:pPr>
      <w:r>
        <w:t>non-admitted mental health services, 13</w:t>
      </w:r>
    </w:p>
    <w:p w14:paraId="362C516D" w14:textId="77777777" w:rsidR="001129EE" w:rsidRDefault="001129EE" w:rsidP="001129EE">
      <w:pPr>
        <w:pStyle w:val="indexcopy"/>
      </w:pPr>
      <w:r>
        <w:t>non-ongoing employees, 57, 59</w:t>
      </w:r>
    </w:p>
    <w:p w14:paraId="3648FA96" w14:textId="6963709F" w:rsidR="001129EE" w:rsidRDefault="001129EE" w:rsidP="001129EE">
      <w:pPr>
        <w:pStyle w:val="indexcopy"/>
      </w:pPr>
      <w:r>
        <w:t>notifiable incidents, 63</w:t>
      </w:r>
    </w:p>
    <w:p w14:paraId="5A061B42" w14:textId="5970DE78" w:rsidR="00F124A4" w:rsidRDefault="008B06FE" w:rsidP="00F124A4">
      <w:pPr>
        <w:pStyle w:val="H3"/>
      </w:pPr>
      <w:r>
        <w:br w:type="column"/>
      </w:r>
      <w:r w:rsidR="00F124A4" w:rsidRPr="00DD236E">
        <w:rPr>
          <w:color w:val="1C1C1C"/>
        </w:rPr>
        <w:t>O</w:t>
      </w:r>
    </w:p>
    <w:p w14:paraId="3750961C" w14:textId="77777777" w:rsidR="00F124A4" w:rsidRDefault="00F124A4" w:rsidP="00F124A4">
      <w:pPr>
        <w:pStyle w:val="indexcopy"/>
      </w:pPr>
      <w:r>
        <w:t>objectives, 40, 73</w:t>
      </w:r>
    </w:p>
    <w:p w14:paraId="299B6F90" w14:textId="77777777" w:rsidR="00F124A4" w:rsidRDefault="00F124A4" w:rsidP="00F124A4">
      <w:pPr>
        <w:pStyle w:val="indexcopy"/>
      </w:pPr>
      <w:r>
        <w:t xml:space="preserve">occupational health and safety. </w:t>
      </w:r>
      <w:r w:rsidRPr="00F124A4">
        <w:rPr>
          <w:i/>
          <w:iCs/>
        </w:rPr>
        <w:t>See</w:t>
      </w:r>
      <w:r>
        <w:t xml:space="preserve"> work health and safety</w:t>
      </w:r>
    </w:p>
    <w:p w14:paraId="4B13B46A" w14:textId="77777777" w:rsidR="00F124A4" w:rsidRDefault="00F124A4" w:rsidP="00F124A4">
      <w:pPr>
        <w:pStyle w:val="indexcopy"/>
      </w:pPr>
      <w:r>
        <w:t>office location, 14</w:t>
      </w:r>
    </w:p>
    <w:p w14:paraId="4DFD1CD3" w14:textId="77777777" w:rsidR="00F124A4" w:rsidRDefault="00F124A4" w:rsidP="00F124A4">
      <w:pPr>
        <w:pStyle w:val="indexcopy"/>
      </w:pPr>
      <w:r>
        <w:t>ongoing employees, 57, 58</w:t>
      </w:r>
    </w:p>
    <w:p w14:paraId="0247AE16" w14:textId="77777777" w:rsidR="00F124A4" w:rsidRDefault="00F124A4" w:rsidP="00F124A4">
      <w:pPr>
        <w:pStyle w:val="indexcopy"/>
      </w:pPr>
      <w:r>
        <w:t>organisational structure, 14</w:t>
      </w:r>
    </w:p>
    <w:p w14:paraId="12EE36E5" w14:textId="77777777" w:rsidR="00F124A4" w:rsidRDefault="00F124A4" w:rsidP="00F124A4">
      <w:pPr>
        <w:pStyle w:val="indexcopy"/>
      </w:pPr>
      <w:r>
        <w:t>organisational values, 5</w:t>
      </w:r>
    </w:p>
    <w:p w14:paraId="57BCABCF" w14:textId="77777777" w:rsidR="00F124A4" w:rsidRDefault="00F124A4" w:rsidP="00F124A4">
      <w:pPr>
        <w:pStyle w:val="indexcopy"/>
      </w:pPr>
      <w:r>
        <w:t>outcomes, 29–30</w:t>
      </w:r>
    </w:p>
    <w:p w14:paraId="7C181304" w14:textId="77777777" w:rsidR="00F124A4" w:rsidRDefault="00F124A4" w:rsidP="00F124A4">
      <w:pPr>
        <w:pStyle w:val="indexcopy"/>
      </w:pPr>
      <w:r>
        <w:t>outlook, 30</w:t>
      </w:r>
    </w:p>
    <w:p w14:paraId="429E7318" w14:textId="77777777" w:rsidR="00F124A4" w:rsidRDefault="00F124A4" w:rsidP="00F124A4">
      <w:pPr>
        <w:pStyle w:val="indexcopy"/>
      </w:pPr>
      <w:r>
        <w:t>overview, 73–75</w:t>
      </w:r>
    </w:p>
    <w:p w14:paraId="76D87A4F" w14:textId="77777777" w:rsidR="00F124A4" w:rsidRPr="00DD236E" w:rsidRDefault="00F124A4" w:rsidP="00F124A4">
      <w:pPr>
        <w:pStyle w:val="H3"/>
        <w:rPr>
          <w:color w:val="1C1C1C"/>
        </w:rPr>
      </w:pPr>
      <w:r w:rsidRPr="00DD236E">
        <w:rPr>
          <w:color w:val="1C1C1C"/>
        </w:rPr>
        <w:t>P</w:t>
      </w:r>
    </w:p>
    <w:p w14:paraId="69D91DF6" w14:textId="77777777" w:rsidR="00F124A4" w:rsidRDefault="00F124A4" w:rsidP="00F124A4">
      <w:pPr>
        <w:pStyle w:val="indexcopy"/>
      </w:pPr>
      <w:r>
        <w:t xml:space="preserve">pandemic response. </w:t>
      </w:r>
      <w:r w:rsidRPr="00F124A4">
        <w:rPr>
          <w:i/>
          <w:iCs/>
        </w:rPr>
        <w:t>See</w:t>
      </w:r>
      <w:r>
        <w:t xml:space="preserve"> COVID-19</w:t>
      </w:r>
    </w:p>
    <w:p w14:paraId="495F4A8C" w14:textId="77777777" w:rsidR="00F124A4" w:rsidRDefault="00F124A4" w:rsidP="00F124A4">
      <w:pPr>
        <w:pStyle w:val="indexcopy"/>
      </w:pPr>
      <w:r>
        <w:t>part-time staff, 58, 59</w:t>
      </w:r>
    </w:p>
    <w:p w14:paraId="67BBB114" w14:textId="77777777" w:rsidR="00F124A4" w:rsidRDefault="00F124A4" w:rsidP="00F124A4">
      <w:pPr>
        <w:pStyle w:val="indexcopy"/>
      </w:pPr>
      <w:r>
        <w:t>patient classification, 30, 37, 46, 93</w:t>
      </w:r>
    </w:p>
    <w:p w14:paraId="26852C67" w14:textId="77777777" w:rsidR="00F124A4" w:rsidRDefault="00F124A4" w:rsidP="00F124A4">
      <w:pPr>
        <w:pStyle w:val="indexcopy"/>
      </w:pPr>
      <w:r>
        <w:t>people and relationships, 86–87</w:t>
      </w:r>
    </w:p>
    <w:p w14:paraId="5E05209E" w14:textId="77777777" w:rsidR="00F124A4" w:rsidRDefault="00F124A4" w:rsidP="00F124A4">
      <w:pPr>
        <w:pStyle w:val="indexcopy"/>
      </w:pPr>
      <w:r>
        <w:t xml:space="preserve">performance statements. </w:t>
      </w:r>
      <w:r w:rsidRPr="00F124A4">
        <w:rPr>
          <w:i/>
          <w:iCs/>
        </w:rPr>
        <w:t>See</w:t>
      </w:r>
      <w:r>
        <w:t xml:space="preserve"> annual performance statements</w:t>
      </w:r>
    </w:p>
    <w:p w14:paraId="05C125E5" w14:textId="77777777" w:rsidR="00F124A4" w:rsidRDefault="00F124A4" w:rsidP="00F124A4">
      <w:pPr>
        <w:pStyle w:val="indexcopy"/>
      </w:pPr>
      <w:r>
        <w:t xml:space="preserve">personnel. </w:t>
      </w:r>
      <w:r w:rsidRPr="00F124A4">
        <w:rPr>
          <w:i/>
          <w:iCs/>
        </w:rPr>
        <w:t>See</w:t>
      </w:r>
      <w:r>
        <w:t xml:space="preserve"> staff</w:t>
      </w:r>
    </w:p>
    <w:p w14:paraId="5DD76329" w14:textId="77777777" w:rsidR="00F124A4" w:rsidRDefault="00F124A4" w:rsidP="00F124A4">
      <w:pPr>
        <w:pStyle w:val="indexcopy"/>
      </w:pPr>
      <w:r>
        <w:t>plans and planning, 30, 46, 48, 51</w:t>
      </w:r>
    </w:p>
    <w:p w14:paraId="2B03F2BD" w14:textId="77777777" w:rsidR="00F124A4" w:rsidRDefault="00F124A4" w:rsidP="00F124A4">
      <w:pPr>
        <w:pStyle w:val="indentindexcopy"/>
      </w:pPr>
      <w:r>
        <w:t>biennial conferences, 50</w:t>
      </w:r>
    </w:p>
    <w:p w14:paraId="51840424" w14:textId="77777777" w:rsidR="00F124A4" w:rsidRDefault="00F124A4" w:rsidP="00F124A4">
      <w:pPr>
        <w:pStyle w:val="indexcopy"/>
      </w:pPr>
      <w:r>
        <w:t>Portfolio Budget Statements, performance against objectives, 41–42</w:t>
      </w:r>
    </w:p>
    <w:p w14:paraId="509FBDDB" w14:textId="77777777" w:rsidR="00F124A4" w:rsidRDefault="00F124A4" w:rsidP="00F124A4">
      <w:pPr>
        <w:pStyle w:val="indexcopy"/>
      </w:pPr>
      <w:r>
        <w:t>pricing and funding for public hospitals, 4, 7–8, 11–13, 43</w:t>
      </w:r>
    </w:p>
    <w:p w14:paraId="1B43602A" w14:textId="77777777" w:rsidR="00F124A4" w:rsidRDefault="00F124A4" w:rsidP="00F124A4">
      <w:pPr>
        <w:pStyle w:val="indentindexcopy"/>
      </w:pPr>
      <w:r>
        <w:t>Clinical Advisory Committee input into, 17, 35</w:t>
      </w:r>
    </w:p>
    <w:p w14:paraId="02CCEA6D" w14:textId="77777777" w:rsidR="00F124A4" w:rsidRDefault="00F124A4" w:rsidP="00F124A4">
      <w:pPr>
        <w:pStyle w:val="indentindexcopy"/>
      </w:pPr>
      <w:r>
        <w:t>IHPA pricing functions, 41</w:t>
      </w:r>
    </w:p>
    <w:p w14:paraId="0A4A0FCC" w14:textId="77777777" w:rsidR="00F124A4" w:rsidRDefault="00F124A4" w:rsidP="00F124A4">
      <w:pPr>
        <w:pStyle w:val="indentindexcopy"/>
      </w:pPr>
      <w:r>
        <w:t>slowdown in costs, 21</w:t>
      </w:r>
    </w:p>
    <w:p w14:paraId="564CC16E" w14:textId="77777777" w:rsidR="00F124A4" w:rsidRDefault="00F124A4" w:rsidP="00F124A4">
      <w:pPr>
        <w:pStyle w:val="indentindexcopy"/>
      </w:pPr>
      <w:r w:rsidRPr="00F124A4">
        <w:rPr>
          <w:i/>
          <w:iCs/>
        </w:rPr>
        <w:t>See also</w:t>
      </w:r>
      <w:r>
        <w:t xml:space="preserve"> Activity Based Funding (ABF); National Efficient Cost (NEC); National Efficient Price (NEP)</w:t>
      </w:r>
    </w:p>
    <w:p w14:paraId="59A56BE5" w14:textId="77777777" w:rsidR="00F124A4" w:rsidRDefault="00F124A4" w:rsidP="00F124A4">
      <w:pPr>
        <w:pStyle w:val="indexcopy"/>
      </w:pPr>
      <w:r>
        <w:t>Pricing Framework for Australian Public Hospital Services 2019–20, 33, 41, 43, 44</w:t>
      </w:r>
    </w:p>
    <w:p w14:paraId="3A292408" w14:textId="77777777" w:rsidR="00F124A4" w:rsidRDefault="00F124A4" w:rsidP="00F124A4">
      <w:pPr>
        <w:pStyle w:val="indexcopy"/>
      </w:pPr>
      <w:r>
        <w:t>Pricing Framework for Australian Public Hospital Services 2020–21, 31, 50</w:t>
      </w:r>
    </w:p>
    <w:p w14:paraId="575819B3" w14:textId="77777777" w:rsidR="00F124A4" w:rsidRDefault="00F124A4" w:rsidP="00F124A4">
      <w:pPr>
        <w:pStyle w:val="indexcopy"/>
      </w:pPr>
      <w:r>
        <w:t>pricing models, 12</w:t>
      </w:r>
    </w:p>
    <w:p w14:paraId="69DEDD37" w14:textId="77777777" w:rsidR="00F124A4" w:rsidRDefault="00F124A4" w:rsidP="00F124A4">
      <w:pPr>
        <w:pStyle w:val="indexcopy"/>
      </w:pPr>
      <w:r>
        <w:lastRenderedPageBreak/>
        <w:t>Private Hospital Cost Report, Round 22, 31</w:t>
      </w:r>
    </w:p>
    <w:p w14:paraId="25D9641E" w14:textId="77777777" w:rsidR="00F124A4" w:rsidRDefault="00F124A4" w:rsidP="00F124A4">
      <w:pPr>
        <w:pStyle w:val="indexcopy"/>
      </w:pPr>
      <w:r>
        <w:t>private patients in public hospitals, 4, 19</w:t>
      </w:r>
    </w:p>
    <w:p w14:paraId="1FE2A446" w14:textId="77777777" w:rsidR="00F124A4" w:rsidRDefault="00F124A4" w:rsidP="00F124A4">
      <w:pPr>
        <w:pStyle w:val="indexcopy"/>
      </w:pPr>
      <w:r>
        <w:t>Protective Security Policy Framework (PSPF), 54</w:t>
      </w:r>
    </w:p>
    <w:p w14:paraId="54C4CEF2" w14:textId="77777777" w:rsidR="00F124A4" w:rsidRDefault="00F124A4" w:rsidP="00F124A4">
      <w:pPr>
        <w:pStyle w:val="indentindexcopy"/>
      </w:pPr>
      <w:r>
        <w:t>defined, 95</w:t>
      </w:r>
    </w:p>
    <w:p w14:paraId="1D43F8A0" w14:textId="77777777" w:rsidR="00F124A4" w:rsidRDefault="00F124A4" w:rsidP="00F124A4">
      <w:pPr>
        <w:pStyle w:val="indexcopy"/>
      </w:pPr>
      <w:r>
        <w:t>public consultations, 50</w:t>
      </w:r>
    </w:p>
    <w:p w14:paraId="53A5DC61" w14:textId="77777777" w:rsidR="00F124A4" w:rsidRDefault="00F124A4" w:rsidP="00F124A4">
      <w:pPr>
        <w:pStyle w:val="indexcopy"/>
      </w:pPr>
      <w:r w:rsidRPr="00F124A4">
        <w:rPr>
          <w:i/>
          <w:iCs/>
        </w:rPr>
        <w:t>Public Governance, Performance and Accountability Act 2013</w:t>
      </w:r>
      <w:r>
        <w:t>, 1, 3, 14, 39, 54, 73</w:t>
      </w:r>
    </w:p>
    <w:p w14:paraId="1D044F4E" w14:textId="77777777" w:rsidR="00F124A4" w:rsidRDefault="00F124A4" w:rsidP="00F124A4">
      <w:pPr>
        <w:pStyle w:val="indentindexcopy"/>
      </w:pPr>
      <w:r>
        <w:t>defined, 95</w:t>
      </w:r>
    </w:p>
    <w:p w14:paraId="4963238D" w14:textId="77777777" w:rsidR="00F124A4" w:rsidRDefault="00F124A4" w:rsidP="00F124A4">
      <w:pPr>
        <w:pStyle w:val="indexcopy"/>
      </w:pPr>
      <w:r>
        <w:t>Public Governance Performance and Accountability Rule 2014, 1</w:t>
      </w:r>
    </w:p>
    <w:p w14:paraId="7B57A53F" w14:textId="77777777" w:rsidR="00F124A4" w:rsidRDefault="00F124A4" w:rsidP="00F124A4">
      <w:pPr>
        <w:pStyle w:val="indexcopy"/>
      </w:pPr>
      <w:r>
        <w:t>Public Hospital Cost Report, Round 22, 31</w:t>
      </w:r>
    </w:p>
    <w:p w14:paraId="6C6B5799" w14:textId="77777777" w:rsidR="00F124A4" w:rsidRDefault="00F124A4" w:rsidP="00F124A4">
      <w:pPr>
        <w:pStyle w:val="indexcopy"/>
      </w:pPr>
      <w:r>
        <w:t>public hospital services, 5, 6, 19, 20</w:t>
      </w:r>
    </w:p>
    <w:p w14:paraId="6D0C7035" w14:textId="77777777" w:rsidR="00F124A4" w:rsidRDefault="00F124A4" w:rsidP="00F124A4">
      <w:pPr>
        <w:pStyle w:val="indentindexcopy"/>
      </w:pPr>
      <w:r>
        <w:t>pricing for, 11–13</w:t>
      </w:r>
    </w:p>
    <w:p w14:paraId="11398330" w14:textId="77777777" w:rsidR="00F124A4" w:rsidRDefault="00F124A4" w:rsidP="00F124A4">
      <w:pPr>
        <w:pStyle w:val="indexcopy"/>
      </w:pPr>
      <w:r>
        <w:t>public services funding, 43, 44</w:t>
      </w:r>
    </w:p>
    <w:p w14:paraId="666A8B7F" w14:textId="77777777" w:rsidR="00F124A4" w:rsidRDefault="00F124A4" w:rsidP="00F124A4">
      <w:pPr>
        <w:pStyle w:val="indexcopy"/>
      </w:pPr>
      <w:r>
        <w:t>purpose statement, 5</w:t>
      </w:r>
    </w:p>
    <w:p w14:paraId="7BB7A2DB" w14:textId="77777777" w:rsidR="00F124A4" w:rsidRPr="00DD236E" w:rsidRDefault="00F124A4" w:rsidP="00F124A4">
      <w:pPr>
        <w:pStyle w:val="H3"/>
        <w:rPr>
          <w:color w:val="1C1C1C"/>
        </w:rPr>
      </w:pPr>
      <w:r w:rsidRPr="00DD236E">
        <w:rPr>
          <w:color w:val="1C1C1C"/>
        </w:rPr>
        <w:t>R</w:t>
      </w:r>
    </w:p>
    <w:p w14:paraId="4EEFA158" w14:textId="77777777" w:rsidR="00F124A4" w:rsidRDefault="00F124A4" w:rsidP="00F124A4">
      <w:pPr>
        <w:pStyle w:val="indexcopy"/>
      </w:pPr>
      <w:r>
        <w:t xml:space="preserve">readmissions. </w:t>
      </w:r>
      <w:r w:rsidRPr="00F124A4">
        <w:rPr>
          <w:i/>
          <w:iCs/>
        </w:rPr>
        <w:t>See</w:t>
      </w:r>
      <w:r>
        <w:t xml:space="preserve"> avoidable hospital readmissions</w:t>
      </w:r>
    </w:p>
    <w:p w14:paraId="5A0D9B7D" w14:textId="77777777" w:rsidR="00F124A4" w:rsidRDefault="00F124A4" w:rsidP="00F124A4">
      <w:pPr>
        <w:pStyle w:val="indexcopy"/>
      </w:pPr>
      <w:r>
        <w:t>reforms, 29–30, 44</w:t>
      </w:r>
    </w:p>
    <w:p w14:paraId="5712E12D" w14:textId="77777777" w:rsidR="00F124A4" w:rsidRDefault="00F124A4" w:rsidP="00F124A4">
      <w:pPr>
        <w:pStyle w:val="indexcopy"/>
      </w:pPr>
      <w:r>
        <w:t>remuneration, 60, 76</w:t>
      </w:r>
    </w:p>
    <w:p w14:paraId="0A55623A" w14:textId="77777777" w:rsidR="00F124A4" w:rsidRDefault="00F124A4" w:rsidP="00F124A4">
      <w:pPr>
        <w:pStyle w:val="indentindexcopy"/>
      </w:pPr>
      <w:r>
        <w:t>key management personnel, 87</w:t>
      </w:r>
    </w:p>
    <w:p w14:paraId="08A60D9C" w14:textId="77777777" w:rsidR="00F124A4" w:rsidRDefault="00F124A4" w:rsidP="00F124A4">
      <w:pPr>
        <w:pStyle w:val="indexcopy"/>
      </w:pPr>
      <w:r>
        <w:t>reporting, 48</w:t>
      </w:r>
    </w:p>
    <w:p w14:paraId="6564D889" w14:textId="77777777" w:rsidR="00F124A4" w:rsidRDefault="00F124A4" w:rsidP="00F124A4">
      <w:pPr>
        <w:pStyle w:val="indentindexcopy"/>
      </w:pPr>
      <w:r>
        <w:t>Clinical Advisory Committee, 17</w:t>
      </w:r>
    </w:p>
    <w:p w14:paraId="68D3E8D1" w14:textId="77777777" w:rsidR="00F124A4" w:rsidRDefault="00F124A4" w:rsidP="00F124A4">
      <w:pPr>
        <w:pStyle w:val="indentindexcopy"/>
      </w:pPr>
      <w:r>
        <w:t>data compliance, 48</w:t>
      </w:r>
    </w:p>
    <w:p w14:paraId="24978D18" w14:textId="77777777" w:rsidR="00F124A4" w:rsidRDefault="00F124A4" w:rsidP="00F124A4">
      <w:pPr>
        <w:pStyle w:val="indentindexcopy"/>
      </w:pPr>
      <w:r>
        <w:t>National Hospital Cost Data Collection, 31, 47</w:t>
      </w:r>
    </w:p>
    <w:p w14:paraId="650C8C29" w14:textId="77777777" w:rsidR="00F124A4" w:rsidRDefault="00F124A4" w:rsidP="00F124A4">
      <w:pPr>
        <w:pStyle w:val="indentindexcopy"/>
      </w:pPr>
      <w:r>
        <w:t>requirements, 1, 66</w:t>
      </w:r>
    </w:p>
    <w:p w14:paraId="2D69F4CF" w14:textId="77777777" w:rsidR="00F124A4" w:rsidRDefault="00F124A4" w:rsidP="00F124A4">
      <w:pPr>
        <w:pStyle w:val="indexcopy"/>
      </w:pPr>
      <w:r>
        <w:t>response rate to enquiries, 49, 50</w:t>
      </w:r>
    </w:p>
    <w:p w14:paraId="54E182F6" w14:textId="77777777" w:rsidR="00F124A4" w:rsidRDefault="00F124A4" w:rsidP="00F124A4">
      <w:pPr>
        <w:pStyle w:val="indexcopy"/>
      </w:pPr>
      <w:r>
        <w:t>review of acute care classifications, 44</w:t>
      </w:r>
    </w:p>
    <w:p w14:paraId="6A6A086F" w14:textId="77777777" w:rsidR="00F124A4" w:rsidRDefault="00F124A4" w:rsidP="00F124A4">
      <w:pPr>
        <w:pStyle w:val="indexcopy"/>
      </w:pPr>
      <w:r>
        <w:t>reviews, 51</w:t>
      </w:r>
    </w:p>
    <w:p w14:paraId="00D267D7" w14:textId="77777777" w:rsidR="00F124A4" w:rsidRDefault="00F124A4" w:rsidP="00F124A4">
      <w:pPr>
        <w:pStyle w:val="indexcopy"/>
      </w:pPr>
      <w:r>
        <w:t>Richter, Jenny, 20, 25–26, 30</w:t>
      </w:r>
    </w:p>
    <w:p w14:paraId="22E64A98" w14:textId="77777777" w:rsidR="00F124A4" w:rsidRDefault="00F124A4" w:rsidP="00F124A4">
      <w:pPr>
        <w:pStyle w:val="indexcopy"/>
      </w:pPr>
      <w:r>
        <w:t>risk adjustment modelling, 51</w:t>
      </w:r>
    </w:p>
    <w:p w14:paraId="77C8787E" w14:textId="77777777" w:rsidR="00F124A4" w:rsidRDefault="00F124A4" w:rsidP="00F124A4">
      <w:pPr>
        <w:pStyle w:val="indexcopy"/>
      </w:pPr>
      <w:r>
        <w:t>risk management, 53, 88</w:t>
      </w:r>
    </w:p>
    <w:p w14:paraId="60C365DB" w14:textId="77777777" w:rsidR="00F124A4" w:rsidRDefault="00F124A4" w:rsidP="00F124A4">
      <w:pPr>
        <w:pStyle w:val="indexcopy"/>
      </w:pPr>
      <w:r>
        <w:t>roles and functions, 6</w:t>
      </w:r>
    </w:p>
    <w:p w14:paraId="26E46732" w14:textId="0FEB6800" w:rsidR="00F124A4" w:rsidRDefault="00F124A4" w:rsidP="00F124A4">
      <w:pPr>
        <w:pStyle w:val="indexcopy"/>
      </w:pPr>
      <w:r>
        <w:t>rural hospitals, 13, 41</w:t>
      </w:r>
    </w:p>
    <w:p w14:paraId="4A3E711F" w14:textId="5A13761D" w:rsidR="000F39D3" w:rsidRDefault="008B06FE" w:rsidP="000F39D3">
      <w:pPr>
        <w:pStyle w:val="H3"/>
      </w:pPr>
      <w:r>
        <w:br w:type="column"/>
      </w:r>
      <w:r w:rsidR="000F39D3" w:rsidRPr="00DD236E">
        <w:rPr>
          <w:color w:val="1C1C1C"/>
        </w:rPr>
        <w:t>S</w:t>
      </w:r>
    </w:p>
    <w:p w14:paraId="58868E46" w14:textId="77777777" w:rsidR="000F39D3" w:rsidRDefault="000F39D3" w:rsidP="000F39D3">
      <w:pPr>
        <w:pStyle w:val="indexcopy"/>
      </w:pPr>
      <w:r>
        <w:t>safety and quality, 29, 51</w:t>
      </w:r>
    </w:p>
    <w:p w14:paraId="3D0CEF5E" w14:textId="77777777" w:rsidR="000F39D3" w:rsidRDefault="000F39D3" w:rsidP="000F39D3">
      <w:pPr>
        <w:pStyle w:val="indexcopy"/>
      </w:pPr>
      <w:r>
        <w:t>Secured Data Management System, 42</w:t>
      </w:r>
    </w:p>
    <w:p w14:paraId="3447BE1E" w14:textId="77777777" w:rsidR="000F39D3" w:rsidRDefault="000F39D3" w:rsidP="000F39D3">
      <w:pPr>
        <w:pStyle w:val="indexcopy"/>
      </w:pPr>
      <w:r>
        <w:t>sentinel events, 8</w:t>
      </w:r>
    </w:p>
    <w:p w14:paraId="3F555DFD" w14:textId="77777777" w:rsidR="000F39D3" w:rsidRDefault="000F39D3" w:rsidP="000F39D3">
      <w:pPr>
        <w:pStyle w:val="indentindexcopy"/>
      </w:pPr>
      <w:r>
        <w:t>defined, 95</w:t>
      </w:r>
    </w:p>
    <w:p w14:paraId="49038BA0" w14:textId="77777777" w:rsidR="000F39D3" w:rsidRDefault="000F39D3" w:rsidP="000F39D3">
      <w:pPr>
        <w:pStyle w:val="indexcopy"/>
      </w:pPr>
      <w:r>
        <w:t>shadow period, 8, 51</w:t>
      </w:r>
    </w:p>
    <w:p w14:paraId="2810555D" w14:textId="77777777" w:rsidR="000F39D3" w:rsidRDefault="000F39D3" w:rsidP="000F39D3">
      <w:pPr>
        <w:pStyle w:val="indexcopy"/>
      </w:pPr>
      <w:r>
        <w:t>shadow pricing, 4, 45</w:t>
      </w:r>
    </w:p>
    <w:p w14:paraId="15A79B44" w14:textId="77777777" w:rsidR="000F39D3" w:rsidRDefault="000F39D3" w:rsidP="000F39D3">
      <w:pPr>
        <w:pStyle w:val="indentindexcopy"/>
      </w:pPr>
      <w:r>
        <w:t>defined, 95</w:t>
      </w:r>
    </w:p>
    <w:p w14:paraId="59FC484F" w14:textId="77777777" w:rsidR="000F39D3" w:rsidRDefault="000F39D3" w:rsidP="000F39D3">
      <w:pPr>
        <w:pStyle w:val="indexcopy"/>
      </w:pPr>
      <w:r>
        <w:t xml:space="preserve">social media, </w:t>
      </w:r>
      <w:r w:rsidRPr="000F39D3">
        <w:rPr>
          <w:i/>
          <w:iCs/>
        </w:rPr>
        <w:t>inside front cover</w:t>
      </w:r>
    </w:p>
    <w:p w14:paraId="3E6ED8EA" w14:textId="77777777" w:rsidR="000F39D3" w:rsidRDefault="000F39D3" w:rsidP="000F39D3">
      <w:pPr>
        <w:pStyle w:val="indexcopy"/>
      </w:pPr>
      <w:r>
        <w:t>Solomon, Shane, 24</w:t>
      </w:r>
    </w:p>
    <w:p w14:paraId="3D845729" w14:textId="77777777" w:rsidR="000F39D3" w:rsidRDefault="000F39D3" w:rsidP="00405B7F">
      <w:pPr>
        <w:pStyle w:val="indentindexcopy"/>
      </w:pPr>
      <w:r>
        <w:t>Chair’s welcome, 19–20</w:t>
      </w:r>
    </w:p>
    <w:p w14:paraId="191084AE" w14:textId="77777777" w:rsidR="000F39D3" w:rsidRDefault="000F39D3" w:rsidP="000F39D3">
      <w:pPr>
        <w:pStyle w:val="indexcopy"/>
      </w:pPr>
      <w:r>
        <w:t>staff, 57–63</w:t>
      </w:r>
    </w:p>
    <w:p w14:paraId="29BED750" w14:textId="77777777" w:rsidR="000F39D3" w:rsidRDefault="000F39D3" w:rsidP="00405B7F">
      <w:pPr>
        <w:pStyle w:val="indentindexcopy"/>
      </w:pPr>
      <w:r>
        <w:t>benefits, 76</w:t>
      </w:r>
    </w:p>
    <w:p w14:paraId="1956D236" w14:textId="77777777" w:rsidR="000F39D3" w:rsidRDefault="000F39D3" w:rsidP="00405B7F">
      <w:pPr>
        <w:pStyle w:val="indentindexcopy"/>
      </w:pPr>
      <w:r>
        <w:t>commendations, 20, 30</w:t>
      </w:r>
    </w:p>
    <w:p w14:paraId="32CB134C" w14:textId="77777777" w:rsidR="000F39D3" w:rsidRDefault="000F39D3" w:rsidP="00405B7F">
      <w:pPr>
        <w:pStyle w:val="indentindexcopy"/>
      </w:pPr>
      <w:r>
        <w:t>development, 61</w:t>
      </w:r>
    </w:p>
    <w:p w14:paraId="33B00E7F" w14:textId="77777777" w:rsidR="000F39D3" w:rsidRDefault="000F39D3" w:rsidP="00405B7F">
      <w:pPr>
        <w:pStyle w:val="indentindexcopy"/>
      </w:pPr>
      <w:r>
        <w:t>diversity, 57</w:t>
      </w:r>
    </w:p>
    <w:p w14:paraId="0428E758" w14:textId="77777777" w:rsidR="000F39D3" w:rsidRDefault="000F39D3" w:rsidP="00405B7F">
      <w:pPr>
        <w:pStyle w:val="indentindexcopy"/>
      </w:pPr>
      <w:r>
        <w:t>gender, 58, 59</w:t>
      </w:r>
    </w:p>
    <w:p w14:paraId="303FE034" w14:textId="77777777" w:rsidR="000F39D3" w:rsidRDefault="000F39D3" w:rsidP="00405B7F">
      <w:pPr>
        <w:pStyle w:val="indentindexcopy"/>
      </w:pPr>
      <w:r>
        <w:t>key management personnel, 60</w:t>
      </w:r>
    </w:p>
    <w:p w14:paraId="1D88FE70" w14:textId="77777777" w:rsidR="000F39D3" w:rsidRDefault="000F39D3" w:rsidP="00405B7F">
      <w:pPr>
        <w:pStyle w:val="indentindexcopy"/>
      </w:pPr>
      <w:r>
        <w:t>numbers and workforce composition, 58–59</w:t>
      </w:r>
    </w:p>
    <w:p w14:paraId="2B95D678" w14:textId="77777777" w:rsidR="000F39D3" w:rsidRDefault="000F39D3" w:rsidP="00405B7F">
      <w:pPr>
        <w:pStyle w:val="indentindexcopy"/>
      </w:pPr>
      <w:r>
        <w:t>provisions for, 86</w:t>
      </w:r>
    </w:p>
    <w:p w14:paraId="2E5193E2" w14:textId="77777777" w:rsidR="000F39D3" w:rsidRDefault="000F39D3" w:rsidP="00405B7F">
      <w:pPr>
        <w:pStyle w:val="indentindexcopy"/>
      </w:pPr>
      <w:r>
        <w:t>remuneration, 76</w:t>
      </w:r>
    </w:p>
    <w:p w14:paraId="0AA31A39" w14:textId="77777777" w:rsidR="000F39D3" w:rsidRDefault="000F39D3" w:rsidP="00405B7F">
      <w:pPr>
        <w:pStyle w:val="indentindexcopy"/>
      </w:pPr>
      <w:r>
        <w:t>response to COVID-19 restrictions, 30</w:t>
      </w:r>
    </w:p>
    <w:p w14:paraId="2E31BD5F" w14:textId="77777777" w:rsidR="000F39D3" w:rsidRDefault="000F39D3" w:rsidP="00405B7F">
      <w:pPr>
        <w:pStyle w:val="indentindexcopy"/>
      </w:pPr>
      <w:r>
        <w:t>training, 61</w:t>
      </w:r>
    </w:p>
    <w:p w14:paraId="453AB5FC" w14:textId="77777777" w:rsidR="000F39D3" w:rsidRDefault="000F39D3" w:rsidP="00405B7F">
      <w:pPr>
        <w:pStyle w:val="indentindexcopy"/>
      </w:pPr>
      <w:r>
        <w:t>work health and safety, 63</w:t>
      </w:r>
    </w:p>
    <w:p w14:paraId="78646188" w14:textId="77777777" w:rsidR="000F39D3" w:rsidRDefault="000F39D3" w:rsidP="00405B7F">
      <w:pPr>
        <w:pStyle w:val="indentindexcopy"/>
      </w:pPr>
      <w:r>
        <w:t>workplace assessments, 63</w:t>
      </w:r>
    </w:p>
    <w:p w14:paraId="3DFE8835" w14:textId="77777777" w:rsidR="000F39D3" w:rsidRDefault="000F39D3" w:rsidP="00405B7F">
      <w:pPr>
        <w:pStyle w:val="indentindexcopy"/>
      </w:pPr>
      <w:r w:rsidRPr="00405B7F">
        <w:rPr>
          <w:i/>
          <w:iCs/>
        </w:rPr>
        <w:t>See also</w:t>
      </w:r>
      <w:r>
        <w:t xml:space="preserve"> Chief Executive Officer</w:t>
      </w:r>
    </w:p>
    <w:p w14:paraId="68BC1F03" w14:textId="77777777" w:rsidR="000F39D3" w:rsidRDefault="000F39D3" w:rsidP="000F39D3">
      <w:pPr>
        <w:pStyle w:val="indexcopy"/>
      </w:pPr>
      <w:r>
        <w:t>stakeholders, 20, 30, 42, 46, 49–50</w:t>
      </w:r>
    </w:p>
    <w:p w14:paraId="13FE940E" w14:textId="77777777" w:rsidR="000F39D3" w:rsidRDefault="000F39D3" w:rsidP="000F39D3">
      <w:pPr>
        <w:pStyle w:val="indexcopy"/>
      </w:pPr>
      <w:r>
        <w:t>Statements of Assurance, 48</w:t>
      </w:r>
    </w:p>
    <w:p w14:paraId="28828806" w14:textId="77777777" w:rsidR="000F39D3" w:rsidRDefault="000F39D3" w:rsidP="000F39D3">
      <w:pPr>
        <w:pStyle w:val="indexcopy"/>
      </w:pPr>
      <w:r>
        <w:t>statutory committees, 16</w:t>
      </w:r>
    </w:p>
    <w:p w14:paraId="32A904BB" w14:textId="77777777" w:rsidR="000F39D3" w:rsidRDefault="000F39D3" w:rsidP="000F39D3">
      <w:pPr>
        <w:pStyle w:val="indexcopy"/>
      </w:pPr>
      <w:r>
        <w:t>statutory obligations, 54</w:t>
      </w:r>
    </w:p>
    <w:p w14:paraId="19273667" w14:textId="77777777" w:rsidR="000F39D3" w:rsidRDefault="000F39D3" w:rsidP="000F39D3">
      <w:pPr>
        <w:pStyle w:val="indexcopy"/>
      </w:pPr>
      <w:r>
        <w:t>subacute patient classification, 30, 37, 45, 46</w:t>
      </w:r>
    </w:p>
    <w:p w14:paraId="21765C32" w14:textId="0A78A9DF" w:rsidR="000F39D3" w:rsidRDefault="008B06FE" w:rsidP="00405B7F">
      <w:pPr>
        <w:pStyle w:val="H3"/>
      </w:pPr>
      <w:r>
        <w:br w:type="column"/>
      </w:r>
      <w:r w:rsidR="000F39D3" w:rsidRPr="00DD236E">
        <w:rPr>
          <w:color w:val="1C1C1C"/>
        </w:rPr>
        <w:lastRenderedPageBreak/>
        <w:t>T</w:t>
      </w:r>
    </w:p>
    <w:p w14:paraId="54BBBEFB" w14:textId="77777777" w:rsidR="000F39D3" w:rsidRDefault="000F39D3" w:rsidP="000F39D3">
      <w:pPr>
        <w:pStyle w:val="indexcopy"/>
      </w:pPr>
      <w:r>
        <w:t>tactical risks, 53</w:t>
      </w:r>
    </w:p>
    <w:p w14:paraId="419A94B3" w14:textId="77777777" w:rsidR="000F39D3" w:rsidRDefault="000F39D3" w:rsidP="000F39D3">
      <w:pPr>
        <w:pStyle w:val="indexcopy"/>
      </w:pPr>
      <w:r>
        <w:t>taxation, 75</w:t>
      </w:r>
    </w:p>
    <w:p w14:paraId="624777FC" w14:textId="77777777" w:rsidR="000F39D3" w:rsidRDefault="000F39D3" w:rsidP="000F39D3">
      <w:pPr>
        <w:pStyle w:val="indexcopy"/>
      </w:pPr>
      <w:r>
        <w:t>Taylor, Kate, 26</w:t>
      </w:r>
    </w:p>
    <w:p w14:paraId="6AD2DA08" w14:textId="77777777" w:rsidR="000F39D3" w:rsidRDefault="000F39D3" w:rsidP="000F39D3">
      <w:pPr>
        <w:pStyle w:val="indexcopy"/>
      </w:pPr>
      <w:r>
        <w:t>teaching, training and research in public hospitals, 13</w:t>
      </w:r>
    </w:p>
    <w:p w14:paraId="36035CCB" w14:textId="77777777" w:rsidR="000F39D3" w:rsidRDefault="000F39D3" w:rsidP="00837E47">
      <w:pPr>
        <w:pStyle w:val="indexcopy"/>
        <w:ind w:right="-142"/>
      </w:pPr>
      <w:r>
        <w:t>teaching and training classification, 30, 41, 45</w:t>
      </w:r>
    </w:p>
    <w:p w14:paraId="3A0BA333" w14:textId="77777777" w:rsidR="000F39D3" w:rsidRDefault="000F39D3" w:rsidP="000F39D3">
      <w:pPr>
        <w:pStyle w:val="indexcopy"/>
      </w:pPr>
      <w:r>
        <w:t>Three Year Data Plan, 31, 42, 48</w:t>
      </w:r>
    </w:p>
    <w:p w14:paraId="6B80B1FE" w14:textId="77777777" w:rsidR="000F39D3" w:rsidRDefault="000F39D3" w:rsidP="000F39D3">
      <w:pPr>
        <w:pStyle w:val="indexcopy"/>
      </w:pPr>
      <w:r>
        <w:t>training, staff, 61</w:t>
      </w:r>
    </w:p>
    <w:p w14:paraId="43394EA4" w14:textId="77777777" w:rsidR="000F39D3" w:rsidRDefault="000F39D3" w:rsidP="000F39D3">
      <w:pPr>
        <w:pStyle w:val="indexcopy"/>
      </w:pPr>
      <w:r>
        <w:t>trials of innovative models of care, 4</w:t>
      </w:r>
    </w:p>
    <w:p w14:paraId="4D74FD2F" w14:textId="77777777" w:rsidR="000F39D3" w:rsidRPr="00DD236E" w:rsidRDefault="000F39D3" w:rsidP="00837E47">
      <w:pPr>
        <w:pStyle w:val="H3"/>
        <w:rPr>
          <w:color w:val="1C1C1C"/>
        </w:rPr>
      </w:pPr>
      <w:r w:rsidRPr="00DD236E">
        <w:rPr>
          <w:color w:val="1C1C1C"/>
        </w:rPr>
        <w:t>V</w:t>
      </w:r>
    </w:p>
    <w:p w14:paraId="1C21C0BA" w14:textId="77777777" w:rsidR="000F39D3" w:rsidRDefault="000F39D3" w:rsidP="000F39D3">
      <w:pPr>
        <w:pStyle w:val="indexcopy"/>
      </w:pPr>
      <w:r>
        <w:t>vision statement, 5</w:t>
      </w:r>
    </w:p>
    <w:p w14:paraId="44922ED8" w14:textId="77777777" w:rsidR="000F39D3" w:rsidRPr="00DD236E" w:rsidRDefault="000F39D3" w:rsidP="00837E47">
      <w:pPr>
        <w:pStyle w:val="H3"/>
        <w:rPr>
          <w:color w:val="1C1C1C"/>
        </w:rPr>
      </w:pPr>
      <w:r w:rsidRPr="00DD236E">
        <w:rPr>
          <w:color w:val="1C1C1C"/>
        </w:rPr>
        <w:t>W</w:t>
      </w:r>
    </w:p>
    <w:p w14:paraId="371BED7C" w14:textId="77777777" w:rsidR="000F39D3" w:rsidRDefault="000F39D3" w:rsidP="000F39D3">
      <w:pPr>
        <w:pStyle w:val="indexcopy"/>
      </w:pPr>
      <w:r>
        <w:t>Walsh, Michael, 20, 26, 30</w:t>
      </w:r>
    </w:p>
    <w:p w14:paraId="45727FCB" w14:textId="77777777" w:rsidR="000F39D3" w:rsidRDefault="000F39D3" w:rsidP="000F39D3">
      <w:pPr>
        <w:pStyle w:val="indexcopy"/>
      </w:pPr>
      <w:r>
        <w:t>website,</w:t>
      </w:r>
      <w:r w:rsidRPr="00837E47">
        <w:rPr>
          <w:i/>
          <w:iCs/>
        </w:rPr>
        <w:t xml:space="preserve"> inside front cover</w:t>
      </w:r>
      <w:r>
        <w:t>, 51</w:t>
      </w:r>
    </w:p>
    <w:p w14:paraId="549D6F1A" w14:textId="77777777" w:rsidR="000F39D3" w:rsidRDefault="000F39D3" w:rsidP="000F39D3">
      <w:pPr>
        <w:pStyle w:val="indexcopy"/>
      </w:pPr>
      <w:r>
        <w:t>Williams, Jennifer, 20, 21, 30</w:t>
      </w:r>
    </w:p>
    <w:p w14:paraId="36BC28EA" w14:textId="77777777" w:rsidR="000F39D3" w:rsidRDefault="000F39D3" w:rsidP="000F39D3">
      <w:pPr>
        <w:pStyle w:val="indexcopy"/>
      </w:pPr>
      <w:r>
        <w:t>Work, Health and Safety Committee, 63</w:t>
      </w:r>
    </w:p>
    <w:p w14:paraId="6B7A6522" w14:textId="77777777" w:rsidR="000F39D3" w:rsidRDefault="000F39D3" w:rsidP="000F39D3">
      <w:pPr>
        <w:pStyle w:val="indexcopy"/>
      </w:pPr>
      <w:r w:rsidRPr="00837E47">
        <w:rPr>
          <w:i/>
          <w:iCs/>
        </w:rPr>
        <w:t>Work Health and Safety Act 2011</w:t>
      </w:r>
      <w:r>
        <w:t>, 1, 63</w:t>
      </w:r>
    </w:p>
    <w:p w14:paraId="5186B82B" w14:textId="77777777" w:rsidR="000F39D3" w:rsidRDefault="000F39D3" w:rsidP="000F39D3">
      <w:pPr>
        <w:pStyle w:val="indexcopy"/>
      </w:pPr>
      <w:r>
        <w:t>work program, 31, 50, 51</w:t>
      </w:r>
    </w:p>
    <w:p w14:paraId="38543C56" w14:textId="77777777" w:rsidR="000F39D3" w:rsidRDefault="000F39D3" w:rsidP="00837E47">
      <w:pPr>
        <w:pStyle w:val="indentindexcopy"/>
      </w:pPr>
      <w:r>
        <w:t>defined, 95</w:t>
      </w:r>
    </w:p>
    <w:p w14:paraId="129B8C9B" w14:textId="77777777" w:rsidR="000F39D3" w:rsidRDefault="000F39D3" w:rsidP="000F39D3">
      <w:pPr>
        <w:pStyle w:val="indexcopy"/>
      </w:pPr>
      <w:r>
        <w:t>workers’ compensation claims, 63</w:t>
      </w:r>
    </w:p>
    <w:p w14:paraId="746DD638" w14:textId="77777777" w:rsidR="000F39D3" w:rsidRDefault="000F39D3" w:rsidP="000F39D3">
      <w:pPr>
        <w:pStyle w:val="indexcopy"/>
      </w:pPr>
      <w:r>
        <w:t>working groups and committees, 15–17, 36, 42, 49–50, 63</w:t>
      </w:r>
    </w:p>
    <w:p w14:paraId="34C02039" w14:textId="77777777" w:rsidR="000F39D3" w:rsidRDefault="000F39D3" w:rsidP="000F39D3">
      <w:pPr>
        <w:pStyle w:val="indexcopy"/>
      </w:pPr>
      <w:r>
        <w:t>workplace assessments, staff, 63</w:t>
      </w:r>
    </w:p>
    <w:p w14:paraId="5501860A" w14:textId="49A10A8A" w:rsidR="000F39D3" w:rsidRDefault="000F39D3" w:rsidP="000F39D3">
      <w:pPr>
        <w:pStyle w:val="indexcopy"/>
      </w:pPr>
      <w:r>
        <w:t>WRITEitRIGHT® mobile app, 34, 37</w:t>
      </w:r>
    </w:p>
    <w:p w14:paraId="386E7D3A" w14:textId="77777777" w:rsidR="00ED769D" w:rsidRDefault="00ED769D" w:rsidP="00BC7550">
      <w:pPr>
        <w:pStyle w:val="Body"/>
      </w:pPr>
    </w:p>
    <w:p w14:paraId="5678802F" w14:textId="52198775" w:rsidR="008B06FE" w:rsidRDefault="008B06FE" w:rsidP="00BC7550">
      <w:pPr>
        <w:pStyle w:val="Body"/>
        <w:sectPr w:rsidR="008B06FE" w:rsidSect="00283039">
          <w:footnotePr>
            <w:pos w:val="beneathText"/>
          </w:footnotePr>
          <w:type w:val="continuous"/>
          <w:pgSz w:w="9979" w:h="14175" w:code="13"/>
          <w:pgMar w:top="1134" w:right="1418" w:bottom="992" w:left="1418" w:header="709" w:footer="709" w:gutter="0"/>
          <w:cols w:num="2" w:space="623"/>
          <w:docGrid w:linePitch="360"/>
        </w:sectPr>
      </w:pPr>
    </w:p>
    <w:p w14:paraId="2E2C165A" w14:textId="77777777" w:rsidR="00117CCF" w:rsidRDefault="00117CCF" w:rsidP="00BC7550">
      <w:pPr>
        <w:pStyle w:val="Body"/>
        <w:sectPr w:rsidR="00117CCF" w:rsidSect="004A2D49">
          <w:footerReference w:type="default" r:id="rId121"/>
          <w:footnotePr>
            <w:pos w:val="beneathText"/>
          </w:footnotePr>
          <w:pgSz w:w="9979" w:h="14175" w:code="13"/>
          <w:pgMar w:top="1134" w:right="1418" w:bottom="992" w:left="1418" w:header="709" w:footer="709" w:gutter="0"/>
          <w:cols w:space="623"/>
          <w:docGrid w:linePitch="360"/>
        </w:sectPr>
      </w:pPr>
    </w:p>
    <w:p w14:paraId="09A18475" w14:textId="7DB047D5" w:rsidR="003336CE" w:rsidRDefault="00AC7712" w:rsidP="00342450">
      <w:pPr>
        <w:pStyle w:val="Body"/>
        <w:spacing w:after="8720"/>
      </w:pPr>
      <w:r>
        <w:rPr>
          <w:noProof/>
          <w:lang w:val="en-GB" w:eastAsia="en-GB"/>
        </w:rPr>
        <w:lastRenderedPageBreak/>
        <w:drawing>
          <wp:inline distT="0" distB="0" distL="0" distR="0" wp14:anchorId="42F08C47" wp14:editId="399AB736">
            <wp:extent cx="532130" cy="805180"/>
            <wp:effectExtent l="0" t="0" r="1270" b="0"/>
            <wp:docPr id="16" name="Picture 16" descr="IH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HPA log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2130" cy="805180"/>
                    </a:xfrm>
                    <a:prstGeom prst="rect">
                      <a:avLst/>
                    </a:prstGeom>
                    <a:noFill/>
                    <a:ln>
                      <a:noFill/>
                    </a:ln>
                  </pic:spPr>
                </pic:pic>
              </a:graphicData>
            </a:graphic>
          </wp:inline>
        </w:drawing>
      </w:r>
    </w:p>
    <w:p w14:paraId="1B272E58" w14:textId="45CEBD49" w:rsidR="00AC7712" w:rsidRPr="00AC7712" w:rsidRDefault="00AC7712" w:rsidP="00AC7712">
      <w:pPr>
        <w:pStyle w:val="Body"/>
        <w:rPr>
          <w:color w:val="FFFFFF" w:themeColor="background2"/>
        </w:rPr>
      </w:pPr>
      <w:r w:rsidRPr="00AC7712">
        <w:rPr>
          <w:color w:val="FFFFFF" w:themeColor="background2"/>
        </w:rPr>
        <w:t>Level 6, 1 Oxford Street</w:t>
      </w:r>
      <w:r w:rsidRPr="00AC7712">
        <w:rPr>
          <w:color w:val="FFFFFF" w:themeColor="background2"/>
        </w:rPr>
        <w:br/>
        <w:t>Sydney NSW 2000</w:t>
      </w:r>
    </w:p>
    <w:p w14:paraId="4929B3BE" w14:textId="00D2B14A" w:rsidR="00AC7712" w:rsidRPr="00AC7712" w:rsidRDefault="00AC7712" w:rsidP="00AC7712">
      <w:pPr>
        <w:pStyle w:val="Body"/>
        <w:rPr>
          <w:color w:val="FFFFFF" w:themeColor="background2"/>
        </w:rPr>
      </w:pPr>
      <w:r w:rsidRPr="00AC7712">
        <w:rPr>
          <w:color w:val="FFFFFF" w:themeColor="background2"/>
        </w:rPr>
        <w:t xml:space="preserve">T    </w:t>
      </w:r>
      <w:r>
        <w:rPr>
          <w:color w:val="FFFFFF" w:themeColor="background2"/>
        </w:rPr>
        <w:t xml:space="preserve"> </w:t>
      </w:r>
      <w:r w:rsidRPr="00AC7712">
        <w:rPr>
          <w:color w:val="FFFFFF" w:themeColor="background2"/>
        </w:rPr>
        <w:t>02 8215 1100</w:t>
      </w:r>
    </w:p>
    <w:p w14:paraId="5FE16EB1" w14:textId="7FD09AE1" w:rsidR="00AC7712" w:rsidRPr="00AC7712" w:rsidRDefault="00AC7712" w:rsidP="00AC7712">
      <w:pPr>
        <w:pStyle w:val="Body"/>
        <w:rPr>
          <w:color w:val="FFFFFF" w:themeColor="background2"/>
        </w:rPr>
      </w:pPr>
      <w:r w:rsidRPr="00AC7712">
        <w:rPr>
          <w:color w:val="FFFFFF" w:themeColor="background2"/>
        </w:rPr>
        <w:t xml:space="preserve">E   </w:t>
      </w:r>
      <w:r>
        <w:rPr>
          <w:color w:val="FFFFFF" w:themeColor="background2"/>
        </w:rPr>
        <w:t xml:space="preserve">  </w:t>
      </w:r>
      <w:r w:rsidRPr="00AC7712">
        <w:rPr>
          <w:color w:val="FFFFFF" w:themeColor="background2"/>
        </w:rPr>
        <w:t>enquiries.ihpa@ihpa.gov.au</w:t>
      </w:r>
    </w:p>
    <w:p w14:paraId="6EC0BD0F" w14:textId="313FB756" w:rsidR="00AC7712" w:rsidRPr="00AC7712" w:rsidRDefault="00AC7712" w:rsidP="00AC7712">
      <w:pPr>
        <w:pStyle w:val="Body"/>
        <w:rPr>
          <w:color w:val="FFFFFF" w:themeColor="background2"/>
        </w:rPr>
      </w:pPr>
      <w:r>
        <w:rPr>
          <w:noProof/>
          <w:color w:val="FFFFFF" w:themeColor="background2"/>
          <w:lang w:val="en-GB" w:eastAsia="en-GB"/>
        </w:rPr>
        <w:drawing>
          <wp:inline distT="0" distB="0" distL="0" distR="0" wp14:anchorId="68010CDC" wp14:editId="61C3895B">
            <wp:extent cx="81915" cy="67945"/>
            <wp:effectExtent l="0" t="0" r="0" b="8255"/>
            <wp:docPr id="19" name="Picture 19" descr="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witte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1915" cy="67945"/>
                    </a:xfrm>
                    <a:prstGeom prst="rect">
                      <a:avLst/>
                    </a:prstGeom>
                    <a:noFill/>
                    <a:ln>
                      <a:noFill/>
                    </a:ln>
                  </pic:spPr>
                </pic:pic>
              </a:graphicData>
            </a:graphic>
          </wp:inline>
        </w:drawing>
      </w:r>
      <w:r w:rsidRPr="00AC7712">
        <w:rPr>
          <w:color w:val="FFFFFF" w:themeColor="background2"/>
        </w:rPr>
        <w:t xml:space="preserve">    @IHPAnews</w:t>
      </w:r>
    </w:p>
    <w:sectPr w:rsidR="00AC7712" w:rsidRPr="00AC7712" w:rsidSect="004A2D49">
      <w:headerReference w:type="even" r:id="rId124"/>
      <w:headerReference w:type="default" r:id="rId125"/>
      <w:footerReference w:type="default" r:id="rId126"/>
      <w:footnotePr>
        <w:pos w:val="beneathText"/>
      </w:footnotePr>
      <w:pgSz w:w="9979" w:h="14175" w:code="13"/>
      <w:pgMar w:top="1134" w:right="1418" w:bottom="992" w:left="1418" w:header="709" w:footer="709" w:gutter="0"/>
      <w:cols w:space="62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BA02CC" w14:textId="77777777" w:rsidR="00EB62EF" w:rsidRDefault="00EB62EF" w:rsidP="000D3395">
      <w:pPr>
        <w:spacing w:after="0" w:line="240" w:lineRule="auto"/>
      </w:pPr>
      <w:r>
        <w:separator/>
      </w:r>
    </w:p>
  </w:endnote>
  <w:endnote w:type="continuationSeparator" w:id="0">
    <w:p w14:paraId="0FF98EF3" w14:textId="77777777" w:rsidR="00EB62EF" w:rsidRDefault="00EB62EF" w:rsidP="000D33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PT Book">
    <w:altName w:val="Century Gothic"/>
    <w:charset w:val="00"/>
    <w:family w:val="swiss"/>
    <w:pitch w:val="variable"/>
    <w:sig w:usb0="A00002FF" w:usb1="5000204B" w:usb2="00000000" w:usb3="00000000" w:csb0="00000097" w:csb1="00000000"/>
  </w:font>
  <w:font w:name="Gotham Book">
    <w:altName w:val="Calibri"/>
    <w:charset w:val="00"/>
    <w:family w:val="auto"/>
    <w:pitch w:val="variable"/>
    <w:sig w:usb0="A10002FF" w:usb1="4000005B" w:usb2="00000000" w:usb3="00000000" w:csb0="0000019F" w:csb1="00000000"/>
  </w:font>
  <w:font w:name="Futura PT Bold">
    <w:altName w:val="Century Gothic"/>
    <w:charset w:val="00"/>
    <w:family w:val="swiss"/>
    <w:pitch w:val="variable"/>
    <w:sig w:usb0="A00002FF" w:usb1="5000204A" w:usb2="00000000" w:usb3="00000000" w:csb0="00000097" w:csb1="00000000"/>
  </w:font>
  <w:font w:name="Segoe UI">
    <w:panose1 w:val="020B0502040204020203"/>
    <w:charset w:val="00"/>
    <w:family w:val="swiss"/>
    <w:pitch w:val="variable"/>
    <w:sig w:usb0="E4002EFF" w:usb1="C000E47F" w:usb2="00000009" w:usb3="00000000" w:csb0="000001FF" w:csb1="00000000"/>
  </w:font>
  <w:font w:name="Futura PT Demi">
    <w:altName w:val="Century Gothic"/>
    <w:charset w:val="00"/>
    <w:family w:val="swiss"/>
    <w:pitch w:val="variable"/>
    <w:sig w:usb0="A00002FF" w:usb1="5000204B" w:usb2="00000000" w:usb3="00000000" w:csb0="00000097" w:csb1="00000000"/>
  </w:font>
  <w:font w:name="Futura Lt BT">
    <w:altName w:val="Arial"/>
    <w:charset w:val="00"/>
    <w:family w:val="swiss"/>
    <w:pitch w:val="variable"/>
    <w:sig w:usb0="800008E7" w:usb1="00000000" w:usb2="00000000" w:usb3="00000000" w:csb0="000001FB" w:csb1="00000000"/>
  </w:font>
  <w:font w:name="Futura PT Heavy">
    <w:charset w:val="00"/>
    <w:family w:val="swiss"/>
    <w:pitch w:val="variable"/>
    <w:sig w:usb0="A00002FF" w:usb1="5000204A" w:usb2="00000000" w:usb3="00000000" w:csb0="00000097"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741736"/>
      <w:docPartObj>
        <w:docPartGallery w:val="Page Numbers (Bottom of Page)"/>
        <w:docPartUnique/>
      </w:docPartObj>
    </w:sdtPr>
    <w:sdtEndPr>
      <w:rPr>
        <w:noProof/>
      </w:rPr>
    </w:sdtEndPr>
    <w:sdtContent>
      <w:p w14:paraId="7046CAC1" w14:textId="5828EABF" w:rsidR="00E747BF" w:rsidRDefault="00E747BF">
        <w:pPr>
          <w:pStyle w:val="Footer"/>
        </w:pPr>
        <w:r w:rsidRPr="00542E97">
          <w:rPr>
            <w:sz w:val="18"/>
            <w:szCs w:val="18"/>
          </w:rPr>
          <w:fldChar w:fldCharType="begin"/>
        </w:r>
        <w:r w:rsidRPr="00542E97">
          <w:rPr>
            <w:sz w:val="18"/>
            <w:szCs w:val="18"/>
          </w:rPr>
          <w:instrText xml:space="preserve"> PAGE   \* MERGEFORMAT </w:instrText>
        </w:r>
        <w:r w:rsidRPr="00542E97">
          <w:rPr>
            <w:sz w:val="18"/>
            <w:szCs w:val="18"/>
          </w:rPr>
          <w:fldChar w:fldCharType="separate"/>
        </w:r>
        <w:r w:rsidRPr="00542E97">
          <w:rPr>
            <w:noProof/>
            <w:sz w:val="18"/>
            <w:szCs w:val="18"/>
          </w:rPr>
          <w:t>2</w:t>
        </w:r>
        <w:r w:rsidRPr="00542E97">
          <w:rPr>
            <w:noProof/>
            <w:sz w:val="18"/>
            <w:szCs w:val="18"/>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F6BFA" w14:textId="1C0BC624" w:rsidR="00E747BF" w:rsidRPr="00BB75D1" w:rsidRDefault="00E747BF" w:rsidP="00652BD0">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39</w:t>
    </w:r>
    <w:r w:rsidRPr="00BB75D1">
      <w:rPr>
        <w:noProof/>
        <w:color w:val="003F2C" w:themeColor="text1"/>
        <w:sz w:val="16"/>
        <w:szCs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394332" w14:textId="32E8FE59" w:rsidR="00E747BF" w:rsidRPr="00BB75D1" w:rsidRDefault="00E747BF" w:rsidP="003C0BE6">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45</w:t>
    </w:r>
    <w:r w:rsidRPr="00BB75D1">
      <w:rPr>
        <w:noProof/>
        <w:color w:val="003F2C" w:themeColor="text1"/>
        <w:sz w:val="16"/>
        <w:szCs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31C63" w14:textId="0638530B" w:rsidR="00E747BF" w:rsidRPr="00BB75D1" w:rsidRDefault="00E747BF" w:rsidP="008F1EDB">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63</w:t>
    </w:r>
    <w:r w:rsidRPr="00BB75D1">
      <w:rPr>
        <w:noProof/>
        <w:color w:val="003F2C" w:themeColor="text1"/>
        <w:sz w:val="16"/>
        <w:szCs w:val="1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31D23" w14:textId="3F844585" w:rsidR="00E747BF" w:rsidRPr="00BB75D1" w:rsidRDefault="00E747BF" w:rsidP="006B54F7">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73</w:t>
    </w:r>
    <w:r w:rsidRPr="00BB75D1">
      <w:rPr>
        <w:noProof/>
        <w:color w:val="003F2C" w:themeColor="text1"/>
        <w:sz w:val="16"/>
        <w:szCs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B21CAA" w14:textId="0ED5992C" w:rsidR="00E747BF" w:rsidRPr="00D832D3" w:rsidRDefault="00E747BF" w:rsidP="00D832D3">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F8B1C" w14:textId="3C439DC5" w:rsidR="00E747BF" w:rsidRPr="00BB75D1" w:rsidRDefault="00E747BF" w:rsidP="008F1EDB">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74</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E88C2" w14:textId="77777777" w:rsidR="00E747BF" w:rsidRPr="00BB75D1" w:rsidRDefault="00E747BF" w:rsidP="001B5FA9">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63</w:t>
    </w:r>
    <w:r w:rsidRPr="00BB75D1">
      <w:rPr>
        <w:noProof/>
        <w:color w:val="003F2C" w:themeColor="text1"/>
        <w:sz w:val="16"/>
        <w:szCs w:val="16"/>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FBDAB" w14:textId="0977FBD3" w:rsidR="00E747BF" w:rsidRPr="00BB75D1" w:rsidRDefault="00E747BF" w:rsidP="00BD07DE">
    <w:pPr>
      <w:pStyle w:val="Footer"/>
      <w:jc w:val="right"/>
      <w:rPr>
        <w:color w:val="003F2C" w:themeColor="text1"/>
        <w:sz w:val="16"/>
        <w:szCs w:val="16"/>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1B9F3" w14:textId="72B1CC0F" w:rsidR="00E747BF" w:rsidRPr="00BB75D1" w:rsidRDefault="00E747BF" w:rsidP="00B13A8F">
    <w:pPr>
      <w:pStyle w:val="Footer"/>
      <w:jc w:val="right"/>
      <w:rPr>
        <w:color w:val="003F2C" w:themeColor="text1"/>
        <w:sz w:val="16"/>
        <w:szCs w:val="16"/>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0CFAF" w14:textId="77777777" w:rsidR="00E747BF" w:rsidRPr="00BB75D1" w:rsidRDefault="00E747BF" w:rsidP="006B54F7">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56</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8"/>
        <w:szCs w:val="18"/>
      </w:rPr>
      <w:id w:val="-1430884724"/>
      <w:docPartObj>
        <w:docPartGallery w:val="Page Numbers (Bottom of Page)"/>
        <w:docPartUnique/>
      </w:docPartObj>
    </w:sdtPr>
    <w:sdtEndPr>
      <w:rPr>
        <w:noProof/>
      </w:rPr>
    </w:sdtEndPr>
    <w:sdtContent>
      <w:p w14:paraId="4413BEEB" w14:textId="7CE81A57" w:rsidR="00E747BF" w:rsidRPr="00194D49" w:rsidRDefault="00E747BF">
        <w:pPr>
          <w:pStyle w:val="Footer"/>
          <w:jc w:val="right"/>
          <w:rPr>
            <w:sz w:val="18"/>
            <w:szCs w:val="18"/>
          </w:rPr>
        </w:pPr>
        <w:r w:rsidRPr="00194D49">
          <w:rPr>
            <w:sz w:val="18"/>
            <w:szCs w:val="18"/>
          </w:rPr>
          <w:fldChar w:fldCharType="begin"/>
        </w:r>
        <w:r w:rsidRPr="00194D49">
          <w:rPr>
            <w:sz w:val="18"/>
            <w:szCs w:val="18"/>
          </w:rPr>
          <w:instrText xml:space="preserve"> PAGE   \* MERGEFORMAT </w:instrText>
        </w:r>
        <w:r w:rsidRPr="00194D49">
          <w:rPr>
            <w:sz w:val="18"/>
            <w:szCs w:val="18"/>
          </w:rPr>
          <w:fldChar w:fldCharType="separate"/>
        </w:r>
        <w:r w:rsidR="001E6FC6">
          <w:rPr>
            <w:noProof/>
            <w:sz w:val="18"/>
            <w:szCs w:val="18"/>
          </w:rPr>
          <w:t>1</w:t>
        </w:r>
        <w:r w:rsidRPr="00194D49">
          <w:rPr>
            <w:noProof/>
            <w:sz w:val="18"/>
            <w:szCs w:val="18"/>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51B53" w14:textId="07C15F8D" w:rsidR="00E747BF" w:rsidRPr="00BB75D1" w:rsidRDefault="00E747BF" w:rsidP="00B22546">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77</w:t>
    </w:r>
    <w:r w:rsidRPr="00BB75D1">
      <w:rPr>
        <w:noProof/>
        <w:color w:val="003F2C" w:themeColor="text1"/>
        <w:sz w:val="16"/>
        <w:szCs w:val="1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5469F" w14:textId="4B42B2B2" w:rsidR="00E747BF" w:rsidRPr="00BB75D1" w:rsidRDefault="00E747BF" w:rsidP="00B13A8F">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78</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2430C8" w14:textId="77777777" w:rsidR="00E747BF" w:rsidRPr="00BB75D1" w:rsidRDefault="00E747BF" w:rsidP="005D4306">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65</w:t>
    </w:r>
    <w:r w:rsidRPr="00BB75D1">
      <w:rPr>
        <w:noProof/>
        <w:color w:val="003F2C" w:themeColor="text1"/>
        <w:sz w:val="16"/>
        <w:szCs w:val="16"/>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D9449" w14:textId="5714EFC7" w:rsidR="00E747BF" w:rsidRPr="00BB75D1" w:rsidRDefault="00E747BF" w:rsidP="006179FB">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79</w:t>
    </w:r>
    <w:r w:rsidRPr="00BB75D1">
      <w:rPr>
        <w:noProof/>
        <w:color w:val="003F2C" w:themeColor="text1"/>
        <w:sz w:val="16"/>
        <w:szCs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BBFB0" w14:textId="22A445CC" w:rsidR="00E747BF" w:rsidRPr="00BB75D1" w:rsidRDefault="00E747BF" w:rsidP="00B20BE1">
    <w:pPr>
      <w:pStyle w:val="Footer"/>
      <w:jc w:val="right"/>
      <w:rPr>
        <w:color w:val="003F2C" w:themeColor="text1"/>
        <w:sz w:val="16"/>
        <w:szCs w:val="16"/>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1D28C4" w14:textId="2A30657A" w:rsidR="00E747BF" w:rsidRPr="00BB75D1" w:rsidRDefault="00E747BF" w:rsidP="002657CB">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113</w:t>
    </w:r>
    <w:r w:rsidRPr="00BB75D1">
      <w:rPr>
        <w:noProof/>
        <w:color w:val="003F2C" w:themeColor="text1"/>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5DBA0" w14:textId="13F2A2DF" w:rsidR="00E747BF" w:rsidRPr="00BB75D1" w:rsidRDefault="00E747BF" w:rsidP="0057791C">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130</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6DD45" w14:textId="5C1E8E81" w:rsidR="00E747BF" w:rsidRPr="00BB75D1" w:rsidRDefault="00E747BF" w:rsidP="0057791C">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129</w:t>
    </w:r>
    <w:r w:rsidRPr="00BB75D1">
      <w:rPr>
        <w:noProof/>
        <w:color w:val="003F2C" w:themeColor="text1"/>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285BE" w14:textId="3B2192B4" w:rsidR="00E747BF" w:rsidRPr="00BB75D1" w:rsidRDefault="00E747BF" w:rsidP="0057791C">
    <w:pPr>
      <w:pStyle w:val="Footer"/>
      <w:jc w:val="right"/>
      <w:rPr>
        <w:color w:val="003F2C" w:themeColor="text1"/>
        <w:sz w:val="16"/>
        <w:szCs w:val="16"/>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6230D" w14:textId="091B6E49" w:rsidR="00E747BF" w:rsidRPr="00E34294" w:rsidRDefault="00E747BF" w:rsidP="00E3429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05907" w14:textId="06B675B5" w:rsidR="00E747BF" w:rsidRDefault="00E747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011F5" w14:textId="3AED0E5D" w:rsidR="00E747BF" w:rsidRPr="00BB75D1" w:rsidRDefault="00E747BF">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ii</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FA178" w14:textId="22851DD7" w:rsidR="00E747BF" w:rsidRPr="00BB75D1" w:rsidRDefault="00E747BF" w:rsidP="00DA1589">
    <w:pPr>
      <w:pStyle w:val="Footer"/>
      <w:jc w:val="right"/>
      <w:rPr>
        <w:color w:val="003F2C" w:themeColor="text1"/>
        <w:sz w:val="16"/>
        <w:szCs w:val="16"/>
      </w:rPr>
    </w:pPr>
    <w:r w:rsidRPr="00BB75D1">
      <w:rPr>
        <w:b/>
        <w:bCs/>
        <w:color w:val="003F2C" w:themeColor="text1"/>
        <w:sz w:val="16"/>
        <w:szCs w:val="16"/>
      </w:rPr>
      <w:t>Annual Report</w:t>
    </w:r>
    <w:r w:rsidRPr="00BB75D1">
      <w:rPr>
        <w:color w:val="003F2C" w:themeColor="text1"/>
        <w:sz w:val="16"/>
        <w:szCs w:val="16"/>
      </w:rPr>
      <w:t xml:space="preserve"> 20</w:t>
    </w:r>
    <w:r>
      <w:rPr>
        <w:color w:val="003F2C" w:themeColor="text1"/>
        <w:sz w:val="16"/>
        <w:szCs w:val="16"/>
      </w:rPr>
      <w:t>19–</w:t>
    </w:r>
    <w:r w:rsidRPr="00BB75D1">
      <w:rPr>
        <w:color w:val="003F2C" w:themeColor="text1"/>
        <w:sz w:val="16"/>
        <w:szCs w:val="16"/>
      </w:rPr>
      <w:t>2</w:t>
    </w:r>
    <w:r>
      <w:rPr>
        <w:color w:val="003F2C" w:themeColor="text1"/>
        <w:sz w:val="16"/>
        <w:szCs w:val="16"/>
      </w:rPr>
      <w:t>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w:t>
    </w:r>
    <w:r w:rsidRPr="00BB75D1">
      <w:rPr>
        <w:noProof/>
        <w:color w:val="003F2C" w:themeColor="text1"/>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8973F" w14:textId="32ED01F7" w:rsidR="00E747BF" w:rsidRPr="00BB75D1" w:rsidRDefault="00E747BF" w:rsidP="00184F20">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18</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3E5DC" w14:textId="1477B25D" w:rsidR="00E747BF" w:rsidRPr="00BB75D1" w:rsidRDefault="00E747BF" w:rsidP="00184F20">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19</w:t>
    </w:r>
    <w:r w:rsidRPr="00BB75D1">
      <w:rPr>
        <w:noProof/>
        <w:color w:val="003F2C" w:themeColor="text1"/>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70A12" w14:textId="0922AF10" w:rsidR="00E747BF" w:rsidRPr="00BB75D1" w:rsidRDefault="00E747BF" w:rsidP="009076DA">
    <w:pPr>
      <w:pStyle w:val="Footer"/>
      <w:jc w:val="right"/>
      <w:rPr>
        <w:color w:val="003F2C" w:themeColor="text1"/>
        <w:sz w:val="16"/>
        <w:szCs w:val="16"/>
      </w:rPr>
    </w:pPr>
    <w:r w:rsidRPr="00BB75D1">
      <w:rPr>
        <w:b/>
        <w:bCs/>
        <w:color w:val="003F2C" w:themeColor="text1"/>
        <w:sz w:val="16"/>
        <w:szCs w:val="16"/>
      </w:rPr>
      <w:t>Annual Report</w:t>
    </w:r>
    <w:r>
      <w:rPr>
        <w:color w:val="003F2C" w:themeColor="text1"/>
        <w:sz w:val="16"/>
        <w:szCs w:val="16"/>
      </w:rPr>
      <w:t xml:space="preserve"> 2019–20</w:t>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27</w:t>
    </w:r>
    <w:r w:rsidRPr="00BB75D1">
      <w:rPr>
        <w:noProof/>
        <w:color w:val="003F2C" w:themeColor="text1"/>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9897B" w14:textId="000CD3D5" w:rsidR="00E747BF" w:rsidRPr="00BB75D1" w:rsidRDefault="00E747BF" w:rsidP="008F1EDB">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26</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109218" w14:textId="77777777" w:rsidR="00EB62EF" w:rsidRDefault="00EB62EF" w:rsidP="000D3395">
      <w:pPr>
        <w:spacing w:after="0" w:line="240" w:lineRule="auto"/>
      </w:pPr>
      <w:r>
        <w:separator/>
      </w:r>
    </w:p>
  </w:footnote>
  <w:footnote w:type="continuationSeparator" w:id="0">
    <w:p w14:paraId="48DA0B5D" w14:textId="77777777" w:rsidR="00EB62EF" w:rsidRDefault="00EB62EF" w:rsidP="000D3395">
      <w:pPr>
        <w:spacing w:after="0" w:line="240" w:lineRule="auto"/>
      </w:pPr>
      <w:r>
        <w:continuationSeparator/>
      </w:r>
    </w:p>
  </w:footnote>
  <w:footnote w:id="1">
    <w:p w14:paraId="0337EDE6" w14:textId="3D6F9086" w:rsidR="00E747BF" w:rsidRPr="00DD6F7D" w:rsidRDefault="00E747BF">
      <w:pPr>
        <w:pStyle w:val="FootnoteText"/>
        <w:rPr>
          <w:sz w:val="16"/>
          <w:szCs w:val="16"/>
        </w:rPr>
      </w:pPr>
      <w:r w:rsidRPr="00DD6F7D">
        <w:rPr>
          <w:rStyle w:val="FootnoteReference"/>
          <w:sz w:val="16"/>
          <w:szCs w:val="16"/>
        </w:rPr>
        <w:footnoteRef/>
      </w:r>
      <w:r w:rsidRPr="00DD6F7D">
        <w:rPr>
          <w:sz w:val="16"/>
          <w:szCs w:val="16"/>
        </w:rPr>
        <w:t xml:space="preserve"> </w:t>
      </w:r>
      <w:r w:rsidRPr="00D2051C">
        <w:rPr>
          <w:rStyle w:val="FootnotesChar"/>
        </w:rPr>
        <w:t>Mr Butterworth resigned as Chair of the Audit, Risk and Compliance Committee with effect from 31 December 2019.</w:t>
      </w:r>
    </w:p>
  </w:footnote>
  <w:footnote w:id="2">
    <w:p w14:paraId="4CFAAFAA" w14:textId="038DD1AB" w:rsidR="00E747BF" w:rsidRDefault="00E747BF">
      <w:pPr>
        <w:pStyle w:val="FootnoteText"/>
      </w:pPr>
      <w:r w:rsidRPr="00DD6F7D">
        <w:rPr>
          <w:rStyle w:val="FootnoteReference"/>
          <w:sz w:val="16"/>
          <w:szCs w:val="16"/>
        </w:rPr>
        <w:footnoteRef/>
      </w:r>
      <w:r w:rsidRPr="00DD6F7D">
        <w:rPr>
          <w:sz w:val="16"/>
          <w:szCs w:val="16"/>
        </w:rPr>
        <w:t xml:space="preserve"> </w:t>
      </w:r>
      <w:r w:rsidRPr="00DD6F7D">
        <w:rPr>
          <w:rStyle w:val="FootnotesChar"/>
        </w:rPr>
        <w:t>Ms Diamond was appointed as Chair of the Audit, Risk and Compliance Committee with effect from 15</w:t>
      </w:r>
      <w:r>
        <w:rPr>
          <w:rStyle w:val="FootnotesChar"/>
        </w:rPr>
        <w:t> </w:t>
      </w:r>
      <w:r w:rsidRPr="00DD6F7D">
        <w:rPr>
          <w:rStyle w:val="FootnotesChar"/>
        </w:rPr>
        <w:t>February 2020.</w:t>
      </w:r>
    </w:p>
  </w:footnote>
  <w:footnote w:id="3">
    <w:p w14:paraId="6FD4D945" w14:textId="3BD94E28" w:rsidR="00E747BF" w:rsidRDefault="00E747BF" w:rsidP="004C2D52">
      <w:pPr>
        <w:pStyle w:val="FootnoteText"/>
        <w:ind w:right="-142"/>
      </w:pPr>
      <w:r>
        <w:rPr>
          <w:rStyle w:val="FootnoteReference"/>
        </w:rPr>
        <w:footnoteRef/>
      </w:r>
      <w:r>
        <w:t xml:space="preserve"> </w:t>
      </w:r>
      <w:r w:rsidRPr="004C2D52">
        <w:rPr>
          <w:rStyle w:val="FootnotesChar"/>
        </w:rPr>
        <w:t>Mr Butterworth resigned as Chair of the Audit, Risk and Compliance Committee with effect from 31 December 2019.</w:t>
      </w:r>
    </w:p>
  </w:footnote>
  <w:footnote w:id="4">
    <w:p w14:paraId="7C453716" w14:textId="1117DCBB" w:rsidR="00E747BF" w:rsidRDefault="00E747BF" w:rsidP="004C2D52">
      <w:pPr>
        <w:pStyle w:val="FootnoteText"/>
        <w:ind w:right="-284"/>
      </w:pPr>
      <w:r>
        <w:rPr>
          <w:rStyle w:val="FootnoteReference"/>
        </w:rPr>
        <w:footnoteRef/>
      </w:r>
      <w:r>
        <w:t xml:space="preserve"> </w:t>
      </w:r>
      <w:r w:rsidRPr="004C2D52">
        <w:rPr>
          <w:rStyle w:val="FootnotesChar"/>
        </w:rPr>
        <w:t>Ms Diamond was appointed as Chair of the Audit, Risk and Compliance Committee with effect from 15 February 2020. In accordance with government policy, Ms Diamond did not receive any remuneration as a member of the IHPA Audit, Risk and Compliance Committee as she is employed by a Commonwealth Entity.</w:t>
      </w:r>
    </w:p>
  </w:footnote>
  <w:footnote w:id="5">
    <w:p w14:paraId="223BCEA9" w14:textId="4CDD7121" w:rsidR="00E747BF" w:rsidRDefault="00E747BF">
      <w:pPr>
        <w:pStyle w:val="FootnoteText"/>
      </w:pPr>
      <w:r>
        <w:rPr>
          <w:rStyle w:val="FootnoteReference"/>
        </w:rPr>
        <w:footnoteRef/>
      </w:r>
      <w:r>
        <w:t xml:space="preserve"> </w:t>
      </w:r>
      <w:r w:rsidRPr="009C60C8">
        <w:rPr>
          <w:rStyle w:val="FootnotesChar"/>
        </w:rPr>
        <w:t>Base salary includes Audit Review and Compliance Committee sitting fees</w:t>
      </w:r>
    </w:p>
  </w:footnote>
  <w:footnote w:id="6">
    <w:p w14:paraId="6D5487BD" w14:textId="57FD01B2" w:rsidR="00E747BF" w:rsidRDefault="00E747BF">
      <w:pPr>
        <w:pStyle w:val="FootnoteText"/>
      </w:pPr>
      <w:r>
        <w:rPr>
          <w:rStyle w:val="FootnoteReference"/>
        </w:rPr>
        <w:footnoteRef/>
      </w:r>
      <w:r>
        <w:t xml:space="preserve"> </w:t>
      </w:r>
      <w:r w:rsidRPr="00BA2F1F">
        <w:rPr>
          <w:rStyle w:val="FootnotesChar"/>
        </w:rPr>
        <w:t xml:space="preserve">Jenny Richter </w:t>
      </w:r>
      <w:r>
        <w:rPr>
          <w:rStyle w:val="FootnotesChar"/>
        </w:rPr>
        <w:t>was a</w:t>
      </w:r>
      <w:r w:rsidRPr="00BA2F1F">
        <w:rPr>
          <w:rStyle w:val="FootnotesChar"/>
        </w:rPr>
        <w:t>ppointed from 1 February 2020</w:t>
      </w:r>
    </w:p>
  </w:footnote>
  <w:footnote w:id="7">
    <w:p w14:paraId="031DD7F3" w14:textId="3F6E0481" w:rsidR="00E747BF" w:rsidRDefault="00E747BF">
      <w:pPr>
        <w:pStyle w:val="FootnoteText"/>
      </w:pPr>
      <w:r>
        <w:rPr>
          <w:rStyle w:val="FootnoteReference"/>
        </w:rPr>
        <w:footnoteRef/>
      </w:r>
      <w:r>
        <w:t xml:space="preserve"> </w:t>
      </w:r>
      <w:r w:rsidRPr="00BA2F1F">
        <w:rPr>
          <w:rStyle w:val="FootnotesChar"/>
        </w:rPr>
        <w:t>Michael Walsh resigned as at 1 April 2020</w:t>
      </w:r>
    </w:p>
  </w:footnote>
  <w:footnote w:id="8">
    <w:p w14:paraId="3FF8D9F1" w14:textId="4D4CBBBD" w:rsidR="00E747BF" w:rsidRDefault="00E747BF">
      <w:pPr>
        <w:pStyle w:val="FootnoteText"/>
      </w:pPr>
      <w:r>
        <w:rPr>
          <w:rStyle w:val="FootnoteReference"/>
        </w:rPr>
        <w:footnoteRef/>
      </w:r>
      <w:r>
        <w:t xml:space="preserve"> </w:t>
      </w:r>
      <w:r w:rsidRPr="00BA2F1F">
        <w:rPr>
          <w:rStyle w:val="FootnotesChar"/>
        </w:rPr>
        <w:t xml:space="preserve">Jennifer Williams </w:t>
      </w:r>
      <w:r>
        <w:rPr>
          <w:rStyle w:val="FootnotesChar"/>
        </w:rPr>
        <w:t>was a</w:t>
      </w:r>
      <w:r w:rsidRPr="00BA2F1F">
        <w:rPr>
          <w:rStyle w:val="FootnotesChar"/>
        </w:rPr>
        <w:t>ppointed as Deputy Chair from 1 February 2020</w:t>
      </w:r>
    </w:p>
  </w:footnote>
  <w:footnote w:id="9">
    <w:p w14:paraId="177BE53B" w14:textId="54E7F2D6" w:rsidR="00E747BF" w:rsidRDefault="00E747BF" w:rsidP="006308C5">
      <w:pPr>
        <w:pStyle w:val="Footnotes"/>
      </w:pPr>
      <w:r>
        <w:rPr>
          <w:rStyle w:val="FootnoteReference"/>
        </w:rPr>
        <w:footnoteRef/>
      </w:r>
      <w:r w:rsidRPr="005C7AEF">
        <w:rPr>
          <w:rStyle w:val="FootnotesChar"/>
        </w:rPr>
        <w:t xml:space="preserve"> No change in valuation technique occurred during the period.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6341B4" w14:textId="4949DF91" w:rsidR="00E747BF" w:rsidRDefault="00E747BF">
    <w:pPr>
      <w:pStyle w:val="Header"/>
    </w:pPr>
    <w:r>
      <w:rPr>
        <w:noProof/>
        <w:lang w:val="en-GB" w:eastAsia="en-GB"/>
      </w:rPr>
      <w:drawing>
        <wp:anchor distT="0" distB="0" distL="114300" distR="114300" simplePos="0" relativeHeight="251658240" behindDoc="0" locked="0" layoutInCell="1" allowOverlap="1" wp14:anchorId="3212A8C0" wp14:editId="3E5B2D53">
          <wp:simplePos x="0" y="0"/>
          <wp:positionH relativeFrom="margin">
            <wp:posOffset>-965200</wp:posOffset>
          </wp:positionH>
          <wp:positionV relativeFrom="margin">
            <wp:posOffset>-914311</wp:posOffset>
          </wp:positionV>
          <wp:extent cx="6452728" cy="9018553"/>
          <wp:effectExtent l="0" t="0" r="5715" b="0"/>
          <wp:wrapNone/>
          <wp:docPr id="4" name="Picture 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452728" cy="9018553"/>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024CAD" w14:textId="4BCBA0A0" w:rsidR="00E747BF" w:rsidRDefault="00E747B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643BA2" w14:textId="1BFCA6AF" w:rsidR="00E747BF" w:rsidRDefault="00E747BF">
    <w:pPr>
      <w:pStyle w:val="Header"/>
    </w:pPr>
    <w:r>
      <w:rPr>
        <w:noProof/>
        <w:lang w:val="en-GB" w:eastAsia="en-GB"/>
      </w:rPr>
      <w:drawing>
        <wp:anchor distT="0" distB="0" distL="114300" distR="114300" simplePos="0" relativeHeight="251706368" behindDoc="0" locked="0" layoutInCell="1" allowOverlap="1" wp14:anchorId="4EB0BD0C" wp14:editId="5DB385B5">
          <wp:simplePos x="0" y="0"/>
          <wp:positionH relativeFrom="column">
            <wp:posOffset>-914078</wp:posOffset>
          </wp:positionH>
          <wp:positionV relativeFrom="paragraph">
            <wp:posOffset>-467418</wp:posOffset>
          </wp:positionV>
          <wp:extent cx="6352209" cy="9020921"/>
          <wp:effectExtent l="0" t="0" r="0" b="8890"/>
          <wp:wrapNone/>
          <wp:docPr id="88" name="Picture 8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6507" cy="90412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43D4CA" w14:textId="731BC917" w:rsidR="00E747BF" w:rsidRDefault="00E747BF">
    <w:r>
      <w:rPr>
        <w:noProof/>
        <w:lang w:val="en-GB" w:eastAsia="en-GB"/>
      </w:rPr>
      <w:drawing>
        <wp:anchor distT="0" distB="0" distL="114300" distR="114300" simplePos="0" relativeHeight="251708416" behindDoc="0" locked="0" layoutInCell="1" allowOverlap="1" wp14:anchorId="0BFE66DA" wp14:editId="017B6EDE">
          <wp:simplePos x="0" y="0"/>
          <wp:positionH relativeFrom="column">
            <wp:posOffset>-900430</wp:posOffset>
          </wp:positionH>
          <wp:positionV relativeFrom="paragraph">
            <wp:posOffset>-418465</wp:posOffset>
          </wp:positionV>
          <wp:extent cx="6323497" cy="8981859"/>
          <wp:effectExtent l="0" t="0" r="1270" b="0"/>
          <wp:wrapNone/>
          <wp:docPr id="89" name="Picture 8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323497" cy="898185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7AFD9" w14:textId="77777777" w:rsidR="00E747BF" w:rsidRDefault="00E747B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E0732" w14:textId="77777777" w:rsidR="00E747BF" w:rsidRDefault="00E747BF"/>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79679" w14:textId="69646A82" w:rsidR="00E747BF" w:rsidRDefault="00E747BF">
    <w:pPr>
      <w:pStyle w:val="Header"/>
    </w:pPr>
    <w:r>
      <w:rPr>
        <w:noProof/>
        <w:lang w:val="en-GB" w:eastAsia="en-GB"/>
      </w:rPr>
      <w:drawing>
        <wp:anchor distT="0" distB="0" distL="114300" distR="114300" simplePos="0" relativeHeight="251675648" behindDoc="0" locked="0" layoutInCell="1" allowOverlap="1" wp14:anchorId="4C56F32A" wp14:editId="5DEAE648">
          <wp:simplePos x="0" y="0"/>
          <wp:positionH relativeFrom="column">
            <wp:posOffset>-900430</wp:posOffset>
          </wp:positionH>
          <wp:positionV relativeFrom="paragraph">
            <wp:posOffset>-449812</wp:posOffset>
          </wp:positionV>
          <wp:extent cx="6450400" cy="9015299"/>
          <wp:effectExtent l="0" t="0" r="7620" b="0"/>
          <wp:wrapNone/>
          <wp:docPr id="91" name="Picture 91">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50400" cy="901529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33558" w14:textId="2920C149" w:rsidR="00E747BF" w:rsidRDefault="00E747BF">
    <w:r>
      <w:rPr>
        <w:noProof/>
        <w:lang w:val="en-GB" w:eastAsia="en-GB"/>
      </w:rPr>
      <w:drawing>
        <wp:anchor distT="0" distB="0" distL="114300" distR="114300" simplePos="0" relativeHeight="251660288" behindDoc="0" locked="0" layoutInCell="1" allowOverlap="1" wp14:anchorId="31648788" wp14:editId="7F54F109">
          <wp:simplePos x="0" y="0"/>
          <wp:positionH relativeFrom="column">
            <wp:posOffset>-950595</wp:posOffset>
          </wp:positionH>
          <wp:positionV relativeFrom="paragraph">
            <wp:posOffset>-450215</wp:posOffset>
          </wp:positionV>
          <wp:extent cx="6437411" cy="8997950"/>
          <wp:effectExtent l="0" t="0" r="1905" b="0"/>
          <wp:wrapNone/>
          <wp:docPr id="92" name="Picture 92">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50400" cy="901610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7DEAF" w14:textId="108A1A54" w:rsidR="00E747BF" w:rsidRDefault="00E747BF"/>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A38C3" w14:textId="77777777" w:rsidR="00E747BF" w:rsidRDefault="00E747B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6D3F7" w14:textId="3FC2F039" w:rsidR="00E747BF" w:rsidRDefault="00E747BF"/>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4430D" w14:textId="46CB030B" w:rsidR="00E747BF" w:rsidRPr="00FA60F3" w:rsidRDefault="00E747BF" w:rsidP="00FA60F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93F35" w14:textId="7B8CC261" w:rsidR="00E747BF" w:rsidRDefault="00E747BF">
    <w:pPr>
      <w:pStyle w:val="Header"/>
    </w:pPr>
    <w:r>
      <w:rPr>
        <w:noProof/>
        <w:lang w:val="en-GB" w:eastAsia="en-GB"/>
      </w:rPr>
      <w:drawing>
        <wp:anchor distT="0" distB="0" distL="114300" distR="114300" simplePos="0" relativeHeight="251677696" behindDoc="0" locked="0" layoutInCell="1" allowOverlap="1" wp14:anchorId="6209FE7E" wp14:editId="78EF8209">
          <wp:simplePos x="0" y="0"/>
          <wp:positionH relativeFrom="column">
            <wp:posOffset>-900430</wp:posOffset>
          </wp:positionH>
          <wp:positionV relativeFrom="paragraph">
            <wp:posOffset>-450215</wp:posOffset>
          </wp:positionV>
          <wp:extent cx="6441703" cy="9003144"/>
          <wp:effectExtent l="0" t="0" r="0" b="7620"/>
          <wp:wrapNone/>
          <wp:docPr id="93" name="Picture 93">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41703" cy="900314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73FC1" w14:textId="03FE61A6" w:rsidR="00E747BF" w:rsidRDefault="00E747BF"/>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C5BA4" w14:textId="77777777" w:rsidR="00E747BF" w:rsidRDefault="00E747B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8B636" w14:textId="77777777" w:rsidR="00E747BF" w:rsidRDefault="00E747BF"/>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D9A35" w14:textId="17889779" w:rsidR="00E747BF" w:rsidRDefault="00E747BF"/>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184FB" w14:textId="3BD74F60" w:rsidR="00E747BF" w:rsidRDefault="00E747BF">
    <w:pPr>
      <w:pStyle w:val="Header"/>
    </w:pPr>
    <w:r>
      <w:rPr>
        <w:noProof/>
        <w:lang w:val="en-GB" w:eastAsia="en-GB"/>
      </w:rPr>
      <w:drawing>
        <wp:anchor distT="0" distB="0" distL="114300" distR="114300" simplePos="0" relativeHeight="251681792" behindDoc="0" locked="0" layoutInCell="1" allowOverlap="1" wp14:anchorId="4E0CE692" wp14:editId="61A809D2">
          <wp:simplePos x="0" y="0"/>
          <wp:positionH relativeFrom="column">
            <wp:posOffset>-900430</wp:posOffset>
          </wp:positionH>
          <wp:positionV relativeFrom="paragraph">
            <wp:posOffset>-449629</wp:posOffset>
          </wp:positionV>
          <wp:extent cx="6441735" cy="9003189"/>
          <wp:effectExtent l="0" t="0" r="0" b="7620"/>
          <wp:wrapNone/>
          <wp:docPr id="94" name="Picture 94">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41735" cy="900318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E5296" w14:textId="1AA997B5" w:rsidR="00E747BF" w:rsidRDefault="00E747BF">
    <w:r>
      <w:rPr>
        <w:noProof/>
        <w:lang w:val="en-GB" w:eastAsia="en-GB"/>
      </w:rPr>
      <w:drawing>
        <wp:anchor distT="0" distB="0" distL="114300" distR="114300" simplePos="0" relativeHeight="251662336" behindDoc="0" locked="0" layoutInCell="1" allowOverlap="1" wp14:anchorId="42246F14" wp14:editId="78AFF468">
          <wp:simplePos x="0" y="0"/>
          <wp:positionH relativeFrom="column">
            <wp:posOffset>-946785</wp:posOffset>
          </wp:positionH>
          <wp:positionV relativeFrom="paragraph">
            <wp:posOffset>-450215</wp:posOffset>
          </wp:positionV>
          <wp:extent cx="6430488" cy="8988641"/>
          <wp:effectExtent l="0" t="0" r="8890" b="3175"/>
          <wp:wrapNone/>
          <wp:docPr id="95" name="Picture 9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1735" cy="900436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93826" w14:textId="4051AD94" w:rsidR="00E747BF" w:rsidRDefault="00E747BF"/>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604C1" w14:textId="19ECE254" w:rsidR="00E747BF" w:rsidRDefault="00E747BF"/>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A84C3" w14:textId="173C4894" w:rsidR="00E747BF" w:rsidRDefault="00E747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33D2E" w14:textId="6D223489" w:rsidR="00E747BF" w:rsidRDefault="00E747BF">
    <w:pPr>
      <w:pStyle w:val="Header"/>
    </w:pPr>
    <w:r>
      <w:rPr>
        <w:noProof/>
        <w:lang w:val="en-GB" w:eastAsia="en-GB"/>
      </w:rPr>
      <w:drawing>
        <wp:anchor distT="0" distB="0" distL="114300" distR="114300" simplePos="0" relativeHeight="251671552" behindDoc="0" locked="0" layoutInCell="1" allowOverlap="1" wp14:anchorId="54466514" wp14:editId="1316B5A7">
          <wp:simplePos x="0" y="0"/>
          <wp:positionH relativeFrom="column">
            <wp:posOffset>-900430</wp:posOffset>
          </wp:positionH>
          <wp:positionV relativeFrom="paragraph">
            <wp:posOffset>-441112</wp:posOffset>
          </wp:positionV>
          <wp:extent cx="6450550" cy="9015509"/>
          <wp:effectExtent l="0" t="0" r="7620" b="0"/>
          <wp:wrapNone/>
          <wp:docPr id="85" name="Picture 8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50550" cy="901550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45A1C" w14:textId="1E6EAF00" w:rsidR="00E747BF" w:rsidRDefault="00E747B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23D59B" w14:textId="77777777" w:rsidR="00E747BF" w:rsidRDefault="00E747BF">
    <w:pPr>
      <w:pStyle w:val="Header"/>
    </w:pPr>
    <w:r>
      <w:rPr>
        <w:noProof/>
        <w:lang w:val="en-GB" w:eastAsia="en-GB"/>
      </w:rPr>
      <w:drawing>
        <wp:anchor distT="0" distB="0" distL="114300" distR="114300" simplePos="0" relativeHeight="251687936" behindDoc="0" locked="0" layoutInCell="1" allowOverlap="1" wp14:anchorId="33C650BC" wp14:editId="656E35E5">
          <wp:simplePos x="0" y="0"/>
          <wp:positionH relativeFrom="margin">
            <wp:posOffset>-960120</wp:posOffset>
          </wp:positionH>
          <wp:positionV relativeFrom="paragraph">
            <wp:posOffset>-450215</wp:posOffset>
          </wp:positionV>
          <wp:extent cx="6452702" cy="9018517"/>
          <wp:effectExtent l="0" t="0" r="5715" b="0"/>
          <wp:wrapNone/>
          <wp:docPr id="96" name="Picture 9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52702" cy="901851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6C6FA" w14:textId="18674899" w:rsidR="00E747BF" w:rsidRDefault="00E747BF">
    <w:r>
      <w:rPr>
        <w:noProof/>
        <w:lang w:val="en-GB" w:eastAsia="en-GB"/>
      </w:rPr>
      <w:drawing>
        <wp:anchor distT="0" distB="0" distL="114300" distR="114300" simplePos="0" relativeHeight="251663360" behindDoc="0" locked="0" layoutInCell="1" allowOverlap="1" wp14:anchorId="4C5C4F0B" wp14:editId="114029A7">
          <wp:simplePos x="0" y="0"/>
          <wp:positionH relativeFrom="margin">
            <wp:posOffset>-944016</wp:posOffset>
          </wp:positionH>
          <wp:positionV relativeFrom="paragraph">
            <wp:posOffset>-450215</wp:posOffset>
          </wp:positionV>
          <wp:extent cx="6452702" cy="9018518"/>
          <wp:effectExtent l="0" t="0" r="5715" b="0"/>
          <wp:wrapNone/>
          <wp:docPr id="97" name="Picture 9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52702" cy="901851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AF095" w14:textId="540D6A12" w:rsidR="00E747BF" w:rsidRDefault="00E747BF"/>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307D2A" w14:textId="77777777" w:rsidR="00E747BF" w:rsidRDefault="00E747BF">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70652" w14:textId="77777777" w:rsidR="00E747BF" w:rsidRDefault="00E747BF"/>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97843" w14:textId="3F8B96A4" w:rsidR="00E747BF" w:rsidRDefault="00E747BF">
    <w:r>
      <w:rPr>
        <w:noProof/>
        <w:lang w:val="en-GB" w:eastAsia="en-GB"/>
      </w:rPr>
      <mc:AlternateContent>
        <mc:Choice Requires="wps">
          <w:drawing>
            <wp:anchor distT="0" distB="0" distL="114300" distR="114300" simplePos="0" relativeHeight="251702272" behindDoc="0" locked="0" layoutInCell="0" allowOverlap="1" wp14:anchorId="691EE007" wp14:editId="13B95B36">
              <wp:simplePos x="0" y="0"/>
              <wp:positionH relativeFrom="leftMargin">
                <wp:posOffset>-2056130</wp:posOffset>
              </wp:positionH>
              <wp:positionV relativeFrom="page">
                <wp:posOffset>2766060</wp:posOffset>
              </wp:positionV>
              <wp:extent cx="4756785" cy="645795"/>
              <wp:effectExtent l="0" t="1905" r="3810" b="3810"/>
              <wp:wrapNone/>
              <wp:docPr id="67" name="Rectangle 6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4756785" cy="645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CBD43" w14:textId="29057B69" w:rsidR="00E747BF" w:rsidRPr="00BB75D1" w:rsidRDefault="00E747BF" w:rsidP="00D832D3">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72</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EE007" id="Rectangle 67" o:spid="_x0000_s1026" style="position:absolute;margin-left:-161.9pt;margin-top:217.8pt;width:374.55pt;height:50.85pt;rotation:90;z-index:251702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" o:allowincell="f" stroked="f">
              <o:lock v:ext="edit" aspectratio="t"/>
              <v:textbox style="layout-flow:vertical">
                <w:txbxContent>
                  <w:p w14:paraId="665CBD43" w14:textId="29057B69" w:rsidR="00E747BF" w:rsidRPr="00BB75D1" w:rsidRDefault="00E747BF" w:rsidP="00D832D3">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72</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txbxContent>
              </v:textbox>
              <w10:wrap anchorx="margin" anchory="page"/>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96F606" w14:textId="77777777" w:rsidR="00E747BF" w:rsidRDefault="00E747BF"/>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424BE" w14:textId="19BFFBDF" w:rsidR="00E747BF" w:rsidRDefault="00E747BF"/>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49023" w14:textId="6207E6CE" w:rsidR="00E747BF" w:rsidRDefault="00E747BF">
    <w:pPr>
      <w:pStyle w:val="Header"/>
    </w:pPr>
    <w:r>
      <w:rPr>
        <w:noProof/>
        <w:lang w:val="en-GB" w:eastAsia="en-GB"/>
      </w:rPr>
      <mc:AlternateContent>
        <mc:Choice Requires="wps">
          <w:drawing>
            <wp:anchor distT="0" distB="0" distL="114300" distR="114300" simplePos="0" relativeHeight="251696128" behindDoc="0" locked="0" layoutInCell="0" allowOverlap="1" wp14:anchorId="642E67F1" wp14:editId="48E57E58">
              <wp:simplePos x="0" y="0"/>
              <wp:positionH relativeFrom="leftMargin">
                <wp:posOffset>-2066925</wp:posOffset>
              </wp:positionH>
              <wp:positionV relativeFrom="page">
                <wp:posOffset>2947035</wp:posOffset>
              </wp:positionV>
              <wp:extent cx="4756785" cy="645795"/>
              <wp:effectExtent l="0" t="1905" r="3810" b="3810"/>
              <wp:wrapNone/>
              <wp:docPr id="30" name="Rectangle 3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4756785" cy="645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A5B2C" w14:textId="472917E6" w:rsidR="00E747BF" w:rsidRPr="00BB75D1" w:rsidRDefault="00E747BF" w:rsidP="0040012B">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76</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E67F1" id="Rectangle 30" o:spid="_x0000_s1027" style="position:absolute;margin-left:-162.75pt;margin-top:232.05pt;width:374.55pt;height:50.85pt;rotation:90;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" o:allowincell="f" stroked="f">
              <o:lock v:ext="edit" aspectratio="t"/>
              <v:textbox style="layout-flow:vertical">
                <w:txbxContent>
                  <w:p w14:paraId="13AA5B2C" w14:textId="472917E6" w:rsidR="00E747BF" w:rsidRPr="00BB75D1" w:rsidRDefault="00E747BF" w:rsidP="0040012B">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E6FC6">
                      <w:rPr>
                        <w:noProof/>
                        <w:color w:val="003F2C" w:themeColor="text1"/>
                        <w:sz w:val="16"/>
                        <w:szCs w:val="16"/>
                      </w:rPr>
                      <w:t>76</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txbxContent>
              </v:textbox>
              <w10:wrap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5ED8D" w14:textId="736D72C2" w:rsidR="00E747BF" w:rsidRDefault="00E747BF">
    <w:pPr>
      <w:pStyle w:val="Header"/>
    </w:pPr>
  </w:p>
  <w:p w14:paraId="18C8FB67" w14:textId="77777777" w:rsidR="00E747BF" w:rsidRDefault="00E747BF"/>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418ED" w14:textId="236D6C80" w:rsidR="00E747BF" w:rsidRDefault="00E747BF"/>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6338CD" w14:textId="190431FB" w:rsidR="00E747BF" w:rsidRDefault="00E747B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EACE3" w14:textId="3879D3DE" w:rsidR="00E747BF" w:rsidRDefault="00E747BF"/>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8E3AE9" w14:textId="5F4E03D3" w:rsidR="00E747BF" w:rsidRDefault="00E747BF"/>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33224" w14:textId="2EB36304" w:rsidR="00E747BF" w:rsidRDefault="00E747BF">
    <w:pPr>
      <w:pStyle w:val="Header"/>
    </w:pPr>
    <w:r>
      <w:rPr>
        <w:noProof/>
        <w:lang w:val="en-GB" w:eastAsia="en-GB"/>
      </w:rPr>
      <w:drawing>
        <wp:anchor distT="0" distB="0" distL="114300" distR="114300" simplePos="0" relativeHeight="251666432" behindDoc="0" locked="0" layoutInCell="1" allowOverlap="1" wp14:anchorId="1FAB7421" wp14:editId="4E672215">
          <wp:simplePos x="0" y="0"/>
          <wp:positionH relativeFrom="column">
            <wp:posOffset>-951230</wp:posOffset>
          </wp:positionH>
          <wp:positionV relativeFrom="paragraph">
            <wp:posOffset>-449813</wp:posOffset>
          </wp:positionV>
          <wp:extent cx="6448525" cy="9012679"/>
          <wp:effectExtent l="0" t="0" r="9525" b="0"/>
          <wp:wrapNone/>
          <wp:docPr id="98" name="Picture 9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48525" cy="901267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D4F41C" w14:textId="1601C740" w:rsidR="00E747BF" w:rsidRDefault="00E747BF">
    <w:r>
      <w:rPr>
        <w:noProof/>
        <w:lang w:val="en-GB" w:eastAsia="en-GB"/>
      </w:rPr>
      <w:drawing>
        <wp:anchor distT="0" distB="0" distL="114300" distR="114300" simplePos="0" relativeHeight="251668480" behindDoc="0" locked="0" layoutInCell="1" allowOverlap="1" wp14:anchorId="5D45A815" wp14:editId="658AA67C">
          <wp:simplePos x="0" y="0"/>
          <wp:positionH relativeFrom="column">
            <wp:posOffset>-901700</wp:posOffset>
          </wp:positionH>
          <wp:positionV relativeFrom="paragraph">
            <wp:posOffset>-451485</wp:posOffset>
          </wp:positionV>
          <wp:extent cx="6437411" cy="8997950"/>
          <wp:effectExtent l="0" t="0" r="1905" b="0"/>
          <wp:wrapNone/>
          <wp:docPr id="99" name="Picture 99">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8525" cy="901348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61264" w14:textId="704BF52B" w:rsidR="00E747BF" w:rsidRDefault="00E747BF">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B3E47" w14:textId="3D953207" w:rsidR="00E747BF" w:rsidRDefault="00E747BF"/>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D39C9" w14:textId="000E9FC7" w:rsidR="00E747BF" w:rsidRDefault="00E747BF">
    <w:pPr>
      <w:pStyle w:val="Header"/>
    </w:pPr>
    <w:r>
      <w:rPr>
        <w:noProof/>
        <w:lang w:val="en-GB" w:eastAsia="en-GB"/>
      </w:rPr>
      <w:drawing>
        <wp:anchor distT="0" distB="0" distL="114300" distR="114300" simplePos="0" relativeHeight="251692032" behindDoc="0" locked="0" layoutInCell="1" allowOverlap="1" wp14:anchorId="4C143AE8" wp14:editId="6DDA18E5">
          <wp:simplePos x="0" y="0"/>
          <wp:positionH relativeFrom="column">
            <wp:posOffset>-897890</wp:posOffset>
          </wp:positionH>
          <wp:positionV relativeFrom="paragraph">
            <wp:posOffset>-453390</wp:posOffset>
          </wp:positionV>
          <wp:extent cx="6437411" cy="8997950"/>
          <wp:effectExtent l="0" t="0" r="1905" b="0"/>
          <wp:wrapNone/>
          <wp:docPr id="100" name="Picture 100">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37411" cy="89979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598AF" w14:textId="58BDD7C4" w:rsidR="00E747BF" w:rsidRDefault="00E747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4EB05" w14:textId="77777777" w:rsidR="00E747BF" w:rsidRDefault="00E747BF">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A01CC" w14:textId="74304666" w:rsidR="00E747BF" w:rsidRDefault="00E747BF"/>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AC3C4" w14:textId="58C4FB36" w:rsidR="00E747BF" w:rsidRDefault="00E747BF">
    <w:pPr>
      <w:pStyle w:val="Header"/>
    </w:pPr>
    <w:r>
      <w:rPr>
        <w:noProof/>
        <w:lang w:val="en-GB" w:eastAsia="en-GB"/>
      </w:rPr>
      <w:drawing>
        <wp:anchor distT="0" distB="0" distL="114300" distR="114300" simplePos="0" relativeHeight="251694080" behindDoc="0" locked="0" layoutInCell="1" allowOverlap="1" wp14:anchorId="17E62BA0" wp14:editId="60E596B9">
          <wp:simplePos x="0" y="0"/>
          <wp:positionH relativeFrom="column">
            <wp:posOffset>-897890</wp:posOffset>
          </wp:positionH>
          <wp:positionV relativeFrom="paragraph">
            <wp:posOffset>-453390</wp:posOffset>
          </wp:positionV>
          <wp:extent cx="6448567" cy="9008682"/>
          <wp:effectExtent l="0" t="0" r="0" b="2540"/>
          <wp:wrapNone/>
          <wp:docPr id="48" name="Picture 48">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8567" cy="900868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C0E31" w14:textId="15D62F1A" w:rsidR="00E747BF" w:rsidRDefault="00E747BF">
    <w:r>
      <w:rPr>
        <w:noProof/>
        <w:lang w:val="en-GB" w:eastAsia="en-GB"/>
      </w:rPr>
      <w:drawing>
        <wp:anchor distT="0" distB="0" distL="114300" distR="114300" simplePos="0" relativeHeight="251669504" behindDoc="0" locked="0" layoutInCell="1" allowOverlap="1" wp14:anchorId="014D9A6A" wp14:editId="1321D371">
          <wp:simplePos x="0" y="0"/>
          <wp:positionH relativeFrom="column">
            <wp:posOffset>-956310</wp:posOffset>
          </wp:positionH>
          <wp:positionV relativeFrom="paragraph">
            <wp:posOffset>-450215</wp:posOffset>
          </wp:positionV>
          <wp:extent cx="6448567" cy="9008682"/>
          <wp:effectExtent l="0" t="0" r="0" b="2540"/>
          <wp:wrapNone/>
          <wp:docPr id="5" name="Picture 5">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66320" cy="903348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AAE8B" w14:textId="77777777" w:rsidR="00E747BF" w:rsidRDefault="00E747BF"/>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78361" w14:textId="2D47EA32" w:rsidR="00E747BF" w:rsidRDefault="00E747BF">
    <w:pPr>
      <w:pStyle w:val="Header"/>
    </w:pPr>
    <w:r>
      <w:rPr>
        <w:noProof/>
        <w:lang w:val="en-GB" w:eastAsia="en-GB"/>
      </w:rPr>
      <w:drawing>
        <wp:anchor distT="0" distB="0" distL="114300" distR="114300" simplePos="0" relativeHeight="251673600" behindDoc="0" locked="0" layoutInCell="1" allowOverlap="1" wp14:anchorId="3AF03E5B" wp14:editId="5C6169D4">
          <wp:simplePos x="0" y="0"/>
          <wp:positionH relativeFrom="column">
            <wp:posOffset>-951230</wp:posOffset>
          </wp:positionH>
          <wp:positionV relativeFrom="paragraph">
            <wp:posOffset>-443462</wp:posOffset>
          </wp:positionV>
          <wp:extent cx="6446386" cy="9009689"/>
          <wp:effectExtent l="0" t="0" r="0" b="1270"/>
          <wp:wrapNone/>
          <wp:docPr id="86" name="Picture 86">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446386" cy="900968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B33BD" w14:textId="37BA4266" w:rsidR="00E747BF" w:rsidRDefault="00E747BF">
    <w:r>
      <w:rPr>
        <w:noProof/>
        <w:lang w:val="en-GB" w:eastAsia="en-GB"/>
      </w:rPr>
      <w:drawing>
        <wp:anchor distT="0" distB="0" distL="114300" distR="114300" simplePos="0" relativeHeight="251659264" behindDoc="0" locked="0" layoutInCell="1" allowOverlap="1" wp14:anchorId="62061D68" wp14:editId="272CDE32">
          <wp:simplePos x="0" y="0"/>
          <wp:positionH relativeFrom="column">
            <wp:posOffset>-951230</wp:posOffset>
          </wp:positionH>
          <wp:positionV relativeFrom="paragraph">
            <wp:posOffset>-450215</wp:posOffset>
          </wp:positionV>
          <wp:extent cx="6438900" cy="9000031"/>
          <wp:effectExtent l="0" t="0" r="0" b="0"/>
          <wp:wrapNone/>
          <wp:docPr id="87" name="Picture 87">
            <a:extLst xmlns:a="http://schemas.openxmlformats.org/drawingml/2006/main">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uri="{C183D7F6-B498-43B3-948B-1728B52AA6E4}">
                        <adec:decorative xmlns:adec="http://schemas.microsoft.com/office/drawing/2017/decorative"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46386" cy="90104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D1FA78" w14:textId="6E500C29" w:rsidR="00E747BF" w:rsidRDefault="00E747B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0C75D3"/>
    <w:multiLevelType w:val="hybridMultilevel"/>
    <w:tmpl w:val="0734A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F1B06F4"/>
    <w:multiLevelType w:val="hybridMultilevel"/>
    <w:tmpl w:val="34A2B07C"/>
    <w:lvl w:ilvl="0" w:tplc="11D46D96">
      <w:start w:val="1"/>
      <w:numFmt w:val="decimal"/>
      <w:pStyle w:val="NumberedList"/>
      <w:lvlText w:val="%1."/>
      <w:lvlJc w:val="left"/>
      <w:pPr>
        <w:ind w:left="360" w:hanging="360"/>
      </w:pPr>
      <w:rPr>
        <w:rFonts w:hint="default"/>
        <w:u w:color="7EC352" w:themeColor="accent2"/>
      </w:rPr>
    </w:lvl>
    <w:lvl w:ilvl="1" w:tplc="3D84644E">
      <w:numFmt w:val="bullet"/>
      <w:lvlText w:val=""/>
      <w:lvlJc w:val="left"/>
      <w:pPr>
        <w:ind w:left="1687" w:hanging="720"/>
      </w:pPr>
      <w:rPr>
        <w:rFonts w:ascii="Symbol" w:eastAsiaTheme="minorHAnsi" w:hAnsi="Symbol" w:cstheme="minorBidi" w:hint="default"/>
      </w:rPr>
    </w:lvl>
    <w:lvl w:ilvl="2" w:tplc="34090005" w:tentative="1">
      <w:start w:val="1"/>
      <w:numFmt w:val="bullet"/>
      <w:lvlText w:val=""/>
      <w:lvlJc w:val="left"/>
      <w:pPr>
        <w:ind w:left="2047" w:hanging="360"/>
      </w:pPr>
      <w:rPr>
        <w:rFonts w:ascii="Wingdings" w:hAnsi="Wingdings" w:hint="default"/>
      </w:rPr>
    </w:lvl>
    <w:lvl w:ilvl="3" w:tplc="34090001" w:tentative="1">
      <w:start w:val="1"/>
      <w:numFmt w:val="bullet"/>
      <w:lvlText w:val=""/>
      <w:lvlJc w:val="left"/>
      <w:pPr>
        <w:ind w:left="2767" w:hanging="360"/>
      </w:pPr>
      <w:rPr>
        <w:rFonts w:ascii="Symbol" w:hAnsi="Symbol" w:hint="default"/>
      </w:rPr>
    </w:lvl>
    <w:lvl w:ilvl="4" w:tplc="34090003" w:tentative="1">
      <w:start w:val="1"/>
      <w:numFmt w:val="bullet"/>
      <w:lvlText w:val="o"/>
      <w:lvlJc w:val="left"/>
      <w:pPr>
        <w:ind w:left="3487" w:hanging="360"/>
      </w:pPr>
      <w:rPr>
        <w:rFonts w:ascii="Courier New" w:hAnsi="Courier New" w:cs="Courier New" w:hint="default"/>
      </w:rPr>
    </w:lvl>
    <w:lvl w:ilvl="5" w:tplc="34090005" w:tentative="1">
      <w:start w:val="1"/>
      <w:numFmt w:val="bullet"/>
      <w:lvlText w:val=""/>
      <w:lvlJc w:val="left"/>
      <w:pPr>
        <w:ind w:left="4207" w:hanging="360"/>
      </w:pPr>
      <w:rPr>
        <w:rFonts w:ascii="Wingdings" w:hAnsi="Wingdings" w:hint="default"/>
      </w:rPr>
    </w:lvl>
    <w:lvl w:ilvl="6" w:tplc="34090001" w:tentative="1">
      <w:start w:val="1"/>
      <w:numFmt w:val="bullet"/>
      <w:lvlText w:val=""/>
      <w:lvlJc w:val="left"/>
      <w:pPr>
        <w:ind w:left="4927" w:hanging="360"/>
      </w:pPr>
      <w:rPr>
        <w:rFonts w:ascii="Symbol" w:hAnsi="Symbol" w:hint="default"/>
      </w:rPr>
    </w:lvl>
    <w:lvl w:ilvl="7" w:tplc="34090003" w:tentative="1">
      <w:start w:val="1"/>
      <w:numFmt w:val="bullet"/>
      <w:lvlText w:val="o"/>
      <w:lvlJc w:val="left"/>
      <w:pPr>
        <w:ind w:left="5647" w:hanging="360"/>
      </w:pPr>
      <w:rPr>
        <w:rFonts w:ascii="Courier New" w:hAnsi="Courier New" w:cs="Courier New" w:hint="default"/>
      </w:rPr>
    </w:lvl>
    <w:lvl w:ilvl="8" w:tplc="34090005" w:tentative="1">
      <w:start w:val="1"/>
      <w:numFmt w:val="bullet"/>
      <w:lvlText w:val=""/>
      <w:lvlJc w:val="left"/>
      <w:pPr>
        <w:ind w:left="6367" w:hanging="360"/>
      </w:pPr>
      <w:rPr>
        <w:rFonts w:ascii="Wingdings" w:hAnsi="Wingdings" w:hint="default"/>
      </w:rPr>
    </w:lvl>
  </w:abstractNum>
  <w:abstractNum w:abstractNumId="2" w15:restartNumberingAfterBreak="0">
    <w:nsid w:val="222E66C7"/>
    <w:multiLevelType w:val="hybridMultilevel"/>
    <w:tmpl w:val="825A454C"/>
    <w:lvl w:ilvl="0" w:tplc="35C2AFF2">
      <w:start w:val="1"/>
      <w:numFmt w:val="bullet"/>
      <w:pStyle w:val="ListBullet"/>
      <w:lvlText w:val=""/>
      <w:lvlJc w:val="left"/>
      <w:pPr>
        <w:ind w:left="720" w:hanging="360"/>
      </w:pPr>
      <w:rPr>
        <w:rFonts w:ascii="Symbol" w:hAnsi="Symbol" w:hint="default"/>
        <w:color w:val="F56A6A"/>
      </w:rPr>
    </w:lvl>
    <w:lvl w:ilvl="1" w:tplc="B0A097FE">
      <w:start w:val="1"/>
      <w:numFmt w:val="bullet"/>
      <w:lvlText w:val="o"/>
      <w:lvlJc w:val="left"/>
      <w:pPr>
        <w:ind w:left="1443" w:hanging="360"/>
      </w:pPr>
      <w:rPr>
        <w:rFonts w:ascii="Courier New" w:hAnsi="Courier New" w:cs="Courier New" w:hint="default"/>
      </w:rPr>
    </w:lvl>
    <w:lvl w:ilvl="2" w:tplc="D29405D6">
      <w:start w:val="1"/>
      <w:numFmt w:val="bullet"/>
      <w:pStyle w:val="ListBulletlvl3"/>
      <w:lvlText w:val=""/>
      <w:lvlJc w:val="left"/>
      <w:pPr>
        <w:ind w:left="2163" w:hanging="360"/>
      </w:pPr>
      <w:rPr>
        <w:rFonts w:ascii="Wingdings" w:hAnsi="Wingdings" w:hint="default"/>
      </w:rPr>
    </w:lvl>
    <w:lvl w:ilvl="3" w:tplc="E382A41C">
      <w:start w:val="1"/>
      <w:numFmt w:val="bullet"/>
      <w:pStyle w:val="ListBulletlvl4"/>
      <w:lvlText w:val=""/>
      <w:lvlJc w:val="left"/>
      <w:pPr>
        <w:ind w:left="2883" w:hanging="360"/>
      </w:pPr>
      <w:rPr>
        <w:rFonts w:ascii="Symbol" w:hAnsi="Symbol" w:hint="default"/>
      </w:rPr>
    </w:lvl>
    <w:lvl w:ilvl="4" w:tplc="9CB8CFEE">
      <w:start w:val="1"/>
      <w:numFmt w:val="bullet"/>
      <w:pStyle w:val="ListBulletlvl5"/>
      <w:lvlText w:val="o"/>
      <w:lvlJc w:val="left"/>
      <w:pPr>
        <w:ind w:left="3603" w:hanging="360"/>
      </w:pPr>
      <w:rPr>
        <w:rFonts w:ascii="Courier New" w:hAnsi="Courier New" w:cs="Courier New" w:hint="default"/>
      </w:rPr>
    </w:lvl>
    <w:lvl w:ilvl="5" w:tplc="E3EA1444">
      <w:start w:val="1"/>
      <w:numFmt w:val="bullet"/>
      <w:pStyle w:val="ListBulletlvl6"/>
      <w:lvlText w:val=""/>
      <w:lvlJc w:val="left"/>
      <w:pPr>
        <w:ind w:left="4323" w:hanging="360"/>
      </w:pPr>
      <w:rPr>
        <w:rFonts w:ascii="Wingdings" w:hAnsi="Wingdings" w:hint="default"/>
      </w:rPr>
    </w:lvl>
    <w:lvl w:ilvl="6" w:tplc="CE6475DA">
      <w:start w:val="1"/>
      <w:numFmt w:val="bullet"/>
      <w:pStyle w:val="ListBulletlvl7"/>
      <w:lvlText w:val=""/>
      <w:lvlJc w:val="left"/>
      <w:pPr>
        <w:ind w:left="5043" w:hanging="360"/>
      </w:pPr>
      <w:rPr>
        <w:rFonts w:ascii="Symbol" w:hAnsi="Symbol" w:hint="default"/>
      </w:rPr>
    </w:lvl>
    <w:lvl w:ilvl="7" w:tplc="955A214A">
      <w:start w:val="1"/>
      <w:numFmt w:val="bullet"/>
      <w:pStyle w:val="ListBulletlvl8"/>
      <w:lvlText w:val="o"/>
      <w:lvlJc w:val="left"/>
      <w:pPr>
        <w:ind w:left="5763" w:hanging="360"/>
      </w:pPr>
      <w:rPr>
        <w:rFonts w:ascii="Courier New" w:hAnsi="Courier New" w:cs="Courier New" w:hint="default"/>
      </w:rPr>
    </w:lvl>
    <w:lvl w:ilvl="8" w:tplc="81C04A4A">
      <w:start w:val="1"/>
      <w:numFmt w:val="bullet"/>
      <w:pStyle w:val="ListBulletlvl9"/>
      <w:lvlText w:val=""/>
      <w:lvlJc w:val="left"/>
      <w:pPr>
        <w:ind w:left="6483" w:hanging="360"/>
      </w:pPr>
      <w:rPr>
        <w:rFonts w:ascii="Wingdings" w:hAnsi="Wingdings" w:hint="default"/>
      </w:rPr>
    </w:lvl>
  </w:abstractNum>
  <w:abstractNum w:abstractNumId="3" w15:restartNumberingAfterBreak="0">
    <w:nsid w:val="3E307475"/>
    <w:multiLevelType w:val="hybridMultilevel"/>
    <w:tmpl w:val="452AB524"/>
    <w:lvl w:ilvl="0" w:tplc="27BCCAA8">
      <w:start w:val="1"/>
      <w:numFmt w:val="decimal"/>
      <w:pStyle w:val="TOCHead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4" w15:restartNumberingAfterBreak="0">
    <w:nsid w:val="3E53401D"/>
    <w:multiLevelType w:val="hybridMultilevel"/>
    <w:tmpl w:val="C5D87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EDC10D3"/>
    <w:multiLevelType w:val="hybridMultilevel"/>
    <w:tmpl w:val="6610E54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 w15:restartNumberingAfterBreak="0">
    <w:nsid w:val="5AE00E06"/>
    <w:multiLevelType w:val="hybridMultilevel"/>
    <w:tmpl w:val="2446E4B8"/>
    <w:lvl w:ilvl="0" w:tplc="E82EE748">
      <w:start w:val="1"/>
      <w:numFmt w:val="lowerLetter"/>
      <w:pStyle w:val="AlphabetListL2"/>
      <w:lvlText w:val="%1."/>
      <w:lvlJc w:val="left"/>
      <w:pPr>
        <w:ind w:left="720" w:hanging="360"/>
      </w:pPr>
      <w:rPr>
        <w:rFonts w:hint="default"/>
        <w:u w:color="7EC352" w:themeColor="accent2"/>
      </w:rPr>
    </w:lvl>
    <w:lvl w:ilvl="1" w:tplc="3D84644E">
      <w:numFmt w:val="bullet"/>
      <w:lvlText w:val=""/>
      <w:lvlJc w:val="left"/>
      <w:pPr>
        <w:ind w:left="2047" w:hanging="720"/>
      </w:pPr>
      <w:rPr>
        <w:rFonts w:ascii="Symbol" w:eastAsiaTheme="minorHAnsi" w:hAnsi="Symbol" w:cstheme="minorBidi" w:hint="default"/>
      </w:rPr>
    </w:lvl>
    <w:lvl w:ilvl="2" w:tplc="34090005" w:tentative="1">
      <w:start w:val="1"/>
      <w:numFmt w:val="bullet"/>
      <w:lvlText w:val=""/>
      <w:lvlJc w:val="left"/>
      <w:pPr>
        <w:ind w:left="2407" w:hanging="360"/>
      </w:pPr>
      <w:rPr>
        <w:rFonts w:ascii="Wingdings" w:hAnsi="Wingdings" w:hint="default"/>
      </w:rPr>
    </w:lvl>
    <w:lvl w:ilvl="3" w:tplc="34090001" w:tentative="1">
      <w:start w:val="1"/>
      <w:numFmt w:val="bullet"/>
      <w:lvlText w:val=""/>
      <w:lvlJc w:val="left"/>
      <w:pPr>
        <w:ind w:left="3127" w:hanging="360"/>
      </w:pPr>
      <w:rPr>
        <w:rFonts w:ascii="Symbol" w:hAnsi="Symbol" w:hint="default"/>
      </w:rPr>
    </w:lvl>
    <w:lvl w:ilvl="4" w:tplc="34090003" w:tentative="1">
      <w:start w:val="1"/>
      <w:numFmt w:val="bullet"/>
      <w:lvlText w:val="o"/>
      <w:lvlJc w:val="left"/>
      <w:pPr>
        <w:ind w:left="3847" w:hanging="360"/>
      </w:pPr>
      <w:rPr>
        <w:rFonts w:ascii="Courier New" w:hAnsi="Courier New" w:cs="Courier New" w:hint="default"/>
      </w:rPr>
    </w:lvl>
    <w:lvl w:ilvl="5" w:tplc="34090005" w:tentative="1">
      <w:start w:val="1"/>
      <w:numFmt w:val="bullet"/>
      <w:lvlText w:val=""/>
      <w:lvlJc w:val="left"/>
      <w:pPr>
        <w:ind w:left="4567" w:hanging="360"/>
      </w:pPr>
      <w:rPr>
        <w:rFonts w:ascii="Wingdings" w:hAnsi="Wingdings" w:hint="default"/>
      </w:rPr>
    </w:lvl>
    <w:lvl w:ilvl="6" w:tplc="34090001" w:tentative="1">
      <w:start w:val="1"/>
      <w:numFmt w:val="bullet"/>
      <w:lvlText w:val=""/>
      <w:lvlJc w:val="left"/>
      <w:pPr>
        <w:ind w:left="5287" w:hanging="360"/>
      </w:pPr>
      <w:rPr>
        <w:rFonts w:ascii="Symbol" w:hAnsi="Symbol" w:hint="default"/>
      </w:rPr>
    </w:lvl>
    <w:lvl w:ilvl="7" w:tplc="34090003" w:tentative="1">
      <w:start w:val="1"/>
      <w:numFmt w:val="bullet"/>
      <w:lvlText w:val="o"/>
      <w:lvlJc w:val="left"/>
      <w:pPr>
        <w:ind w:left="6007" w:hanging="360"/>
      </w:pPr>
      <w:rPr>
        <w:rFonts w:ascii="Courier New" w:hAnsi="Courier New" w:cs="Courier New" w:hint="default"/>
      </w:rPr>
    </w:lvl>
    <w:lvl w:ilvl="8" w:tplc="34090005" w:tentative="1">
      <w:start w:val="1"/>
      <w:numFmt w:val="bullet"/>
      <w:lvlText w:val=""/>
      <w:lvlJc w:val="left"/>
      <w:pPr>
        <w:ind w:left="6727" w:hanging="360"/>
      </w:pPr>
      <w:rPr>
        <w:rFonts w:ascii="Wingdings" w:hAnsi="Wingdings" w:hint="default"/>
      </w:rPr>
    </w:lvl>
  </w:abstractNum>
  <w:abstractNum w:abstractNumId="7" w15:restartNumberingAfterBreak="0">
    <w:nsid w:val="68E615B0"/>
    <w:multiLevelType w:val="hybridMultilevel"/>
    <w:tmpl w:val="1142589E"/>
    <w:lvl w:ilvl="0" w:tplc="E2AEF0BE">
      <w:start w:val="1"/>
      <w:numFmt w:val="bullet"/>
      <w:pStyle w:val="Bullets"/>
      <w:lvlText w:val="–"/>
      <w:lvlJc w:val="left"/>
      <w:pPr>
        <w:ind w:left="473" w:hanging="360"/>
      </w:pPr>
      <w:rPr>
        <w:rFonts w:ascii="Gotham Book" w:hAnsi="Gotham Book" w:hint="default"/>
        <w:u w:color="7EC352" w:themeColor="accent2"/>
      </w:rPr>
    </w:lvl>
    <w:lvl w:ilvl="1" w:tplc="3D84644E">
      <w:numFmt w:val="bullet"/>
      <w:pStyle w:val="BulletsL2"/>
      <w:lvlText w:val=""/>
      <w:lvlJc w:val="left"/>
      <w:pPr>
        <w:ind w:left="1800" w:hanging="720"/>
      </w:pPr>
      <w:rPr>
        <w:rFonts w:ascii="Symbol" w:eastAsiaTheme="minorHAnsi" w:hAnsi="Symbol" w:cstheme="minorBidi"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
  </w:num>
  <w:num w:numId="4">
    <w:abstractNumId w:val="1"/>
    <w:lvlOverride w:ilvl="0">
      <w:startOverride w:val="1"/>
    </w:lvlOverride>
  </w:num>
  <w:num w:numId="5">
    <w:abstractNumId w:val="1"/>
    <w:lvlOverride w:ilvl="0">
      <w:startOverride w:val="1"/>
    </w:lvlOverride>
  </w:num>
  <w:num w:numId="6">
    <w:abstractNumId w:val="1"/>
    <w:lvlOverride w:ilvl="0">
      <w:startOverride w:val="1"/>
    </w:lvlOverride>
  </w:num>
  <w:num w:numId="7">
    <w:abstractNumId w:val="1"/>
    <w:lvlOverride w:ilvl="0">
      <w:startOverride w:val="1"/>
    </w:lvlOverride>
  </w:num>
  <w:num w:numId="8">
    <w:abstractNumId w:val="1"/>
    <w:lvlOverride w:ilvl="0">
      <w:startOverride w:val="1"/>
    </w:lvlOverride>
  </w:num>
  <w:num w:numId="9">
    <w:abstractNumId w:val="1"/>
    <w:lvlOverride w:ilvl="0">
      <w:startOverride w:val="1"/>
    </w:lvlOverride>
  </w:num>
  <w:num w:numId="10">
    <w:abstractNumId w:val="1"/>
    <w:lvlOverride w:ilvl="0">
      <w:startOverride w:val="1"/>
    </w:lvlOverride>
  </w:num>
  <w:num w:numId="11">
    <w:abstractNumId w:val="1"/>
    <w:lvlOverride w:ilvl="0">
      <w:startOverride w:val="1"/>
    </w:lvlOverride>
  </w:num>
  <w:num w:numId="12">
    <w:abstractNumId w:val="1"/>
    <w:lvlOverride w:ilvl="0">
      <w:startOverride w:val="1"/>
    </w:lvlOverride>
  </w:num>
  <w:num w:numId="13">
    <w:abstractNumId w:val="1"/>
    <w:lvlOverride w:ilvl="0">
      <w:startOverride w:val="1"/>
    </w:lvlOverride>
  </w:num>
  <w:num w:numId="14">
    <w:abstractNumId w:val="1"/>
    <w:lvlOverride w:ilvl="0">
      <w:startOverride w:val="1"/>
    </w:lvlOverride>
  </w:num>
  <w:num w:numId="15">
    <w:abstractNumId w:val="6"/>
  </w:num>
  <w:num w:numId="16">
    <w:abstractNumId w:val="2"/>
  </w:num>
  <w:num w:numId="17">
    <w:abstractNumId w:val="2"/>
    <w:lvlOverride w:ilvl="0">
      <w:startOverride w:val="1"/>
    </w:lvlOverride>
  </w:num>
  <w:num w:numId="18">
    <w:abstractNumId w:val="3"/>
  </w:num>
  <w:num w:numId="19">
    <w:abstractNumId w:val="0"/>
  </w:num>
  <w:num w:numId="20">
    <w:abstractNumId w:val="7"/>
  </w:num>
  <w:num w:numId="21">
    <w:abstractNumId w:val="7"/>
  </w:num>
  <w:num w:numId="22">
    <w:abstractNumId w:val="7"/>
  </w:num>
  <w:num w:numId="23">
    <w:abstractNumId w:val="4"/>
  </w:num>
  <w:num w:numId="24">
    <w:abstractNumId w:val="7"/>
  </w:num>
  <w:num w:numId="25">
    <w:abstractNumId w:val="7"/>
  </w:num>
  <w:num w:numId="26">
    <w:abstractNumId w:val="7"/>
  </w:num>
  <w:num w:numId="27">
    <w:abstractNumId w:val="7"/>
  </w:num>
  <w:num w:numId="28">
    <w:abstractNumId w:val="7"/>
  </w:num>
  <w:num w:numId="29">
    <w:abstractNumId w:val="7"/>
  </w:num>
  <w:num w:numId="30">
    <w:abstractNumId w:val="7"/>
  </w:num>
  <w:num w:numId="31">
    <w:abstractNumId w:val="7"/>
  </w:num>
  <w:num w:numId="32">
    <w:abstractNumId w:val="7"/>
  </w:num>
  <w:num w:numId="33">
    <w:abstractNumId w:val="6"/>
    <w:lvlOverride w:ilvl="0">
      <w:startOverride w:val="1"/>
    </w:lvlOverride>
  </w:num>
  <w:num w:numId="34">
    <w:abstractNumId w:val="6"/>
    <w:lvlOverride w:ilvl="0">
      <w:startOverride w:val="1"/>
    </w:lvlOverride>
  </w:num>
  <w:num w:numId="35">
    <w:abstractNumId w:val="6"/>
    <w:lvlOverride w:ilvl="0">
      <w:startOverride w:val="1"/>
    </w:lvlOverride>
  </w:num>
  <w:num w:numId="36">
    <w:abstractNumId w:val="6"/>
    <w:lvlOverride w:ilvl="0">
      <w:startOverride w:val="1"/>
    </w:lvlOverride>
  </w:num>
  <w:num w:numId="37">
    <w:abstractNumId w:val="6"/>
    <w:lvlOverride w:ilvl="0">
      <w:startOverride w:val="1"/>
    </w:lvlOverride>
  </w:num>
  <w:num w:numId="38">
    <w:abstractNumId w:val="6"/>
    <w:lvlOverride w:ilvl="0">
      <w:startOverride w:val="1"/>
    </w:lvlOverride>
  </w:num>
  <w:num w:numId="39">
    <w:abstractNumId w:val="6"/>
    <w:lvlOverride w:ilvl="0">
      <w:startOverride w:val="1"/>
    </w:lvlOverride>
  </w:num>
  <w:num w:numId="40">
    <w:abstractNumId w:val="6"/>
    <w:lvlOverride w:ilvl="0">
      <w:startOverride w:val="1"/>
    </w:lvlOverride>
  </w:num>
  <w:num w:numId="41">
    <w:abstractNumId w:val="6"/>
    <w:lvlOverride w:ilvl="0">
      <w:startOverride w:val="1"/>
    </w:lvlOverride>
  </w:num>
  <w:num w:numId="42">
    <w:abstractNumId w:val="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310"/>
    <w:rsid w:val="0000660C"/>
    <w:rsid w:val="00012CA6"/>
    <w:rsid w:val="00014ADE"/>
    <w:rsid w:val="00014C7E"/>
    <w:rsid w:val="000168CE"/>
    <w:rsid w:val="00020D27"/>
    <w:rsid w:val="00022EA2"/>
    <w:rsid w:val="00023E09"/>
    <w:rsid w:val="000263A4"/>
    <w:rsid w:val="00026A72"/>
    <w:rsid w:val="00032E16"/>
    <w:rsid w:val="00036397"/>
    <w:rsid w:val="00036606"/>
    <w:rsid w:val="00036C80"/>
    <w:rsid w:val="00040EE4"/>
    <w:rsid w:val="00041873"/>
    <w:rsid w:val="00041C27"/>
    <w:rsid w:val="00044C15"/>
    <w:rsid w:val="00045DD8"/>
    <w:rsid w:val="000505C4"/>
    <w:rsid w:val="00052F15"/>
    <w:rsid w:val="00054A1D"/>
    <w:rsid w:val="00057B78"/>
    <w:rsid w:val="0006180D"/>
    <w:rsid w:val="00061C7C"/>
    <w:rsid w:val="00061CCE"/>
    <w:rsid w:val="00061F6E"/>
    <w:rsid w:val="000644A0"/>
    <w:rsid w:val="0006706A"/>
    <w:rsid w:val="00067AF8"/>
    <w:rsid w:val="000700D0"/>
    <w:rsid w:val="0007074A"/>
    <w:rsid w:val="00071FFB"/>
    <w:rsid w:val="0007201C"/>
    <w:rsid w:val="00073103"/>
    <w:rsid w:val="00073729"/>
    <w:rsid w:val="000737B4"/>
    <w:rsid w:val="00076841"/>
    <w:rsid w:val="00076995"/>
    <w:rsid w:val="00077F4C"/>
    <w:rsid w:val="000807A5"/>
    <w:rsid w:val="00081B02"/>
    <w:rsid w:val="000862B5"/>
    <w:rsid w:val="00087884"/>
    <w:rsid w:val="00087929"/>
    <w:rsid w:val="00090482"/>
    <w:rsid w:val="000932DD"/>
    <w:rsid w:val="00095A9D"/>
    <w:rsid w:val="00095E5B"/>
    <w:rsid w:val="000969EB"/>
    <w:rsid w:val="000A0A84"/>
    <w:rsid w:val="000A0A89"/>
    <w:rsid w:val="000A0D37"/>
    <w:rsid w:val="000A1CEC"/>
    <w:rsid w:val="000A4D61"/>
    <w:rsid w:val="000A5A3B"/>
    <w:rsid w:val="000A5F04"/>
    <w:rsid w:val="000A6710"/>
    <w:rsid w:val="000B011F"/>
    <w:rsid w:val="000B20BC"/>
    <w:rsid w:val="000B5238"/>
    <w:rsid w:val="000C1C37"/>
    <w:rsid w:val="000C2529"/>
    <w:rsid w:val="000C706A"/>
    <w:rsid w:val="000D0179"/>
    <w:rsid w:val="000D3395"/>
    <w:rsid w:val="000D4B5C"/>
    <w:rsid w:val="000E09C5"/>
    <w:rsid w:val="000E0F42"/>
    <w:rsid w:val="000E2690"/>
    <w:rsid w:val="000E336C"/>
    <w:rsid w:val="000E3818"/>
    <w:rsid w:val="000E3F4A"/>
    <w:rsid w:val="000E7C54"/>
    <w:rsid w:val="000F03F4"/>
    <w:rsid w:val="000F311A"/>
    <w:rsid w:val="000F39D3"/>
    <w:rsid w:val="000F6A78"/>
    <w:rsid w:val="000F7CF3"/>
    <w:rsid w:val="00103190"/>
    <w:rsid w:val="00105430"/>
    <w:rsid w:val="00105FA5"/>
    <w:rsid w:val="00110EB6"/>
    <w:rsid w:val="001110B1"/>
    <w:rsid w:val="00111332"/>
    <w:rsid w:val="00111A04"/>
    <w:rsid w:val="00111FAB"/>
    <w:rsid w:val="001129EE"/>
    <w:rsid w:val="00115085"/>
    <w:rsid w:val="00115A9C"/>
    <w:rsid w:val="0011737A"/>
    <w:rsid w:val="00117CCF"/>
    <w:rsid w:val="001206B3"/>
    <w:rsid w:val="00124E58"/>
    <w:rsid w:val="0012658B"/>
    <w:rsid w:val="001279BE"/>
    <w:rsid w:val="00132E62"/>
    <w:rsid w:val="00133BEE"/>
    <w:rsid w:val="001409C1"/>
    <w:rsid w:val="00141001"/>
    <w:rsid w:val="00141636"/>
    <w:rsid w:val="00146282"/>
    <w:rsid w:val="00151FF6"/>
    <w:rsid w:val="00152335"/>
    <w:rsid w:val="0015433C"/>
    <w:rsid w:val="001543B3"/>
    <w:rsid w:val="0015513D"/>
    <w:rsid w:val="00155B35"/>
    <w:rsid w:val="0015755F"/>
    <w:rsid w:val="001613B2"/>
    <w:rsid w:val="00161CD2"/>
    <w:rsid w:val="0016266C"/>
    <w:rsid w:val="001628C5"/>
    <w:rsid w:val="00164950"/>
    <w:rsid w:val="00171E19"/>
    <w:rsid w:val="00175E42"/>
    <w:rsid w:val="00181B5D"/>
    <w:rsid w:val="00182773"/>
    <w:rsid w:val="00182E91"/>
    <w:rsid w:val="00183CE1"/>
    <w:rsid w:val="00183F07"/>
    <w:rsid w:val="00184F20"/>
    <w:rsid w:val="00187482"/>
    <w:rsid w:val="00187A69"/>
    <w:rsid w:val="00192F9A"/>
    <w:rsid w:val="00193744"/>
    <w:rsid w:val="00194D49"/>
    <w:rsid w:val="001A0D75"/>
    <w:rsid w:val="001A108B"/>
    <w:rsid w:val="001A46CC"/>
    <w:rsid w:val="001A6073"/>
    <w:rsid w:val="001A697C"/>
    <w:rsid w:val="001B09A9"/>
    <w:rsid w:val="001B3E95"/>
    <w:rsid w:val="001B4C49"/>
    <w:rsid w:val="001B5FA9"/>
    <w:rsid w:val="001B7735"/>
    <w:rsid w:val="001C147F"/>
    <w:rsid w:val="001C1904"/>
    <w:rsid w:val="001C3D24"/>
    <w:rsid w:val="001C40C6"/>
    <w:rsid w:val="001C529E"/>
    <w:rsid w:val="001C5520"/>
    <w:rsid w:val="001D0410"/>
    <w:rsid w:val="001D1DA2"/>
    <w:rsid w:val="001D27A9"/>
    <w:rsid w:val="001D3A04"/>
    <w:rsid w:val="001D4D30"/>
    <w:rsid w:val="001E0335"/>
    <w:rsid w:val="001E0E40"/>
    <w:rsid w:val="001E1133"/>
    <w:rsid w:val="001E441B"/>
    <w:rsid w:val="001E4875"/>
    <w:rsid w:val="001E6FC6"/>
    <w:rsid w:val="001E7B38"/>
    <w:rsid w:val="001E7D0C"/>
    <w:rsid w:val="001F041D"/>
    <w:rsid w:val="001F0DAB"/>
    <w:rsid w:val="001F0DF5"/>
    <w:rsid w:val="001F0FE6"/>
    <w:rsid w:val="001F27AD"/>
    <w:rsid w:val="001F654E"/>
    <w:rsid w:val="001F6D05"/>
    <w:rsid w:val="001F7E1A"/>
    <w:rsid w:val="00200B4B"/>
    <w:rsid w:val="0021083A"/>
    <w:rsid w:val="00210CFE"/>
    <w:rsid w:val="002119C8"/>
    <w:rsid w:val="002134EF"/>
    <w:rsid w:val="002164DC"/>
    <w:rsid w:val="00216E60"/>
    <w:rsid w:val="00221705"/>
    <w:rsid w:val="0022233A"/>
    <w:rsid w:val="002239E8"/>
    <w:rsid w:val="00227E94"/>
    <w:rsid w:val="002316F4"/>
    <w:rsid w:val="00231F39"/>
    <w:rsid w:val="00233B6F"/>
    <w:rsid w:val="00234087"/>
    <w:rsid w:val="00236574"/>
    <w:rsid w:val="00240A1F"/>
    <w:rsid w:val="002418C6"/>
    <w:rsid w:val="00242FB7"/>
    <w:rsid w:val="00243F7B"/>
    <w:rsid w:val="00246600"/>
    <w:rsid w:val="00246888"/>
    <w:rsid w:val="002550CF"/>
    <w:rsid w:val="00255543"/>
    <w:rsid w:val="00261006"/>
    <w:rsid w:val="00262A12"/>
    <w:rsid w:val="002645CD"/>
    <w:rsid w:val="002657CB"/>
    <w:rsid w:val="00267FFA"/>
    <w:rsid w:val="00270251"/>
    <w:rsid w:val="00270EE7"/>
    <w:rsid w:val="002717EB"/>
    <w:rsid w:val="00272227"/>
    <w:rsid w:val="00274818"/>
    <w:rsid w:val="00274CD4"/>
    <w:rsid w:val="00276A50"/>
    <w:rsid w:val="00277313"/>
    <w:rsid w:val="00280437"/>
    <w:rsid w:val="00281A48"/>
    <w:rsid w:val="00281BE3"/>
    <w:rsid w:val="0028269C"/>
    <w:rsid w:val="00283039"/>
    <w:rsid w:val="00283A4B"/>
    <w:rsid w:val="00286171"/>
    <w:rsid w:val="00291312"/>
    <w:rsid w:val="00293188"/>
    <w:rsid w:val="00296AE3"/>
    <w:rsid w:val="00297D7E"/>
    <w:rsid w:val="002A0758"/>
    <w:rsid w:val="002A37D8"/>
    <w:rsid w:val="002A417E"/>
    <w:rsid w:val="002A59D5"/>
    <w:rsid w:val="002A6D64"/>
    <w:rsid w:val="002B0D03"/>
    <w:rsid w:val="002B12F3"/>
    <w:rsid w:val="002B2536"/>
    <w:rsid w:val="002B4A3A"/>
    <w:rsid w:val="002B52BE"/>
    <w:rsid w:val="002C126E"/>
    <w:rsid w:val="002C205A"/>
    <w:rsid w:val="002C3291"/>
    <w:rsid w:val="002C4B46"/>
    <w:rsid w:val="002C64A4"/>
    <w:rsid w:val="002D24EB"/>
    <w:rsid w:val="002D4B45"/>
    <w:rsid w:val="002D6418"/>
    <w:rsid w:val="002E141F"/>
    <w:rsid w:val="002E1ED1"/>
    <w:rsid w:val="002E2C31"/>
    <w:rsid w:val="002E50B5"/>
    <w:rsid w:val="002E54BE"/>
    <w:rsid w:val="002E5B04"/>
    <w:rsid w:val="002F1BAD"/>
    <w:rsid w:val="002F342B"/>
    <w:rsid w:val="002F7B6B"/>
    <w:rsid w:val="0030061C"/>
    <w:rsid w:val="00303955"/>
    <w:rsid w:val="003058B5"/>
    <w:rsid w:val="003070BA"/>
    <w:rsid w:val="00307B40"/>
    <w:rsid w:val="00310C25"/>
    <w:rsid w:val="003121B4"/>
    <w:rsid w:val="003130B0"/>
    <w:rsid w:val="00314872"/>
    <w:rsid w:val="003156F4"/>
    <w:rsid w:val="00320305"/>
    <w:rsid w:val="00321177"/>
    <w:rsid w:val="00323A27"/>
    <w:rsid w:val="0032441E"/>
    <w:rsid w:val="00325EAB"/>
    <w:rsid w:val="003277B3"/>
    <w:rsid w:val="00327CD3"/>
    <w:rsid w:val="00331DC1"/>
    <w:rsid w:val="003336CE"/>
    <w:rsid w:val="0033476F"/>
    <w:rsid w:val="0033536E"/>
    <w:rsid w:val="0033705A"/>
    <w:rsid w:val="00341366"/>
    <w:rsid w:val="00342450"/>
    <w:rsid w:val="0034285D"/>
    <w:rsid w:val="00343B44"/>
    <w:rsid w:val="003464F1"/>
    <w:rsid w:val="00351B86"/>
    <w:rsid w:val="003532C0"/>
    <w:rsid w:val="00354589"/>
    <w:rsid w:val="00362F35"/>
    <w:rsid w:val="00363A19"/>
    <w:rsid w:val="00365922"/>
    <w:rsid w:val="00366BA6"/>
    <w:rsid w:val="00367036"/>
    <w:rsid w:val="003675A4"/>
    <w:rsid w:val="0037181B"/>
    <w:rsid w:val="00374B27"/>
    <w:rsid w:val="00376A07"/>
    <w:rsid w:val="00380ECA"/>
    <w:rsid w:val="00382F92"/>
    <w:rsid w:val="0038580D"/>
    <w:rsid w:val="0038585D"/>
    <w:rsid w:val="00390E6A"/>
    <w:rsid w:val="00392618"/>
    <w:rsid w:val="0039416D"/>
    <w:rsid w:val="003964E4"/>
    <w:rsid w:val="003A0354"/>
    <w:rsid w:val="003A0957"/>
    <w:rsid w:val="003A1B2B"/>
    <w:rsid w:val="003A2996"/>
    <w:rsid w:val="003A2ADB"/>
    <w:rsid w:val="003A2C7B"/>
    <w:rsid w:val="003A322E"/>
    <w:rsid w:val="003A3B04"/>
    <w:rsid w:val="003A4CA6"/>
    <w:rsid w:val="003A5169"/>
    <w:rsid w:val="003B4A7D"/>
    <w:rsid w:val="003C05CB"/>
    <w:rsid w:val="003C0BE6"/>
    <w:rsid w:val="003C31AD"/>
    <w:rsid w:val="003C3435"/>
    <w:rsid w:val="003C360C"/>
    <w:rsid w:val="003C5BDB"/>
    <w:rsid w:val="003C6AC0"/>
    <w:rsid w:val="003C7007"/>
    <w:rsid w:val="003C7789"/>
    <w:rsid w:val="003C7FA7"/>
    <w:rsid w:val="003D26D6"/>
    <w:rsid w:val="003D49F1"/>
    <w:rsid w:val="003D59EA"/>
    <w:rsid w:val="003D630B"/>
    <w:rsid w:val="003D69BF"/>
    <w:rsid w:val="003D6C46"/>
    <w:rsid w:val="003D7252"/>
    <w:rsid w:val="003E02A0"/>
    <w:rsid w:val="003E1689"/>
    <w:rsid w:val="003E6AB0"/>
    <w:rsid w:val="003E6EDE"/>
    <w:rsid w:val="003F02DE"/>
    <w:rsid w:val="003F16A3"/>
    <w:rsid w:val="003F25AC"/>
    <w:rsid w:val="003F3C3E"/>
    <w:rsid w:val="003F581D"/>
    <w:rsid w:val="0040012B"/>
    <w:rsid w:val="004016F0"/>
    <w:rsid w:val="00405B7F"/>
    <w:rsid w:val="004115E2"/>
    <w:rsid w:val="004119D9"/>
    <w:rsid w:val="00412DD2"/>
    <w:rsid w:val="0041448E"/>
    <w:rsid w:val="0041619C"/>
    <w:rsid w:val="00417CE6"/>
    <w:rsid w:val="00417DF9"/>
    <w:rsid w:val="00421BD0"/>
    <w:rsid w:val="00433AA1"/>
    <w:rsid w:val="00434ED2"/>
    <w:rsid w:val="0043513D"/>
    <w:rsid w:val="00441B93"/>
    <w:rsid w:val="00443030"/>
    <w:rsid w:val="004453E1"/>
    <w:rsid w:val="00446B8F"/>
    <w:rsid w:val="004471BD"/>
    <w:rsid w:val="0045013C"/>
    <w:rsid w:val="0045181D"/>
    <w:rsid w:val="00452906"/>
    <w:rsid w:val="00453E9C"/>
    <w:rsid w:val="00454AFE"/>
    <w:rsid w:val="00455D30"/>
    <w:rsid w:val="004626A2"/>
    <w:rsid w:val="00464AD8"/>
    <w:rsid w:val="004650EE"/>
    <w:rsid w:val="0046530F"/>
    <w:rsid w:val="00471CD2"/>
    <w:rsid w:val="00472C55"/>
    <w:rsid w:val="00474839"/>
    <w:rsid w:val="00477B01"/>
    <w:rsid w:val="00477C5D"/>
    <w:rsid w:val="00481983"/>
    <w:rsid w:val="004819BE"/>
    <w:rsid w:val="004843D3"/>
    <w:rsid w:val="004876AB"/>
    <w:rsid w:val="00490E71"/>
    <w:rsid w:val="0049483C"/>
    <w:rsid w:val="00497BDE"/>
    <w:rsid w:val="004A01C8"/>
    <w:rsid w:val="004A2D49"/>
    <w:rsid w:val="004A4FD5"/>
    <w:rsid w:val="004A793A"/>
    <w:rsid w:val="004B073A"/>
    <w:rsid w:val="004B096A"/>
    <w:rsid w:val="004B3779"/>
    <w:rsid w:val="004B4304"/>
    <w:rsid w:val="004B4630"/>
    <w:rsid w:val="004B72A2"/>
    <w:rsid w:val="004C0028"/>
    <w:rsid w:val="004C2D52"/>
    <w:rsid w:val="004C3A21"/>
    <w:rsid w:val="004D0224"/>
    <w:rsid w:val="004D13E1"/>
    <w:rsid w:val="004D15D5"/>
    <w:rsid w:val="004D7C9F"/>
    <w:rsid w:val="004E0B26"/>
    <w:rsid w:val="004E22C5"/>
    <w:rsid w:val="004E2628"/>
    <w:rsid w:val="004E463E"/>
    <w:rsid w:val="004F0561"/>
    <w:rsid w:val="004F23AF"/>
    <w:rsid w:val="004F2B7B"/>
    <w:rsid w:val="004F36EF"/>
    <w:rsid w:val="004F46D6"/>
    <w:rsid w:val="004F4A83"/>
    <w:rsid w:val="004F57E6"/>
    <w:rsid w:val="004F5E1F"/>
    <w:rsid w:val="004F6691"/>
    <w:rsid w:val="004F6A93"/>
    <w:rsid w:val="005000E5"/>
    <w:rsid w:val="005005F8"/>
    <w:rsid w:val="0050127F"/>
    <w:rsid w:val="00501527"/>
    <w:rsid w:val="0050679E"/>
    <w:rsid w:val="00506B11"/>
    <w:rsid w:val="0051034D"/>
    <w:rsid w:val="00512548"/>
    <w:rsid w:val="00512726"/>
    <w:rsid w:val="00513293"/>
    <w:rsid w:val="005137D8"/>
    <w:rsid w:val="00513D1A"/>
    <w:rsid w:val="00514495"/>
    <w:rsid w:val="00521E4F"/>
    <w:rsid w:val="00522367"/>
    <w:rsid w:val="00526F8F"/>
    <w:rsid w:val="005300C0"/>
    <w:rsid w:val="0053354E"/>
    <w:rsid w:val="00535191"/>
    <w:rsid w:val="005357A7"/>
    <w:rsid w:val="00536641"/>
    <w:rsid w:val="0053687F"/>
    <w:rsid w:val="00536BAA"/>
    <w:rsid w:val="00536DC8"/>
    <w:rsid w:val="00537C36"/>
    <w:rsid w:val="00542D1E"/>
    <w:rsid w:val="00542D34"/>
    <w:rsid w:val="00542E97"/>
    <w:rsid w:val="0054363F"/>
    <w:rsid w:val="00552172"/>
    <w:rsid w:val="00554EE3"/>
    <w:rsid w:val="00557321"/>
    <w:rsid w:val="005604FC"/>
    <w:rsid w:val="00562059"/>
    <w:rsid w:val="005640FD"/>
    <w:rsid w:val="00564AEA"/>
    <w:rsid w:val="00565AA6"/>
    <w:rsid w:val="00565C78"/>
    <w:rsid w:val="005666A7"/>
    <w:rsid w:val="00566D35"/>
    <w:rsid w:val="00571646"/>
    <w:rsid w:val="0057193D"/>
    <w:rsid w:val="00576033"/>
    <w:rsid w:val="005761F6"/>
    <w:rsid w:val="0057791C"/>
    <w:rsid w:val="00580891"/>
    <w:rsid w:val="00583AAA"/>
    <w:rsid w:val="00583F06"/>
    <w:rsid w:val="00583F11"/>
    <w:rsid w:val="0058523A"/>
    <w:rsid w:val="005863DF"/>
    <w:rsid w:val="005908C7"/>
    <w:rsid w:val="005929CA"/>
    <w:rsid w:val="00592DB5"/>
    <w:rsid w:val="00593D63"/>
    <w:rsid w:val="005944E3"/>
    <w:rsid w:val="005A024E"/>
    <w:rsid w:val="005A0820"/>
    <w:rsid w:val="005A2659"/>
    <w:rsid w:val="005A28A4"/>
    <w:rsid w:val="005A40D1"/>
    <w:rsid w:val="005A64C3"/>
    <w:rsid w:val="005A7273"/>
    <w:rsid w:val="005B5B9C"/>
    <w:rsid w:val="005B5F60"/>
    <w:rsid w:val="005C0F04"/>
    <w:rsid w:val="005C10F5"/>
    <w:rsid w:val="005C172F"/>
    <w:rsid w:val="005C22AC"/>
    <w:rsid w:val="005C2569"/>
    <w:rsid w:val="005C288A"/>
    <w:rsid w:val="005C4393"/>
    <w:rsid w:val="005C7AEF"/>
    <w:rsid w:val="005D0A63"/>
    <w:rsid w:val="005D0B52"/>
    <w:rsid w:val="005D422B"/>
    <w:rsid w:val="005D4306"/>
    <w:rsid w:val="005D7BC3"/>
    <w:rsid w:val="005E1718"/>
    <w:rsid w:val="005E19E1"/>
    <w:rsid w:val="005E49B8"/>
    <w:rsid w:val="005E5C29"/>
    <w:rsid w:val="005E60C8"/>
    <w:rsid w:val="005F1D44"/>
    <w:rsid w:val="005F23D3"/>
    <w:rsid w:val="005F573E"/>
    <w:rsid w:val="005F5D62"/>
    <w:rsid w:val="00600622"/>
    <w:rsid w:val="00602B84"/>
    <w:rsid w:val="006032E1"/>
    <w:rsid w:val="006053DB"/>
    <w:rsid w:val="00606349"/>
    <w:rsid w:val="006074F5"/>
    <w:rsid w:val="00610C6A"/>
    <w:rsid w:val="006113A5"/>
    <w:rsid w:val="0061295D"/>
    <w:rsid w:val="00615CFD"/>
    <w:rsid w:val="006178B4"/>
    <w:rsid w:val="006179FB"/>
    <w:rsid w:val="00621B84"/>
    <w:rsid w:val="0062251E"/>
    <w:rsid w:val="006308C5"/>
    <w:rsid w:val="00630AEE"/>
    <w:rsid w:val="006318FD"/>
    <w:rsid w:val="006335F9"/>
    <w:rsid w:val="00633EA7"/>
    <w:rsid w:val="006355A0"/>
    <w:rsid w:val="00636F5C"/>
    <w:rsid w:val="00637E53"/>
    <w:rsid w:val="00640451"/>
    <w:rsid w:val="00641A06"/>
    <w:rsid w:val="0064242D"/>
    <w:rsid w:val="00642799"/>
    <w:rsid w:val="00644E26"/>
    <w:rsid w:val="00646163"/>
    <w:rsid w:val="0064691D"/>
    <w:rsid w:val="00647164"/>
    <w:rsid w:val="0065159D"/>
    <w:rsid w:val="006515D0"/>
    <w:rsid w:val="00652BD0"/>
    <w:rsid w:val="0065315B"/>
    <w:rsid w:val="00655672"/>
    <w:rsid w:val="00661408"/>
    <w:rsid w:val="00661DDE"/>
    <w:rsid w:val="00662CA0"/>
    <w:rsid w:val="00663309"/>
    <w:rsid w:val="0066511B"/>
    <w:rsid w:val="006711DA"/>
    <w:rsid w:val="00676A23"/>
    <w:rsid w:val="00677B71"/>
    <w:rsid w:val="00677EA6"/>
    <w:rsid w:val="00681D9E"/>
    <w:rsid w:val="00681EE1"/>
    <w:rsid w:val="006849D7"/>
    <w:rsid w:val="00685C8C"/>
    <w:rsid w:val="00687E01"/>
    <w:rsid w:val="00687F9F"/>
    <w:rsid w:val="0069281C"/>
    <w:rsid w:val="006945DF"/>
    <w:rsid w:val="00694A32"/>
    <w:rsid w:val="00695B9A"/>
    <w:rsid w:val="0069741B"/>
    <w:rsid w:val="006978EA"/>
    <w:rsid w:val="006A0AA4"/>
    <w:rsid w:val="006A15CF"/>
    <w:rsid w:val="006A5439"/>
    <w:rsid w:val="006A6091"/>
    <w:rsid w:val="006A65A9"/>
    <w:rsid w:val="006A66E9"/>
    <w:rsid w:val="006B12DC"/>
    <w:rsid w:val="006B2658"/>
    <w:rsid w:val="006B4F3E"/>
    <w:rsid w:val="006B54F7"/>
    <w:rsid w:val="006C2004"/>
    <w:rsid w:val="006C28F8"/>
    <w:rsid w:val="006C5017"/>
    <w:rsid w:val="006C7F4E"/>
    <w:rsid w:val="006D0334"/>
    <w:rsid w:val="006D2CE9"/>
    <w:rsid w:val="006D500F"/>
    <w:rsid w:val="006D7986"/>
    <w:rsid w:val="006E2C52"/>
    <w:rsid w:val="006E52E0"/>
    <w:rsid w:val="006E5402"/>
    <w:rsid w:val="006E58D7"/>
    <w:rsid w:val="006E737B"/>
    <w:rsid w:val="006F2905"/>
    <w:rsid w:val="006F2A17"/>
    <w:rsid w:val="006F35CE"/>
    <w:rsid w:val="006F5915"/>
    <w:rsid w:val="006F7A7F"/>
    <w:rsid w:val="00700BE1"/>
    <w:rsid w:val="007018A9"/>
    <w:rsid w:val="007025AA"/>
    <w:rsid w:val="00703F16"/>
    <w:rsid w:val="00704894"/>
    <w:rsid w:val="00710D3E"/>
    <w:rsid w:val="00713218"/>
    <w:rsid w:val="00713A86"/>
    <w:rsid w:val="00714702"/>
    <w:rsid w:val="00716604"/>
    <w:rsid w:val="00722442"/>
    <w:rsid w:val="00722CBD"/>
    <w:rsid w:val="00723714"/>
    <w:rsid w:val="00724537"/>
    <w:rsid w:val="00724D59"/>
    <w:rsid w:val="007268B1"/>
    <w:rsid w:val="007302F0"/>
    <w:rsid w:val="0073081B"/>
    <w:rsid w:val="00732C2E"/>
    <w:rsid w:val="007419B4"/>
    <w:rsid w:val="00741A06"/>
    <w:rsid w:val="00744A0F"/>
    <w:rsid w:val="00744AC3"/>
    <w:rsid w:val="00745B8D"/>
    <w:rsid w:val="00751958"/>
    <w:rsid w:val="00752A9F"/>
    <w:rsid w:val="00753C1F"/>
    <w:rsid w:val="00761E2F"/>
    <w:rsid w:val="00764F79"/>
    <w:rsid w:val="007678B6"/>
    <w:rsid w:val="00770063"/>
    <w:rsid w:val="007724D0"/>
    <w:rsid w:val="007747DA"/>
    <w:rsid w:val="007747FE"/>
    <w:rsid w:val="00775A4E"/>
    <w:rsid w:val="00775D71"/>
    <w:rsid w:val="00776B85"/>
    <w:rsid w:val="00784DA0"/>
    <w:rsid w:val="00785DFA"/>
    <w:rsid w:val="007873AC"/>
    <w:rsid w:val="00792080"/>
    <w:rsid w:val="0079332B"/>
    <w:rsid w:val="00794E47"/>
    <w:rsid w:val="007B0446"/>
    <w:rsid w:val="007B0CFB"/>
    <w:rsid w:val="007B1433"/>
    <w:rsid w:val="007B3AE2"/>
    <w:rsid w:val="007B7568"/>
    <w:rsid w:val="007C0875"/>
    <w:rsid w:val="007C0A76"/>
    <w:rsid w:val="007C2232"/>
    <w:rsid w:val="007C246F"/>
    <w:rsid w:val="007C28DA"/>
    <w:rsid w:val="007C3910"/>
    <w:rsid w:val="007C3F81"/>
    <w:rsid w:val="007C725A"/>
    <w:rsid w:val="007D02F2"/>
    <w:rsid w:val="007E155B"/>
    <w:rsid w:val="007E5912"/>
    <w:rsid w:val="007E7540"/>
    <w:rsid w:val="007E7996"/>
    <w:rsid w:val="007F17E2"/>
    <w:rsid w:val="007F2167"/>
    <w:rsid w:val="007F21E0"/>
    <w:rsid w:val="007F2D10"/>
    <w:rsid w:val="007F4414"/>
    <w:rsid w:val="007F5B33"/>
    <w:rsid w:val="007F6504"/>
    <w:rsid w:val="007F7920"/>
    <w:rsid w:val="00801032"/>
    <w:rsid w:val="00803EA9"/>
    <w:rsid w:val="0080542E"/>
    <w:rsid w:val="00805E4F"/>
    <w:rsid w:val="00805F6B"/>
    <w:rsid w:val="00806D2F"/>
    <w:rsid w:val="00807DBD"/>
    <w:rsid w:val="00807EC6"/>
    <w:rsid w:val="008124AD"/>
    <w:rsid w:val="00813021"/>
    <w:rsid w:val="00814BE8"/>
    <w:rsid w:val="00816A19"/>
    <w:rsid w:val="008240D1"/>
    <w:rsid w:val="00824799"/>
    <w:rsid w:val="00827B1A"/>
    <w:rsid w:val="00827FB2"/>
    <w:rsid w:val="008376B8"/>
    <w:rsid w:val="00837BAE"/>
    <w:rsid w:val="00837E47"/>
    <w:rsid w:val="0084206C"/>
    <w:rsid w:val="00845344"/>
    <w:rsid w:val="00847008"/>
    <w:rsid w:val="008501CD"/>
    <w:rsid w:val="00850311"/>
    <w:rsid w:val="00851529"/>
    <w:rsid w:val="00851861"/>
    <w:rsid w:val="0085557D"/>
    <w:rsid w:val="0085564E"/>
    <w:rsid w:val="00861BE6"/>
    <w:rsid w:val="00862D5A"/>
    <w:rsid w:val="008630B4"/>
    <w:rsid w:val="00864C22"/>
    <w:rsid w:val="008674EC"/>
    <w:rsid w:val="00870CD9"/>
    <w:rsid w:val="00873FE9"/>
    <w:rsid w:val="00874C6E"/>
    <w:rsid w:val="00876651"/>
    <w:rsid w:val="008773FC"/>
    <w:rsid w:val="00880F31"/>
    <w:rsid w:val="00884241"/>
    <w:rsid w:val="0088424E"/>
    <w:rsid w:val="00884997"/>
    <w:rsid w:val="00886CBF"/>
    <w:rsid w:val="00886DA2"/>
    <w:rsid w:val="008912E6"/>
    <w:rsid w:val="0089196F"/>
    <w:rsid w:val="00892E95"/>
    <w:rsid w:val="00895369"/>
    <w:rsid w:val="00895827"/>
    <w:rsid w:val="00896EC4"/>
    <w:rsid w:val="008A2BF1"/>
    <w:rsid w:val="008A2C28"/>
    <w:rsid w:val="008A3327"/>
    <w:rsid w:val="008A38F8"/>
    <w:rsid w:val="008B06FE"/>
    <w:rsid w:val="008B1751"/>
    <w:rsid w:val="008B1B0F"/>
    <w:rsid w:val="008B37E0"/>
    <w:rsid w:val="008B439B"/>
    <w:rsid w:val="008B4D54"/>
    <w:rsid w:val="008C190F"/>
    <w:rsid w:val="008C1B07"/>
    <w:rsid w:val="008C1B3A"/>
    <w:rsid w:val="008C1BF9"/>
    <w:rsid w:val="008C29ED"/>
    <w:rsid w:val="008C6310"/>
    <w:rsid w:val="008C7D85"/>
    <w:rsid w:val="008D0A40"/>
    <w:rsid w:val="008D4546"/>
    <w:rsid w:val="008D59C0"/>
    <w:rsid w:val="008D5C55"/>
    <w:rsid w:val="008E0172"/>
    <w:rsid w:val="008E1E70"/>
    <w:rsid w:val="008E3E08"/>
    <w:rsid w:val="008E51AC"/>
    <w:rsid w:val="008E5AB1"/>
    <w:rsid w:val="008E630C"/>
    <w:rsid w:val="008E732B"/>
    <w:rsid w:val="008F0E90"/>
    <w:rsid w:val="008F1EDB"/>
    <w:rsid w:val="008F25A5"/>
    <w:rsid w:val="008F2821"/>
    <w:rsid w:val="008F3B16"/>
    <w:rsid w:val="008F4233"/>
    <w:rsid w:val="008F5A65"/>
    <w:rsid w:val="00902FE3"/>
    <w:rsid w:val="00903643"/>
    <w:rsid w:val="009043F0"/>
    <w:rsid w:val="00904BA8"/>
    <w:rsid w:val="0090502B"/>
    <w:rsid w:val="009059C6"/>
    <w:rsid w:val="00905BFA"/>
    <w:rsid w:val="00906A47"/>
    <w:rsid w:val="00906BB2"/>
    <w:rsid w:val="00906CD0"/>
    <w:rsid w:val="009076DA"/>
    <w:rsid w:val="009124ED"/>
    <w:rsid w:val="0091649C"/>
    <w:rsid w:val="00916E1D"/>
    <w:rsid w:val="00916E4C"/>
    <w:rsid w:val="00917B56"/>
    <w:rsid w:val="00917DBC"/>
    <w:rsid w:val="0092004D"/>
    <w:rsid w:val="009204AA"/>
    <w:rsid w:val="0093204A"/>
    <w:rsid w:val="009330A7"/>
    <w:rsid w:val="0093581E"/>
    <w:rsid w:val="00936074"/>
    <w:rsid w:val="00941356"/>
    <w:rsid w:val="009417BA"/>
    <w:rsid w:val="00941E02"/>
    <w:rsid w:val="009434CA"/>
    <w:rsid w:val="0094584F"/>
    <w:rsid w:val="009470A1"/>
    <w:rsid w:val="0095138C"/>
    <w:rsid w:val="0095282E"/>
    <w:rsid w:val="00952AA4"/>
    <w:rsid w:val="00952F1C"/>
    <w:rsid w:val="009541BF"/>
    <w:rsid w:val="00954A86"/>
    <w:rsid w:val="00956C33"/>
    <w:rsid w:val="00961278"/>
    <w:rsid w:val="0096476C"/>
    <w:rsid w:val="00974500"/>
    <w:rsid w:val="00974E28"/>
    <w:rsid w:val="0097655B"/>
    <w:rsid w:val="00976595"/>
    <w:rsid w:val="009771F4"/>
    <w:rsid w:val="00983A39"/>
    <w:rsid w:val="00984025"/>
    <w:rsid w:val="00984DCD"/>
    <w:rsid w:val="009901E2"/>
    <w:rsid w:val="009914B5"/>
    <w:rsid w:val="00996509"/>
    <w:rsid w:val="00996FAA"/>
    <w:rsid w:val="009976B2"/>
    <w:rsid w:val="009A17B9"/>
    <w:rsid w:val="009A2747"/>
    <w:rsid w:val="009A30BE"/>
    <w:rsid w:val="009A5E15"/>
    <w:rsid w:val="009A773B"/>
    <w:rsid w:val="009A7843"/>
    <w:rsid w:val="009B3C67"/>
    <w:rsid w:val="009B655A"/>
    <w:rsid w:val="009C1313"/>
    <w:rsid w:val="009C46BD"/>
    <w:rsid w:val="009C541B"/>
    <w:rsid w:val="009C5C63"/>
    <w:rsid w:val="009C60C8"/>
    <w:rsid w:val="009D13A7"/>
    <w:rsid w:val="009D15A7"/>
    <w:rsid w:val="009D2639"/>
    <w:rsid w:val="009D36BC"/>
    <w:rsid w:val="009D48E1"/>
    <w:rsid w:val="009D4ECA"/>
    <w:rsid w:val="009D5797"/>
    <w:rsid w:val="009D7905"/>
    <w:rsid w:val="009E312F"/>
    <w:rsid w:val="009E5E6F"/>
    <w:rsid w:val="009F0B05"/>
    <w:rsid w:val="009F45E1"/>
    <w:rsid w:val="009F5394"/>
    <w:rsid w:val="009F66BC"/>
    <w:rsid w:val="009F66EE"/>
    <w:rsid w:val="009F6FCF"/>
    <w:rsid w:val="00A0028C"/>
    <w:rsid w:val="00A00D78"/>
    <w:rsid w:val="00A0150A"/>
    <w:rsid w:val="00A0232F"/>
    <w:rsid w:val="00A067D4"/>
    <w:rsid w:val="00A10034"/>
    <w:rsid w:val="00A1176E"/>
    <w:rsid w:val="00A17CEA"/>
    <w:rsid w:val="00A21A60"/>
    <w:rsid w:val="00A22190"/>
    <w:rsid w:val="00A233AB"/>
    <w:rsid w:val="00A2634E"/>
    <w:rsid w:val="00A3040F"/>
    <w:rsid w:val="00A31C13"/>
    <w:rsid w:val="00A35B50"/>
    <w:rsid w:val="00A40D23"/>
    <w:rsid w:val="00A42572"/>
    <w:rsid w:val="00A440F3"/>
    <w:rsid w:val="00A47E7D"/>
    <w:rsid w:val="00A50E20"/>
    <w:rsid w:val="00A53826"/>
    <w:rsid w:val="00A60C3E"/>
    <w:rsid w:val="00A61A58"/>
    <w:rsid w:val="00A61B60"/>
    <w:rsid w:val="00A61BFD"/>
    <w:rsid w:val="00A61D0F"/>
    <w:rsid w:val="00A64489"/>
    <w:rsid w:val="00A64835"/>
    <w:rsid w:val="00A6522C"/>
    <w:rsid w:val="00A65344"/>
    <w:rsid w:val="00A67136"/>
    <w:rsid w:val="00A67487"/>
    <w:rsid w:val="00A70764"/>
    <w:rsid w:val="00A70D06"/>
    <w:rsid w:val="00A71B94"/>
    <w:rsid w:val="00A7275C"/>
    <w:rsid w:val="00A732FA"/>
    <w:rsid w:val="00A83337"/>
    <w:rsid w:val="00A861D4"/>
    <w:rsid w:val="00A870BF"/>
    <w:rsid w:val="00A9131C"/>
    <w:rsid w:val="00A951D4"/>
    <w:rsid w:val="00A9679A"/>
    <w:rsid w:val="00A9692E"/>
    <w:rsid w:val="00A9797A"/>
    <w:rsid w:val="00AA1583"/>
    <w:rsid w:val="00AA46E7"/>
    <w:rsid w:val="00AA4751"/>
    <w:rsid w:val="00AA521C"/>
    <w:rsid w:val="00AA6450"/>
    <w:rsid w:val="00AA753B"/>
    <w:rsid w:val="00AB0423"/>
    <w:rsid w:val="00AB0FA0"/>
    <w:rsid w:val="00AB3E14"/>
    <w:rsid w:val="00AB5CE2"/>
    <w:rsid w:val="00AB6C65"/>
    <w:rsid w:val="00AC0333"/>
    <w:rsid w:val="00AC686E"/>
    <w:rsid w:val="00AC7712"/>
    <w:rsid w:val="00AD08BA"/>
    <w:rsid w:val="00AD1A12"/>
    <w:rsid w:val="00AD36E5"/>
    <w:rsid w:val="00AD7911"/>
    <w:rsid w:val="00AE1739"/>
    <w:rsid w:val="00AE1921"/>
    <w:rsid w:val="00AE3D2B"/>
    <w:rsid w:val="00AE4B4F"/>
    <w:rsid w:val="00AE6772"/>
    <w:rsid w:val="00AE6C8C"/>
    <w:rsid w:val="00AE7C05"/>
    <w:rsid w:val="00AE7FCC"/>
    <w:rsid w:val="00AF083D"/>
    <w:rsid w:val="00AF3269"/>
    <w:rsid w:val="00AF49DD"/>
    <w:rsid w:val="00AF4D36"/>
    <w:rsid w:val="00B00345"/>
    <w:rsid w:val="00B00F8D"/>
    <w:rsid w:val="00B07F2F"/>
    <w:rsid w:val="00B11D0B"/>
    <w:rsid w:val="00B1372A"/>
    <w:rsid w:val="00B13A8F"/>
    <w:rsid w:val="00B13ADC"/>
    <w:rsid w:val="00B13E23"/>
    <w:rsid w:val="00B14BE5"/>
    <w:rsid w:val="00B15FB3"/>
    <w:rsid w:val="00B205D3"/>
    <w:rsid w:val="00B20BE1"/>
    <w:rsid w:val="00B20DBD"/>
    <w:rsid w:val="00B220D3"/>
    <w:rsid w:val="00B22546"/>
    <w:rsid w:val="00B23310"/>
    <w:rsid w:val="00B23CCC"/>
    <w:rsid w:val="00B23F8A"/>
    <w:rsid w:val="00B27592"/>
    <w:rsid w:val="00B35122"/>
    <w:rsid w:val="00B35916"/>
    <w:rsid w:val="00B40B7D"/>
    <w:rsid w:val="00B418FF"/>
    <w:rsid w:val="00B44FB7"/>
    <w:rsid w:val="00B45271"/>
    <w:rsid w:val="00B50D5A"/>
    <w:rsid w:val="00B50EBA"/>
    <w:rsid w:val="00B51710"/>
    <w:rsid w:val="00B52FB3"/>
    <w:rsid w:val="00B567AE"/>
    <w:rsid w:val="00B56C78"/>
    <w:rsid w:val="00B61CD4"/>
    <w:rsid w:val="00B70526"/>
    <w:rsid w:val="00B76CE5"/>
    <w:rsid w:val="00B76F81"/>
    <w:rsid w:val="00B77A2D"/>
    <w:rsid w:val="00B77F07"/>
    <w:rsid w:val="00B80308"/>
    <w:rsid w:val="00B81AE0"/>
    <w:rsid w:val="00B81D4A"/>
    <w:rsid w:val="00B83C14"/>
    <w:rsid w:val="00B85310"/>
    <w:rsid w:val="00B93E82"/>
    <w:rsid w:val="00B94A29"/>
    <w:rsid w:val="00B96500"/>
    <w:rsid w:val="00BA2F1F"/>
    <w:rsid w:val="00BA3A56"/>
    <w:rsid w:val="00BA40E7"/>
    <w:rsid w:val="00BA4979"/>
    <w:rsid w:val="00BA5E17"/>
    <w:rsid w:val="00BA616D"/>
    <w:rsid w:val="00BA707A"/>
    <w:rsid w:val="00BA76C4"/>
    <w:rsid w:val="00BB75D1"/>
    <w:rsid w:val="00BB77E6"/>
    <w:rsid w:val="00BC01F7"/>
    <w:rsid w:val="00BC0AFD"/>
    <w:rsid w:val="00BC1841"/>
    <w:rsid w:val="00BC2709"/>
    <w:rsid w:val="00BC7350"/>
    <w:rsid w:val="00BC7550"/>
    <w:rsid w:val="00BD07DE"/>
    <w:rsid w:val="00BD2F69"/>
    <w:rsid w:val="00BD50AB"/>
    <w:rsid w:val="00BD5B55"/>
    <w:rsid w:val="00BD652D"/>
    <w:rsid w:val="00BE314C"/>
    <w:rsid w:val="00BE3AD8"/>
    <w:rsid w:val="00BE406E"/>
    <w:rsid w:val="00BE669F"/>
    <w:rsid w:val="00BE66AF"/>
    <w:rsid w:val="00BF127F"/>
    <w:rsid w:val="00BF69CB"/>
    <w:rsid w:val="00BF6A65"/>
    <w:rsid w:val="00C010C9"/>
    <w:rsid w:val="00C01136"/>
    <w:rsid w:val="00C04666"/>
    <w:rsid w:val="00C10B33"/>
    <w:rsid w:val="00C11457"/>
    <w:rsid w:val="00C11F9D"/>
    <w:rsid w:val="00C12B32"/>
    <w:rsid w:val="00C155BC"/>
    <w:rsid w:val="00C16866"/>
    <w:rsid w:val="00C22010"/>
    <w:rsid w:val="00C2348F"/>
    <w:rsid w:val="00C24447"/>
    <w:rsid w:val="00C24B67"/>
    <w:rsid w:val="00C24E33"/>
    <w:rsid w:val="00C2670F"/>
    <w:rsid w:val="00C328BF"/>
    <w:rsid w:val="00C33636"/>
    <w:rsid w:val="00C34E10"/>
    <w:rsid w:val="00C374F2"/>
    <w:rsid w:val="00C4041D"/>
    <w:rsid w:val="00C42C3B"/>
    <w:rsid w:val="00C46C6D"/>
    <w:rsid w:val="00C47582"/>
    <w:rsid w:val="00C5444F"/>
    <w:rsid w:val="00C544EA"/>
    <w:rsid w:val="00C54631"/>
    <w:rsid w:val="00C550B3"/>
    <w:rsid w:val="00C561B6"/>
    <w:rsid w:val="00C56BB8"/>
    <w:rsid w:val="00C56D4C"/>
    <w:rsid w:val="00C577EA"/>
    <w:rsid w:val="00C608C2"/>
    <w:rsid w:val="00C70916"/>
    <w:rsid w:val="00C70CBB"/>
    <w:rsid w:val="00C720B4"/>
    <w:rsid w:val="00C72E77"/>
    <w:rsid w:val="00C72EB0"/>
    <w:rsid w:val="00C74A78"/>
    <w:rsid w:val="00C74F49"/>
    <w:rsid w:val="00C75DFA"/>
    <w:rsid w:val="00C76188"/>
    <w:rsid w:val="00C81D07"/>
    <w:rsid w:val="00C90EF3"/>
    <w:rsid w:val="00C914AD"/>
    <w:rsid w:val="00C92471"/>
    <w:rsid w:val="00C92AED"/>
    <w:rsid w:val="00C96328"/>
    <w:rsid w:val="00CA22BE"/>
    <w:rsid w:val="00CA6671"/>
    <w:rsid w:val="00CA72D6"/>
    <w:rsid w:val="00CA777D"/>
    <w:rsid w:val="00CA7A0D"/>
    <w:rsid w:val="00CB1338"/>
    <w:rsid w:val="00CB1AFB"/>
    <w:rsid w:val="00CB38FB"/>
    <w:rsid w:val="00CB47F7"/>
    <w:rsid w:val="00CB5DB4"/>
    <w:rsid w:val="00CC1D36"/>
    <w:rsid w:val="00CC1F75"/>
    <w:rsid w:val="00CC231B"/>
    <w:rsid w:val="00CC4196"/>
    <w:rsid w:val="00CC599C"/>
    <w:rsid w:val="00CD0F6F"/>
    <w:rsid w:val="00CD1F72"/>
    <w:rsid w:val="00CD2678"/>
    <w:rsid w:val="00CD511C"/>
    <w:rsid w:val="00CD641A"/>
    <w:rsid w:val="00CE0B2C"/>
    <w:rsid w:val="00CE0DE4"/>
    <w:rsid w:val="00CE1E27"/>
    <w:rsid w:val="00CE2BA9"/>
    <w:rsid w:val="00CE4F40"/>
    <w:rsid w:val="00CF3EA7"/>
    <w:rsid w:val="00CF4905"/>
    <w:rsid w:val="00CF6A18"/>
    <w:rsid w:val="00D00D6F"/>
    <w:rsid w:val="00D00F4B"/>
    <w:rsid w:val="00D0127F"/>
    <w:rsid w:val="00D03263"/>
    <w:rsid w:val="00D03F84"/>
    <w:rsid w:val="00D1204C"/>
    <w:rsid w:val="00D12B9F"/>
    <w:rsid w:val="00D141BF"/>
    <w:rsid w:val="00D14C38"/>
    <w:rsid w:val="00D1579A"/>
    <w:rsid w:val="00D2051C"/>
    <w:rsid w:val="00D21323"/>
    <w:rsid w:val="00D262C8"/>
    <w:rsid w:val="00D27432"/>
    <w:rsid w:val="00D277A1"/>
    <w:rsid w:val="00D27AD7"/>
    <w:rsid w:val="00D37A74"/>
    <w:rsid w:val="00D4060F"/>
    <w:rsid w:val="00D40AD0"/>
    <w:rsid w:val="00D4180F"/>
    <w:rsid w:val="00D41E16"/>
    <w:rsid w:val="00D46233"/>
    <w:rsid w:val="00D46AE4"/>
    <w:rsid w:val="00D506A8"/>
    <w:rsid w:val="00D5262D"/>
    <w:rsid w:val="00D52F34"/>
    <w:rsid w:val="00D61CAE"/>
    <w:rsid w:val="00D62D79"/>
    <w:rsid w:val="00D70480"/>
    <w:rsid w:val="00D70D62"/>
    <w:rsid w:val="00D7121F"/>
    <w:rsid w:val="00D71353"/>
    <w:rsid w:val="00D763BC"/>
    <w:rsid w:val="00D7715E"/>
    <w:rsid w:val="00D80BB5"/>
    <w:rsid w:val="00D81984"/>
    <w:rsid w:val="00D831FC"/>
    <w:rsid w:val="00D832D3"/>
    <w:rsid w:val="00D864BB"/>
    <w:rsid w:val="00D876E7"/>
    <w:rsid w:val="00D87C90"/>
    <w:rsid w:val="00D96247"/>
    <w:rsid w:val="00D97D2E"/>
    <w:rsid w:val="00DA12D9"/>
    <w:rsid w:val="00DA1589"/>
    <w:rsid w:val="00DA5064"/>
    <w:rsid w:val="00DB4697"/>
    <w:rsid w:val="00DB5F78"/>
    <w:rsid w:val="00DC00D1"/>
    <w:rsid w:val="00DC07ED"/>
    <w:rsid w:val="00DC15F8"/>
    <w:rsid w:val="00DC271E"/>
    <w:rsid w:val="00DC68DC"/>
    <w:rsid w:val="00DD1691"/>
    <w:rsid w:val="00DD1E4D"/>
    <w:rsid w:val="00DD236E"/>
    <w:rsid w:val="00DD6F7D"/>
    <w:rsid w:val="00DE0720"/>
    <w:rsid w:val="00DE4448"/>
    <w:rsid w:val="00DF7270"/>
    <w:rsid w:val="00E055C2"/>
    <w:rsid w:val="00E05E02"/>
    <w:rsid w:val="00E0642B"/>
    <w:rsid w:val="00E1207D"/>
    <w:rsid w:val="00E12B46"/>
    <w:rsid w:val="00E13322"/>
    <w:rsid w:val="00E15274"/>
    <w:rsid w:val="00E1624A"/>
    <w:rsid w:val="00E16859"/>
    <w:rsid w:val="00E20AA3"/>
    <w:rsid w:val="00E34294"/>
    <w:rsid w:val="00E34501"/>
    <w:rsid w:val="00E345E4"/>
    <w:rsid w:val="00E34ACE"/>
    <w:rsid w:val="00E351ED"/>
    <w:rsid w:val="00E36087"/>
    <w:rsid w:val="00E474A9"/>
    <w:rsid w:val="00E47C01"/>
    <w:rsid w:val="00E51A0A"/>
    <w:rsid w:val="00E53477"/>
    <w:rsid w:val="00E549D8"/>
    <w:rsid w:val="00E604D6"/>
    <w:rsid w:val="00E60847"/>
    <w:rsid w:val="00E608EB"/>
    <w:rsid w:val="00E6233C"/>
    <w:rsid w:val="00E64439"/>
    <w:rsid w:val="00E64AC1"/>
    <w:rsid w:val="00E65176"/>
    <w:rsid w:val="00E65B7F"/>
    <w:rsid w:val="00E668C6"/>
    <w:rsid w:val="00E66ED6"/>
    <w:rsid w:val="00E67D75"/>
    <w:rsid w:val="00E72FED"/>
    <w:rsid w:val="00E747BF"/>
    <w:rsid w:val="00E74E69"/>
    <w:rsid w:val="00E77CE9"/>
    <w:rsid w:val="00E807D4"/>
    <w:rsid w:val="00E85051"/>
    <w:rsid w:val="00E87D1C"/>
    <w:rsid w:val="00E91900"/>
    <w:rsid w:val="00E92D5B"/>
    <w:rsid w:val="00E956FA"/>
    <w:rsid w:val="00E963BE"/>
    <w:rsid w:val="00E97DC9"/>
    <w:rsid w:val="00EA29F7"/>
    <w:rsid w:val="00EA2FD8"/>
    <w:rsid w:val="00EA5D33"/>
    <w:rsid w:val="00EA60FF"/>
    <w:rsid w:val="00EB0F46"/>
    <w:rsid w:val="00EB1D58"/>
    <w:rsid w:val="00EB5F05"/>
    <w:rsid w:val="00EB62EF"/>
    <w:rsid w:val="00EB6466"/>
    <w:rsid w:val="00EC085D"/>
    <w:rsid w:val="00EC20C9"/>
    <w:rsid w:val="00EC244D"/>
    <w:rsid w:val="00EC6E19"/>
    <w:rsid w:val="00EC759C"/>
    <w:rsid w:val="00ED345E"/>
    <w:rsid w:val="00ED3C8E"/>
    <w:rsid w:val="00ED769D"/>
    <w:rsid w:val="00EE2F53"/>
    <w:rsid w:val="00EE3420"/>
    <w:rsid w:val="00EE5B1E"/>
    <w:rsid w:val="00EE6095"/>
    <w:rsid w:val="00EE6F03"/>
    <w:rsid w:val="00EE75BF"/>
    <w:rsid w:val="00EF033C"/>
    <w:rsid w:val="00EF1CB0"/>
    <w:rsid w:val="00EF248A"/>
    <w:rsid w:val="00EF2E81"/>
    <w:rsid w:val="00EF3D9F"/>
    <w:rsid w:val="00F002DE"/>
    <w:rsid w:val="00F01449"/>
    <w:rsid w:val="00F04E9E"/>
    <w:rsid w:val="00F06299"/>
    <w:rsid w:val="00F06461"/>
    <w:rsid w:val="00F06543"/>
    <w:rsid w:val="00F07C86"/>
    <w:rsid w:val="00F1130F"/>
    <w:rsid w:val="00F11542"/>
    <w:rsid w:val="00F117AF"/>
    <w:rsid w:val="00F124A4"/>
    <w:rsid w:val="00F13CCD"/>
    <w:rsid w:val="00F15F20"/>
    <w:rsid w:val="00F17B48"/>
    <w:rsid w:val="00F17B94"/>
    <w:rsid w:val="00F24C6C"/>
    <w:rsid w:val="00F24CDA"/>
    <w:rsid w:val="00F25311"/>
    <w:rsid w:val="00F27137"/>
    <w:rsid w:val="00F31138"/>
    <w:rsid w:val="00F31C41"/>
    <w:rsid w:val="00F343B2"/>
    <w:rsid w:val="00F36C0B"/>
    <w:rsid w:val="00F36F0E"/>
    <w:rsid w:val="00F40D48"/>
    <w:rsid w:val="00F42B00"/>
    <w:rsid w:val="00F43A4E"/>
    <w:rsid w:val="00F45A4B"/>
    <w:rsid w:val="00F4613B"/>
    <w:rsid w:val="00F4740E"/>
    <w:rsid w:val="00F51674"/>
    <w:rsid w:val="00F51A62"/>
    <w:rsid w:val="00F52502"/>
    <w:rsid w:val="00F527B4"/>
    <w:rsid w:val="00F5326B"/>
    <w:rsid w:val="00F54554"/>
    <w:rsid w:val="00F55FE1"/>
    <w:rsid w:val="00F56F4C"/>
    <w:rsid w:val="00F6036E"/>
    <w:rsid w:val="00F60767"/>
    <w:rsid w:val="00F62675"/>
    <w:rsid w:val="00F63A53"/>
    <w:rsid w:val="00F642E9"/>
    <w:rsid w:val="00F65648"/>
    <w:rsid w:val="00F67293"/>
    <w:rsid w:val="00F71E0B"/>
    <w:rsid w:val="00F73532"/>
    <w:rsid w:val="00F73A32"/>
    <w:rsid w:val="00F7601F"/>
    <w:rsid w:val="00F770FF"/>
    <w:rsid w:val="00F77405"/>
    <w:rsid w:val="00F834D1"/>
    <w:rsid w:val="00F8534D"/>
    <w:rsid w:val="00F91143"/>
    <w:rsid w:val="00F92F56"/>
    <w:rsid w:val="00F9308F"/>
    <w:rsid w:val="00F94637"/>
    <w:rsid w:val="00F95B5F"/>
    <w:rsid w:val="00F97A06"/>
    <w:rsid w:val="00FA071D"/>
    <w:rsid w:val="00FA29F2"/>
    <w:rsid w:val="00FA30FA"/>
    <w:rsid w:val="00FA32DF"/>
    <w:rsid w:val="00FA417C"/>
    <w:rsid w:val="00FA5FF0"/>
    <w:rsid w:val="00FA60F3"/>
    <w:rsid w:val="00FB4D61"/>
    <w:rsid w:val="00FB6378"/>
    <w:rsid w:val="00FC085A"/>
    <w:rsid w:val="00FC0B06"/>
    <w:rsid w:val="00FC0C6D"/>
    <w:rsid w:val="00FC1FA9"/>
    <w:rsid w:val="00FC3C67"/>
    <w:rsid w:val="00FC4845"/>
    <w:rsid w:val="00FC5A80"/>
    <w:rsid w:val="00FC6129"/>
    <w:rsid w:val="00FC7005"/>
    <w:rsid w:val="00FD32FB"/>
    <w:rsid w:val="00FD57EB"/>
    <w:rsid w:val="00FD629A"/>
    <w:rsid w:val="00FD7734"/>
    <w:rsid w:val="00FE1685"/>
    <w:rsid w:val="00FE36FA"/>
    <w:rsid w:val="00FF1B12"/>
    <w:rsid w:val="00FF2C47"/>
    <w:rsid w:val="00FF5133"/>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736D91A"/>
  <w15:chartTrackingRefBased/>
  <w15:docId w15:val="{619CBD2A-D5E7-4979-AE6E-AC60DDF41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E2C31"/>
  </w:style>
  <w:style w:type="paragraph" w:styleId="Heading1">
    <w:name w:val="heading 1"/>
    <w:aliases w:val="H2"/>
    <w:basedOn w:val="Heading2"/>
    <w:next w:val="Heading2"/>
    <w:link w:val="Heading1Char"/>
    <w:uiPriority w:val="9"/>
    <w:qFormat/>
    <w:rsid w:val="00637E53"/>
    <w:pPr>
      <w:spacing w:before="100" w:beforeAutospacing="1" w:after="480" w:line="240" w:lineRule="auto"/>
      <w:outlineLvl w:val="0"/>
    </w:pPr>
    <w:rPr>
      <w:spacing w:val="-12"/>
      <w:sz w:val="60"/>
      <w:szCs w:val="32"/>
    </w:rPr>
  </w:style>
  <w:style w:type="paragraph" w:styleId="Heading2">
    <w:name w:val="heading 2"/>
    <w:basedOn w:val="Normal"/>
    <w:next w:val="Normal"/>
    <w:link w:val="Heading2Char"/>
    <w:uiPriority w:val="9"/>
    <w:semiHidden/>
    <w:unhideWhenUsed/>
    <w:rsid w:val="00B20DBD"/>
    <w:pPr>
      <w:keepNext/>
      <w:keepLines/>
      <w:spacing w:before="40" w:after="0"/>
      <w:outlineLvl w:val="1"/>
    </w:pPr>
    <w:rPr>
      <w:rFonts w:asciiTheme="majorHAnsi" w:eastAsiaTheme="majorEastAsia" w:hAnsiTheme="majorHAnsi" w:cstheme="majorBidi"/>
      <w:color w:val="006B3E" w:themeColor="accent1" w:themeShade="BF"/>
      <w:sz w:val="26"/>
      <w:szCs w:val="26"/>
    </w:rPr>
  </w:style>
  <w:style w:type="paragraph" w:styleId="Heading3">
    <w:name w:val="heading 3"/>
    <w:basedOn w:val="Normal"/>
    <w:next w:val="Normal"/>
    <w:link w:val="Heading3Char"/>
    <w:uiPriority w:val="9"/>
    <w:semiHidden/>
    <w:unhideWhenUsed/>
    <w:qFormat/>
    <w:rsid w:val="00903643"/>
    <w:pPr>
      <w:keepNext/>
      <w:keepLines/>
      <w:spacing w:before="40" w:after="0"/>
      <w:outlineLvl w:val="2"/>
    </w:pPr>
    <w:rPr>
      <w:rFonts w:asciiTheme="majorHAnsi" w:eastAsiaTheme="majorEastAsia" w:hAnsiTheme="majorHAnsi" w:cstheme="majorBidi"/>
      <w:color w:val="004729"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33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3395"/>
    <w:rPr>
      <w:rFonts w:ascii="Segoe UI" w:hAnsi="Segoe UI" w:cs="Segoe UI"/>
      <w:sz w:val="18"/>
      <w:szCs w:val="18"/>
    </w:rPr>
  </w:style>
  <w:style w:type="paragraph" w:styleId="Header">
    <w:name w:val="header"/>
    <w:basedOn w:val="Normal"/>
    <w:link w:val="HeaderChar"/>
    <w:uiPriority w:val="99"/>
    <w:unhideWhenUsed/>
    <w:rsid w:val="000D33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3395"/>
  </w:style>
  <w:style w:type="paragraph" w:styleId="Footer">
    <w:name w:val="footer"/>
    <w:basedOn w:val="Normal"/>
    <w:link w:val="FooterChar"/>
    <w:uiPriority w:val="99"/>
    <w:unhideWhenUsed/>
    <w:rsid w:val="000D33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3395"/>
  </w:style>
  <w:style w:type="character" w:customStyle="1" w:styleId="Heading1Char">
    <w:name w:val="Heading 1 Char"/>
    <w:aliases w:val="H2 Char"/>
    <w:basedOn w:val="DefaultParagraphFont"/>
    <w:link w:val="Heading1"/>
    <w:uiPriority w:val="9"/>
    <w:rsid w:val="00637E53"/>
    <w:rPr>
      <w:rFonts w:asciiTheme="majorHAnsi" w:eastAsiaTheme="majorEastAsia" w:hAnsiTheme="majorHAnsi" w:cstheme="majorBidi"/>
      <w:color w:val="006B3E" w:themeColor="accent1" w:themeShade="BF"/>
      <w:spacing w:val="-12"/>
      <w:sz w:val="60"/>
      <w:szCs w:val="32"/>
    </w:rPr>
  </w:style>
  <w:style w:type="paragraph" w:customStyle="1" w:styleId="Body">
    <w:name w:val="Body"/>
    <w:basedOn w:val="Normal"/>
    <w:link w:val="BodyChar"/>
    <w:uiPriority w:val="99"/>
    <w:qFormat/>
    <w:rsid w:val="006711DA"/>
    <w:rPr>
      <w:color w:val="1C1C1C"/>
      <w:sz w:val="18"/>
      <w:szCs w:val="18"/>
    </w:rPr>
  </w:style>
  <w:style w:type="character" w:styleId="Hyperlink">
    <w:name w:val="Hyperlink"/>
    <w:basedOn w:val="DefaultParagraphFont"/>
    <w:uiPriority w:val="99"/>
    <w:unhideWhenUsed/>
    <w:rsid w:val="00CE1E27"/>
    <w:rPr>
      <w:color w:val="008F54" w:themeColor="hyperlink"/>
      <w:u w:val="single"/>
    </w:rPr>
  </w:style>
  <w:style w:type="character" w:customStyle="1" w:styleId="BodyChar">
    <w:name w:val="Body Char"/>
    <w:basedOn w:val="DefaultParagraphFont"/>
    <w:link w:val="Body"/>
    <w:uiPriority w:val="99"/>
    <w:rsid w:val="006711DA"/>
    <w:rPr>
      <w:color w:val="1C1C1C"/>
      <w:sz w:val="18"/>
      <w:szCs w:val="18"/>
    </w:rPr>
  </w:style>
  <w:style w:type="character" w:customStyle="1" w:styleId="UnresolvedMention1">
    <w:name w:val="Unresolved Mention1"/>
    <w:basedOn w:val="DefaultParagraphFont"/>
    <w:uiPriority w:val="99"/>
    <w:semiHidden/>
    <w:unhideWhenUsed/>
    <w:rsid w:val="00CE1E27"/>
    <w:rPr>
      <w:color w:val="605E5C"/>
      <w:shd w:val="clear" w:color="auto" w:fill="E1DFDD"/>
    </w:rPr>
  </w:style>
  <w:style w:type="paragraph" w:customStyle="1" w:styleId="H4">
    <w:name w:val="H4"/>
    <w:basedOn w:val="Body"/>
    <w:link w:val="H4Char"/>
    <w:qFormat/>
    <w:rsid w:val="00471CD2"/>
    <w:pPr>
      <w:spacing w:before="240"/>
    </w:pPr>
    <w:rPr>
      <w:rFonts w:ascii="Futura PT Demi" w:hAnsi="Futura PT Demi"/>
      <w:bCs/>
      <w:sz w:val="22"/>
    </w:rPr>
  </w:style>
  <w:style w:type="paragraph" w:customStyle="1" w:styleId="CoverTitle">
    <w:name w:val="Cover Title"/>
    <w:basedOn w:val="Normal"/>
    <w:link w:val="CoverTitleChar"/>
    <w:qFormat/>
    <w:rsid w:val="003C6AC0"/>
    <w:pPr>
      <w:spacing w:line="192" w:lineRule="auto"/>
    </w:pPr>
    <w:rPr>
      <w:rFonts w:asciiTheme="majorHAnsi" w:hAnsiTheme="majorHAnsi"/>
      <w:color w:val="FFFFFF" w:themeColor="background2"/>
      <w:sz w:val="80"/>
      <w:szCs w:val="80"/>
    </w:rPr>
  </w:style>
  <w:style w:type="character" w:customStyle="1" w:styleId="H4Char">
    <w:name w:val="H4 Char"/>
    <w:basedOn w:val="BodyChar"/>
    <w:link w:val="H4"/>
    <w:rsid w:val="00471CD2"/>
    <w:rPr>
      <w:rFonts w:ascii="Futura PT Demi" w:hAnsi="Futura PT Demi"/>
      <w:bCs/>
      <w:color w:val="1C1C1C"/>
      <w:sz w:val="18"/>
      <w:szCs w:val="18"/>
    </w:rPr>
  </w:style>
  <w:style w:type="paragraph" w:customStyle="1" w:styleId="Coveryear">
    <w:name w:val="Cover year"/>
    <w:basedOn w:val="Normal"/>
    <w:link w:val="CoveryearChar"/>
    <w:qFormat/>
    <w:rsid w:val="003C6AC0"/>
    <w:rPr>
      <w:rFonts w:ascii="Futura Lt BT" w:hAnsi="Futura Lt BT"/>
      <w:color w:val="7EC352" w:themeColor="background1"/>
      <w:sz w:val="130"/>
      <w:szCs w:val="130"/>
    </w:rPr>
  </w:style>
  <w:style w:type="character" w:customStyle="1" w:styleId="CoverTitleChar">
    <w:name w:val="Cover Title Char"/>
    <w:basedOn w:val="DefaultParagraphFont"/>
    <w:link w:val="CoverTitle"/>
    <w:rsid w:val="003C6AC0"/>
    <w:rPr>
      <w:rFonts w:asciiTheme="majorHAnsi" w:hAnsiTheme="majorHAnsi"/>
      <w:color w:val="FFFFFF" w:themeColor="background2"/>
      <w:sz w:val="80"/>
      <w:szCs w:val="80"/>
    </w:rPr>
  </w:style>
  <w:style w:type="paragraph" w:customStyle="1" w:styleId="CoverSecondaryTitle">
    <w:name w:val="Cover Secondary Title"/>
    <w:basedOn w:val="Normal"/>
    <w:link w:val="CoverSecondaryTitleChar"/>
    <w:qFormat/>
    <w:rsid w:val="003C6AC0"/>
    <w:rPr>
      <w:b/>
      <w:bCs/>
      <w:color w:val="FFFFFF" w:themeColor="background2"/>
      <w:sz w:val="26"/>
      <w:szCs w:val="26"/>
    </w:rPr>
  </w:style>
  <w:style w:type="character" w:customStyle="1" w:styleId="CoveryearChar">
    <w:name w:val="Cover year Char"/>
    <w:basedOn w:val="DefaultParagraphFont"/>
    <w:link w:val="Coveryear"/>
    <w:rsid w:val="003C6AC0"/>
    <w:rPr>
      <w:rFonts w:ascii="Futura Lt BT" w:hAnsi="Futura Lt BT"/>
      <w:color w:val="7EC352" w:themeColor="background1"/>
      <w:sz w:val="130"/>
      <w:szCs w:val="130"/>
    </w:rPr>
  </w:style>
  <w:style w:type="paragraph" w:customStyle="1" w:styleId="Heading10">
    <w:name w:val="Heading1"/>
    <w:aliases w:val="H1"/>
    <w:basedOn w:val="Body"/>
    <w:link w:val="Heading1Char0"/>
    <w:qFormat/>
    <w:rsid w:val="00321177"/>
    <w:pPr>
      <w:spacing w:before="100" w:beforeAutospacing="1"/>
    </w:pPr>
    <w:rPr>
      <w:rFonts w:asciiTheme="majorHAnsi" w:hAnsiTheme="majorHAnsi"/>
      <w:b/>
      <w:bCs/>
      <w:color w:val="FFFFFF" w:themeColor="background2"/>
      <w:sz w:val="70"/>
      <w:szCs w:val="70"/>
    </w:rPr>
  </w:style>
  <w:style w:type="character" w:customStyle="1" w:styleId="CoverSecondaryTitleChar">
    <w:name w:val="Cover Secondary Title Char"/>
    <w:basedOn w:val="DefaultParagraphFont"/>
    <w:link w:val="CoverSecondaryTitle"/>
    <w:rsid w:val="003C6AC0"/>
    <w:rPr>
      <w:b/>
      <w:bCs/>
      <w:color w:val="FFFFFF" w:themeColor="background2"/>
      <w:sz w:val="26"/>
      <w:szCs w:val="26"/>
    </w:rPr>
  </w:style>
  <w:style w:type="paragraph" w:customStyle="1" w:styleId="SectionBreakNumber">
    <w:name w:val="Section Break Number"/>
    <w:basedOn w:val="Heading10"/>
    <w:link w:val="SectionBreakNumberChar"/>
    <w:qFormat/>
    <w:rsid w:val="003C6AC0"/>
    <w:pPr>
      <w:jc w:val="right"/>
    </w:pPr>
    <w:rPr>
      <w:b w:val="0"/>
      <w:bCs w:val="0"/>
      <w:sz w:val="100"/>
      <w:szCs w:val="100"/>
    </w:rPr>
  </w:style>
  <w:style w:type="character" w:customStyle="1" w:styleId="Heading1Char0">
    <w:name w:val="Heading1 Char"/>
    <w:aliases w:val="H1 Char"/>
    <w:basedOn w:val="BodyChar"/>
    <w:link w:val="Heading10"/>
    <w:rsid w:val="00321177"/>
    <w:rPr>
      <w:rFonts w:asciiTheme="majorHAnsi" w:hAnsiTheme="majorHAnsi"/>
      <w:b/>
      <w:bCs/>
      <w:color w:val="FFFFFF" w:themeColor="background2"/>
      <w:sz w:val="70"/>
      <w:szCs w:val="70"/>
    </w:rPr>
  </w:style>
  <w:style w:type="table" w:styleId="TableGrid">
    <w:name w:val="Table Grid"/>
    <w:basedOn w:val="TableNormal"/>
    <w:uiPriority w:val="39"/>
    <w:rsid w:val="003C6A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ctionBreakNumberChar">
    <w:name w:val="Section Break Number Char"/>
    <w:basedOn w:val="Heading1Char0"/>
    <w:link w:val="SectionBreakNumber"/>
    <w:rsid w:val="003C6AC0"/>
    <w:rPr>
      <w:rFonts w:asciiTheme="majorHAnsi" w:hAnsiTheme="majorHAnsi"/>
      <w:b w:val="0"/>
      <w:bCs w:val="0"/>
      <w:color w:val="FFFFFF" w:themeColor="background2"/>
      <w:sz w:val="100"/>
      <w:szCs w:val="100"/>
    </w:rPr>
  </w:style>
  <w:style w:type="paragraph" w:customStyle="1" w:styleId="H3">
    <w:name w:val="H3"/>
    <w:basedOn w:val="H4"/>
    <w:link w:val="H3Char"/>
    <w:qFormat/>
    <w:rsid w:val="0016266C"/>
    <w:rPr>
      <w:rFonts w:asciiTheme="majorHAnsi" w:hAnsiTheme="majorHAnsi"/>
      <w:color w:val="008F54" w:themeColor="accent1"/>
      <w:sz w:val="24"/>
      <w:szCs w:val="24"/>
    </w:rPr>
  </w:style>
  <w:style w:type="paragraph" w:customStyle="1" w:styleId="Bullets">
    <w:name w:val="Bullets"/>
    <w:basedOn w:val="Body"/>
    <w:link w:val="BulletsChar"/>
    <w:qFormat/>
    <w:rsid w:val="001F0DF5"/>
    <w:pPr>
      <w:numPr>
        <w:numId w:val="2"/>
      </w:numPr>
    </w:pPr>
  </w:style>
  <w:style w:type="character" w:customStyle="1" w:styleId="H3Char">
    <w:name w:val="H3 Char"/>
    <w:basedOn w:val="H4Char"/>
    <w:link w:val="H3"/>
    <w:rsid w:val="0016266C"/>
    <w:rPr>
      <w:rFonts w:asciiTheme="majorHAnsi" w:hAnsiTheme="majorHAnsi"/>
      <w:bCs/>
      <w:color w:val="008F54" w:themeColor="accent1"/>
      <w:sz w:val="24"/>
      <w:szCs w:val="24"/>
    </w:rPr>
  </w:style>
  <w:style w:type="paragraph" w:customStyle="1" w:styleId="Bulletslast">
    <w:name w:val="Bullets last"/>
    <w:basedOn w:val="Bullets"/>
    <w:link w:val="BulletslastChar"/>
    <w:qFormat/>
    <w:rsid w:val="001F0DF5"/>
    <w:pPr>
      <w:spacing w:after="360"/>
    </w:pPr>
  </w:style>
  <w:style w:type="character" w:customStyle="1" w:styleId="BulletsChar">
    <w:name w:val="Bullets Char"/>
    <w:basedOn w:val="BodyChar"/>
    <w:link w:val="Bullets"/>
    <w:rsid w:val="001F0DF5"/>
    <w:rPr>
      <w:color w:val="1C1C1C"/>
      <w:sz w:val="18"/>
      <w:szCs w:val="18"/>
    </w:rPr>
  </w:style>
  <w:style w:type="paragraph" w:customStyle="1" w:styleId="FigureHeading">
    <w:name w:val="Figure Heading"/>
    <w:basedOn w:val="H4"/>
    <w:link w:val="FigureHeadingChar"/>
    <w:qFormat/>
    <w:rsid w:val="00A9131C"/>
  </w:style>
  <w:style w:type="character" w:customStyle="1" w:styleId="BulletslastChar">
    <w:name w:val="Bullets last Char"/>
    <w:basedOn w:val="BulletsChar"/>
    <w:link w:val="Bulletslast"/>
    <w:rsid w:val="001F0DF5"/>
    <w:rPr>
      <w:color w:val="1C1C1C"/>
      <w:sz w:val="18"/>
      <w:szCs w:val="18"/>
    </w:rPr>
  </w:style>
  <w:style w:type="character" w:customStyle="1" w:styleId="FigureHeadingChar">
    <w:name w:val="Figure Heading Char"/>
    <w:basedOn w:val="H4Char"/>
    <w:link w:val="FigureHeading"/>
    <w:rsid w:val="00A9131C"/>
    <w:rPr>
      <w:rFonts w:ascii="Futura PT Demi" w:hAnsi="Futura PT Demi"/>
      <w:bCs/>
      <w:color w:val="1C1C1C"/>
      <w:sz w:val="17"/>
      <w:szCs w:val="18"/>
    </w:rPr>
  </w:style>
  <w:style w:type="paragraph" w:customStyle="1" w:styleId="BulletsL2">
    <w:name w:val="Bullets L2"/>
    <w:basedOn w:val="Bullets"/>
    <w:link w:val="BulletsL2Char"/>
    <w:qFormat/>
    <w:rsid w:val="007724D0"/>
    <w:pPr>
      <w:numPr>
        <w:ilvl w:val="1"/>
      </w:numPr>
    </w:pPr>
  </w:style>
  <w:style w:type="paragraph" w:customStyle="1" w:styleId="BulletsL2last">
    <w:name w:val="Bullets L2 last"/>
    <w:basedOn w:val="BulletsL2"/>
    <w:link w:val="BulletsL2lastChar"/>
    <w:qFormat/>
    <w:rsid w:val="007724D0"/>
    <w:pPr>
      <w:spacing w:after="360"/>
    </w:pPr>
  </w:style>
  <w:style w:type="character" w:customStyle="1" w:styleId="BulletsL2Char">
    <w:name w:val="Bullets L2 Char"/>
    <w:basedOn w:val="BulletsChar"/>
    <w:link w:val="BulletsL2"/>
    <w:rsid w:val="007724D0"/>
    <w:rPr>
      <w:color w:val="1C1C1C"/>
      <w:sz w:val="17"/>
      <w:szCs w:val="18"/>
    </w:rPr>
  </w:style>
  <w:style w:type="character" w:customStyle="1" w:styleId="BulletsL2lastChar">
    <w:name w:val="Bullets L2 last Char"/>
    <w:basedOn w:val="BulletsL2Char"/>
    <w:link w:val="BulletsL2last"/>
    <w:rsid w:val="007724D0"/>
    <w:rPr>
      <w:color w:val="1C1C1C"/>
      <w:sz w:val="17"/>
      <w:szCs w:val="18"/>
    </w:rPr>
  </w:style>
  <w:style w:type="paragraph" w:customStyle="1" w:styleId="tablebody">
    <w:name w:val="table body"/>
    <w:basedOn w:val="Body"/>
    <w:uiPriority w:val="99"/>
    <w:rsid w:val="00906A47"/>
    <w:pPr>
      <w:suppressAutoHyphens/>
      <w:autoSpaceDE w:val="0"/>
      <w:autoSpaceDN w:val="0"/>
      <w:adjustRightInd w:val="0"/>
      <w:spacing w:after="170" w:line="200" w:lineRule="atLeast"/>
      <w:textAlignment w:val="center"/>
    </w:pPr>
    <w:rPr>
      <w:rFonts w:ascii="Futura PT Book" w:hAnsi="Futura PT Book" w:cs="Futura PT Book"/>
      <w:color w:val="000000"/>
      <w:sz w:val="16"/>
      <w:szCs w:val="16"/>
      <w:lang w:val="en-US"/>
    </w:rPr>
  </w:style>
  <w:style w:type="table" w:customStyle="1" w:styleId="IHPA">
    <w:name w:val="IHPA"/>
    <w:basedOn w:val="TableNormal"/>
    <w:uiPriority w:val="99"/>
    <w:rsid w:val="00380ECA"/>
    <w:pPr>
      <w:spacing w:after="0" w:line="240" w:lineRule="auto"/>
    </w:pPr>
    <w:tblPr/>
  </w:style>
  <w:style w:type="paragraph" w:styleId="Subtitle">
    <w:name w:val="Subtitle"/>
    <w:basedOn w:val="Normal"/>
    <w:next w:val="Normal"/>
    <w:link w:val="SubtitleChar"/>
    <w:uiPriority w:val="11"/>
    <w:rsid w:val="003C7FA7"/>
    <w:pPr>
      <w:numPr>
        <w:ilvl w:val="1"/>
      </w:numPr>
      <w:spacing w:before="160" w:line="240" w:lineRule="auto"/>
    </w:pPr>
    <w:rPr>
      <w:rFonts w:ascii="Segoe UI" w:eastAsiaTheme="majorEastAsia" w:hAnsi="Segoe UI" w:cstheme="majorBidi"/>
      <w:iCs/>
      <w:color w:val="F56A6A"/>
      <w:sz w:val="40"/>
      <w:szCs w:val="24"/>
      <w:lang w:val="en-AU" w:bidi="hi-IN"/>
    </w:rPr>
  </w:style>
  <w:style w:type="character" w:customStyle="1" w:styleId="SubtitleChar">
    <w:name w:val="Subtitle Char"/>
    <w:basedOn w:val="DefaultParagraphFont"/>
    <w:link w:val="Subtitle"/>
    <w:uiPriority w:val="11"/>
    <w:rsid w:val="003C7FA7"/>
    <w:rPr>
      <w:rFonts w:ascii="Segoe UI" w:eastAsiaTheme="majorEastAsia" w:hAnsi="Segoe UI" w:cstheme="majorBidi"/>
      <w:iCs/>
      <w:color w:val="F56A6A"/>
      <w:sz w:val="40"/>
      <w:szCs w:val="24"/>
      <w:lang w:val="en-AU" w:bidi="hi-IN"/>
    </w:rPr>
  </w:style>
  <w:style w:type="paragraph" w:customStyle="1" w:styleId="TableTextPortrait">
    <w:name w:val="Table Text Portrait"/>
    <w:basedOn w:val="Normal"/>
    <w:qFormat/>
    <w:rsid w:val="00471CD2"/>
    <w:pPr>
      <w:spacing w:before="100" w:beforeAutospacing="1" w:after="100" w:afterAutospacing="1" w:line="240" w:lineRule="auto"/>
    </w:pPr>
    <w:rPr>
      <w:rFonts w:ascii="Segoe UI" w:hAnsi="Segoe UI"/>
      <w:color w:val="1C1C1C"/>
      <w:sz w:val="18"/>
      <w:lang w:val="en-AU"/>
    </w:rPr>
  </w:style>
  <w:style w:type="paragraph" w:customStyle="1" w:styleId="NumberedList">
    <w:name w:val="Numbered List"/>
    <w:basedOn w:val="Bullets"/>
    <w:link w:val="NumberedListChar"/>
    <w:qFormat/>
    <w:rsid w:val="003D69BF"/>
    <w:pPr>
      <w:numPr>
        <w:numId w:val="3"/>
      </w:numPr>
    </w:pPr>
  </w:style>
  <w:style w:type="paragraph" w:customStyle="1" w:styleId="AlphabetListL2">
    <w:name w:val="Alphabet List L2"/>
    <w:basedOn w:val="NumberedList"/>
    <w:link w:val="AlphabetListL2Char"/>
    <w:qFormat/>
    <w:rsid w:val="00B96500"/>
    <w:pPr>
      <w:numPr>
        <w:numId w:val="15"/>
      </w:numPr>
    </w:pPr>
  </w:style>
  <w:style w:type="character" w:customStyle="1" w:styleId="NumberedListChar">
    <w:name w:val="Numbered List Char"/>
    <w:basedOn w:val="BulletsChar"/>
    <w:link w:val="NumberedList"/>
    <w:rsid w:val="003D69BF"/>
    <w:rPr>
      <w:color w:val="1C1C1C"/>
      <w:sz w:val="18"/>
      <w:szCs w:val="18"/>
    </w:rPr>
  </w:style>
  <w:style w:type="paragraph" w:styleId="FootnoteText">
    <w:name w:val="footnote text"/>
    <w:basedOn w:val="Normal"/>
    <w:link w:val="FootnoteTextChar"/>
    <w:uiPriority w:val="99"/>
    <w:semiHidden/>
    <w:unhideWhenUsed/>
    <w:rsid w:val="00DD6F7D"/>
    <w:pPr>
      <w:spacing w:after="0" w:line="240" w:lineRule="auto"/>
    </w:pPr>
    <w:rPr>
      <w:sz w:val="20"/>
      <w:szCs w:val="20"/>
    </w:rPr>
  </w:style>
  <w:style w:type="character" w:customStyle="1" w:styleId="AlphabetListL2Char">
    <w:name w:val="Alphabet List L2 Char"/>
    <w:basedOn w:val="NumberedListChar"/>
    <w:link w:val="AlphabetListL2"/>
    <w:rsid w:val="00B96500"/>
    <w:rPr>
      <w:color w:val="1C1C1C"/>
      <w:sz w:val="18"/>
      <w:szCs w:val="18"/>
    </w:rPr>
  </w:style>
  <w:style w:type="character" w:customStyle="1" w:styleId="FootnoteTextChar">
    <w:name w:val="Footnote Text Char"/>
    <w:basedOn w:val="DefaultParagraphFont"/>
    <w:link w:val="FootnoteText"/>
    <w:uiPriority w:val="99"/>
    <w:semiHidden/>
    <w:rsid w:val="00DD6F7D"/>
    <w:rPr>
      <w:sz w:val="20"/>
      <w:szCs w:val="20"/>
    </w:rPr>
  </w:style>
  <w:style w:type="character" w:styleId="FootnoteReference">
    <w:name w:val="footnote reference"/>
    <w:basedOn w:val="DefaultParagraphFont"/>
    <w:uiPriority w:val="99"/>
    <w:semiHidden/>
    <w:unhideWhenUsed/>
    <w:rsid w:val="00DD6F7D"/>
    <w:rPr>
      <w:vertAlign w:val="superscript"/>
    </w:rPr>
  </w:style>
  <w:style w:type="paragraph" w:customStyle="1" w:styleId="Footnotes">
    <w:name w:val="Footnotes"/>
    <w:basedOn w:val="FootnoteText"/>
    <w:link w:val="FootnotesChar"/>
    <w:qFormat/>
    <w:rsid w:val="003675A4"/>
    <w:rPr>
      <w:color w:val="1C1C1C"/>
      <w:sz w:val="16"/>
      <w:szCs w:val="16"/>
    </w:rPr>
  </w:style>
  <w:style w:type="paragraph" w:styleId="ListBullet">
    <w:name w:val="List Bullet"/>
    <w:basedOn w:val="Normal"/>
    <w:uiPriority w:val="99"/>
    <w:unhideWhenUsed/>
    <w:rsid w:val="00CF6A18"/>
    <w:pPr>
      <w:numPr>
        <w:numId w:val="16"/>
      </w:numPr>
      <w:spacing w:before="80" w:after="80" w:line="240" w:lineRule="auto"/>
    </w:pPr>
    <w:rPr>
      <w:rFonts w:ascii="Segoe UI" w:hAnsi="Segoe UI"/>
      <w:sz w:val="20"/>
      <w:lang w:val="en-AU"/>
    </w:rPr>
  </w:style>
  <w:style w:type="character" w:customStyle="1" w:styleId="FootnotesChar">
    <w:name w:val="Footnotes Char"/>
    <w:basedOn w:val="FootnoteTextChar"/>
    <w:link w:val="Footnotes"/>
    <w:rsid w:val="003675A4"/>
    <w:rPr>
      <w:color w:val="1C1C1C"/>
      <w:sz w:val="16"/>
      <w:szCs w:val="16"/>
    </w:rPr>
  </w:style>
  <w:style w:type="paragraph" w:customStyle="1" w:styleId="ListBulletlvl3">
    <w:name w:val="List Bullet lvl 3"/>
    <w:basedOn w:val="ListBullet"/>
    <w:qFormat/>
    <w:rsid w:val="00471CD2"/>
    <w:pPr>
      <w:numPr>
        <w:ilvl w:val="2"/>
      </w:numPr>
    </w:pPr>
    <w:rPr>
      <w:color w:val="1C1C1C"/>
    </w:rPr>
  </w:style>
  <w:style w:type="paragraph" w:customStyle="1" w:styleId="ListBulletlvl4">
    <w:name w:val="List Bullet lvl 4"/>
    <w:basedOn w:val="ListBullet"/>
    <w:qFormat/>
    <w:rsid w:val="00471CD2"/>
    <w:pPr>
      <w:numPr>
        <w:ilvl w:val="3"/>
      </w:numPr>
    </w:pPr>
    <w:rPr>
      <w:color w:val="1C1C1C"/>
    </w:rPr>
  </w:style>
  <w:style w:type="paragraph" w:customStyle="1" w:styleId="ListBulletlvl5">
    <w:name w:val="List Bullet lvl 5"/>
    <w:basedOn w:val="ListBullet"/>
    <w:qFormat/>
    <w:rsid w:val="00471CD2"/>
    <w:pPr>
      <w:numPr>
        <w:ilvl w:val="4"/>
      </w:numPr>
    </w:pPr>
    <w:rPr>
      <w:color w:val="1C1C1C"/>
    </w:rPr>
  </w:style>
  <w:style w:type="paragraph" w:customStyle="1" w:styleId="ListBulletlvl6">
    <w:name w:val="List Bullet lvl 6"/>
    <w:basedOn w:val="ListBullet"/>
    <w:qFormat/>
    <w:rsid w:val="00471CD2"/>
    <w:pPr>
      <w:numPr>
        <w:ilvl w:val="5"/>
      </w:numPr>
    </w:pPr>
    <w:rPr>
      <w:color w:val="1C1C1C"/>
    </w:rPr>
  </w:style>
  <w:style w:type="paragraph" w:customStyle="1" w:styleId="ListBulletlvl7">
    <w:name w:val="List Bullet lvl 7"/>
    <w:basedOn w:val="ListBullet"/>
    <w:qFormat/>
    <w:rsid w:val="00471CD2"/>
    <w:pPr>
      <w:numPr>
        <w:ilvl w:val="6"/>
      </w:numPr>
    </w:pPr>
    <w:rPr>
      <w:color w:val="1C1C1C"/>
    </w:rPr>
  </w:style>
  <w:style w:type="paragraph" w:customStyle="1" w:styleId="ListBulletlvl8">
    <w:name w:val="List Bullet lvl 8"/>
    <w:basedOn w:val="ListBullet"/>
    <w:qFormat/>
    <w:rsid w:val="00CF6A18"/>
    <w:pPr>
      <w:numPr>
        <w:ilvl w:val="7"/>
      </w:numPr>
    </w:pPr>
  </w:style>
  <w:style w:type="paragraph" w:customStyle="1" w:styleId="ListBulletlvl9">
    <w:name w:val="List Bullet lvl 9"/>
    <w:basedOn w:val="ListBullet"/>
    <w:qFormat/>
    <w:rsid w:val="00471CD2"/>
    <w:pPr>
      <w:numPr>
        <w:ilvl w:val="8"/>
      </w:numPr>
    </w:pPr>
    <w:rPr>
      <w:color w:val="1C1C1C"/>
    </w:rPr>
  </w:style>
  <w:style w:type="paragraph" w:customStyle="1" w:styleId="TOCBody">
    <w:name w:val="TOC Body"/>
    <w:basedOn w:val="TOC1"/>
    <w:link w:val="TOCBodyChar"/>
    <w:qFormat/>
    <w:rsid w:val="003C31AD"/>
    <w:pPr>
      <w:spacing w:after="20"/>
      <w:ind w:left="369"/>
    </w:pPr>
    <w:rPr>
      <w:color w:val="1C1C1C"/>
    </w:rPr>
  </w:style>
  <w:style w:type="paragraph" w:styleId="TOC1">
    <w:name w:val="toc 1"/>
    <w:basedOn w:val="Normal"/>
    <w:next w:val="Normal"/>
    <w:link w:val="TOC1Char"/>
    <w:autoRedefine/>
    <w:uiPriority w:val="39"/>
    <w:unhideWhenUsed/>
    <w:rsid w:val="007C28DA"/>
    <w:pPr>
      <w:tabs>
        <w:tab w:val="right" w:leader="dot" w:pos="7133"/>
      </w:tabs>
      <w:spacing w:after="100"/>
    </w:pPr>
    <w:rPr>
      <w:noProof/>
      <w:sz w:val="18"/>
      <w:szCs w:val="18"/>
    </w:rPr>
  </w:style>
  <w:style w:type="paragraph" w:styleId="TOCHeading">
    <w:name w:val="TOC Heading"/>
    <w:basedOn w:val="Heading1"/>
    <w:next w:val="Normal"/>
    <w:uiPriority w:val="39"/>
    <w:unhideWhenUsed/>
    <w:rsid w:val="00896EC4"/>
    <w:pPr>
      <w:spacing w:before="240" w:beforeAutospacing="0" w:after="0" w:line="259" w:lineRule="auto"/>
      <w:outlineLvl w:val="9"/>
    </w:pPr>
    <w:rPr>
      <w:spacing w:val="0"/>
      <w:sz w:val="32"/>
      <w:lang w:val="en-US"/>
    </w:rPr>
  </w:style>
  <w:style w:type="character" w:customStyle="1" w:styleId="TOC1Char">
    <w:name w:val="TOC 1 Char"/>
    <w:basedOn w:val="DefaultParagraphFont"/>
    <w:link w:val="TOC1"/>
    <w:uiPriority w:val="39"/>
    <w:rsid w:val="007C28DA"/>
    <w:rPr>
      <w:noProof/>
      <w:sz w:val="18"/>
      <w:szCs w:val="18"/>
    </w:rPr>
  </w:style>
  <w:style w:type="character" w:customStyle="1" w:styleId="TOCBodyChar">
    <w:name w:val="TOC Body Char"/>
    <w:basedOn w:val="TOC1Char"/>
    <w:link w:val="TOCBody"/>
    <w:rsid w:val="003C31AD"/>
    <w:rPr>
      <w:noProof/>
      <w:color w:val="1C1C1C"/>
      <w:sz w:val="18"/>
      <w:szCs w:val="18"/>
    </w:rPr>
  </w:style>
  <w:style w:type="character" w:customStyle="1" w:styleId="Heading2Char">
    <w:name w:val="Heading 2 Char"/>
    <w:basedOn w:val="DefaultParagraphFont"/>
    <w:link w:val="Heading2"/>
    <w:uiPriority w:val="9"/>
    <w:semiHidden/>
    <w:rsid w:val="00B20DBD"/>
    <w:rPr>
      <w:rFonts w:asciiTheme="majorHAnsi" w:eastAsiaTheme="majorEastAsia" w:hAnsiTheme="majorHAnsi" w:cstheme="majorBidi"/>
      <w:color w:val="006B3E" w:themeColor="accent1" w:themeShade="BF"/>
      <w:sz w:val="26"/>
      <w:szCs w:val="26"/>
    </w:rPr>
  </w:style>
  <w:style w:type="paragraph" w:styleId="TOC2">
    <w:name w:val="toc 2"/>
    <w:basedOn w:val="Normal"/>
    <w:next w:val="Normal"/>
    <w:autoRedefine/>
    <w:uiPriority w:val="39"/>
    <w:unhideWhenUsed/>
    <w:rsid w:val="00E65B7F"/>
    <w:pPr>
      <w:spacing w:after="100"/>
      <w:ind w:left="220"/>
    </w:pPr>
  </w:style>
  <w:style w:type="paragraph" w:customStyle="1" w:styleId="TOCHeader">
    <w:name w:val="TOC Header"/>
    <w:basedOn w:val="TOCBody"/>
    <w:link w:val="TOCHeaderChar"/>
    <w:qFormat/>
    <w:rsid w:val="006D7986"/>
    <w:pPr>
      <w:numPr>
        <w:numId w:val="18"/>
      </w:numPr>
      <w:spacing w:before="80"/>
      <w:ind w:left="357" w:hanging="357"/>
    </w:pPr>
    <w:rPr>
      <w:rFonts w:asciiTheme="majorHAnsi" w:hAnsiTheme="majorHAnsi"/>
    </w:rPr>
  </w:style>
  <w:style w:type="character" w:customStyle="1" w:styleId="TOCHeaderChar">
    <w:name w:val="TOC Header Char"/>
    <w:basedOn w:val="TOCBodyChar"/>
    <w:link w:val="TOCHeader"/>
    <w:rsid w:val="006D7986"/>
    <w:rPr>
      <w:rFonts w:asciiTheme="majorHAnsi" w:hAnsiTheme="majorHAnsi"/>
      <w:noProof/>
      <w:color w:val="1C1C1C"/>
      <w:sz w:val="18"/>
      <w:szCs w:val="18"/>
    </w:rPr>
  </w:style>
  <w:style w:type="character" w:customStyle="1" w:styleId="Heading3Char">
    <w:name w:val="Heading 3 Char"/>
    <w:basedOn w:val="DefaultParagraphFont"/>
    <w:link w:val="Heading3"/>
    <w:uiPriority w:val="9"/>
    <w:semiHidden/>
    <w:rsid w:val="00903643"/>
    <w:rPr>
      <w:rFonts w:asciiTheme="majorHAnsi" w:eastAsiaTheme="majorEastAsia" w:hAnsiTheme="majorHAnsi" w:cstheme="majorBidi"/>
      <w:color w:val="004729" w:themeColor="accent1" w:themeShade="7F"/>
      <w:sz w:val="24"/>
      <w:szCs w:val="24"/>
    </w:rPr>
  </w:style>
  <w:style w:type="character" w:styleId="CommentReference">
    <w:name w:val="annotation reference"/>
    <w:basedOn w:val="DefaultParagraphFont"/>
    <w:uiPriority w:val="99"/>
    <w:semiHidden/>
    <w:unhideWhenUsed/>
    <w:rsid w:val="004626A2"/>
    <w:rPr>
      <w:sz w:val="16"/>
      <w:szCs w:val="16"/>
    </w:rPr>
  </w:style>
  <w:style w:type="paragraph" w:styleId="CommentText">
    <w:name w:val="annotation text"/>
    <w:basedOn w:val="Normal"/>
    <w:link w:val="CommentTextChar"/>
    <w:uiPriority w:val="99"/>
    <w:semiHidden/>
    <w:unhideWhenUsed/>
    <w:rsid w:val="004626A2"/>
    <w:pPr>
      <w:spacing w:line="240" w:lineRule="auto"/>
    </w:pPr>
    <w:rPr>
      <w:sz w:val="20"/>
      <w:szCs w:val="20"/>
    </w:rPr>
  </w:style>
  <w:style w:type="character" w:customStyle="1" w:styleId="CommentTextChar">
    <w:name w:val="Comment Text Char"/>
    <w:basedOn w:val="DefaultParagraphFont"/>
    <w:link w:val="CommentText"/>
    <w:uiPriority w:val="99"/>
    <w:semiHidden/>
    <w:rsid w:val="004626A2"/>
    <w:rPr>
      <w:sz w:val="20"/>
      <w:szCs w:val="20"/>
    </w:rPr>
  </w:style>
  <w:style w:type="paragraph" w:styleId="CommentSubject">
    <w:name w:val="annotation subject"/>
    <w:basedOn w:val="CommentText"/>
    <w:next w:val="CommentText"/>
    <w:link w:val="CommentSubjectChar"/>
    <w:uiPriority w:val="99"/>
    <w:semiHidden/>
    <w:unhideWhenUsed/>
    <w:rsid w:val="004626A2"/>
    <w:rPr>
      <w:b/>
      <w:bCs/>
    </w:rPr>
  </w:style>
  <w:style w:type="character" w:customStyle="1" w:styleId="CommentSubjectChar">
    <w:name w:val="Comment Subject Char"/>
    <w:basedOn w:val="CommentTextChar"/>
    <w:link w:val="CommentSubject"/>
    <w:uiPriority w:val="99"/>
    <w:semiHidden/>
    <w:rsid w:val="004626A2"/>
    <w:rPr>
      <w:b/>
      <w:bCs/>
      <w:sz w:val="20"/>
      <w:szCs w:val="20"/>
    </w:rPr>
  </w:style>
  <w:style w:type="paragraph" w:styleId="Revision">
    <w:name w:val="Revision"/>
    <w:hidden/>
    <w:uiPriority w:val="99"/>
    <w:semiHidden/>
    <w:rsid w:val="003C5BDB"/>
    <w:pPr>
      <w:spacing w:after="0" w:line="240" w:lineRule="auto"/>
    </w:pPr>
  </w:style>
  <w:style w:type="paragraph" w:styleId="ListParagraph">
    <w:name w:val="List Paragraph"/>
    <w:basedOn w:val="Normal"/>
    <w:uiPriority w:val="34"/>
    <w:qFormat/>
    <w:rsid w:val="00593D63"/>
    <w:pPr>
      <w:ind w:left="720"/>
      <w:contextualSpacing/>
    </w:pPr>
    <w:rPr>
      <w:rFonts w:ascii="Times New Roman" w:hAnsi="Times New Roman" w:cs="Times New Roman"/>
      <w:sz w:val="24"/>
      <w:szCs w:val="24"/>
      <w:lang w:val="en-GB"/>
    </w:rPr>
  </w:style>
  <w:style w:type="character" w:customStyle="1" w:styleId="UnresolvedMention">
    <w:name w:val="Unresolved Mention"/>
    <w:basedOn w:val="DefaultParagraphFont"/>
    <w:uiPriority w:val="99"/>
    <w:semiHidden/>
    <w:unhideWhenUsed/>
    <w:rsid w:val="004F23AF"/>
    <w:rPr>
      <w:color w:val="605E5C"/>
      <w:shd w:val="clear" w:color="auto" w:fill="E1DFDD"/>
    </w:rPr>
  </w:style>
  <w:style w:type="paragraph" w:styleId="EndnoteText">
    <w:name w:val="endnote text"/>
    <w:basedOn w:val="Normal"/>
    <w:link w:val="EndnoteTextChar"/>
    <w:uiPriority w:val="99"/>
    <w:semiHidden/>
    <w:unhideWhenUsed/>
    <w:rsid w:val="004C2D5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C2D52"/>
    <w:rPr>
      <w:sz w:val="20"/>
      <w:szCs w:val="20"/>
    </w:rPr>
  </w:style>
  <w:style w:type="character" w:styleId="EndnoteReference">
    <w:name w:val="endnote reference"/>
    <w:basedOn w:val="DefaultParagraphFont"/>
    <w:uiPriority w:val="99"/>
    <w:semiHidden/>
    <w:unhideWhenUsed/>
    <w:rsid w:val="004C2D52"/>
    <w:rPr>
      <w:vertAlign w:val="superscript"/>
    </w:rPr>
  </w:style>
  <w:style w:type="paragraph" w:customStyle="1" w:styleId="H2Financials">
    <w:name w:val="H2 Financials"/>
    <w:basedOn w:val="Heading1"/>
    <w:link w:val="H2FinancialsChar"/>
    <w:qFormat/>
    <w:rsid w:val="00974E28"/>
    <w:rPr>
      <w:color w:val="292929"/>
    </w:rPr>
  </w:style>
  <w:style w:type="paragraph" w:customStyle="1" w:styleId="H3Financials">
    <w:name w:val="H3 Financials"/>
    <w:basedOn w:val="H3"/>
    <w:link w:val="H3FinancialsChar"/>
    <w:qFormat/>
    <w:rsid w:val="00AA46E7"/>
    <w:rPr>
      <w:color w:val="1C1C1C"/>
    </w:rPr>
  </w:style>
  <w:style w:type="character" w:customStyle="1" w:styleId="H2FinancialsChar">
    <w:name w:val="H2 Financials Char"/>
    <w:basedOn w:val="Heading1Char"/>
    <w:link w:val="H2Financials"/>
    <w:rsid w:val="00974E28"/>
    <w:rPr>
      <w:rFonts w:asciiTheme="majorHAnsi" w:eastAsiaTheme="majorEastAsia" w:hAnsiTheme="majorHAnsi" w:cstheme="majorBidi"/>
      <w:color w:val="292929"/>
      <w:spacing w:val="-12"/>
      <w:sz w:val="60"/>
      <w:szCs w:val="32"/>
    </w:rPr>
  </w:style>
  <w:style w:type="paragraph" w:customStyle="1" w:styleId="NoParagraphStyle">
    <w:name w:val="[No Paragraph Style]"/>
    <w:rsid w:val="0045181D"/>
    <w:pPr>
      <w:autoSpaceDE w:val="0"/>
      <w:autoSpaceDN w:val="0"/>
      <w:adjustRightInd w:val="0"/>
      <w:spacing w:after="0" w:line="288" w:lineRule="auto"/>
      <w:textAlignment w:val="center"/>
    </w:pPr>
    <w:rPr>
      <w:rFonts w:ascii="Futura PT Book" w:hAnsi="Futura PT Book"/>
      <w:color w:val="000000"/>
      <w:sz w:val="24"/>
      <w:szCs w:val="24"/>
      <w:lang w:val="en-US"/>
    </w:rPr>
  </w:style>
  <w:style w:type="character" w:customStyle="1" w:styleId="H3FinancialsChar">
    <w:name w:val="H3 Financials Char"/>
    <w:basedOn w:val="H3Char"/>
    <w:link w:val="H3Financials"/>
    <w:rsid w:val="00AA46E7"/>
    <w:rPr>
      <w:rFonts w:asciiTheme="majorHAnsi" w:hAnsiTheme="majorHAnsi"/>
      <w:bCs/>
      <w:color w:val="1C1C1C"/>
      <w:sz w:val="24"/>
      <w:szCs w:val="24"/>
    </w:rPr>
  </w:style>
  <w:style w:type="paragraph" w:customStyle="1" w:styleId="financialtableheading">
    <w:name w:val="financial table heading"/>
    <w:basedOn w:val="tablebody"/>
    <w:uiPriority w:val="99"/>
    <w:rsid w:val="0045181D"/>
    <w:pPr>
      <w:spacing w:after="57" w:line="180" w:lineRule="atLeast"/>
      <w:jc w:val="right"/>
    </w:pPr>
    <w:rPr>
      <w:rFonts w:ascii="Futura PT Heavy" w:hAnsi="Futura PT Heavy" w:cs="Futura PT Heavy"/>
    </w:rPr>
  </w:style>
  <w:style w:type="paragraph" w:customStyle="1" w:styleId="tablebodyright">
    <w:name w:val="table body right"/>
    <w:basedOn w:val="Body"/>
    <w:uiPriority w:val="99"/>
    <w:rsid w:val="0045181D"/>
    <w:pPr>
      <w:suppressAutoHyphens/>
      <w:autoSpaceDE w:val="0"/>
      <w:autoSpaceDN w:val="0"/>
      <w:adjustRightInd w:val="0"/>
      <w:spacing w:after="57" w:line="180" w:lineRule="atLeast"/>
      <w:jc w:val="right"/>
      <w:textAlignment w:val="center"/>
    </w:pPr>
    <w:rPr>
      <w:rFonts w:ascii="Futura PT Book" w:hAnsi="Futura PT Book" w:cs="Futura PT Book"/>
      <w:color w:val="000000"/>
      <w:sz w:val="14"/>
      <w:szCs w:val="14"/>
      <w:lang w:val="en-US"/>
    </w:rPr>
  </w:style>
  <w:style w:type="character" w:customStyle="1" w:styleId="Bold">
    <w:name w:val="Bold"/>
    <w:uiPriority w:val="99"/>
    <w:rsid w:val="0045181D"/>
  </w:style>
  <w:style w:type="paragraph" w:customStyle="1" w:styleId="H4Financials">
    <w:name w:val="H4 Financials"/>
    <w:basedOn w:val="H4"/>
    <w:link w:val="H4FinancialsChar"/>
    <w:qFormat/>
    <w:rsid w:val="009470A1"/>
  </w:style>
  <w:style w:type="character" w:customStyle="1" w:styleId="H4FinancialsChar">
    <w:name w:val="H4 Financials Char"/>
    <w:basedOn w:val="H4Char"/>
    <w:link w:val="H4Financials"/>
    <w:rsid w:val="009470A1"/>
    <w:rPr>
      <w:rFonts w:ascii="Futura PT Demi" w:hAnsi="Futura PT Demi"/>
      <w:bCs/>
      <w:color w:val="1C1C1C"/>
      <w:sz w:val="17"/>
      <w:szCs w:val="18"/>
    </w:rPr>
  </w:style>
  <w:style w:type="paragraph" w:styleId="TOC3">
    <w:name w:val="toc 3"/>
    <w:basedOn w:val="Normal"/>
    <w:next w:val="Normal"/>
    <w:autoRedefine/>
    <w:uiPriority w:val="39"/>
    <w:unhideWhenUsed/>
    <w:rsid w:val="002A417E"/>
    <w:pPr>
      <w:spacing w:after="100"/>
      <w:ind w:left="440"/>
    </w:pPr>
  </w:style>
  <w:style w:type="character" w:styleId="FollowedHyperlink">
    <w:name w:val="FollowedHyperlink"/>
    <w:basedOn w:val="DefaultParagraphFont"/>
    <w:uiPriority w:val="99"/>
    <w:semiHidden/>
    <w:unhideWhenUsed/>
    <w:rsid w:val="009D48E1"/>
    <w:rPr>
      <w:color w:val="7EC352" w:themeColor="followedHyperlink"/>
      <w:u w:val="single"/>
    </w:rPr>
  </w:style>
  <w:style w:type="paragraph" w:customStyle="1" w:styleId="indexcopy">
    <w:name w:val="index copy"/>
    <w:basedOn w:val="Body"/>
    <w:link w:val="indexcopyChar"/>
    <w:qFormat/>
    <w:rsid w:val="009C541B"/>
    <w:pPr>
      <w:spacing w:after="60" w:line="250" w:lineRule="auto"/>
      <w:ind w:left="454" w:hanging="454"/>
    </w:pPr>
  </w:style>
  <w:style w:type="paragraph" w:customStyle="1" w:styleId="indentindexcopy">
    <w:name w:val="indent index copy"/>
    <w:basedOn w:val="indexcopy"/>
    <w:link w:val="indentindexcopyChar"/>
    <w:qFormat/>
    <w:rsid w:val="009C541B"/>
    <w:pPr>
      <w:ind w:left="624" w:hanging="397"/>
    </w:pPr>
  </w:style>
  <w:style w:type="character" w:customStyle="1" w:styleId="indexcopyChar">
    <w:name w:val="index copy Char"/>
    <w:basedOn w:val="BodyChar"/>
    <w:link w:val="indexcopy"/>
    <w:rsid w:val="009C541B"/>
    <w:rPr>
      <w:color w:val="1C1C1C"/>
      <w:sz w:val="18"/>
      <w:szCs w:val="18"/>
    </w:rPr>
  </w:style>
  <w:style w:type="character" w:customStyle="1" w:styleId="indentindexcopyChar">
    <w:name w:val="indent index copy Char"/>
    <w:basedOn w:val="indexcopyChar"/>
    <w:link w:val="indentindexcopy"/>
    <w:rsid w:val="009C541B"/>
    <w:rPr>
      <w:color w:val="1C1C1C"/>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06175">
      <w:bodyDiv w:val="1"/>
      <w:marLeft w:val="0"/>
      <w:marRight w:val="0"/>
      <w:marTop w:val="0"/>
      <w:marBottom w:val="0"/>
      <w:divBdr>
        <w:top w:val="none" w:sz="0" w:space="0" w:color="auto"/>
        <w:left w:val="none" w:sz="0" w:space="0" w:color="auto"/>
        <w:bottom w:val="none" w:sz="0" w:space="0" w:color="auto"/>
        <w:right w:val="none" w:sz="0" w:space="0" w:color="auto"/>
      </w:divBdr>
    </w:div>
    <w:div w:id="552813109">
      <w:bodyDiv w:val="1"/>
      <w:marLeft w:val="0"/>
      <w:marRight w:val="0"/>
      <w:marTop w:val="0"/>
      <w:marBottom w:val="0"/>
      <w:divBdr>
        <w:top w:val="none" w:sz="0" w:space="0" w:color="auto"/>
        <w:left w:val="none" w:sz="0" w:space="0" w:color="auto"/>
        <w:bottom w:val="none" w:sz="0" w:space="0" w:color="auto"/>
        <w:right w:val="none" w:sz="0" w:space="0" w:color="auto"/>
      </w:divBdr>
    </w:div>
    <w:div w:id="571475538">
      <w:bodyDiv w:val="1"/>
      <w:marLeft w:val="0"/>
      <w:marRight w:val="0"/>
      <w:marTop w:val="0"/>
      <w:marBottom w:val="0"/>
      <w:divBdr>
        <w:top w:val="none" w:sz="0" w:space="0" w:color="auto"/>
        <w:left w:val="none" w:sz="0" w:space="0" w:color="auto"/>
        <w:bottom w:val="none" w:sz="0" w:space="0" w:color="auto"/>
        <w:right w:val="none" w:sz="0" w:space="0" w:color="auto"/>
      </w:divBdr>
    </w:div>
    <w:div w:id="602805338">
      <w:bodyDiv w:val="1"/>
      <w:marLeft w:val="0"/>
      <w:marRight w:val="0"/>
      <w:marTop w:val="0"/>
      <w:marBottom w:val="0"/>
      <w:divBdr>
        <w:top w:val="none" w:sz="0" w:space="0" w:color="auto"/>
        <w:left w:val="none" w:sz="0" w:space="0" w:color="auto"/>
        <w:bottom w:val="none" w:sz="0" w:space="0" w:color="auto"/>
        <w:right w:val="none" w:sz="0" w:space="0" w:color="auto"/>
      </w:divBdr>
    </w:div>
    <w:div w:id="836729187">
      <w:bodyDiv w:val="1"/>
      <w:marLeft w:val="0"/>
      <w:marRight w:val="0"/>
      <w:marTop w:val="0"/>
      <w:marBottom w:val="0"/>
      <w:divBdr>
        <w:top w:val="none" w:sz="0" w:space="0" w:color="auto"/>
        <w:left w:val="none" w:sz="0" w:space="0" w:color="auto"/>
        <w:bottom w:val="none" w:sz="0" w:space="0" w:color="auto"/>
        <w:right w:val="none" w:sz="0" w:space="0" w:color="auto"/>
      </w:divBdr>
    </w:div>
    <w:div w:id="1025251096">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84569724">
      <w:bodyDiv w:val="1"/>
      <w:marLeft w:val="0"/>
      <w:marRight w:val="0"/>
      <w:marTop w:val="0"/>
      <w:marBottom w:val="0"/>
      <w:divBdr>
        <w:top w:val="none" w:sz="0" w:space="0" w:color="auto"/>
        <w:left w:val="none" w:sz="0" w:space="0" w:color="auto"/>
        <w:bottom w:val="none" w:sz="0" w:space="0" w:color="auto"/>
        <w:right w:val="none" w:sz="0" w:space="0" w:color="auto"/>
      </w:divBdr>
    </w:div>
    <w:div w:id="1288851372">
      <w:bodyDiv w:val="1"/>
      <w:marLeft w:val="0"/>
      <w:marRight w:val="0"/>
      <w:marTop w:val="0"/>
      <w:marBottom w:val="0"/>
      <w:divBdr>
        <w:top w:val="none" w:sz="0" w:space="0" w:color="auto"/>
        <w:left w:val="none" w:sz="0" w:space="0" w:color="auto"/>
        <w:bottom w:val="none" w:sz="0" w:space="0" w:color="auto"/>
        <w:right w:val="none" w:sz="0" w:space="0" w:color="auto"/>
      </w:divBdr>
    </w:div>
    <w:div w:id="1377437664">
      <w:bodyDiv w:val="1"/>
      <w:marLeft w:val="0"/>
      <w:marRight w:val="0"/>
      <w:marTop w:val="0"/>
      <w:marBottom w:val="0"/>
      <w:divBdr>
        <w:top w:val="none" w:sz="0" w:space="0" w:color="auto"/>
        <w:left w:val="none" w:sz="0" w:space="0" w:color="auto"/>
        <w:bottom w:val="none" w:sz="0" w:space="0" w:color="auto"/>
        <w:right w:val="none" w:sz="0" w:space="0" w:color="auto"/>
      </w:divBdr>
    </w:div>
    <w:div w:id="1457868809">
      <w:bodyDiv w:val="1"/>
      <w:marLeft w:val="0"/>
      <w:marRight w:val="0"/>
      <w:marTop w:val="0"/>
      <w:marBottom w:val="0"/>
      <w:divBdr>
        <w:top w:val="none" w:sz="0" w:space="0" w:color="auto"/>
        <w:left w:val="none" w:sz="0" w:space="0" w:color="auto"/>
        <w:bottom w:val="none" w:sz="0" w:space="0" w:color="auto"/>
        <w:right w:val="none" w:sz="0" w:space="0" w:color="auto"/>
      </w:divBdr>
    </w:div>
    <w:div w:id="1513490782">
      <w:bodyDiv w:val="1"/>
      <w:marLeft w:val="0"/>
      <w:marRight w:val="0"/>
      <w:marTop w:val="0"/>
      <w:marBottom w:val="0"/>
      <w:divBdr>
        <w:top w:val="none" w:sz="0" w:space="0" w:color="auto"/>
        <w:left w:val="none" w:sz="0" w:space="0" w:color="auto"/>
        <w:bottom w:val="none" w:sz="0" w:space="0" w:color="auto"/>
        <w:right w:val="none" w:sz="0" w:space="0" w:color="auto"/>
      </w:divBdr>
    </w:div>
    <w:div w:id="1820537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header" Target="header49.xml"/><Relationship Id="rId21" Type="http://schemas.openxmlformats.org/officeDocument/2006/relationships/footer" Target="footer4.xml"/><Relationship Id="rId42" Type="http://schemas.openxmlformats.org/officeDocument/2006/relationships/image" Target="media/image12.jpeg"/><Relationship Id="rId47" Type="http://schemas.openxmlformats.org/officeDocument/2006/relationships/footer" Target="footer9.xml"/><Relationship Id="rId63" Type="http://schemas.openxmlformats.org/officeDocument/2006/relationships/header" Target="header18.xml"/><Relationship Id="rId68" Type="http://schemas.openxmlformats.org/officeDocument/2006/relationships/image" Target="media/image26.jpeg"/><Relationship Id="rId84" Type="http://schemas.openxmlformats.org/officeDocument/2006/relationships/footer" Target="footer13.xml"/><Relationship Id="rId89" Type="http://schemas.openxmlformats.org/officeDocument/2006/relationships/footer" Target="footer14.xml"/><Relationship Id="rId112" Type="http://schemas.openxmlformats.org/officeDocument/2006/relationships/footer" Target="footer26.xml"/><Relationship Id="rId16" Type="http://schemas.openxmlformats.org/officeDocument/2006/relationships/hyperlink" Target="http://youtube.com/c/IhpaGovAu" TargetMode="External"/><Relationship Id="rId107" Type="http://schemas.openxmlformats.org/officeDocument/2006/relationships/header" Target="header45.xml"/><Relationship Id="rId11" Type="http://schemas.openxmlformats.org/officeDocument/2006/relationships/hyperlink" Target="mailto:communications.ihpa@ihpa.gov.au" TargetMode="External"/><Relationship Id="rId32" Type="http://schemas.openxmlformats.org/officeDocument/2006/relationships/hyperlink" Target="https://www.ihpa.gov.au/what-we-do/national-efficient-price-determination" TargetMode="External"/><Relationship Id="rId37" Type="http://schemas.openxmlformats.org/officeDocument/2006/relationships/image" Target="media/image9.jpeg"/><Relationship Id="rId53" Type="http://schemas.openxmlformats.org/officeDocument/2006/relationships/header" Target="header11.xml"/><Relationship Id="rId58" Type="http://schemas.openxmlformats.org/officeDocument/2006/relationships/header" Target="header16.xml"/><Relationship Id="rId74" Type="http://schemas.openxmlformats.org/officeDocument/2006/relationships/header" Target="header25.xml"/><Relationship Id="rId79" Type="http://schemas.openxmlformats.org/officeDocument/2006/relationships/header" Target="header29.xml"/><Relationship Id="rId102" Type="http://schemas.openxmlformats.org/officeDocument/2006/relationships/footer" Target="footer21.xml"/><Relationship Id="rId123" Type="http://schemas.openxmlformats.org/officeDocument/2006/relationships/image" Target="media/image39.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eader" Target="header37.xml"/><Relationship Id="rId95" Type="http://schemas.openxmlformats.org/officeDocument/2006/relationships/header" Target="header40.xml"/><Relationship Id="rId19" Type="http://schemas.openxmlformats.org/officeDocument/2006/relationships/footer" Target="footer3.xml"/><Relationship Id="rId14" Type="http://schemas.openxmlformats.org/officeDocument/2006/relationships/hyperlink" Target="http://www.linkedin.com/company/independent-hospital-pricing-authority" TargetMode="External"/><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header" Target="header5.xml"/><Relationship Id="rId35" Type="http://schemas.openxmlformats.org/officeDocument/2006/relationships/image" Target="media/image7.jpeg"/><Relationship Id="rId43" Type="http://schemas.openxmlformats.org/officeDocument/2006/relationships/header" Target="header7.xml"/><Relationship Id="rId48" Type="http://schemas.openxmlformats.org/officeDocument/2006/relationships/image" Target="media/image15.jpeg"/><Relationship Id="rId56" Type="http://schemas.openxmlformats.org/officeDocument/2006/relationships/header" Target="header14.xml"/><Relationship Id="rId64" Type="http://schemas.openxmlformats.org/officeDocument/2006/relationships/header" Target="header19.xml"/><Relationship Id="rId69" Type="http://schemas.openxmlformats.org/officeDocument/2006/relationships/image" Target="media/image27.png"/><Relationship Id="rId77" Type="http://schemas.openxmlformats.org/officeDocument/2006/relationships/header" Target="header27.xml"/><Relationship Id="rId100" Type="http://schemas.openxmlformats.org/officeDocument/2006/relationships/footer" Target="footer20.xml"/><Relationship Id="rId105" Type="http://schemas.openxmlformats.org/officeDocument/2006/relationships/footer" Target="footer23.xml"/><Relationship Id="rId113" Type="http://schemas.openxmlformats.org/officeDocument/2006/relationships/image" Target="media/image35.png"/><Relationship Id="rId118" Type="http://schemas.openxmlformats.org/officeDocument/2006/relationships/header" Target="header50.xml"/><Relationship Id="rId126" Type="http://schemas.openxmlformats.org/officeDocument/2006/relationships/footer" Target="footer29.xml"/><Relationship Id="rId8" Type="http://schemas.openxmlformats.org/officeDocument/2006/relationships/header" Target="header1.xml"/><Relationship Id="rId51" Type="http://schemas.openxmlformats.org/officeDocument/2006/relationships/image" Target="media/image17.jpeg"/><Relationship Id="rId72" Type="http://schemas.openxmlformats.org/officeDocument/2006/relationships/header" Target="header24.xml"/><Relationship Id="rId80" Type="http://schemas.openxmlformats.org/officeDocument/2006/relationships/header" Target="header30.xml"/><Relationship Id="rId85" Type="http://schemas.openxmlformats.org/officeDocument/2006/relationships/header" Target="header33.xml"/><Relationship Id="rId93" Type="http://schemas.openxmlformats.org/officeDocument/2006/relationships/footer" Target="footer16.xml"/><Relationship Id="rId98" Type="http://schemas.openxmlformats.org/officeDocument/2006/relationships/header" Target="header41.xml"/><Relationship Id="rId121" Type="http://schemas.openxmlformats.org/officeDocument/2006/relationships/footer" Target="footer28.xml"/><Relationship Id="rId3" Type="http://schemas.openxmlformats.org/officeDocument/2006/relationships/styles" Target="styles.xml"/><Relationship Id="rId12" Type="http://schemas.openxmlformats.org/officeDocument/2006/relationships/hyperlink" Target="file:///C:\Users\kodikn\AppData\Local\Microsoft\Windows\INetCache\Content.Outlook\CTGTFL87\www.ihpa.gov.au" TargetMode="External"/><Relationship Id="rId17" Type="http://schemas.openxmlformats.org/officeDocument/2006/relationships/hyperlink" Target="https://soundcloud.com/IHPA" TargetMode="External"/><Relationship Id="rId25" Type="http://schemas.openxmlformats.org/officeDocument/2006/relationships/header" Target="header3.xml"/><Relationship Id="rId33" Type="http://schemas.openxmlformats.org/officeDocument/2006/relationships/image" Target="media/image5.jpeg"/><Relationship Id="rId38" Type="http://schemas.openxmlformats.org/officeDocument/2006/relationships/hyperlink" Target="https://www.ihpa.gov.au/what-we-do" TargetMode="External"/><Relationship Id="rId46" Type="http://schemas.openxmlformats.org/officeDocument/2006/relationships/header" Target="header9.xml"/><Relationship Id="rId59" Type="http://schemas.openxmlformats.org/officeDocument/2006/relationships/footer" Target="footer10.xml"/><Relationship Id="rId67" Type="http://schemas.openxmlformats.org/officeDocument/2006/relationships/footer" Target="footer11.xml"/><Relationship Id="rId103" Type="http://schemas.openxmlformats.org/officeDocument/2006/relationships/footer" Target="footer22.xml"/><Relationship Id="rId108" Type="http://schemas.openxmlformats.org/officeDocument/2006/relationships/footer" Target="footer24.xml"/><Relationship Id="rId116" Type="http://schemas.openxmlformats.org/officeDocument/2006/relationships/header" Target="header48.xml"/><Relationship Id="rId124" Type="http://schemas.openxmlformats.org/officeDocument/2006/relationships/header" Target="header51.xml"/><Relationship Id="rId20" Type="http://schemas.openxmlformats.org/officeDocument/2006/relationships/header" Target="header2.xml"/><Relationship Id="rId41" Type="http://schemas.openxmlformats.org/officeDocument/2006/relationships/image" Target="media/image11.jpeg"/><Relationship Id="rId54" Type="http://schemas.openxmlformats.org/officeDocument/2006/relationships/header" Target="header12.xml"/><Relationship Id="rId62" Type="http://schemas.openxmlformats.org/officeDocument/2006/relationships/image" Target="media/image24.png"/><Relationship Id="rId70" Type="http://schemas.openxmlformats.org/officeDocument/2006/relationships/header" Target="header22.xml"/><Relationship Id="rId75" Type="http://schemas.openxmlformats.org/officeDocument/2006/relationships/header" Target="header26.xml"/><Relationship Id="rId83" Type="http://schemas.openxmlformats.org/officeDocument/2006/relationships/header" Target="header32.xml"/><Relationship Id="rId88" Type="http://schemas.openxmlformats.org/officeDocument/2006/relationships/header" Target="header36.xml"/><Relationship Id="rId91" Type="http://schemas.openxmlformats.org/officeDocument/2006/relationships/footer" Target="footer15.xml"/><Relationship Id="rId96" Type="http://schemas.openxmlformats.org/officeDocument/2006/relationships/footer" Target="footer17.xml"/><Relationship Id="rId111" Type="http://schemas.openxmlformats.org/officeDocument/2006/relationships/header" Target="header4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witter.com/IHPAnews" TargetMode="External"/><Relationship Id="rId23" Type="http://schemas.openxmlformats.org/officeDocument/2006/relationships/image" Target="media/image2.jpeg"/><Relationship Id="rId28" Type="http://schemas.openxmlformats.org/officeDocument/2006/relationships/footer" Target="footer7.xml"/><Relationship Id="rId36" Type="http://schemas.openxmlformats.org/officeDocument/2006/relationships/image" Target="media/image8.jpeg"/><Relationship Id="rId49" Type="http://schemas.openxmlformats.org/officeDocument/2006/relationships/image" Target="media/image16.jpeg"/><Relationship Id="rId57" Type="http://schemas.openxmlformats.org/officeDocument/2006/relationships/header" Target="header15.xml"/><Relationship Id="rId106" Type="http://schemas.openxmlformats.org/officeDocument/2006/relationships/header" Target="header44.xml"/><Relationship Id="rId114" Type="http://schemas.openxmlformats.org/officeDocument/2006/relationships/image" Target="media/image36.jpeg"/><Relationship Id="rId119" Type="http://schemas.openxmlformats.org/officeDocument/2006/relationships/footer" Target="footer27.xml"/><Relationship Id="rId12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header" Target="header6.xml"/><Relationship Id="rId44" Type="http://schemas.openxmlformats.org/officeDocument/2006/relationships/header" Target="header8.xml"/><Relationship Id="rId52" Type="http://schemas.openxmlformats.org/officeDocument/2006/relationships/image" Target="media/image18.jpeg"/><Relationship Id="rId60" Type="http://schemas.openxmlformats.org/officeDocument/2006/relationships/header" Target="header17.xml"/><Relationship Id="rId65" Type="http://schemas.openxmlformats.org/officeDocument/2006/relationships/header" Target="header20.xml"/><Relationship Id="rId73" Type="http://schemas.openxmlformats.org/officeDocument/2006/relationships/image" Target="media/image28.jpeg"/><Relationship Id="rId78" Type="http://schemas.openxmlformats.org/officeDocument/2006/relationships/header" Target="header28.xml"/><Relationship Id="rId81" Type="http://schemas.openxmlformats.org/officeDocument/2006/relationships/hyperlink" Target="https://www.ihpa.gov.au/publications" TargetMode="External"/><Relationship Id="rId86" Type="http://schemas.openxmlformats.org/officeDocument/2006/relationships/header" Target="header34.xml"/><Relationship Id="rId94" Type="http://schemas.openxmlformats.org/officeDocument/2006/relationships/header" Target="header39.xml"/><Relationship Id="rId99" Type="http://schemas.openxmlformats.org/officeDocument/2006/relationships/footer" Target="footer19.xml"/><Relationship Id="rId101" Type="http://schemas.openxmlformats.org/officeDocument/2006/relationships/header" Target="header42.xml"/><Relationship Id="rId12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D:\GrowthOps%202020\IHPA\05672%20-%20AR%202019-20\www.ihpa.gov.au\annual-report-2019&#8211;20" TargetMode="External"/><Relationship Id="rId18" Type="http://schemas.openxmlformats.org/officeDocument/2006/relationships/hyperlink" Target="http://www.creativecommons.org/licenses/by/3.0/au" TargetMode="External"/><Relationship Id="rId39" Type="http://schemas.openxmlformats.org/officeDocument/2006/relationships/hyperlink" Target="https://www.ihpa.gov.au/what-we-do/national-efficient-cost-determination" TargetMode="External"/><Relationship Id="rId109" Type="http://schemas.openxmlformats.org/officeDocument/2006/relationships/footer" Target="footer25.xml"/><Relationship Id="rId34" Type="http://schemas.openxmlformats.org/officeDocument/2006/relationships/image" Target="media/image6.jpeg"/><Relationship Id="rId50" Type="http://schemas.openxmlformats.org/officeDocument/2006/relationships/header" Target="header10.xml"/><Relationship Id="rId55" Type="http://schemas.openxmlformats.org/officeDocument/2006/relationships/header" Target="header13.xml"/><Relationship Id="rId76" Type="http://schemas.openxmlformats.org/officeDocument/2006/relationships/footer" Target="footer12.xml"/><Relationship Id="rId97" Type="http://schemas.openxmlformats.org/officeDocument/2006/relationships/footer" Target="footer18.xml"/><Relationship Id="rId104" Type="http://schemas.openxmlformats.org/officeDocument/2006/relationships/header" Target="header43.xml"/><Relationship Id="rId120" Type="http://schemas.openxmlformats.org/officeDocument/2006/relationships/hyperlink" Target="https://www.ihpa.gov.au/publications" TargetMode="External"/><Relationship Id="rId125" Type="http://schemas.openxmlformats.org/officeDocument/2006/relationships/header" Target="header52.xml"/><Relationship Id="rId7" Type="http://schemas.openxmlformats.org/officeDocument/2006/relationships/endnotes" Target="endnotes.xml"/><Relationship Id="rId71" Type="http://schemas.openxmlformats.org/officeDocument/2006/relationships/header" Target="header23.xml"/><Relationship Id="rId92" Type="http://schemas.openxmlformats.org/officeDocument/2006/relationships/header" Target="header38.xml"/><Relationship Id="rId2" Type="http://schemas.openxmlformats.org/officeDocument/2006/relationships/numbering" Target="numbering.xml"/><Relationship Id="rId29" Type="http://schemas.openxmlformats.org/officeDocument/2006/relationships/hyperlink" Target="https://www.ihpa.gov.au/what-we-do/how-to-classify-covid-19" TargetMode="External"/><Relationship Id="rId24" Type="http://schemas.openxmlformats.org/officeDocument/2006/relationships/image" Target="media/image3.png"/><Relationship Id="rId40" Type="http://schemas.openxmlformats.org/officeDocument/2006/relationships/image" Target="media/image10.jpeg"/><Relationship Id="rId45" Type="http://schemas.openxmlformats.org/officeDocument/2006/relationships/footer" Target="footer8.xml"/><Relationship Id="rId66" Type="http://schemas.openxmlformats.org/officeDocument/2006/relationships/header" Target="header21.xml"/><Relationship Id="rId87" Type="http://schemas.openxmlformats.org/officeDocument/2006/relationships/header" Target="header35.xml"/><Relationship Id="rId110" Type="http://schemas.openxmlformats.org/officeDocument/2006/relationships/header" Target="header46.xml"/><Relationship Id="rId115" Type="http://schemas.openxmlformats.org/officeDocument/2006/relationships/image" Target="media/image37.jpeg"/><Relationship Id="rId61" Type="http://schemas.openxmlformats.org/officeDocument/2006/relationships/image" Target="media/image23.jpeg"/><Relationship Id="rId82" Type="http://schemas.openxmlformats.org/officeDocument/2006/relationships/header" Target="header3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19.jpeg"/></Relationships>
</file>

<file path=word/_rels/header12.xml.rels><?xml version="1.0" encoding="UTF-8" standalone="yes"?>
<Relationships xmlns="http://schemas.openxmlformats.org/package/2006/relationships"><Relationship Id="rId1" Type="http://schemas.openxmlformats.org/officeDocument/2006/relationships/image" Target="media/image20.jpg"/></Relationships>
</file>

<file path=word/_rels/header15.xml.rels><?xml version="1.0" encoding="UTF-8" standalone="yes"?>
<Relationships xmlns="http://schemas.openxmlformats.org/package/2006/relationships"><Relationship Id="rId1" Type="http://schemas.openxmlformats.org/officeDocument/2006/relationships/image" Target="media/image21.jpg"/></Relationships>
</file>

<file path=word/_rels/header16.xml.rels><?xml version="1.0" encoding="UTF-8" standalone="yes"?>
<Relationships xmlns="http://schemas.openxmlformats.org/package/2006/relationships"><Relationship Id="rId1" Type="http://schemas.openxmlformats.org/officeDocument/2006/relationships/image" Target="media/image22.jpeg"/></Relationships>
</file>

<file path=word/_rels/header20.xml.rels><?xml version="1.0" encoding="UTF-8" standalone="yes"?>
<Relationships xmlns="http://schemas.openxmlformats.org/package/2006/relationships"><Relationship Id="rId1" Type="http://schemas.openxmlformats.org/officeDocument/2006/relationships/image" Target="media/image25.jpg"/></Relationships>
</file>

<file path=word/_rels/header25.xml.rels><?xml version="1.0" encoding="UTF-8" standalone="yes"?>
<Relationships xmlns="http://schemas.openxmlformats.org/package/2006/relationships"><Relationship Id="rId1" Type="http://schemas.openxmlformats.org/officeDocument/2006/relationships/image" Target="media/image29.jpg"/></Relationships>
</file>

<file path=word/_rels/header26.xml.rels><?xml version="1.0" encoding="UTF-8" standalone="yes"?>
<Relationships xmlns="http://schemas.openxmlformats.org/package/2006/relationships"><Relationship Id="rId1" Type="http://schemas.openxmlformats.org/officeDocument/2006/relationships/image" Target="media/image30.jpe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31.xml.rels><?xml version="1.0" encoding="UTF-8" standalone="yes"?>
<Relationships xmlns="http://schemas.openxmlformats.org/package/2006/relationships"><Relationship Id="rId1" Type="http://schemas.openxmlformats.org/officeDocument/2006/relationships/image" Target="media/image31.jpg"/></Relationships>
</file>

<file path=word/_rels/header32.xml.rels><?xml version="1.0" encoding="UTF-8" standalone="yes"?>
<Relationships xmlns="http://schemas.openxmlformats.org/package/2006/relationships"><Relationship Id="rId1" Type="http://schemas.openxmlformats.org/officeDocument/2006/relationships/image" Target="media/image32.jpg"/></Relationships>
</file>

<file path=word/_rels/header44.xml.rels><?xml version="1.0" encoding="UTF-8" standalone="yes"?>
<Relationships xmlns="http://schemas.openxmlformats.org/package/2006/relationships"><Relationship Id="rId1" Type="http://schemas.openxmlformats.org/officeDocument/2006/relationships/image" Target="media/image33.jpg"/></Relationships>
</file>

<file path=word/_rels/header45.xml.rels><?xml version="1.0" encoding="UTF-8" standalone="yes"?>
<Relationships xmlns="http://schemas.openxmlformats.org/package/2006/relationships"><Relationship Id="rId1" Type="http://schemas.openxmlformats.org/officeDocument/2006/relationships/image" Target="media/image34.jpeg"/></Relationships>
</file>

<file path=word/_rels/header48.xml.rels><?xml version="1.0" encoding="UTF-8" standalone="yes"?>
<Relationships xmlns="http://schemas.openxmlformats.org/package/2006/relationships"><Relationship Id="rId1" Type="http://schemas.openxmlformats.org/officeDocument/2006/relationships/image" Target="media/image34.jpeg"/></Relationships>
</file>

<file path=word/_rels/header51.xml.rels><?xml version="1.0" encoding="UTF-8" standalone="yes"?>
<Relationships xmlns="http://schemas.openxmlformats.org/package/2006/relationships"><Relationship Id="rId1" Type="http://schemas.openxmlformats.org/officeDocument/2006/relationships/image" Target="media/image40.jpeg"/></Relationships>
</file>

<file path=word/_rels/header52.xml.rels><?xml version="1.0" encoding="UTF-8" standalone="yes"?>
<Relationships xmlns="http://schemas.openxmlformats.org/package/2006/relationships"><Relationship Id="rId1" Type="http://schemas.openxmlformats.org/officeDocument/2006/relationships/image" Target="media/image40.jpeg"/></Relationships>
</file>

<file path=word/_rels/header7.xml.rels><?xml version="1.0" encoding="UTF-8" standalone="yes"?>
<Relationships xmlns="http://schemas.openxmlformats.org/package/2006/relationships"><Relationship Id="rId1" Type="http://schemas.openxmlformats.org/officeDocument/2006/relationships/image" Target="media/image13.jpg"/></Relationships>
</file>

<file path=word/_rels/header8.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IHPA">
      <a:dk1>
        <a:srgbClr val="003F2C"/>
      </a:dk1>
      <a:lt1>
        <a:srgbClr val="7EC352"/>
      </a:lt1>
      <a:dk2>
        <a:srgbClr val="003F2C"/>
      </a:dk2>
      <a:lt2>
        <a:srgbClr val="FFFFFF"/>
      </a:lt2>
      <a:accent1>
        <a:srgbClr val="008F54"/>
      </a:accent1>
      <a:accent2>
        <a:srgbClr val="7EC352"/>
      </a:accent2>
      <a:accent3>
        <a:srgbClr val="009AB8"/>
      </a:accent3>
      <a:accent4>
        <a:srgbClr val="F47920"/>
      </a:accent4>
      <a:accent5>
        <a:srgbClr val="5E2F7E"/>
      </a:accent5>
      <a:accent6>
        <a:srgbClr val="C40B46"/>
      </a:accent6>
      <a:hlink>
        <a:srgbClr val="008F54"/>
      </a:hlink>
      <a:folHlink>
        <a:srgbClr val="7EC352"/>
      </a:folHlink>
    </a:clrScheme>
    <a:fontScheme name="IHPA">
      <a:majorFont>
        <a:latin typeface="Futura PT Bold"/>
        <a:ea typeface=""/>
        <a:cs typeface=""/>
      </a:majorFont>
      <a:minorFont>
        <a:latin typeface="Futura PT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D4145B-DA87-45E8-A687-3A4BC9A33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24426</Words>
  <Characters>139234</Characters>
  <Application>Microsoft Office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jon.version1@gmail.com</dc:creator>
  <cp:keywords/>
  <dc:description/>
  <cp:lastModifiedBy>Kodi, Neomi</cp:lastModifiedBy>
  <cp:revision>2</cp:revision>
  <dcterms:created xsi:type="dcterms:W3CDTF">2020-10-20T22:20:00Z</dcterms:created>
  <dcterms:modified xsi:type="dcterms:W3CDTF">2020-10-20T22:20:00Z</dcterms:modified>
</cp:coreProperties>
</file>