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0DF" w:rsidRPr="00845352" w:rsidRDefault="00845352" w:rsidP="00845352">
      <w:pPr>
        <w:pStyle w:val="BodyText"/>
        <w:tabs>
          <w:tab w:val="right" w:pos="7580"/>
        </w:tabs>
        <w:rPr>
          <w:rFonts w:ascii="Times New Roman"/>
          <w:sz w:val="20"/>
          <w:vertAlign w:val="subscript"/>
        </w:rPr>
      </w:pPr>
      <w:r>
        <w:rPr>
          <w:rFonts w:ascii="Times New Roman"/>
          <w:noProof/>
          <w:sz w:val="20"/>
          <w:vertAlign w:val="subscript"/>
        </w:rPr>
        <w:drawing>
          <wp:anchor distT="0" distB="0" distL="114300" distR="114300" simplePos="0" relativeHeight="503154376" behindDoc="1" locked="0" layoutInCell="1" allowOverlap="1">
            <wp:simplePos x="0" y="0"/>
            <wp:positionH relativeFrom="column">
              <wp:posOffset>-676276</wp:posOffset>
            </wp:positionH>
            <wp:positionV relativeFrom="paragraph">
              <wp:posOffset>-1019176</wp:posOffset>
            </wp:positionV>
            <wp:extent cx="6448425" cy="9160507"/>
            <wp:effectExtent l="0" t="0" r="0" b="3175"/>
            <wp:wrapNone/>
            <wp:docPr id="23" name="Picture 23" descr="IHPA logo" title="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jpg"/>
                    <pic:cNvPicPr/>
                  </pic:nvPicPr>
                  <pic:blipFill>
                    <a:blip r:embed="rId6">
                      <a:extLst>
                        <a:ext uri="{28A0092B-C50C-407E-A947-70E740481C1C}">
                          <a14:useLocalDpi xmlns:a14="http://schemas.microsoft.com/office/drawing/2010/main" val="0"/>
                        </a:ext>
                      </a:extLst>
                    </a:blip>
                    <a:stretch>
                      <a:fillRect/>
                    </a:stretch>
                  </pic:blipFill>
                  <pic:spPr>
                    <a:xfrm>
                      <a:off x="0" y="0"/>
                      <a:ext cx="6456487" cy="9171960"/>
                    </a:xfrm>
                    <a:prstGeom prst="rect">
                      <a:avLst/>
                    </a:prstGeom>
                  </pic:spPr>
                </pic:pic>
              </a:graphicData>
            </a:graphic>
            <wp14:sizeRelH relativeFrom="margin">
              <wp14:pctWidth>0</wp14:pctWidth>
            </wp14:sizeRelH>
            <wp14:sizeRelV relativeFrom="margin">
              <wp14:pctHeight>0</wp14:pctHeight>
            </wp14:sizeRelV>
          </wp:anchor>
        </w:drawing>
      </w:r>
    </w:p>
    <w:p w:rsidR="00D840DF" w:rsidRDefault="00961020" w:rsidP="00E20FA7">
      <w:pPr>
        <w:spacing w:before="1160" w:after="120" w:line="160" w:lineRule="auto"/>
        <w:rPr>
          <w:rFonts w:ascii="Futura PT Bold"/>
          <w:b/>
          <w:sz w:val="178"/>
        </w:rPr>
      </w:pPr>
      <w:bookmarkStart w:id="0" w:name="Cover_page"/>
      <w:bookmarkEnd w:id="0"/>
      <w:r>
        <w:rPr>
          <w:rFonts w:ascii="Futura PT Bold"/>
          <w:b/>
          <w:color w:val="008F54"/>
          <w:spacing w:val="-45"/>
          <w:sz w:val="178"/>
        </w:rPr>
        <w:t xml:space="preserve">Annual </w:t>
      </w:r>
      <w:bookmarkStart w:id="1" w:name="_GoBack"/>
      <w:bookmarkEnd w:id="1"/>
      <w:r>
        <w:rPr>
          <w:rFonts w:ascii="Futura PT Bold"/>
          <w:b/>
          <w:color w:val="008F54"/>
          <w:spacing w:val="-42"/>
          <w:sz w:val="178"/>
        </w:rPr>
        <w:t>Report</w:t>
      </w:r>
    </w:p>
    <w:p w:rsidR="00D840DF" w:rsidRDefault="00961020" w:rsidP="00E20FA7">
      <w:pPr>
        <w:tabs>
          <w:tab w:val="right" w:pos="7580"/>
        </w:tabs>
        <w:spacing w:after="6480" w:line="346" w:lineRule="exact"/>
        <w:ind w:left="113"/>
        <w:rPr>
          <w:rFonts w:ascii="Futura PT Bold" w:hAnsi="Futura PT Bold"/>
          <w:b/>
          <w:sz w:val="39"/>
        </w:rPr>
      </w:pPr>
      <w:r>
        <w:rPr>
          <w:rFonts w:ascii="Futura PT Bold" w:hAnsi="Futura PT Bold"/>
          <w:b/>
          <w:color w:val="003E2D"/>
          <w:sz w:val="39"/>
        </w:rPr>
        <w:t>2016–17</w:t>
      </w:r>
    </w:p>
    <w:p w:rsidR="00D840DF" w:rsidRDefault="00961020" w:rsidP="00B80667">
      <w:pPr>
        <w:pStyle w:val="Heading8"/>
        <w:spacing w:before="1" w:line="240" w:lineRule="auto"/>
        <w:ind w:left="0"/>
        <w:rPr>
          <w:rFonts w:ascii="Futura PT Demi"/>
        </w:rPr>
      </w:pPr>
      <w:r>
        <w:rPr>
          <w:rFonts w:ascii="Futura PT Demi"/>
          <w:color w:val="008F54"/>
        </w:rPr>
        <w:t>Independent Hospital Pricing Authority</w:t>
      </w:r>
    </w:p>
    <w:p w:rsidR="00D840DF" w:rsidRDefault="00D840DF">
      <w:pPr>
        <w:rPr>
          <w:rFonts w:ascii="Futura PT Demi"/>
        </w:rPr>
        <w:sectPr w:rsidR="00D840DF">
          <w:type w:val="continuous"/>
          <w:pgSz w:w="9980" w:h="14180"/>
          <w:pgMar w:top="1320" w:right="1380" w:bottom="280" w:left="1020" w:header="720" w:footer="720" w:gutter="0"/>
          <w:cols w:space="720"/>
        </w:sectPr>
      </w:pPr>
    </w:p>
    <w:p w:rsidR="00D840DF" w:rsidRDefault="00961020" w:rsidP="008F7C36">
      <w:pPr>
        <w:pStyle w:val="Heading5"/>
      </w:pPr>
      <w:r>
        <w:lastRenderedPageBreak/>
        <w:t>Contact</w:t>
      </w:r>
    </w:p>
    <w:p w:rsidR="00D840DF" w:rsidRDefault="00961020" w:rsidP="00505969">
      <w:pPr>
        <w:spacing w:before="150"/>
        <w:jc w:val="both"/>
        <w:rPr>
          <w:sz w:val="17"/>
        </w:rPr>
      </w:pPr>
      <w:r>
        <w:rPr>
          <w:color w:val="636466"/>
          <w:sz w:val="17"/>
        </w:rPr>
        <w:t>If you have any queries about this annual report please contact:</w:t>
      </w:r>
    </w:p>
    <w:p w:rsidR="00D840DF" w:rsidRDefault="00961020" w:rsidP="00505969">
      <w:pPr>
        <w:spacing w:before="143"/>
        <w:jc w:val="both"/>
        <w:rPr>
          <w:rFonts w:ascii="Futura PT Heavy"/>
          <w:b/>
          <w:sz w:val="17"/>
        </w:rPr>
      </w:pPr>
      <w:r>
        <w:rPr>
          <w:rFonts w:ascii="Futura PT Heavy"/>
          <w:b/>
          <w:color w:val="636466"/>
          <w:sz w:val="17"/>
        </w:rPr>
        <w:t>Independent</w:t>
      </w:r>
      <w:r w:rsidR="00E314B6">
        <w:rPr>
          <w:rFonts w:ascii="Futura PT Heavy"/>
          <w:b/>
          <w:color w:val="636466"/>
          <w:sz w:val="17"/>
        </w:rPr>
        <w:t xml:space="preserve"> </w:t>
      </w:r>
      <w:r>
        <w:rPr>
          <w:rFonts w:ascii="Futura PT Heavy"/>
          <w:b/>
          <w:color w:val="636466"/>
          <w:sz w:val="17"/>
        </w:rPr>
        <w:t>Hospital</w:t>
      </w:r>
      <w:r w:rsidR="00E314B6">
        <w:rPr>
          <w:rFonts w:ascii="Futura PT Heavy"/>
          <w:b/>
          <w:color w:val="636466"/>
          <w:sz w:val="17"/>
        </w:rPr>
        <w:t xml:space="preserve"> </w:t>
      </w:r>
      <w:r>
        <w:rPr>
          <w:rFonts w:ascii="Futura PT Heavy"/>
          <w:b/>
          <w:color w:val="636466"/>
          <w:sz w:val="17"/>
        </w:rPr>
        <w:t>Pricing Authority</w:t>
      </w:r>
    </w:p>
    <w:p w:rsidR="00D840DF" w:rsidRDefault="00961020" w:rsidP="00505969">
      <w:pPr>
        <w:spacing w:before="143"/>
        <w:jc w:val="both"/>
        <w:rPr>
          <w:sz w:val="17"/>
        </w:rPr>
      </w:pPr>
      <w:r>
        <w:rPr>
          <w:color w:val="636466"/>
          <w:sz w:val="17"/>
        </w:rPr>
        <w:t>Anna Flynn</w:t>
      </w:r>
    </w:p>
    <w:p w:rsidR="00D840DF" w:rsidRDefault="00961020" w:rsidP="00505969">
      <w:pPr>
        <w:spacing w:before="1" w:line="242" w:lineRule="auto"/>
        <w:ind w:right="4857"/>
        <w:rPr>
          <w:sz w:val="17"/>
        </w:rPr>
      </w:pPr>
      <w:r>
        <w:rPr>
          <w:color w:val="636466"/>
          <w:sz w:val="17"/>
        </w:rPr>
        <w:t>Mana</w:t>
      </w:r>
      <w:r w:rsidR="00E20FA7">
        <w:rPr>
          <w:color w:val="636466"/>
          <w:sz w:val="17"/>
        </w:rPr>
        <w:t xml:space="preserve">ger, Communication and Media </w:t>
      </w:r>
      <w:r w:rsidR="00E20FA7">
        <w:rPr>
          <w:color w:val="636466"/>
          <w:sz w:val="17"/>
        </w:rPr>
        <w:br/>
        <w:t xml:space="preserve">PO </w:t>
      </w:r>
      <w:r>
        <w:rPr>
          <w:color w:val="636466"/>
          <w:sz w:val="17"/>
        </w:rPr>
        <w:t>Box 483</w:t>
      </w:r>
    </w:p>
    <w:p w:rsidR="00D840DF" w:rsidRDefault="00961020" w:rsidP="00505969">
      <w:pPr>
        <w:jc w:val="both"/>
        <w:rPr>
          <w:sz w:val="17"/>
        </w:rPr>
      </w:pPr>
      <w:r>
        <w:rPr>
          <w:color w:val="636466"/>
          <w:sz w:val="17"/>
        </w:rPr>
        <w:t>Darlinghurst NSW 1300</w:t>
      </w:r>
    </w:p>
    <w:p w:rsidR="00D840DF" w:rsidRDefault="00961020" w:rsidP="00505969">
      <w:pPr>
        <w:spacing w:before="144"/>
        <w:jc w:val="both"/>
        <w:rPr>
          <w:sz w:val="17"/>
        </w:rPr>
      </w:pPr>
      <w:r>
        <w:rPr>
          <w:rFonts w:ascii="Futura PT Demi"/>
          <w:color w:val="636466"/>
          <w:sz w:val="17"/>
        </w:rPr>
        <w:t>Email</w:t>
      </w:r>
      <w:r w:rsidR="00E314B6">
        <w:rPr>
          <w:rFonts w:ascii="Futura PT Demi"/>
          <w:color w:val="636466"/>
          <w:sz w:val="17"/>
        </w:rPr>
        <w:t xml:space="preserve"> </w:t>
      </w:r>
      <w:hyperlink r:id="rId7">
        <w:r>
          <w:rPr>
            <w:color w:val="008F54"/>
            <w:sz w:val="17"/>
            <w:u w:val="single" w:color="008F54"/>
          </w:rPr>
          <w:t>communications.ihpa@ihpa.gov.au</w:t>
        </w:r>
      </w:hyperlink>
    </w:p>
    <w:p w:rsidR="00D840DF" w:rsidRDefault="00961020" w:rsidP="00505969">
      <w:pPr>
        <w:spacing w:before="1"/>
        <w:jc w:val="both"/>
        <w:rPr>
          <w:sz w:val="17"/>
        </w:rPr>
      </w:pPr>
      <w:r>
        <w:rPr>
          <w:rFonts w:ascii="Futura PT Demi"/>
          <w:color w:val="636466"/>
          <w:sz w:val="17"/>
        </w:rPr>
        <w:t xml:space="preserve">Telephone </w:t>
      </w:r>
      <w:r>
        <w:rPr>
          <w:color w:val="636466"/>
          <w:sz w:val="17"/>
        </w:rPr>
        <w:t>02 8215 1100</w:t>
      </w:r>
    </w:p>
    <w:p w:rsidR="00D840DF" w:rsidRDefault="00961020" w:rsidP="00505969">
      <w:pPr>
        <w:spacing w:before="1"/>
        <w:jc w:val="both"/>
        <w:rPr>
          <w:sz w:val="17"/>
        </w:rPr>
      </w:pPr>
      <w:r>
        <w:rPr>
          <w:rFonts w:ascii="Futura PT Demi"/>
          <w:color w:val="636466"/>
          <w:sz w:val="17"/>
        </w:rPr>
        <w:t xml:space="preserve">Fax </w:t>
      </w:r>
      <w:r>
        <w:rPr>
          <w:color w:val="636466"/>
          <w:sz w:val="17"/>
        </w:rPr>
        <w:t>02 8215 1111</w:t>
      </w:r>
    </w:p>
    <w:p w:rsidR="00B80667" w:rsidRPr="00E20FA7" w:rsidRDefault="00961020" w:rsidP="00E20FA7">
      <w:pPr>
        <w:spacing w:before="1"/>
        <w:rPr>
          <w:sz w:val="17"/>
        </w:rPr>
      </w:pPr>
      <w:r>
        <w:rPr>
          <w:rFonts w:ascii="Futura PT Demi"/>
          <w:color w:val="636466"/>
          <w:sz w:val="17"/>
        </w:rPr>
        <w:t xml:space="preserve">ABN </w:t>
      </w:r>
      <w:r>
        <w:rPr>
          <w:color w:val="636466"/>
          <w:sz w:val="17"/>
        </w:rPr>
        <w:t>27 598 959 960</w:t>
      </w:r>
      <w:r w:rsidR="00E20FA7">
        <w:rPr>
          <w:sz w:val="17"/>
        </w:rPr>
        <w:br/>
      </w:r>
      <w:r>
        <w:rPr>
          <w:rFonts w:ascii="Futura PT Demi"/>
          <w:color w:val="636466"/>
          <w:sz w:val="17"/>
        </w:rPr>
        <w:t xml:space="preserve">Website </w:t>
      </w:r>
      <w:hyperlink r:id="rId8">
        <w:r>
          <w:rPr>
            <w:color w:val="008F54"/>
            <w:sz w:val="17"/>
            <w:u w:val="single" w:color="008F54"/>
          </w:rPr>
          <w:t>www.ihpa.gov.au</w:t>
        </w:r>
      </w:hyperlink>
    </w:p>
    <w:p w:rsidR="00D840DF" w:rsidRDefault="00B80667" w:rsidP="008F7C36">
      <w:pPr>
        <w:pStyle w:val="Heading5"/>
      </w:pPr>
      <w:r>
        <w:t>On</w:t>
      </w:r>
      <w:r w:rsidR="00961020">
        <w:t>line version</w:t>
      </w:r>
    </w:p>
    <w:p w:rsidR="00D840DF" w:rsidRPr="00B80667" w:rsidRDefault="00961020" w:rsidP="00505969">
      <w:pPr>
        <w:spacing w:before="151" w:line="242" w:lineRule="auto"/>
        <w:ind w:right="3623"/>
        <w:rPr>
          <w:sz w:val="17"/>
        </w:rPr>
      </w:pPr>
      <w:r>
        <w:rPr>
          <w:color w:val="636466"/>
          <w:sz w:val="17"/>
        </w:rPr>
        <w:t xml:space="preserve">An online version of this Annual Report can be accessed at </w:t>
      </w:r>
      <w:hyperlink r:id="rId9">
        <w:r>
          <w:rPr>
            <w:color w:val="008F54"/>
            <w:sz w:val="17"/>
            <w:u w:val="single" w:color="008F54"/>
          </w:rPr>
          <w:t>www.ihpa.gov.au/publications/annual</w:t>
        </w:r>
      </w:hyperlink>
      <w:r>
        <w:rPr>
          <w:color w:val="008F54"/>
          <w:sz w:val="17"/>
          <w:u w:val="single" w:color="008F54"/>
        </w:rPr>
        <w:t>-report-2016-17</w:t>
      </w:r>
    </w:p>
    <w:p w:rsidR="00D840DF" w:rsidRDefault="00961020" w:rsidP="008F7C36">
      <w:pPr>
        <w:pStyle w:val="Heading5"/>
      </w:pPr>
      <w:r>
        <w:t>Follow us</w:t>
      </w:r>
    </w:p>
    <w:p w:rsidR="00D840DF" w:rsidRDefault="00961020" w:rsidP="00505969">
      <w:pPr>
        <w:spacing w:before="151"/>
        <w:jc w:val="both"/>
        <w:rPr>
          <w:rFonts w:ascii="Futura PT Heavy"/>
          <w:b/>
          <w:sz w:val="17"/>
        </w:rPr>
      </w:pPr>
      <w:r>
        <w:rPr>
          <w:rFonts w:ascii="Futura PT Heavy"/>
          <w:b/>
          <w:color w:val="636466"/>
          <w:sz w:val="17"/>
        </w:rPr>
        <w:t>Follow us on Twitter @</w:t>
      </w:r>
      <w:proofErr w:type="spellStart"/>
      <w:r>
        <w:rPr>
          <w:rFonts w:ascii="Futura PT Heavy"/>
          <w:b/>
          <w:color w:val="636466"/>
          <w:sz w:val="17"/>
        </w:rPr>
        <w:t>IHPAnews</w:t>
      </w:r>
      <w:proofErr w:type="spellEnd"/>
    </w:p>
    <w:p w:rsidR="00D840DF" w:rsidRDefault="00961020" w:rsidP="00505969">
      <w:pPr>
        <w:spacing w:before="1"/>
        <w:ind w:right="4805"/>
        <w:rPr>
          <w:sz w:val="17"/>
        </w:rPr>
      </w:pPr>
      <w:r>
        <w:rPr>
          <w:color w:val="636466"/>
          <w:sz w:val="17"/>
        </w:rPr>
        <w:t xml:space="preserve">Twitter </w:t>
      </w:r>
      <w:hyperlink r:id="rId10">
        <w:r>
          <w:rPr>
            <w:color w:val="008F54"/>
            <w:sz w:val="17"/>
            <w:u w:val="single" w:color="008F54"/>
          </w:rPr>
          <w:t>www.twitter.com/IHPAnews</w:t>
        </w:r>
      </w:hyperlink>
    </w:p>
    <w:p w:rsidR="00D840DF" w:rsidRPr="00B80667" w:rsidRDefault="00961020" w:rsidP="00505969">
      <w:pPr>
        <w:spacing w:before="1" w:line="242" w:lineRule="auto"/>
        <w:ind w:right="1620" w:hanging="1"/>
        <w:rPr>
          <w:sz w:val="17"/>
        </w:rPr>
      </w:pPr>
      <w:proofErr w:type="spellStart"/>
      <w:r>
        <w:rPr>
          <w:color w:val="636466"/>
          <w:sz w:val="17"/>
        </w:rPr>
        <w:t>Linkedin</w:t>
      </w:r>
      <w:proofErr w:type="spellEnd"/>
      <w:r>
        <w:rPr>
          <w:color w:val="636466"/>
          <w:sz w:val="17"/>
        </w:rPr>
        <w:t xml:space="preserve"> </w:t>
      </w:r>
      <w:hyperlink r:id="rId11">
        <w:r>
          <w:rPr>
            <w:color w:val="008F54"/>
            <w:sz w:val="17"/>
            <w:u w:val="single" w:color="008F54"/>
          </w:rPr>
          <w:t>www.linkedin.com/company/independent</w:t>
        </w:r>
      </w:hyperlink>
      <w:r>
        <w:rPr>
          <w:color w:val="008F54"/>
          <w:sz w:val="17"/>
          <w:u w:val="single" w:color="008F54"/>
        </w:rPr>
        <w:t>-hospital-pricing-authority</w:t>
      </w:r>
      <w:r>
        <w:rPr>
          <w:color w:val="008F54"/>
          <w:sz w:val="17"/>
        </w:rPr>
        <w:t xml:space="preserve"> </w:t>
      </w:r>
      <w:r w:rsidR="00505969">
        <w:rPr>
          <w:color w:val="008F54"/>
          <w:sz w:val="17"/>
        </w:rPr>
        <w:br/>
      </w:r>
      <w:r>
        <w:rPr>
          <w:color w:val="636466"/>
          <w:sz w:val="17"/>
        </w:rPr>
        <w:t xml:space="preserve">YouTube </w:t>
      </w:r>
      <w:hyperlink r:id="rId12">
        <w:r>
          <w:rPr>
            <w:color w:val="008F54"/>
            <w:sz w:val="17"/>
            <w:u w:val="single" w:color="008F54"/>
          </w:rPr>
          <w:t>www.youtube.com/c/IhpaGovAu</w:t>
        </w:r>
      </w:hyperlink>
    </w:p>
    <w:p w:rsidR="00D840DF" w:rsidRDefault="00961020" w:rsidP="00505969">
      <w:pPr>
        <w:spacing w:line="360" w:lineRule="atLeast"/>
        <w:ind w:right="1620"/>
        <w:rPr>
          <w:sz w:val="17"/>
        </w:rPr>
      </w:pPr>
      <w:r>
        <w:rPr>
          <w:color w:val="636466"/>
          <w:sz w:val="17"/>
        </w:rPr>
        <w:t>Suggested citation: Independent Hospital Pricing Authority Annual Report 2016–17 Online ISSN: 2201-1862</w:t>
      </w:r>
    </w:p>
    <w:p w:rsidR="00D840DF" w:rsidRDefault="00505969" w:rsidP="00505969">
      <w:pPr>
        <w:spacing w:before="2"/>
        <w:jc w:val="both"/>
        <w:rPr>
          <w:sz w:val="17"/>
        </w:rPr>
      </w:pPr>
      <w:r>
        <w:rPr>
          <w:noProof/>
        </w:rPr>
        <w:drawing>
          <wp:anchor distT="0" distB="0" distL="0" distR="0" simplePos="0" relativeHeight="251587072" behindDoc="0" locked="0" layoutInCell="1" allowOverlap="1">
            <wp:simplePos x="0" y="0"/>
            <wp:positionH relativeFrom="page">
              <wp:posOffset>662940</wp:posOffset>
            </wp:positionH>
            <wp:positionV relativeFrom="paragraph">
              <wp:posOffset>254000</wp:posOffset>
            </wp:positionV>
            <wp:extent cx="682625" cy="238760"/>
            <wp:effectExtent l="0" t="0" r="3175" b="8890"/>
            <wp:wrapTopAndBottom/>
            <wp:docPr id="193" name="image8.png"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Creative Commons Attribution 3.0 Australia lic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62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020">
        <w:rPr>
          <w:color w:val="636466"/>
          <w:sz w:val="17"/>
        </w:rPr>
        <w:t>Print ISSN: 2201-0718</w:t>
      </w:r>
    </w:p>
    <w:p w:rsidR="00D840DF" w:rsidRPr="00B80667" w:rsidRDefault="00961020" w:rsidP="00505969">
      <w:pPr>
        <w:spacing w:before="144"/>
        <w:jc w:val="both"/>
        <w:rPr>
          <w:sz w:val="17"/>
        </w:rPr>
      </w:pPr>
      <w:r>
        <w:rPr>
          <w:color w:val="636466"/>
          <w:sz w:val="17"/>
        </w:rPr>
        <w:t>© Independent Hospital Pricing Authority 2017</w:t>
      </w:r>
    </w:p>
    <w:p w:rsidR="00D840DF" w:rsidRDefault="00961020" w:rsidP="00505969">
      <w:pPr>
        <w:spacing w:before="154" w:line="242" w:lineRule="auto"/>
        <w:ind w:right="121"/>
        <w:jc w:val="both"/>
        <w:rPr>
          <w:sz w:val="17"/>
        </w:rPr>
      </w:pPr>
      <w:r>
        <w:rPr>
          <w:color w:val="636466"/>
          <w:sz w:val="17"/>
        </w:rPr>
        <w:t>With the exception of the IHPA logo, photos and signatures and where otherwise noted, all material presented</w:t>
      </w:r>
      <w:r w:rsidR="00E314B6">
        <w:rPr>
          <w:color w:val="636466"/>
          <w:sz w:val="17"/>
        </w:rPr>
        <w:t xml:space="preserve"> </w:t>
      </w:r>
      <w:r>
        <w:rPr>
          <w:color w:val="636466"/>
          <w:sz w:val="17"/>
        </w:rPr>
        <w:t>in this document is provided under a Creative Commons Attribution 3.0 Australia (</w:t>
      </w:r>
      <w:hyperlink r:id="rId14">
        <w:r>
          <w:rPr>
            <w:color w:val="008F54"/>
            <w:sz w:val="17"/>
            <w:u w:val="single" w:color="008F54"/>
          </w:rPr>
          <w:t>www.creativecommons.org/</w:t>
        </w:r>
      </w:hyperlink>
      <w:r>
        <w:rPr>
          <w:color w:val="008F54"/>
          <w:sz w:val="17"/>
        </w:rPr>
        <w:t xml:space="preserve"> </w:t>
      </w:r>
      <w:hyperlink r:id="rId15">
        <w:r>
          <w:rPr>
            <w:color w:val="008F54"/>
            <w:spacing w:val="-3"/>
            <w:sz w:val="17"/>
            <w:u w:val="single" w:color="008F54"/>
          </w:rPr>
          <w:t>licenses/by/3.0/au</w:t>
        </w:r>
      </w:hyperlink>
      <w:r>
        <w:rPr>
          <w:color w:val="636466"/>
          <w:spacing w:val="-3"/>
          <w:sz w:val="17"/>
        </w:rPr>
        <w:t>)</w:t>
      </w:r>
      <w:r w:rsidR="00E314B6">
        <w:rPr>
          <w:color w:val="636466"/>
          <w:spacing w:val="-3"/>
          <w:sz w:val="17"/>
        </w:rPr>
        <w:t xml:space="preserve"> </w:t>
      </w:r>
      <w:proofErr w:type="spellStart"/>
      <w:r>
        <w:rPr>
          <w:color w:val="636466"/>
          <w:sz w:val="17"/>
        </w:rPr>
        <w:t>licence</w:t>
      </w:r>
      <w:proofErr w:type="spellEnd"/>
      <w:r>
        <w:rPr>
          <w:color w:val="636466"/>
          <w:sz w:val="17"/>
        </w:rPr>
        <w:t>.</w:t>
      </w:r>
    </w:p>
    <w:p w:rsidR="00D840DF" w:rsidRDefault="00961020" w:rsidP="00505969">
      <w:pPr>
        <w:spacing w:before="141" w:line="242" w:lineRule="auto"/>
        <w:ind w:right="175"/>
        <w:rPr>
          <w:sz w:val="17"/>
        </w:rPr>
      </w:pPr>
      <w:r>
        <w:rPr>
          <w:color w:val="636466"/>
          <w:sz w:val="17"/>
        </w:rPr>
        <w:t xml:space="preserve">The details of the relevant </w:t>
      </w:r>
      <w:proofErr w:type="spellStart"/>
      <w:r>
        <w:rPr>
          <w:color w:val="636466"/>
          <w:sz w:val="17"/>
        </w:rPr>
        <w:t>licence</w:t>
      </w:r>
      <w:proofErr w:type="spellEnd"/>
      <w:r>
        <w:rPr>
          <w:color w:val="636466"/>
          <w:sz w:val="17"/>
        </w:rPr>
        <w:t xml:space="preserve"> conditions are available on the Creative Commons website, as is the full legal code for the CC BY 3 AU </w:t>
      </w:r>
      <w:proofErr w:type="spellStart"/>
      <w:r>
        <w:rPr>
          <w:color w:val="636466"/>
          <w:sz w:val="17"/>
        </w:rPr>
        <w:t>licence</w:t>
      </w:r>
      <w:proofErr w:type="spellEnd"/>
      <w:r>
        <w:rPr>
          <w:color w:val="636466"/>
          <w:sz w:val="17"/>
        </w:rPr>
        <w:t>.</w:t>
      </w:r>
    </w:p>
    <w:p w:rsidR="00D840DF" w:rsidRDefault="00D840DF" w:rsidP="00505969">
      <w:pPr>
        <w:spacing w:line="242" w:lineRule="auto"/>
        <w:rPr>
          <w:sz w:val="17"/>
        </w:rPr>
        <w:sectPr w:rsidR="00D840DF">
          <w:pgSz w:w="9980" w:h="14180"/>
          <w:pgMar w:top="1320" w:right="1280" w:bottom="280" w:left="1020" w:header="720" w:footer="720" w:gutter="0"/>
          <w:cols w:space="720"/>
        </w:sectPr>
      </w:pPr>
    </w:p>
    <w:p w:rsidR="006A32B7" w:rsidRDefault="006A32B7">
      <w:pPr>
        <w:rPr>
          <w:rFonts w:ascii="Futura PT Bold" w:eastAsia="Futura PT Bold" w:hAnsi="Futura PT Bold" w:cs="Futura PT Bold"/>
          <w:b/>
          <w:bCs/>
          <w:color w:val="003E2D"/>
          <w:spacing w:val="-12"/>
          <w:sz w:val="60"/>
          <w:szCs w:val="60"/>
        </w:rPr>
      </w:pPr>
      <w:bookmarkStart w:id="2" w:name="Contents"/>
      <w:bookmarkEnd w:id="2"/>
      <w:r>
        <w:br w:type="page"/>
      </w:r>
    </w:p>
    <w:p w:rsidR="0066052B" w:rsidRDefault="0066052B" w:rsidP="0066052B">
      <w:pPr>
        <w:pStyle w:val="Heading1"/>
      </w:pPr>
      <w:r>
        <w:lastRenderedPageBreak/>
        <w:t>Contents</w:t>
      </w:r>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r>
        <w:rPr>
          <w:color w:val="7EC352"/>
        </w:rPr>
        <w:fldChar w:fldCharType="begin"/>
      </w:r>
      <w:r>
        <w:rPr>
          <w:color w:val="7EC352"/>
        </w:rPr>
        <w:instrText xml:space="preserve"> TOC \o "1-2" \h \z \u </w:instrText>
      </w:r>
      <w:r>
        <w:rPr>
          <w:color w:val="7EC352"/>
        </w:rPr>
        <w:fldChar w:fldCharType="separate"/>
      </w:r>
      <w:hyperlink w:anchor="_Toc496088474" w:history="1">
        <w:r w:rsidRPr="000A6870">
          <w:rPr>
            <w:rStyle w:val="Hyperlink"/>
            <w:noProof/>
          </w:rPr>
          <w:t>Approval by the Accountable Authority</w:t>
        </w:r>
        <w:r>
          <w:rPr>
            <w:noProof/>
            <w:webHidden/>
          </w:rPr>
          <w:tab/>
        </w:r>
        <w:r>
          <w:rPr>
            <w:noProof/>
            <w:webHidden/>
          </w:rPr>
          <w:fldChar w:fldCharType="begin"/>
        </w:r>
        <w:r>
          <w:rPr>
            <w:noProof/>
            <w:webHidden/>
          </w:rPr>
          <w:instrText xml:space="preserve"> PAGEREF _Toc496088474 \h </w:instrText>
        </w:r>
        <w:r>
          <w:rPr>
            <w:noProof/>
            <w:webHidden/>
          </w:rPr>
        </w:r>
        <w:r>
          <w:rPr>
            <w:noProof/>
            <w:webHidden/>
          </w:rPr>
          <w:fldChar w:fldCharType="separate"/>
        </w:r>
        <w:r>
          <w:rPr>
            <w:noProof/>
            <w:webHidden/>
          </w:rPr>
          <w:t>5</w:t>
        </w:r>
        <w:r>
          <w:rPr>
            <w:noProof/>
            <w:webHidden/>
          </w:rPr>
          <w:fldChar w:fldCharType="end"/>
        </w:r>
      </w:hyperlink>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475" w:history="1">
        <w:r w:rsidRPr="000A6870">
          <w:rPr>
            <w:rStyle w:val="Hyperlink"/>
            <w:noProof/>
          </w:rPr>
          <w:t>01 About IHPA</w:t>
        </w:r>
        <w:r>
          <w:rPr>
            <w:noProof/>
            <w:webHidden/>
          </w:rPr>
          <w:tab/>
        </w:r>
        <w:r>
          <w:rPr>
            <w:noProof/>
            <w:webHidden/>
          </w:rPr>
          <w:fldChar w:fldCharType="begin"/>
        </w:r>
        <w:r>
          <w:rPr>
            <w:noProof/>
            <w:webHidden/>
          </w:rPr>
          <w:instrText xml:space="preserve"> PAGEREF _Toc496088475 \h </w:instrText>
        </w:r>
        <w:r>
          <w:rPr>
            <w:noProof/>
            <w:webHidden/>
          </w:rPr>
        </w:r>
        <w:r>
          <w:rPr>
            <w:noProof/>
            <w:webHidden/>
          </w:rPr>
          <w:fldChar w:fldCharType="separate"/>
        </w:r>
        <w:r>
          <w:rPr>
            <w:noProof/>
            <w:webHidden/>
          </w:rPr>
          <w:t>6</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76" w:history="1">
        <w:r w:rsidRPr="000A6870">
          <w:rPr>
            <w:rStyle w:val="Hyperlink"/>
            <w:noProof/>
          </w:rPr>
          <w:t>Enabling legislation</w:t>
        </w:r>
        <w:r>
          <w:rPr>
            <w:noProof/>
            <w:webHidden/>
          </w:rPr>
          <w:tab/>
        </w:r>
        <w:r>
          <w:rPr>
            <w:noProof/>
            <w:webHidden/>
          </w:rPr>
          <w:fldChar w:fldCharType="begin"/>
        </w:r>
        <w:r>
          <w:rPr>
            <w:noProof/>
            <w:webHidden/>
          </w:rPr>
          <w:instrText xml:space="preserve"> PAGEREF _Toc496088476 \h </w:instrText>
        </w:r>
        <w:r>
          <w:rPr>
            <w:noProof/>
            <w:webHidden/>
          </w:rPr>
        </w:r>
        <w:r>
          <w:rPr>
            <w:noProof/>
            <w:webHidden/>
          </w:rPr>
          <w:fldChar w:fldCharType="separate"/>
        </w:r>
        <w:r>
          <w:rPr>
            <w:noProof/>
            <w:webHidden/>
          </w:rPr>
          <w:t>6</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77" w:history="1">
        <w:r w:rsidRPr="000A6870">
          <w:rPr>
            <w:rStyle w:val="Hyperlink"/>
            <w:noProof/>
          </w:rPr>
          <w:t>Functions and purpose</w:t>
        </w:r>
        <w:r>
          <w:rPr>
            <w:noProof/>
            <w:webHidden/>
          </w:rPr>
          <w:tab/>
        </w:r>
        <w:r>
          <w:rPr>
            <w:noProof/>
            <w:webHidden/>
          </w:rPr>
          <w:fldChar w:fldCharType="begin"/>
        </w:r>
        <w:r>
          <w:rPr>
            <w:noProof/>
            <w:webHidden/>
          </w:rPr>
          <w:instrText xml:space="preserve"> PAGEREF _Toc496088477 \h </w:instrText>
        </w:r>
        <w:r>
          <w:rPr>
            <w:noProof/>
            <w:webHidden/>
          </w:rPr>
        </w:r>
        <w:r>
          <w:rPr>
            <w:noProof/>
            <w:webHidden/>
          </w:rPr>
          <w:fldChar w:fldCharType="separate"/>
        </w:r>
        <w:r>
          <w:rPr>
            <w:noProof/>
            <w:webHidden/>
          </w:rPr>
          <w:t>6</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78" w:history="1">
        <w:r w:rsidRPr="000A6870">
          <w:rPr>
            <w:rStyle w:val="Hyperlink"/>
            <w:noProof/>
          </w:rPr>
          <w:t>Responsible Minister</w:t>
        </w:r>
        <w:r>
          <w:rPr>
            <w:noProof/>
            <w:webHidden/>
          </w:rPr>
          <w:tab/>
        </w:r>
        <w:r>
          <w:rPr>
            <w:noProof/>
            <w:webHidden/>
          </w:rPr>
          <w:fldChar w:fldCharType="begin"/>
        </w:r>
        <w:r>
          <w:rPr>
            <w:noProof/>
            <w:webHidden/>
          </w:rPr>
          <w:instrText xml:space="preserve"> PAGEREF _Toc496088478 \h </w:instrText>
        </w:r>
        <w:r>
          <w:rPr>
            <w:noProof/>
            <w:webHidden/>
          </w:rPr>
        </w:r>
        <w:r>
          <w:rPr>
            <w:noProof/>
            <w:webHidden/>
          </w:rPr>
          <w:fldChar w:fldCharType="separate"/>
        </w:r>
        <w:r>
          <w:rPr>
            <w:noProof/>
            <w:webHidden/>
          </w:rPr>
          <w:t>7</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79" w:history="1">
        <w:r w:rsidRPr="000A6870">
          <w:rPr>
            <w:rStyle w:val="Hyperlink"/>
            <w:noProof/>
          </w:rPr>
          <w:t xml:space="preserve">Ministerial Directions </w:t>
        </w:r>
        <w:r w:rsidRPr="000A6870">
          <w:rPr>
            <w:rStyle w:val="Hyperlink"/>
            <w:noProof/>
            <w:spacing w:val="-7"/>
          </w:rPr>
          <w:t xml:space="preserve">and </w:t>
        </w:r>
        <w:r w:rsidRPr="000A6870">
          <w:rPr>
            <w:rStyle w:val="Hyperlink"/>
            <w:noProof/>
            <w:spacing w:val="-11"/>
          </w:rPr>
          <w:t xml:space="preserve">government </w:t>
        </w:r>
        <w:r w:rsidRPr="000A6870">
          <w:rPr>
            <w:rStyle w:val="Hyperlink"/>
            <w:noProof/>
          </w:rPr>
          <w:t xml:space="preserve">policy </w:t>
        </w:r>
        <w:r w:rsidRPr="000A6870">
          <w:rPr>
            <w:rStyle w:val="Hyperlink"/>
            <w:noProof/>
            <w:spacing w:val="-9"/>
          </w:rPr>
          <w:t>orders</w:t>
        </w:r>
        <w:r>
          <w:rPr>
            <w:noProof/>
            <w:webHidden/>
          </w:rPr>
          <w:tab/>
        </w:r>
        <w:r>
          <w:rPr>
            <w:noProof/>
            <w:webHidden/>
          </w:rPr>
          <w:fldChar w:fldCharType="begin"/>
        </w:r>
        <w:r>
          <w:rPr>
            <w:noProof/>
            <w:webHidden/>
          </w:rPr>
          <w:instrText xml:space="preserve"> PAGEREF _Toc496088479 \h </w:instrText>
        </w:r>
        <w:r>
          <w:rPr>
            <w:noProof/>
            <w:webHidden/>
          </w:rPr>
        </w:r>
        <w:r>
          <w:rPr>
            <w:noProof/>
            <w:webHidden/>
          </w:rPr>
          <w:fldChar w:fldCharType="separate"/>
        </w:r>
        <w:r>
          <w:rPr>
            <w:noProof/>
            <w:webHidden/>
          </w:rPr>
          <w:t>8</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80" w:history="1">
        <w:r w:rsidRPr="000A6870">
          <w:rPr>
            <w:rStyle w:val="Hyperlink"/>
            <w:noProof/>
          </w:rPr>
          <w:t>What is Activity Based Funding?</w:t>
        </w:r>
        <w:r>
          <w:rPr>
            <w:noProof/>
            <w:webHidden/>
          </w:rPr>
          <w:tab/>
        </w:r>
        <w:r>
          <w:rPr>
            <w:noProof/>
            <w:webHidden/>
          </w:rPr>
          <w:fldChar w:fldCharType="begin"/>
        </w:r>
        <w:r>
          <w:rPr>
            <w:noProof/>
            <w:webHidden/>
          </w:rPr>
          <w:instrText xml:space="preserve"> PAGEREF _Toc496088480 \h </w:instrText>
        </w:r>
        <w:r>
          <w:rPr>
            <w:noProof/>
            <w:webHidden/>
          </w:rPr>
        </w:r>
        <w:r>
          <w:rPr>
            <w:noProof/>
            <w:webHidden/>
          </w:rPr>
          <w:fldChar w:fldCharType="separate"/>
        </w:r>
        <w:r>
          <w:rPr>
            <w:noProof/>
            <w:webHidden/>
          </w:rPr>
          <w:t>10</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Style w:val="Hyperlink"/>
          <w:rFonts w:ascii="Futura-Book" w:hAnsi="Futura-Book"/>
          <w:noProof/>
          <w:color w:val="7F7F7F"/>
          <w:u w:val="none"/>
        </w:rPr>
      </w:pPr>
      <w:r w:rsidRPr="00F706F7">
        <w:rPr>
          <w:rStyle w:val="Hyperlink"/>
          <w:rFonts w:ascii="Futura-Book" w:hAnsi="Futura-Book"/>
          <w:noProof/>
          <w:color w:val="7F7F7F"/>
          <w:u w:val="none"/>
        </w:rPr>
        <w:t>Classifciation</w:t>
      </w:r>
      <w:r w:rsidRPr="00F706F7">
        <w:rPr>
          <w:rStyle w:val="Hyperlink"/>
          <w:rFonts w:ascii="Futura-Book" w:hAnsi="Futura-Book"/>
          <w:noProof/>
          <w:color w:val="7F7F7F"/>
          <w:u w:val="none"/>
        </w:rPr>
        <w:tab/>
        <w:t>10</w:t>
      </w:r>
    </w:p>
    <w:p w:rsidR="0066052B" w:rsidRPr="00F706F7" w:rsidRDefault="0066052B" w:rsidP="0066052B">
      <w:pPr>
        <w:pStyle w:val="TOC2"/>
        <w:tabs>
          <w:tab w:val="right" w:leader="dot" w:pos="7750"/>
        </w:tabs>
        <w:spacing w:before="0" w:beforeAutospacing="0" w:after="120" w:afterAutospacing="0"/>
        <w:rPr>
          <w:rStyle w:val="Hyperlink"/>
          <w:rFonts w:ascii="Futura-Book" w:hAnsi="Futura-Book"/>
          <w:noProof/>
          <w:color w:val="7F7F7F"/>
          <w:u w:val="none"/>
        </w:rPr>
      </w:pPr>
      <w:r w:rsidRPr="00F706F7">
        <w:rPr>
          <w:rStyle w:val="Hyperlink"/>
          <w:rFonts w:ascii="Futura-Book" w:hAnsi="Futura-Book"/>
          <w:noProof/>
          <w:color w:val="7F7F7F"/>
          <w:u w:val="none"/>
        </w:rPr>
        <w:t>Data collection</w:t>
      </w:r>
      <w:r w:rsidRPr="00F706F7">
        <w:rPr>
          <w:rStyle w:val="Hyperlink"/>
          <w:rFonts w:ascii="Futura-Book" w:hAnsi="Futura-Book"/>
          <w:noProof/>
          <w:color w:val="7F7F7F"/>
          <w:u w:val="none"/>
        </w:rPr>
        <w:tab/>
        <w:t>10</w:t>
      </w:r>
    </w:p>
    <w:p w:rsidR="0066052B" w:rsidRPr="00F706F7" w:rsidRDefault="0066052B" w:rsidP="0066052B">
      <w:pPr>
        <w:pStyle w:val="TOC2"/>
        <w:tabs>
          <w:tab w:val="right" w:leader="dot" w:pos="7750"/>
        </w:tabs>
        <w:spacing w:before="0" w:beforeAutospacing="0" w:after="120" w:afterAutospacing="0"/>
        <w:rPr>
          <w:rStyle w:val="Hyperlink"/>
          <w:rFonts w:ascii="Futura-Book" w:hAnsi="Futura-Book"/>
          <w:noProof/>
          <w:color w:val="7F7F7F"/>
          <w:u w:val="none"/>
        </w:rPr>
      </w:pPr>
      <w:r w:rsidRPr="00F706F7">
        <w:rPr>
          <w:rStyle w:val="Hyperlink"/>
          <w:rFonts w:ascii="Futura-Book" w:hAnsi="Futura-Book"/>
          <w:noProof/>
          <w:color w:val="7F7F7F"/>
          <w:u w:val="none"/>
        </w:rPr>
        <w:t>Costing</w:t>
      </w:r>
      <w:r w:rsidRPr="00F706F7">
        <w:rPr>
          <w:rStyle w:val="Hyperlink"/>
          <w:rFonts w:ascii="Futura-Book" w:hAnsi="Futura-Book"/>
          <w:noProof/>
          <w:color w:val="7F7F7F"/>
          <w:u w:val="none"/>
        </w:rPr>
        <w:tab/>
        <w:t>10</w:t>
      </w:r>
    </w:p>
    <w:p w:rsidR="0066052B" w:rsidRPr="00F706F7" w:rsidRDefault="0066052B" w:rsidP="0066052B">
      <w:pPr>
        <w:pStyle w:val="TOC2"/>
        <w:tabs>
          <w:tab w:val="right" w:leader="dot" w:pos="7750"/>
        </w:tabs>
        <w:spacing w:before="0" w:beforeAutospacing="0" w:after="120" w:afterAutospacing="0"/>
        <w:rPr>
          <w:rStyle w:val="Hyperlink"/>
          <w:rFonts w:ascii="Futura-Book" w:hAnsi="Futura-Book"/>
          <w:noProof/>
          <w:color w:val="7F7F7F"/>
          <w:u w:val="none"/>
        </w:rPr>
      </w:pPr>
      <w:r w:rsidRPr="00F706F7">
        <w:rPr>
          <w:rStyle w:val="Hyperlink"/>
          <w:rFonts w:ascii="Futura-Book" w:hAnsi="Futura-Book"/>
          <w:noProof/>
          <w:color w:val="7F7F7F"/>
          <w:u w:val="none"/>
        </w:rPr>
        <w:t>Pricing</w:t>
      </w:r>
      <w:r w:rsidRPr="00F706F7">
        <w:rPr>
          <w:rStyle w:val="Hyperlink"/>
          <w:rFonts w:ascii="Futura-Book" w:hAnsi="Futura-Book"/>
          <w:noProof/>
          <w:color w:val="7F7F7F"/>
          <w:u w:val="none"/>
        </w:rPr>
        <w:tab/>
        <w:t>10</w:t>
      </w:r>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81" w:history="1">
        <w:r w:rsidRPr="000A6870">
          <w:rPr>
            <w:rStyle w:val="Hyperlink"/>
            <w:noProof/>
          </w:rPr>
          <w:t>Organisational structure</w:t>
        </w:r>
        <w:r>
          <w:rPr>
            <w:noProof/>
            <w:webHidden/>
          </w:rPr>
          <w:tab/>
        </w:r>
        <w:r>
          <w:rPr>
            <w:noProof/>
            <w:webHidden/>
          </w:rPr>
          <w:fldChar w:fldCharType="begin"/>
        </w:r>
        <w:r>
          <w:rPr>
            <w:noProof/>
            <w:webHidden/>
          </w:rPr>
          <w:instrText xml:space="preserve"> PAGEREF _Toc496088481 \h </w:instrText>
        </w:r>
        <w:r>
          <w:rPr>
            <w:noProof/>
            <w:webHidden/>
          </w:rPr>
        </w:r>
        <w:r>
          <w:rPr>
            <w:noProof/>
            <w:webHidden/>
          </w:rPr>
          <w:fldChar w:fldCharType="separate"/>
        </w:r>
        <w:r>
          <w:rPr>
            <w:noProof/>
            <w:webHidden/>
          </w:rPr>
          <w:t>11</w:t>
        </w:r>
        <w:r>
          <w:rPr>
            <w:noProof/>
            <w:webHidden/>
          </w:rPr>
          <w:fldChar w:fldCharType="end"/>
        </w:r>
      </w:hyperlink>
    </w:p>
    <w:p w:rsidR="0066052B" w:rsidRDefault="0066052B" w:rsidP="0066052B">
      <w:pPr>
        <w:pStyle w:val="TOC2"/>
        <w:tabs>
          <w:tab w:val="right" w:leader="dot" w:pos="7750"/>
        </w:tabs>
        <w:spacing w:before="0" w:beforeAutospacing="0" w:after="120" w:afterAutospacing="0"/>
        <w:rPr>
          <w:rStyle w:val="Hyperlink"/>
          <w:noProof/>
        </w:rPr>
      </w:pPr>
      <w:hyperlink w:anchor="_Toc496088482" w:history="1">
        <w:r w:rsidRPr="000A6870">
          <w:rPr>
            <w:rStyle w:val="Hyperlink"/>
            <w:noProof/>
          </w:rPr>
          <w:t>Committees and working groups</w:t>
        </w:r>
        <w:r>
          <w:rPr>
            <w:noProof/>
            <w:webHidden/>
          </w:rPr>
          <w:tab/>
        </w:r>
        <w:r>
          <w:rPr>
            <w:noProof/>
            <w:webHidden/>
          </w:rPr>
          <w:fldChar w:fldCharType="begin"/>
        </w:r>
        <w:r>
          <w:rPr>
            <w:noProof/>
            <w:webHidden/>
          </w:rPr>
          <w:instrText xml:space="preserve"> PAGEREF _Toc496088482 \h </w:instrText>
        </w:r>
        <w:r>
          <w:rPr>
            <w:noProof/>
            <w:webHidden/>
          </w:rPr>
        </w:r>
        <w:r>
          <w:rPr>
            <w:noProof/>
            <w:webHidden/>
          </w:rPr>
          <w:fldChar w:fldCharType="separate"/>
        </w:r>
        <w:r>
          <w:rPr>
            <w:noProof/>
            <w:webHidden/>
          </w:rPr>
          <w:t>13</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Style w:val="Hyperlink"/>
          <w:rFonts w:ascii="Futura-Book" w:hAnsi="Futura-Book"/>
          <w:noProof/>
          <w:color w:val="7F7F7F"/>
          <w:u w:val="none"/>
        </w:rPr>
      </w:pPr>
      <w:r w:rsidRPr="00F706F7">
        <w:rPr>
          <w:rStyle w:val="Hyperlink"/>
          <w:rFonts w:ascii="Futura-Book" w:hAnsi="Futura-Book"/>
          <w:noProof/>
          <w:color w:val="7F7F7F"/>
          <w:u w:val="none"/>
        </w:rPr>
        <w:t>Clinical Advisory Committee</w:t>
      </w:r>
      <w:r w:rsidRPr="00F706F7">
        <w:rPr>
          <w:rStyle w:val="Hyperlink"/>
          <w:rFonts w:ascii="Futura-Book" w:hAnsi="Futura-Book"/>
          <w:noProof/>
          <w:color w:val="7F7F7F"/>
          <w:u w:val="none"/>
        </w:rPr>
        <w:tab/>
        <w:t>15</w:t>
      </w:r>
    </w:p>
    <w:p w:rsidR="0066052B" w:rsidRPr="00F706F7" w:rsidRDefault="0066052B" w:rsidP="0066052B">
      <w:pPr>
        <w:pStyle w:val="TOC2"/>
        <w:tabs>
          <w:tab w:val="right" w:leader="dot" w:pos="7750"/>
        </w:tabs>
        <w:spacing w:before="0" w:beforeAutospacing="0" w:after="120" w:afterAutospacing="0"/>
        <w:rPr>
          <w:rFonts w:ascii="Futura-Book" w:eastAsia="Times New Roman" w:hAnsi="Futura-Book" w:cs="Times New Roman"/>
          <w:noProof/>
          <w:color w:val="7F7F7F"/>
          <w:sz w:val="22"/>
          <w:szCs w:val="22"/>
        </w:rPr>
      </w:pPr>
      <w:r w:rsidRPr="00F706F7">
        <w:rPr>
          <w:rStyle w:val="Hyperlink"/>
          <w:rFonts w:ascii="Futura-Book" w:hAnsi="Futura-Book"/>
          <w:noProof/>
          <w:color w:val="7F7F7F"/>
          <w:u w:val="none"/>
        </w:rPr>
        <w:t>Jurisdictional Advisory Committee</w:t>
      </w:r>
      <w:r w:rsidRPr="00F706F7">
        <w:rPr>
          <w:rStyle w:val="Hyperlink"/>
          <w:rFonts w:ascii="Futura-Book" w:hAnsi="Futura-Book"/>
          <w:noProof/>
          <w:color w:val="7F7F7F"/>
          <w:u w:val="none"/>
        </w:rPr>
        <w:tab/>
        <w:t>15</w:t>
      </w:r>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483" w:history="1">
        <w:r w:rsidRPr="000A6870">
          <w:rPr>
            <w:rStyle w:val="Hyperlink"/>
            <w:noProof/>
          </w:rPr>
          <w:t>02 Pricing</w:t>
        </w:r>
        <w:r w:rsidRPr="000A6870">
          <w:rPr>
            <w:rStyle w:val="Hyperlink"/>
            <w:noProof/>
            <w:spacing w:val="2"/>
          </w:rPr>
          <w:t xml:space="preserve"> </w:t>
        </w:r>
        <w:r w:rsidRPr="000A6870">
          <w:rPr>
            <w:rStyle w:val="Hyperlink"/>
            <w:noProof/>
          </w:rPr>
          <w:t>Authority</w:t>
        </w:r>
        <w:r>
          <w:rPr>
            <w:noProof/>
            <w:webHidden/>
          </w:rPr>
          <w:tab/>
        </w:r>
        <w:r>
          <w:rPr>
            <w:noProof/>
            <w:webHidden/>
          </w:rPr>
          <w:fldChar w:fldCharType="begin"/>
        </w:r>
        <w:r>
          <w:rPr>
            <w:noProof/>
            <w:webHidden/>
          </w:rPr>
          <w:instrText xml:space="preserve"> PAGEREF _Toc496088483 \h </w:instrText>
        </w:r>
        <w:r>
          <w:rPr>
            <w:noProof/>
            <w:webHidden/>
          </w:rPr>
        </w:r>
        <w:r>
          <w:rPr>
            <w:noProof/>
            <w:webHidden/>
          </w:rPr>
          <w:fldChar w:fldCharType="separate"/>
        </w:r>
        <w:r>
          <w:rPr>
            <w:noProof/>
            <w:webHidden/>
          </w:rPr>
          <w:t>16</w:t>
        </w:r>
        <w:r>
          <w:rPr>
            <w:noProof/>
            <w:webHidden/>
          </w:rPr>
          <w:fldChar w:fldCharType="end"/>
        </w:r>
      </w:hyperlink>
    </w:p>
    <w:p w:rsidR="0066052B" w:rsidRDefault="0066052B" w:rsidP="0066052B">
      <w:pPr>
        <w:pStyle w:val="TOC2"/>
        <w:tabs>
          <w:tab w:val="right" w:leader="dot" w:pos="7750"/>
        </w:tabs>
        <w:spacing w:before="0" w:beforeAutospacing="0" w:after="120" w:afterAutospacing="0"/>
        <w:rPr>
          <w:rStyle w:val="Hyperlink"/>
          <w:noProof/>
        </w:rPr>
      </w:pPr>
      <w:hyperlink w:anchor="_Toc496088484" w:history="1">
        <w:r w:rsidRPr="000A6870">
          <w:rPr>
            <w:rStyle w:val="Hyperlink"/>
            <w:noProof/>
          </w:rPr>
          <w:t>Chair’s welcome</w:t>
        </w:r>
        <w:r>
          <w:rPr>
            <w:noProof/>
            <w:webHidden/>
          </w:rPr>
          <w:tab/>
        </w:r>
        <w:r>
          <w:rPr>
            <w:noProof/>
            <w:webHidden/>
          </w:rPr>
          <w:fldChar w:fldCharType="begin"/>
        </w:r>
        <w:r>
          <w:rPr>
            <w:noProof/>
            <w:webHidden/>
          </w:rPr>
          <w:instrText xml:space="preserve"> PAGEREF _Toc496088484 \h </w:instrText>
        </w:r>
        <w:r>
          <w:rPr>
            <w:noProof/>
            <w:webHidden/>
          </w:rPr>
        </w:r>
        <w:r>
          <w:rPr>
            <w:noProof/>
            <w:webHidden/>
          </w:rPr>
          <w:fldChar w:fldCharType="separate"/>
        </w:r>
        <w:r>
          <w:rPr>
            <w:noProof/>
            <w:webHidden/>
          </w:rPr>
          <w:t>16</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Futura-Book" w:eastAsia="Times New Roman" w:hAnsi="Futura-Book" w:cs="Times New Roman"/>
          <w:noProof/>
          <w:color w:val="7F7F7F"/>
          <w:sz w:val="22"/>
          <w:szCs w:val="22"/>
        </w:rPr>
      </w:pPr>
      <w:r w:rsidRPr="00F706F7">
        <w:rPr>
          <w:rStyle w:val="Hyperlink"/>
          <w:rFonts w:ascii="Futura-Book" w:hAnsi="Futura-Book"/>
          <w:noProof/>
          <w:color w:val="7F7F7F"/>
          <w:u w:val="none"/>
        </w:rPr>
        <w:t>Significant slowdown in costs</w:t>
      </w:r>
      <w:r w:rsidRPr="00F706F7">
        <w:rPr>
          <w:rStyle w:val="Hyperlink"/>
          <w:rFonts w:ascii="Futura-Book" w:hAnsi="Futura-Book"/>
          <w:noProof/>
          <w:color w:val="7F7F7F"/>
          <w:u w:val="none"/>
        </w:rPr>
        <w:tab/>
        <w:t>17</w:t>
      </w:r>
    </w:p>
    <w:p w:rsidR="0066052B" w:rsidRDefault="0066052B" w:rsidP="0066052B">
      <w:pPr>
        <w:pStyle w:val="TOC2"/>
        <w:tabs>
          <w:tab w:val="right" w:leader="dot" w:pos="7750"/>
        </w:tabs>
        <w:spacing w:before="0" w:beforeAutospacing="0" w:after="120" w:afterAutospacing="0"/>
        <w:rPr>
          <w:rStyle w:val="Hyperlink"/>
          <w:noProof/>
        </w:rPr>
      </w:pPr>
      <w:hyperlink w:anchor="_Toc496088485" w:history="1">
        <w:r w:rsidRPr="000A6870">
          <w:rPr>
            <w:rStyle w:val="Hyperlink"/>
            <w:noProof/>
            <w:spacing w:val="-13"/>
          </w:rPr>
          <w:t xml:space="preserve">About </w:t>
        </w:r>
        <w:r w:rsidRPr="000A6870">
          <w:rPr>
            <w:rStyle w:val="Hyperlink"/>
            <w:noProof/>
            <w:spacing w:val="-9"/>
          </w:rPr>
          <w:t xml:space="preserve">the </w:t>
        </w:r>
        <w:r w:rsidRPr="000A6870">
          <w:rPr>
            <w:rStyle w:val="Hyperlink"/>
            <w:noProof/>
            <w:spacing w:val="-14"/>
          </w:rPr>
          <w:t xml:space="preserve">Pricing </w:t>
        </w:r>
        <w:r w:rsidRPr="000A6870">
          <w:rPr>
            <w:rStyle w:val="Hyperlink"/>
            <w:noProof/>
          </w:rPr>
          <w:t>Authority</w:t>
        </w:r>
        <w:r>
          <w:rPr>
            <w:noProof/>
            <w:webHidden/>
          </w:rPr>
          <w:tab/>
        </w:r>
        <w:r>
          <w:rPr>
            <w:noProof/>
            <w:webHidden/>
          </w:rPr>
          <w:fldChar w:fldCharType="begin"/>
        </w:r>
        <w:r>
          <w:rPr>
            <w:noProof/>
            <w:webHidden/>
          </w:rPr>
          <w:instrText xml:space="preserve"> PAGEREF _Toc496088485 \h </w:instrText>
        </w:r>
        <w:r>
          <w:rPr>
            <w:noProof/>
            <w:webHidden/>
          </w:rPr>
        </w:r>
        <w:r>
          <w:rPr>
            <w:noProof/>
            <w:webHidden/>
          </w:rPr>
          <w:fldChar w:fldCharType="separate"/>
        </w:r>
        <w:r>
          <w:rPr>
            <w:noProof/>
            <w:webHidden/>
          </w:rPr>
          <w:t>19</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Style w:val="Hyperlink"/>
          <w:rFonts w:ascii="Futura-Book" w:hAnsi="Futura-Book"/>
          <w:noProof/>
          <w:color w:val="7F7F7F"/>
          <w:u w:val="none"/>
        </w:rPr>
      </w:pPr>
      <w:r w:rsidRPr="00F706F7">
        <w:rPr>
          <w:rStyle w:val="Hyperlink"/>
          <w:rFonts w:ascii="Futura-Book" w:hAnsi="Futura-Book"/>
          <w:noProof/>
          <w:color w:val="7F7F7F"/>
          <w:u w:val="none"/>
        </w:rPr>
        <w:t>Members of the Pricing Authority 2016-17</w:t>
      </w:r>
      <w:r w:rsidRPr="00F706F7">
        <w:rPr>
          <w:rStyle w:val="Hyperlink"/>
          <w:rFonts w:ascii="Futura-Book" w:hAnsi="Futura-Book"/>
          <w:noProof/>
          <w:color w:val="7F7F7F"/>
          <w:u w:val="none"/>
        </w:rPr>
        <w:tab/>
        <w:t>20</w:t>
      </w:r>
    </w:p>
    <w:p w:rsidR="0066052B" w:rsidRPr="00F706F7" w:rsidRDefault="0066052B" w:rsidP="0066052B">
      <w:pPr>
        <w:pStyle w:val="TOC2"/>
        <w:tabs>
          <w:tab w:val="right" w:leader="dot" w:pos="7750"/>
        </w:tabs>
        <w:spacing w:before="0" w:beforeAutospacing="0" w:after="120" w:afterAutospacing="0"/>
        <w:rPr>
          <w:rFonts w:ascii="Futura-Book" w:eastAsia="Times New Roman" w:hAnsi="Futura-Book" w:cs="Times New Roman"/>
          <w:noProof/>
          <w:color w:val="7F7F7F"/>
          <w:sz w:val="22"/>
          <w:szCs w:val="22"/>
        </w:rPr>
      </w:pPr>
      <w:r w:rsidRPr="00F706F7">
        <w:rPr>
          <w:rStyle w:val="Hyperlink"/>
          <w:rFonts w:ascii="Futura-Book" w:hAnsi="Futura-Book"/>
          <w:noProof/>
          <w:color w:val="7F7F7F"/>
          <w:u w:val="none"/>
        </w:rPr>
        <w:t>Meetings of the Pricing Authority 2016-17</w:t>
      </w:r>
      <w:r w:rsidRPr="00F706F7">
        <w:rPr>
          <w:rStyle w:val="Hyperlink"/>
          <w:rFonts w:ascii="Futura-Book" w:hAnsi="Futura-Book"/>
          <w:noProof/>
          <w:color w:val="7F7F7F"/>
          <w:u w:val="none"/>
        </w:rPr>
        <w:tab/>
        <w:t>23</w:t>
      </w:r>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486" w:history="1">
        <w:r w:rsidRPr="000A6870">
          <w:rPr>
            <w:rStyle w:val="Hyperlink"/>
            <w:noProof/>
          </w:rPr>
          <w:t>03 IHPA 2016–17 overview</w:t>
        </w:r>
        <w:r>
          <w:rPr>
            <w:noProof/>
            <w:webHidden/>
          </w:rPr>
          <w:tab/>
        </w:r>
        <w:r>
          <w:rPr>
            <w:noProof/>
            <w:webHidden/>
          </w:rPr>
          <w:fldChar w:fldCharType="begin"/>
        </w:r>
        <w:r>
          <w:rPr>
            <w:noProof/>
            <w:webHidden/>
          </w:rPr>
          <w:instrText xml:space="preserve"> PAGEREF _Toc496088486 \h </w:instrText>
        </w:r>
        <w:r>
          <w:rPr>
            <w:noProof/>
            <w:webHidden/>
          </w:rPr>
        </w:r>
        <w:r>
          <w:rPr>
            <w:noProof/>
            <w:webHidden/>
          </w:rPr>
          <w:fldChar w:fldCharType="separate"/>
        </w:r>
        <w:r>
          <w:rPr>
            <w:noProof/>
            <w:webHidden/>
          </w:rPr>
          <w:t>24</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87" w:history="1">
        <w:r w:rsidRPr="000A6870">
          <w:rPr>
            <w:rStyle w:val="Hyperlink"/>
            <w:noProof/>
          </w:rPr>
          <w:t>CEO’s year in review</w:t>
        </w:r>
        <w:r>
          <w:rPr>
            <w:noProof/>
            <w:webHidden/>
          </w:rPr>
          <w:tab/>
        </w:r>
        <w:r>
          <w:rPr>
            <w:noProof/>
            <w:webHidden/>
          </w:rPr>
          <w:fldChar w:fldCharType="begin"/>
        </w:r>
        <w:r>
          <w:rPr>
            <w:noProof/>
            <w:webHidden/>
          </w:rPr>
          <w:instrText xml:space="preserve"> PAGEREF _Toc496088487 \h </w:instrText>
        </w:r>
        <w:r>
          <w:rPr>
            <w:noProof/>
            <w:webHidden/>
          </w:rPr>
        </w:r>
        <w:r>
          <w:rPr>
            <w:noProof/>
            <w:webHidden/>
          </w:rPr>
          <w:fldChar w:fldCharType="separate"/>
        </w:r>
        <w:r>
          <w:rPr>
            <w:noProof/>
            <w:webHidden/>
          </w:rPr>
          <w:t>24</w:t>
        </w:r>
        <w:r>
          <w:rPr>
            <w:noProof/>
            <w:webHidden/>
          </w:rPr>
          <w:fldChar w:fldCharType="end"/>
        </w:r>
      </w:hyperlink>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488" w:history="1">
        <w:r w:rsidRPr="000A6870">
          <w:rPr>
            <w:rStyle w:val="Hyperlink"/>
            <w:noProof/>
          </w:rPr>
          <w:t>04 Clinical Advisory Committee - Annual Report</w:t>
        </w:r>
        <w:r>
          <w:rPr>
            <w:noProof/>
            <w:webHidden/>
          </w:rPr>
          <w:tab/>
        </w:r>
        <w:r>
          <w:rPr>
            <w:noProof/>
            <w:webHidden/>
          </w:rPr>
          <w:fldChar w:fldCharType="begin"/>
        </w:r>
        <w:r>
          <w:rPr>
            <w:noProof/>
            <w:webHidden/>
          </w:rPr>
          <w:instrText xml:space="preserve"> PAGEREF _Toc496088488 \h </w:instrText>
        </w:r>
        <w:r>
          <w:rPr>
            <w:noProof/>
            <w:webHidden/>
          </w:rPr>
        </w:r>
        <w:r>
          <w:rPr>
            <w:noProof/>
            <w:webHidden/>
          </w:rPr>
          <w:fldChar w:fldCharType="separate"/>
        </w:r>
        <w:r>
          <w:rPr>
            <w:noProof/>
            <w:webHidden/>
          </w:rPr>
          <w:t>27</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89" w:history="1">
        <w:r w:rsidRPr="000A6870">
          <w:rPr>
            <w:rStyle w:val="Hyperlink"/>
            <w:noProof/>
          </w:rPr>
          <w:t xml:space="preserve">Letter </w:t>
        </w:r>
        <w:r w:rsidRPr="000A6870">
          <w:rPr>
            <w:rStyle w:val="Hyperlink"/>
            <w:noProof/>
            <w:spacing w:val="-7"/>
          </w:rPr>
          <w:t>from</w:t>
        </w:r>
        <w:r w:rsidRPr="000A6870">
          <w:rPr>
            <w:rStyle w:val="Hyperlink"/>
            <w:noProof/>
            <w:spacing w:val="-34"/>
          </w:rPr>
          <w:t xml:space="preserve"> </w:t>
        </w:r>
        <w:r w:rsidRPr="000A6870">
          <w:rPr>
            <w:rStyle w:val="Hyperlink"/>
            <w:noProof/>
            <w:spacing w:val="-5"/>
          </w:rPr>
          <w:t>the</w:t>
        </w:r>
        <w:r w:rsidRPr="000A6870">
          <w:rPr>
            <w:rStyle w:val="Hyperlink"/>
            <w:noProof/>
            <w:spacing w:val="-20"/>
          </w:rPr>
          <w:t xml:space="preserve"> </w:t>
        </w:r>
        <w:r w:rsidRPr="000A6870">
          <w:rPr>
            <w:rStyle w:val="Hyperlink"/>
            <w:noProof/>
          </w:rPr>
          <w:t>Chair</w:t>
        </w:r>
        <w:r>
          <w:rPr>
            <w:noProof/>
            <w:webHidden/>
          </w:rPr>
          <w:tab/>
        </w:r>
        <w:r>
          <w:rPr>
            <w:noProof/>
            <w:webHidden/>
          </w:rPr>
          <w:fldChar w:fldCharType="begin"/>
        </w:r>
        <w:r>
          <w:rPr>
            <w:noProof/>
            <w:webHidden/>
          </w:rPr>
          <w:instrText xml:space="preserve"> PAGEREF _Toc496088489 \h </w:instrText>
        </w:r>
        <w:r>
          <w:rPr>
            <w:noProof/>
            <w:webHidden/>
          </w:rPr>
        </w:r>
        <w:r>
          <w:rPr>
            <w:noProof/>
            <w:webHidden/>
          </w:rPr>
          <w:fldChar w:fldCharType="separate"/>
        </w:r>
        <w:r>
          <w:rPr>
            <w:noProof/>
            <w:webHidden/>
          </w:rPr>
          <w:t>27</w:t>
        </w:r>
        <w:r>
          <w:rPr>
            <w:noProof/>
            <w:webHidden/>
          </w:rPr>
          <w:fldChar w:fldCharType="end"/>
        </w:r>
      </w:hyperlink>
    </w:p>
    <w:p w:rsidR="0066052B" w:rsidRDefault="0066052B" w:rsidP="0066052B">
      <w:pPr>
        <w:pStyle w:val="TOC2"/>
        <w:tabs>
          <w:tab w:val="right" w:leader="dot" w:pos="7750"/>
        </w:tabs>
        <w:spacing w:before="0" w:beforeAutospacing="0" w:after="120" w:afterAutospacing="0"/>
        <w:rPr>
          <w:rStyle w:val="Hyperlink"/>
          <w:noProof/>
        </w:rPr>
      </w:pPr>
      <w:hyperlink w:anchor="_Toc496088490" w:history="1">
        <w:r w:rsidRPr="000A6870">
          <w:rPr>
            <w:rStyle w:val="Hyperlink"/>
            <w:noProof/>
          </w:rPr>
          <w:t xml:space="preserve">About </w:t>
        </w:r>
        <w:r w:rsidRPr="000A6870">
          <w:rPr>
            <w:rStyle w:val="Hyperlink"/>
            <w:noProof/>
            <w:spacing w:val="-5"/>
          </w:rPr>
          <w:t xml:space="preserve">the </w:t>
        </w:r>
        <w:r w:rsidRPr="000A6870">
          <w:rPr>
            <w:rStyle w:val="Hyperlink"/>
            <w:noProof/>
            <w:spacing w:val="-7"/>
          </w:rPr>
          <w:t xml:space="preserve">Clinical </w:t>
        </w:r>
        <w:r w:rsidRPr="000A6870">
          <w:rPr>
            <w:rStyle w:val="Hyperlink"/>
            <w:noProof/>
          </w:rPr>
          <w:t>Advisory Committee</w:t>
        </w:r>
        <w:r>
          <w:rPr>
            <w:noProof/>
            <w:webHidden/>
          </w:rPr>
          <w:tab/>
        </w:r>
        <w:r>
          <w:rPr>
            <w:noProof/>
            <w:webHidden/>
          </w:rPr>
          <w:fldChar w:fldCharType="begin"/>
        </w:r>
        <w:r>
          <w:rPr>
            <w:noProof/>
            <w:webHidden/>
          </w:rPr>
          <w:instrText xml:space="preserve"> PAGEREF _Toc496088490 \h </w:instrText>
        </w:r>
        <w:r>
          <w:rPr>
            <w:noProof/>
            <w:webHidden/>
          </w:rPr>
        </w:r>
        <w:r>
          <w:rPr>
            <w:noProof/>
            <w:webHidden/>
          </w:rPr>
          <w:fldChar w:fldCharType="separate"/>
        </w:r>
        <w:r>
          <w:rPr>
            <w:noProof/>
            <w:webHidden/>
          </w:rPr>
          <w:t>28</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Futura-Book" w:eastAsia="Times New Roman" w:hAnsi="Futura-Book" w:cs="Times New Roman"/>
          <w:noProof/>
          <w:color w:val="7F7F7F"/>
          <w:sz w:val="22"/>
          <w:szCs w:val="22"/>
        </w:rPr>
      </w:pPr>
      <w:r w:rsidRPr="00F706F7">
        <w:rPr>
          <w:rStyle w:val="Hyperlink"/>
          <w:rFonts w:ascii="Futura-Book" w:hAnsi="Futura-Book"/>
          <w:noProof/>
          <w:color w:val="7F7F7F"/>
          <w:u w:val="none"/>
        </w:rPr>
        <w:t>Membership</w:t>
      </w:r>
      <w:r w:rsidRPr="00F706F7">
        <w:rPr>
          <w:rStyle w:val="Hyperlink"/>
          <w:rFonts w:ascii="Futura-Book" w:hAnsi="Futura-Book"/>
          <w:noProof/>
          <w:color w:val="7F7F7F"/>
          <w:u w:val="none"/>
        </w:rPr>
        <w:tab/>
        <w:t>28</w:t>
      </w:r>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91" w:history="1">
        <w:r w:rsidRPr="000A6870">
          <w:rPr>
            <w:rStyle w:val="Hyperlink"/>
            <w:noProof/>
          </w:rPr>
          <w:t>2016–17 snapshot</w:t>
        </w:r>
        <w:r>
          <w:rPr>
            <w:noProof/>
            <w:webHidden/>
          </w:rPr>
          <w:tab/>
        </w:r>
        <w:r>
          <w:rPr>
            <w:noProof/>
            <w:webHidden/>
          </w:rPr>
          <w:fldChar w:fldCharType="begin"/>
        </w:r>
        <w:r>
          <w:rPr>
            <w:noProof/>
            <w:webHidden/>
          </w:rPr>
          <w:instrText xml:space="preserve"> PAGEREF _Toc496088491 \h </w:instrText>
        </w:r>
        <w:r>
          <w:rPr>
            <w:noProof/>
            <w:webHidden/>
          </w:rPr>
        </w:r>
        <w:r>
          <w:rPr>
            <w:noProof/>
            <w:webHidden/>
          </w:rPr>
          <w:fldChar w:fldCharType="separate"/>
        </w:r>
        <w:r>
          <w:rPr>
            <w:noProof/>
            <w:webHidden/>
          </w:rPr>
          <w:t>30</w:t>
        </w:r>
        <w:r>
          <w:rPr>
            <w:noProof/>
            <w:webHidden/>
          </w:rPr>
          <w:fldChar w:fldCharType="end"/>
        </w:r>
      </w:hyperlink>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492" w:history="1">
        <w:r w:rsidRPr="000A6870">
          <w:rPr>
            <w:rStyle w:val="Hyperlink"/>
            <w:noProof/>
            <w:spacing w:val="-14"/>
          </w:rPr>
          <w:t xml:space="preserve">05 Management </w:t>
        </w:r>
        <w:r w:rsidRPr="000A6870">
          <w:rPr>
            <w:rStyle w:val="Hyperlink"/>
            <w:noProof/>
            <w:spacing w:val="-10"/>
          </w:rPr>
          <w:t xml:space="preserve">and </w:t>
        </w:r>
        <w:r w:rsidRPr="000A6870">
          <w:rPr>
            <w:rStyle w:val="Hyperlink"/>
            <w:noProof/>
          </w:rPr>
          <w:t>accountability</w:t>
        </w:r>
        <w:r>
          <w:rPr>
            <w:noProof/>
            <w:webHidden/>
          </w:rPr>
          <w:tab/>
        </w:r>
        <w:r>
          <w:rPr>
            <w:noProof/>
            <w:webHidden/>
          </w:rPr>
          <w:fldChar w:fldCharType="begin"/>
        </w:r>
        <w:r>
          <w:rPr>
            <w:noProof/>
            <w:webHidden/>
          </w:rPr>
          <w:instrText xml:space="preserve"> PAGEREF _Toc496088492 \h </w:instrText>
        </w:r>
        <w:r>
          <w:rPr>
            <w:noProof/>
            <w:webHidden/>
          </w:rPr>
        </w:r>
        <w:r>
          <w:rPr>
            <w:noProof/>
            <w:webHidden/>
          </w:rPr>
          <w:fldChar w:fldCharType="separate"/>
        </w:r>
        <w:r>
          <w:rPr>
            <w:noProof/>
            <w:webHidden/>
          </w:rPr>
          <w:t>31</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93" w:history="1">
        <w:r w:rsidRPr="000A6870">
          <w:rPr>
            <w:rStyle w:val="Hyperlink"/>
            <w:noProof/>
            <w:spacing w:val="-17"/>
          </w:rPr>
          <w:t xml:space="preserve">Key </w:t>
        </w:r>
        <w:r w:rsidRPr="000A6870">
          <w:rPr>
            <w:rStyle w:val="Hyperlink"/>
            <w:noProof/>
          </w:rPr>
          <w:t xml:space="preserve">corporate </w:t>
        </w:r>
        <w:r w:rsidRPr="000A6870">
          <w:rPr>
            <w:rStyle w:val="Hyperlink"/>
            <w:noProof/>
            <w:spacing w:val="-12"/>
          </w:rPr>
          <w:t xml:space="preserve">governance </w:t>
        </w:r>
        <w:r w:rsidRPr="000A6870">
          <w:rPr>
            <w:rStyle w:val="Hyperlink"/>
            <w:noProof/>
          </w:rPr>
          <w:t>practices</w:t>
        </w:r>
        <w:r>
          <w:rPr>
            <w:noProof/>
            <w:webHidden/>
          </w:rPr>
          <w:tab/>
        </w:r>
        <w:r>
          <w:rPr>
            <w:noProof/>
            <w:webHidden/>
          </w:rPr>
          <w:fldChar w:fldCharType="begin"/>
        </w:r>
        <w:r>
          <w:rPr>
            <w:noProof/>
            <w:webHidden/>
          </w:rPr>
          <w:instrText xml:space="preserve"> PAGEREF _Toc496088493 \h </w:instrText>
        </w:r>
        <w:r>
          <w:rPr>
            <w:noProof/>
            <w:webHidden/>
          </w:rPr>
        </w:r>
        <w:r>
          <w:rPr>
            <w:noProof/>
            <w:webHidden/>
          </w:rPr>
          <w:fldChar w:fldCharType="separate"/>
        </w:r>
        <w:r>
          <w:rPr>
            <w:noProof/>
            <w:webHidden/>
          </w:rPr>
          <w:t>31</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94" w:history="1">
        <w:r w:rsidRPr="000A6870">
          <w:rPr>
            <w:rStyle w:val="Hyperlink"/>
            <w:noProof/>
          </w:rPr>
          <w:t xml:space="preserve">Management </w:t>
        </w:r>
        <w:r w:rsidRPr="000A6870">
          <w:rPr>
            <w:rStyle w:val="Hyperlink"/>
            <w:noProof/>
            <w:spacing w:val="-5"/>
          </w:rPr>
          <w:t xml:space="preserve">of </w:t>
        </w:r>
        <w:r w:rsidRPr="000A6870">
          <w:rPr>
            <w:rStyle w:val="Hyperlink"/>
            <w:noProof/>
            <w:spacing w:val="-8"/>
          </w:rPr>
          <w:t xml:space="preserve">human </w:t>
        </w:r>
        <w:r w:rsidRPr="000A6870">
          <w:rPr>
            <w:rStyle w:val="Hyperlink"/>
            <w:noProof/>
            <w:spacing w:val="-10"/>
          </w:rPr>
          <w:t>resources</w:t>
        </w:r>
        <w:r>
          <w:rPr>
            <w:noProof/>
            <w:webHidden/>
          </w:rPr>
          <w:tab/>
        </w:r>
        <w:r>
          <w:rPr>
            <w:noProof/>
            <w:webHidden/>
          </w:rPr>
          <w:fldChar w:fldCharType="begin"/>
        </w:r>
        <w:r>
          <w:rPr>
            <w:noProof/>
            <w:webHidden/>
          </w:rPr>
          <w:instrText xml:space="preserve"> PAGEREF _Toc496088494 \h </w:instrText>
        </w:r>
        <w:r>
          <w:rPr>
            <w:noProof/>
            <w:webHidden/>
          </w:rPr>
        </w:r>
        <w:r>
          <w:rPr>
            <w:noProof/>
            <w:webHidden/>
          </w:rPr>
          <w:fldChar w:fldCharType="separate"/>
        </w:r>
        <w:r>
          <w:rPr>
            <w:noProof/>
            <w:webHidden/>
          </w:rPr>
          <w:t>34</w:t>
        </w:r>
        <w:r>
          <w:rPr>
            <w:noProof/>
            <w:webHidden/>
          </w:rPr>
          <w:fldChar w:fldCharType="end"/>
        </w:r>
      </w:hyperlink>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495" w:history="1">
        <w:r w:rsidRPr="000A6870">
          <w:rPr>
            <w:rStyle w:val="Hyperlink"/>
            <w:noProof/>
          </w:rPr>
          <w:t>06 Annual performance statements</w:t>
        </w:r>
        <w:r>
          <w:rPr>
            <w:noProof/>
            <w:webHidden/>
          </w:rPr>
          <w:tab/>
        </w:r>
        <w:r>
          <w:rPr>
            <w:noProof/>
            <w:webHidden/>
          </w:rPr>
          <w:fldChar w:fldCharType="begin"/>
        </w:r>
        <w:r>
          <w:rPr>
            <w:noProof/>
            <w:webHidden/>
          </w:rPr>
          <w:instrText xml:space="preserve"> PAGEREF _Toc496088495 \h </w:instrText>
        </w:r>
        <w:r>
          <w:rPr>
            <w:noProof/>
            <w:webHidden/>
          </w:rPr>
        </w:r>
        <w:r>
          <w:rPr>
            <w:noProof/>
            <w:webHidden/>
          </w:rPr>
          <w:fldChar w:fldCharType="separate"/>
        </w:r>
        <w:r>
          <w:rPr>
            <w:noProof/>
            <w:webHidden/>
          </w:rPr>
          <w:t>36</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96" w:history="1">
        <w:r w:rsidRPr="000A6870">
          <w:rPr>
            <w:rStyle w:val="Hyperlink"/>
            <w:noProof/>
          </w:rPr>
          <w:t>Introductory statement</w:t>
        </w:r>
        <w:r>
          <w:rPr>
            <w:noProof/>
            <w:webHidden/>
          </w:rPr>
          <w:tab/>
        </w:r>
        <w:r>
          <w:rPr>
            <w:noProof/>
            <w:webHidden/>
          </w:rPr>
          <w:fldChar w:fldCharType="begin"/>
        </w:r>
        <w:r>
          <w:rPr>
            <w:noProof/>
            <w:webHidden/>
          </w:rPr>
          <w:instrText xml:space="preserve"> PAGEREF _Toc496088496 \h </w:instrText>
        </w:r>
        <w:r>
          <w:rPr>
            <w:noProof/>
            <w:webHidden/>
          </w:rPr>
        </w:r>
        <w:r>
          <w:rPr>
            <w:noProof/>
            <w:webHidden/>
          </w:rPr>
          <w:fldChar w:fldCharType="separate"/>
        </w:r>
        <w:r>
          <w:rPr>
            <w:noProof/>
            <w:webHidden/>
          </w:rPr>
          <w:t>36</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97" w:history="1">
        <w:r w:rsidRPr="000A6870">
          <w:rPr>
            <w:rStyle w:val="Hyperlink"/>
            <w:noProof/>
          </w:rPr>
          <w:t>IHPA purpose</w:t>
        </w:r>
        <w:r>
          <w:rPr>
            <w:noProof/>
            <w:webHidden/>
          </w:rPr>
          <w:tab/>
        </w:r>
        <w:r>
          <w:rPr>
            <w:noProof/>
            <w:webHidden/>
          </w:rPr>
          <w:fldChar w:fldCharType="begin"/>
        </w:r>
        <w:r>
          <w:rPr>
            <w:noProof/>
            <w:webHidden/>
          </w:rPr>
          <w:instrText xml:space="preserve"> PAGEREF _Toc496088497 \h </w:instrText>
        </w:r>
        <w:r>
          <w:rPr>
            <w:noProof/>
            <w:webHidden/>
          </w:rPr>
        </w:r>
        <w:r>
          <w:rPr>
            <w:noProof/>
            <w:webHidden/>
          </w:rPr>
          <w:fldChar w:fldCharType="separate"/>
        </w:r>
        <w:r>
          <w:rPr>
            <w:noProof/>
            <w:webHidden/>
          </w:rPr>
          <w:t>36</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98" w:history="1">
        <w:r w:rsidRPr="000A6870">
          <w:rPr>
            <w:rStyle w:val="Hyperlink"/>
            <w:noProof/>
          </w:rPr>
          <w:t>Results</w:t>
        </w:r>
        <w:r>
          <w:rPr>
            <w:noProof/>
            <w:webHidden/>
          </w:rPr>
          <w:tab/>
        </w:r>
        <w:r>
          <w:rPr>
            <w:noProof/>
            <w:webHidden/>
          </w:rPr>
          <w:fldChar w:fldCharType="begin"/>
        </w:r>
        <w:r>
          <w:rPr>
            <w:noProof/>
            <w:webHidden/>
          </w:rPr>
          <w:instrText xml:space="preserve"> PAGEREF _Toc496088498 \h </w:instrText>
        </w:r>
        <w:r>
          <w:rPr>
            <w:noProof/>
            <w:webHidden/>
          </w:rPr>
        </w:r>
        <w:r>
          <w:rPr>
            <w:noProof/>
            <w:webHidden/>
          </w:rPr>
          <w:fldChar w:fldCharType="separate"/>
        </w:r>
        <w:r>
          <w:rPr>
            <w:noProof/>
            <w:webHidden/>
          </w:rPr>
          <w:t>37</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499" w:history="1">
        <w:r w:rsidRPr="000A6870">
          <w:rPr>
            <w:rStyle w:val="Hyperlink"/>
            <w:noProof/>
          </w:rPr>
          <w:t>Analysis</w:t>
        </w:r>
        <w:r>
          <w:rPr>
            <w:noProof/>
            <w:webHidden/>
          </w:rPr>
          <w:tab/>
        </w:r>
        <w:r>
          <w:rPr>
            <w:noProof/>
            <w:webHidden/>
          </w:rPr>
          <w:fldChar w:fldCharType="begin"/>
        </w:r>
        <w:r>
          <w:rPr>
            <w:noProof/>
            <w:webHidden/>
          </w:rPr>
          <w:instrText xml:space="preserve"> PAGEREF _Toc496088499 \h </w:instrText>
        </w:r>
        <w:r>
          <w:rPr>
            <w:noProof/>
            <w:webHidden/>
          </w:rPr>
        </w:r>
        <w:r>
          <w:rPr>
            <w:noProof/>
            <w:webHidden/>
          </w:rPr>
          <w:fldChar w:fldCharType="separate"/>
        </w:r>
        <w:r>
          <w:rPr>
            <w:noProof/>
            <w:webHidden/>
          </w:rPr>
          <w:t>43</w:t>
        </w:r>
        <w:r>
          <w:rPr>
            <w:noProof/>
            <w:webHidden/>
          </w:rPr>
          <w:fldChar w:fldCharType="end"/>
        </w:r>
      </w:hyperlink>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500" w:history="1">
        <w:r w:rsidRPr="000A6870">
          <w:rPr>
            <w:rStyle w:val="Hyperlink"/>
            <w:noProof/>
          </w:rPr>
          <w:t xml:space="preserve">07 Financial </w:t>
        </w:r>
        <w:r w:rsidRPr="000A6870">
          <w:rPr>
            <w:rStyle w:val="Hyperlink"/>
            <w:noProof/>
            <w:spacing w:val="-1"/>
          </w:rPr>
          <w:t>management</w:t>
        </w:r>
        <w:r>
          <w:rPr>
            <w:noProof/>
            <w:webHidden/>
          </w:rPr>
          <w:tab/>
        </w:r>
        <w:r>
          <w:rPr>
            <w:noProof/>
            <w:webHidden/>
          </w:rPr>
          <w:fldChar w:fldCharType="begin"/>
        </w:r>
        <w:r>
          <w:rPr>
            <w:noProof/>
            <w:webHidden/>
          </w:rPr>
          <w:instrText xml:space="preserve"> PAGEREF _Toc496088500 \h </w:instrText>
        </w:r>
        <w:r>
          <w:rPr>
            <w:noProof/>
            <w:webHidden/>
          </w:rPr>
        </w:r>
        <w:r>
          <w:rPr>
            <w:noProof/>
            <w:webHidden/>
          </w:rPr>
          <w:fldChar w:fldCharType="separate"/>
        </w:r>
        <w:r>
          <w:rPr>
            <w:noProof/>
            <w:webHidden/>
          </w:rPr>
          <w:t>44</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501" w:history="1">
        <w:r w:rsidRPr="000A6870">
          <w:rPr>
            <w:rStyle w:val="Hyperlink"/>
            <w:noProof/>
          </w:rPr>
          <w:t>ANAO report</w:t>
        </w:r>
        <w:r>
          <w:rPr>
            <w:noProof/>
            <w:webHidden/>
          </w:rPr>
          <w:tab/>
        </w:r>
        <w:r>
          <w:rPr>
            <w:noProof/>
            <w:webHidden/>
          </w:rPr>
          <w:fldChar w:fldCharType="begin"/>
        </w:r>
        <w:r>
          <w:rPr>
            <w:noProof/>
            <w:webHidden/>
          </w:rPr>
          <w:instrText xml:space="preserve"> PAGEREF _Toc496088501 \h </w:instrText>
        </w:r>
        <w:r>
          <w:rPr>
            <w:noProof/>
            <w:webHidden/>
          </w:rPr>
        </w:r>
        <w:r>
          <w:rPr>
            <w:noProof/>
            <w:webHidden/>
          </w:rPr>
          <w:fldChar w:fldCharType="separate"/>
        </w:r>
        <w:r>
          <w:rPr>
            <w:noProof/>
            <w:webHidden/>
          </w:rPr>
          <w:t>44</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502" w:history="1">
        <w:r w:rsidRPr="000A6870">
          <w:rPr>
            <w:rStyle w:val="Hyperlink"/>
            <w:noProof/>
          </w:rPr>
          <w:t>Financial statements</w:t>
        </w:r>
        <w:r>
          <w:rPr>
            <w:noProof/>
            <w:webHidden/>
          </w:rPr>
          <w:tab/>
        </w:r>
        <w:r>
          <w:rPr>
            <w:noProof/>
            <w:webHidden/>
          </w:rPr>
          <w:fldChar w:fldCharType="begin"/>
        </w:r>
        <w:r>
          <w:rPr>
            <w:noProof/>
            <w:webHidden/>
          </w:rPr>
          <w:instrText xml:space="preserve"> PAGEREF _Toc496088502 \h </w:instrText>
        </w:r>
        <w:r>
          <w:rPr>
            <w:noProof/>
            <w:webHidden/>
          </w:rPr>
        </w:r>
        <w:r>
          <w:rPr>
            <w:noProof/>
            <w:webHidden/>
          </w:rPr>
          <w:fldChar w:fldCharType="separate"/>
        </w:r>
        <w:r>
          <w:rPr>
            <w:noProof/>
            <w:webHidden/>
          </w:rPr>
          <w:t>46</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503" w:history="1">
        <w:r w:rsidRPr="000A6870">
          <w:rPr>
            <w:rStyle w:val="Hyperlink"/>
            <w:noProof/>
          </w:rPr>
          <w:t>Primary Financial Statement</w:t>
        </w:r>
        <w:r>
          <w:rPr>
            <w:noProof/>
            <w:webHidden/>
          </w:rPr>
          <w:tab/>
        </w:r>
        <w:r>
          <w:rPr>
            <w:noProof/>
            <w:webHidden/>
          </w:rPr>
          <w:fldChar w:fldCharType="begin"/>
        </w:r>
        <w:r>
          <w:rPr>
            <w:noProof/>
            <w:webHidden/>
          </w:rPr>
          <w:instrText xml:space="preserve"> PAGEREF _Toc496088503 \h </w:instrText>
        </w:r>
        <w:r>
          <w:rPr>
            <w:noProof/>
            <w:webHidden/>
          </w:rPr>
        </w:r>
        <w:r>
          <w:rPr>
            <w:noProof/>
            <w:webHidden/>
          </w:rPr>
          <w:fldChar w:fldCharType="separate"/>
        </w:r>
        <w:r>
          <w:rPr>
            <w:noProof/>
            <w:webHidden/>
          </w:rPr>
          <w:t>48</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504" w:history="1">
        <w:r w:rsidRPr="000A6870">
          <w:rPr>
            <w:rStyle w:val="Hyperlink"/>
            <w:noProof/>
          </w:rPr>
          <w:t>Overview</w:t>
        </w:r>
        <w:r>
          <w:rPr>
            <w:noProof/>
            <w:webHidden/>
          </w:rPr>
          <w:tab/>
        </w:r>
        <w:r>
          <w:rPr>
            <w:noProof/>
            <w:webHidden/>
          </w:rPr>
          <w:fldChar w:fldCharType="begin"/>
        </w:r>
        <w:r>
          <w:rPr>
            <w:noProof/>
            <w:webHidden/>
          </w:rPr>
          <w:instrText xml:space="preserve"> PAGEREF _Toc496088504 \h </w:instrText>
        </w:r>
        <w:r>
          <w:rPr>
            <w:noProof/>
            <w:webHidden/>
          </w:rPr>
        </w:r>
        <w:r>
          <w:rPr>
            <w:noProof/>
            <w:webHidden/>
          </w:rPr>
          <w:fldChar w:fldCharType="separate"/>
        </w:r>
        <w:r>
          <w:rPr>
            <w:noProof/>
            <w:webHidden/>
          </w:rPr>
          <w:t>54</w:t>
        </w:r>
        <w:r>
          <w:rPr>
            <w:noProof/>
            <w:webHidden/>
          </w:rPr>
          <w:fldChar w:fldCharType="end"/>
        </w:r>
      </w:hyperlink>
    </w:p>
    <w:p w:rsidR="0066052B" w:rsidRPr="00F706F7" w:rsidRDefault="0066052B" w:rsidP="0066052B">
      <w:pPr>
        <w:pStyle w:val="TOC2"/>
        <w:tabs>
          <w:tab w:val="right" w:leader="dot" w:pos="7750"/>
        </w:tabs>
        <w:spacing w:before="0" w:beforeAutospacing="0" w:after="120" w:afterAutospacing="0"/>
        <w:rPr>
          <w:rFonts w:ascii="Calibri" w:eastAsia="Times New Roman" w:hAnsi="Calibri" w:cs="Times New Roman"/>
          <w:noProof/>
          <w:color w:val="auto"/>
          <w:sz w:val="22"/>
          <w:szCs w:val="22"/>
        </w:rPr>
      </w:pPr>
      <w:hyperlink w:anchor="_Toc496088505" w:history="1">
        <w:r w:rsidRPr="000A6870">
          <w:rPr>
            <w:rStyle w:val="Hyperlink"/>
            <w:noProof/>
          </w:rPr>
          <w:t xml:space="preserve">Notes </w:t>
        </w:r>
        <w:r w:rsidRPr="000A6870">
          <w:rPr>
            <w:rStyle w:val="Hyperlink"/>
            <w:noProof/>
            <w:spacing w:val="-7"/>
          </w:rPr>
          <w:t xml:space="preserve">to </w:t>
        </w:r>
        <w:r w:rsidRPr="000A6870">
          <w:rPr>
            <w:rStyle w:val="Hyperlink"/>
            <w:noProof/>
            <w:spacing w:val="-9"/>
          </w:rPr>
          <w:t xml:space="preserve">the </w:t>
        </w:r>
        <w:r w:rsidRPr="000A6870">
          <w:rPr>
            <w:rStyle w:val="Hyperlink"/>
            <w:noProof/>
          </w:rPr>
          <w:t xml:space="preserve">Financial </w:t>
        </w:r>
        <w:r w:rsidRPr="000A6870">
          <w:rPr>
            <w:rStyle w:val="Hyperlink"/>
            <w:noProof/>
            <w:spacing w:val="-13"/>
          </w:rPr>
          <w:t>Statements</w:t>
        </w:r>
        <w:r>
          <w:rPr>
            <w:noProof/>
            <w:webHidden/>
          </w:rPr>
          <w:tab/>
        </w:r>
        <w:r>
          <w:rPr>
            <w:noProof/>
            <w:webHidden/>
          </w:rPr>
          <w:fldChar w:fldCharType="begin"/>
        </w:r>
        <w:r>
          <w:rPr>
            <w:noProof/>
            <w:webHidden/>
          </w:rPr>
          <w:instrText xml:space="preserve"> PAGEREF _Toc496088505 \h </w:instrText>
        </w:r>
        <w:r>
          <w:rPr>
            <w:noProof/>
            <w:webHidden/>
          </w:rPr>
        </w:r>
        <w:r>
          <w:rPr>
            <w:noProof/>
            <w:webHidden/>
          </w:rPr>
          <w:fldChar w:fldCharType="separate"/>
        </w:r>
        <w:r>
          <w:rPr>
            <w:noProof/>
            <w:webHidden/>
          </w:rPr>
          <w:t>57</w:t>
        </w:r>
        <w:r>
          <w:rPr>
            <w:noProof/>
            <w:webHidden/>
          </w:rPr>
          <w:fldChar w:fldCharType="end"/>
        </w:r>
      </w:hyperlink>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506" w:history="1">
        <w:r w:rsidRPr="000A6870">
          <w:rPr>
            <w:rStyle w:val="Hyperlink"/>
            <w:noProof/>
          </w:rPr>
          <w:t>Appendix A:  Figures and tables</w:t>
        </w:r>
        <w:r>
          <w:rPr>
            <w:noProof/>
            <w:webHidden/>
          </w:rPr>
          <w:tab/>
        </w:r>
        <w:r>
          <w:rPr>
            <w:noProof/>
            <w:webHidden/>
          </w:rPr>
          <w:fldChar w:fldCharType="begin"/>
        </w:r>
        <w:r>
          <w:rPr>
            <w:noProof/>
            <w:webHidden/>
          </w:rPr>
          <w:instrText xml:space="preserve"> PAGEREF _Toc496088506 \h </w:instrText>
        </w:r>
        <w:r>
          <w:rPr>
            <w:noProof/>
            <w:webHidden/>
          </w:rPr>
        </w:r>
        <w:r>
          <w:rPr>
            <w:noProof/>
            <w:webHidden/>
          </w:rPr>
          <w:fldChar w:fldCharType="separate"/>
        </w:r>
        <w:r>
          <w:rPr>
            <w:noProof/>
            <w:webHidden/>
          </w:rPr>
          <w:t>74</w:t>
        </w:r>
        <w:r>
          <w:rPr>
            <w:noProof/>
            <w:webHidden/>
          </w:rPr>
          <w:fldChar w:fldCharType="end"/>
        </w:r>
      </w:hyperlink>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507" w:history="1">
        <w:r w:rsidRPr="000A6870">
          <w:rPr>
            <w:rStyle w:val="Hyperlink"/>
            <w:noProof/>
            <w:spacing w:val="-9"/>
          </w:rPr>
          <w:t xml:space="preserve">Appendix </w:t>
        </w:r>
        <w:r w:rsidRPr="000A6870">
          <w:rPr>
            <w:rStyle w:val="Hyperlink"/>
            <w:noProof/>
            <w:spacing w:val="-4"/>
          </w:rPr>
          <w:t xml:space="preserve">B: </w:t>
        </w:r>
        <w:r w:rsidRPr="000A6870">
          <w:rPr>
            <w:rStyle w:val="Hyperlink"/>
            <w:noProof/>
          </w:rPr>
          <w:t>Acronyms and abbreviations</w:t>
        </w:r>
        <w:r>
          <w:rPr>
            <w:noProof/>
            <w:webHidden/>
          </w:rPr>
          <w:tab/>
        </w:r>
        <w:r>
          <w:rPr>
            <w:noProof/>
            <w:webHidden/>
          </w:rPr>
          <w:fldChar w:fldCharType="begin"/>
        </w:r>
        <w:r>
          <w:rPr>
            <w:noProof/>
            <w:webHidden/>
          </w:rPr>
          <w:instrText xml:space="preserve"> PAGEREF _Toc496088507 \h </w:instrText>
        </w:r>
        <w:r>
          <w:rPr>
            <w:noProof/>
            <w:webHidden/>
          </w:rPr>
        </w:r>
        <w:r>
          <w:rPr>
            <w:noProof/>
            <w:webHidden/>
          </w:rPr>
          <w:fldChar w:fldCharType="separate"/>
        </w:r>
        <w:r>
          <w:rPr>
            <w:noProof/>
            <w:webHidden/>
          </w:rPr>
          <w:t>75</w:t>
        </w:r>
        <w:r>
          <w:rPr>
            <w:noProof/>
            <w:webHidden/>
          </w:rPr>
          <w:fldChar w:fldCharType="end"/>
        </w:r>
      </w:hyperlink>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508" w:history="1">
        <w:r w:rsidRPr="000A6870">
          <w:rPr>
            <w:rStyle w:val="Hyperlink"/>
            <w:noProof/>
          </w:rPr>
          <w:t>Appendix C: Glossary</w:t>
        </w:r>
        <w:r>
          <w:rPr>
            <w:noProof/>
            <w:webHidden/>
          </w:rPr>
          <w:tab/>
        </w:r>
        <w:r>
          <w:rPr>
            <w:noProof/>
            <w:webHidden/>
          </w:rPr>
          <w:fldChar w:fldCharType="begin"/>
        </w:r>
        <w:r>
          <w:rPr>
            <w:noProof/>
            <w:webHidden/>
          </w:rPr>
          <w:instrText xml:space="preserve"> PAGEREF _Toc496088508 \h </w:instrText>
        </w:r>
        <w:r>
          <w:rPr>
            <w:noProof/>
            <w:webHidden/>
          </w:rPr>
        </w:r>
        <w:r>
          <w:rPr>
            <w:noProof/>
            <w:webHidden/>
          </w:rPr>
          <w:fldChar w:fldCharType="separate"/>
        </w:r>
        <w:r>
          <w:rPr>
            <w:noProof/>
            <w:webHidden/>
          </w:rPr>
          <w:t>76</w:t>
        </w:r>
        <w:r>
          <w:rPr>
            <w:noProof/>
            <w:webHidden/>
          </w:rPr>
          <w:fldChar w:fldCharType="end"/>
        </w:r>
      </w:hyperlink>
    </w:p>
    <w:p w:rsidR="0066052B" w:rsidRPr="00F706F7" w:rsidRDefault="0066052B" w:rsidP="0066052B">
      <w:pPr>
        <w:pStyle w:val="TOC1"/>
        <w:tabs>
          <w:tab w:val="right" w:leader="dot" w:pos="7750"/>
        </w:tabs>
        <w:spacing w:before="0" w:beforeAutospacing="0" w:after="120" w:afterAutospacing="0"/>
        <w:rPr>
          <w:rFonts w:ascii="Calibri" w:eastAsia="Times New Roman" w:hAnsi="Calibri" w:cs="Times New Roman"/>
          <w:b w:val="0"/>
          <w:bCs w:val="0"/>
          <w:noProof/>
          <w:color w:val="auto"/>
        </w:rPr>
      </w:pPr>
      <w:hyperlink w:anchor="_Toc496088509" w:history="1">
        <w:r w:rsidRPr="000A6870">
          <w:rPr>
            <w:rStyle w:val="Hyperlink"/>
            <w:noProof/>
          </w:rPr>
          <w:t>Appendix D: Compliance index</w:t>
        </w:r>
        <w:r>
          <w:rPr>
            <w:noProof/>
            <w:webHidden/>
          </w:rPr>
          <w:tab/>
        </w:r>
        <w:r>
          <w:rPr>
            <w:noProof/>
            <w:webHidden/>
          </w:rPr>
          <w:fldChar w:fldCharType="begin"/>
        </w:r>
        <w:r>
          <w:rPr>
            <w:noProof/>
            <w:webHidden/>
          </w:rPr>
          <w:instrText xml:space="preserve"> PAGEREF _Toc496088509 \h </w:instrText>
        </w:r>
        <w:r>
          <w:rPr>
            <w:noProof/>
            <w:webHidden/>
          </w:rPr>
        </w:r>
        <w:r>
          <w:rPr>
            <w:noProof/>
            <w:webHidden/>
          </w:rPr>
          <w:fldChar w:fldCharType="separate"/>
        </w:r>
        <w:r>
          <w:rPr>
            <w:noProof/>
            <w:webHidden/>
          </w:rPr>
          <w:t>79</w:t>
        </w:r>
        <w:r>
          <w:rPr>
            <w:noProof/>
            <w:webHidden/>
          </w:rPr>
          <w:fldChar w:fldCharType="end"/>
        </w:r>
      </w:hyperlink>
    </w:p>
    <w:p w:rsidR="00E314B6" w:rsidRDefault="0066052B" w:rsidP="00206D44">
      <w:pPr>
        <w:pStyle w:val="BodyText"/>
      </w:pPr>
      <w:r>
        <w:rPr>
          <w:color w:val="7EC352"/>
        </w:rPr>
        <w:fldChar w:fldCharType="end"/>
      </w:r>
    </w:p>
    <w:p w:rsidR="006A32B7" w:rsidRDefault="006A32B7" w:rsidP="006A32B7">
      <w:pPr>
        <w:pStyle w:val="BodyText"/>
      </w:pPr>
    </w:p>
    <w:p w:rsidR="00D840DF" w:rsidRDefault="00D840DF"/>
    <w:p w:rsidR="006A32B7" w:rsidRDefault="006A32B7">
      <w:pPr>
        <w:sectPr w:rsidR="006A32B7">
          <w:type w:val="continuous"/>
          <w:pgSz w:w="9980" w:h="14180"/>
          <w:pgMar w:top="1340" w:right="1020" w:bottom="1831" w:left="1200" w:header="720" w:footer="720" w:gutter="0"/>
          <w:cols w:space="720"/>
        </w:sectPr>
      </w:pPr>
    </w:p>
    <w:p w:rsidR="00D840DF" w:rsidRPr="00B80667" w:rsidRDefault="00961020" w:rsidP="00E314B6">
      <w:pPr>
        <w:pStyle w:val="Heading2"/>
      </w:pPr>
      <w:bookmarkStart w:id="3" w:name="Approval_by_the_Accountable_Authority"/>
      <w:bookmarkStart w:id="4" w:name="_bookmark0"/>
      <w:bookmarkStart w:id="5" w:name="_Toc496088474"/>
      <w:bookmarkEnd w:id="3"/>
      <w:bookmarkEnd w:id="4"/>
      <w:r w:rsidRPr="00B80667">
        <w:lastRenderedPageBreak/>
        <w:t>Approval by the Accountable Authority</w:t>
      </w:r>
      <w:bookmarkEnd w:id="5"/>
    </w:p>
    <w:p w:rsidR="00D840DF" w:rsidRPr="00B80667" w:rsidRDefault="00961020" w:rsidP="00B80667">
      <w:pPr>
        <w:pStyle w:val="BodyText"/>
      </w:pPr>
      <w:r>
        <w:t>I present the Annual Report of the Independent Hospital Pricing Authority for the financial year ended 30 June 2017</w:t>
      </w:r>
      <w:r w:rsidRPr="00B80667">
        <w:t>, in accordance with the National Health Reform Act 2011 and pursuant to section 46 of the Public Governance, Performance and Accountability Act 2013 (the PGPA Act).</w:t>
      </w:r>
    </w:p>
    <w:p w:rsidR="00D840DF" w:rsidRPr="00B80667" w:rsidRDefault="00961020" w:rsidP="00B80667">
      <w:pPr>
        <w:pStyle w:val="BodyText"/>
      </w:pPr>
      <w:r w:rsidRPr="00B80667">
        <w:t>The Independent Hospital Pricing Authority is a Corporate Commonwealth entity. This report</w:t>
      </w:r>
      <w:r w:rsidR="00E314B6">
        <w:t xml:space="preserve"> </w:t>
      </w:r>
      <w:r w:rsidRPr="00B80667">
        <w:t>has been prepared in accordance with the requirements of sections 17BA to 17BF of the Public</w:t>
      </w:r>
      <w:r w:rsidR="00B80667" w:rsidRPr="00B80667">
        <w:t xml:space="preserve"> </w:t>
      </w:r>
      <w:r w:rsidRPr="00B80667">
        <w:t>Governance, Performance and Accountability Rule 2014. This report also contains information as required under other applicable legislation, including the Work Health and Safety Act 2011.</w:t>
      </w:r>
    </w:p>
    <w:p w:rsidR="00D840DF" w:rsidRPr="00B80667" w:rsidRDefault="00961020" w:rsidP="00B80667">
      <w:pPr>
        <w:pStyle w:val="BodyText"/>
      </w:pPr>
      <w:r w:rsidRPr="00B80667">
        <w:t>As the Accountable Authority for the purposes of the PGPA Act, I am responsible for preparing this Annual Report and providing a copy to the responsible Minister.</w:t>
      </w:r>
    </w:p>
    <w:p w:rsidR="00D840DF" w:rsidRDefault="00E14BA1">
      <w:pPr>
        <w:pStyle w:val="BodyText"/>
        <w:spacing w:before="9"/>
        <w:rPr>
          <w:sz w:val="13"/>
        </w:rPr>
      </w:pPr>
      <w:r>
        <w:rPr>
          <w:noProof/>
        </w:rPr>
        <mc:AlternateContent>
          <mc:Choice Requires="wps">
            <w:drawing>
              <wp:anchor distT="0" distB="0" distL="0" distR="0" simplePos="0" relativeHeight="1144" behindDoc="0" locked="0" layoutInCell="1" allowOverlap="1">
                <wp:simplePos x="0" y="0"/>
                <wp:positionH relativeFrom="page">
                  <wp:posOffset>828040</wp:posOffset>
                </wp:positionH>
                <wp:positionV relativeFrom="paragraph">
                  <wp:posOffset>31750</wp:posOffset>
                </wp:positionV>
                <wp:extent cx="978535" cy="374650"/>
                <wp:effectExtent l="8890" t="6350" r="3175" b="0"/>
                <wp:wrapTopAndBottom/>
                <wp:docPr id="8" name="AutoShape 163" descr="Signatu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374650"/>
                        </a:xfrm>
                        <a:custGeom>
                          <a:avLst/>
                          <a:gdLst>
                            <a:gd name="T0" fmla="+- 0 1438 1304"/>
                            <a:gd name="T1" fmla="*/ T0 w 1541"/>
                            <a:gd name="T2" fmla="+- 0 562 215"/>
                            <a:gd name="T3" fmla="*/ 562 h 590"/>
                            <a:gd name="T4" fmla="+- 0 1342 1304"/>
                            <a:gd name="T5" fmla="*/ T4 w 1541"/>
                            <a:gd name="T6" fmla="+- 0 616 215"/>
                            <a:gd name="T7" fmla="*/ 616 h 590"/>
                            <a:gd name="T8" fmla="+- 0 1308 1304"/>
                            <a:gd name="T9" fmla="*/ T8 w 1541"/>
                            <a:gd name="T10" fmla="+- 0 731 215"/>
                            <a:gd name="T11" fmla="*/ 731 h 590"/>
                            <a:gd name="T12" fmla="+- 0 1399 1304"/>
                            <a:gd name="T13" fmla="*/ T12 w 1541"/>
                            <a:gd name="T14" fmla="+- 0 804 215"/>
                            <a:gd name="T15" fmla="*/ 804 h 590"/>
                            <a:gd name="T16" fmla="+- 0 1423 1304"/>
                            <a:gd name="T17" fmla="*/ T16 w 1541"/>
                            <a:gd name="T18" fmla="+- 0 796 215"/>
                            <a:gd name="T19" fmla="*/ 796 h 590"/>
                            <a:gd name="T20" fmla="+- 0 1327 1304"/>
                            <a:gd name="T21" fmla="*/ T20 w 1541"/>
                            <a:gd name="T22" fmla="+- 0 749 215"/>
                            <a:gd name="T23" fmla="*/ 749 h 590"/>
                            <a:gd name="T24" fmla="+- 0 1338 1304"/>
                            <a:gd name="T25" fmla="*/ T24 w 1541"/>
                            <a:gd name="T26" fmla="+- 0 644 215"/>
                            <a:gd name="T27" fmla="*/ 644 h 590"/>
                            <a:gd name="T28" fmla="+- 0 1432 1304"/>
                            <a:gd name="T29" fmla="*/ T28 w 1541"/>
                            <a:gd name="T30" fmla="+- 0 583 215"/>
                            <a:gd name="T31" fmla="*/ 583 h 590"/>
                            <a:gd name="T32" fmla="+- 0 1512 1304"/>
                            <a:gd name="T33" fmla="*/ T32 w 1541"/>
                            <a:gd name="T34" fmla="+- 0 556 215"/>
                            <a:gd name="T35" fmla="*/ 556 h 590"/>
                            <a:gd name="T36" fmla="+- 0 1659 1304"/>
                            <a:gd name="T37" fmla="*/ T36 w 1541"/>
                            <a:gd name="T38" fmla="+- 0 659 215"/>
                            <a:gd name="T39" fmla="*/ 659 h 590"/>
                            <a:gd name="T40" fmla="+- 0 1575 1304"/>
                            <a:gd name="T41" fmla="*/ T40 w 1541"/>
                            <a:gd name="T42" fmla="+- 0 740 215"/>
                            <a:gd name="T43" fmla="*/ 740 h 590"/>
                            <a:gd name="T44" fmla="+- 0 1469 1304"/>
                            <a:gd name="T45" fmla="*/ T44 w 1541"/>
                            <a:gd name="T46" fmla="+- 0 789 215"/>
                            <a:gd name="T47" fmla="*/ 789 h 590"/>
                            <a:gd name="T48" fmla="+- 0 1517 1304"/>
                            <a:gd name="T49" fmla="*/ T48 w 1541"/>
                            <a:gd name="T50" fmla="+- 0 782 215"/>
                            <a:gd name="T51" fmla="*/ 782 h 590"/>
                            <a:gd name="T52" fmla="+- 0 1686 1304"/>
                            <a:gd name="T53" fmla="*/ T52 w 1541"/>
                            <a:gd name="T54" fmla="+- 0 650 215"/>
                            <a:gd name="T55" fmla="*/ 650 h 590"/>
                            <a:gd name="T56" fmla="+- 0 1520 1304"/>
                            <a:gd name="T57" fmla="*/ T56 w 1541"/>
                            <a:gd name="T58" fmla="+- 0 578 215"/>
                            <a:gd name="T59" fmla="*/ 578 h 590"/>
                            <a:gd name="T60" fmla="+- 0 1521 1304"/>
                            <a:gd name="T61" fmla="*/ T60 w 1541"/>
                            <a:gd name="T62" fmla="+- 0 641 215"/>
                            <a:gd name="T63" fmla="*/ 641 h 590"/>
                            <a:gd name="T64" fmla="+- 0 1525 1304"/>
                            <a:gd name="T65" fmla="*/ T64 w 1541"/>
                            <a:gd name="T66" fmla="+- 0 592 215"/>
                            <a:gd name="T67" fmla="*/ 592 h 590"/>
                            <a:gd name="T68" fmla="+- 0 1717 1304"/>
                            <a:gd name="T69" fmla="*/ T68 w 1541"/>
                            <a:gd name="T70" fmla="+- 0 604 215"/>
                            <a:gd name="T71" fmla="*/ 604 h 590"/>
                            <a:gd name="T72" fmla="+- 0 1950 1304"/>
                            <a:gd name="T73" fmla="*/ T72 w 1541"/>
                            <a:gd name="T74" fmla="+- 0 608 215"/>
                            <a:gd name="T75" fmla="*/ 608 h 590"/>
                            <a:gd name="T76" fmla="+- 0 2158 1304"/>
                            <a:gd name="T77" fmla="*/ T76 w 1541"/>
                            <a:gd name="T78" fmla="+- 0 582 215"/>
                            <a:gd name="T79" fmla="*/ 582 h 590"/>
                            <a:gd name="T80" fmla="+- 0 1711 1304"/>
                            <a:gd name="T81" fmla="*/ T80 w 1541"/>
                            <a:gd name="T82" fmla="+- 0 578 215"/>
                            <a:gd name="T83" fmla="*/ 578 h 590"/>
                            <a:gd name="T84" fmla="+- 0 1732 1304"/>
                            <a:gd name="T85" fmla="*/ T84 w 1541"/>
                            <a:gd name="T86" fmla="+- 0 579 215"/>
                            <a:gd name="T87" fmla="*/ 579 h 590"/>
                            <a:gd name="T88" fmla="+- 0 1545 1304"/>
                            <a:gd name="T89" fmla="*/ T88 w 1541"/>
                            <a:gd name="T90" fmla="+- 0 582 215"/>
                            <a:gd name="T91" fmla="*/ 582 h 590"/>
                            <a:gd name="T92" fmla="+- 0 1687 1304"/>
                            <a:gd name="T93" fmla="*/ T92 w 1541"/>
                            <a:gd name="T94" fmla="+- 0 601 215"/>
                            <a:gd name="T95" fmla="*/ 601 h 590"/>
                            <a:gd name="T96" fmla="+- 0 1666 1304"/>
                            <a:gd name="T97" fmla="*/ T96 w 1541"/>
                            <a:gd name="T98" fmla="+- 0 574 215"/>
                            <a:gd name="T99" fmla="*/ 574 h 590"/>
                            <a:gd name="T100" fmla="+- 0 1531 1304"/>
                            <a:gd name="T101" fmla="*/ T100 w 1541"/>
                            <a:gd name="T102" fmla="+- 0 557 215"/>
                            <a:gd name="T103" fmla="*/ 557 h 590"/>
                            <a:gd name="T104" fmla="+- 0 2302 1304"/>
                            <a:gd name="T105" fmla="*/ T104 w 1541"/>
                            <a:gd name="T106" fmla="+- 0 525 215"/>
                            <a:gd name="T107" fmla="*/ 525 h 590"/>
                            <a:gd name="T108" fmla="+- 0 1948 1304"/>
                            <a:gd name="T109" fmla="*/ T108 w 1541"/>
                            <a:gd name="T110" fmla="+- 0 579 215"/>
                            <a:gd name="T111" fmla="*/ 579 h 590"/>
                            <a:gd name="T112" fmla="+- 0 2211 1304"/>
                            <a:gd name="T113" fmla="*/ T112 w 1541"/>
                            <a:gd name="T114" fmla="+- 0 571 215"/>
                            <a:gd name="T115" fmla="*/ 571 h 590"/>
                            <a:gd name="T116" fmla="+- 0 2541 1304"/>
                            <a:gd name="T117" fmla="*/ T116 w 1541"/>
                            <a:gd name="T118" fmla="+- 0 520 215"/>
                            <a:gd name="T119" fmla="*/ 520 h 590"/>
                            <a:gd name="T120" fmla="+- 0 1522 1304"/>
                            <a:gd name="T121" fmla="*/ T120 w 1541"/>
                            <a:gd name="T122" fmla="+- 0 557 215"/>
                            <a:gd name="T123" fmla="*/ 557 h 590"/>
                            <a:gd name="T124" fmla="+- 0 1524 1304"/>
                            <a:gd name="T125" fmla="*/ T124 w 1541"/>
                            <a:gd name="T126" fmla="+- 0 557 215"/>
                            <a:gd name="T127" fmla="*/ 557 h 590"/>
                            <a:gd name="T128" fmla="+- 0 1733 1304"/>
                            <a:gd name="T129" fmla="*/ T128 w 1541"/>
                            <a:gd name="T130" fmla="+- 0 242 215"/>
                            <a:gd name="T131" fmla="*/ 242 h 590"/>
                            <a:gd name="T132" fmla="+- 0 1755 1304"/>
                            <a:gd name="T133" fmla="*/ T132 w 1541"/>
                            <a:gd name="T134" fmla="+- 0 270 215"/>
                            <a:gd name="T135" fmla="*/ 270 h 590"/>
                            <a:gd name="T136" fmla="+- 0 1768 1304"/>
                            <a:gd name="T137" fmla="*/ T136 w 1541"/>
                            <a:gd name="T138" fmla="+- 0 383 215"/>
                            <a:gd name="T139" fmla="*/ 383 h 590"/>
                            <a:gd name="T140" fmla="+- 0 1711 1304"/>
                            <a:gd name="T141" fmla="*/ T140 w 1541"/>
                            <a:gd name="T142" fmla="+- 0 578 215"/>
                            <a:gd name="T143" fmla="*/ 578 h 590"/>
                            <a:gd name="T144" fmla="+- 0 1775 1304"/>
                            <a:gd name="T145" fmla="*/ T144 w 1541"/>
                            <a:gd name="T146" fmla="+- 0 479 215"/>
                            <a:gd name="T147" fmla="*/ 479 h 590"/>
                            <a:gd name="T148" fmla="+- 0 1783 1304"/>
                            <a:gd name="T149" fmla="*/ T148 w 1541"/>
                            <a:gd name="T150" fmla="+- 0 277 215"/>
                            <a:gd name="T151" fmla="*/ 277 h 590"/>
                            <a:gd name="T152" fmla="+- 0 1767 1304"/>
                            <a:gd name="T153" fmla="*/ T152 w 1541"/>
                            <a:gd name="T154" fmla="+- 0 239 215"/>
                            <a:gd name="T155" fmla="*/ 239 h 590"/>
                            <a:gd name="T156" fmla="+- 0 1520 1304"/>
                            <a:gd name="T157" fmla="*/ T156 w 1541"/>
                            <a:gd name="T158" fmla="+- 0 576 215"/>
                            <a:gd name="T159" fmla="*/ 576 h 590"/>
                            <a:gd name="T160" fmla="+- 0 1675 1304"/>
                            <a:gd name="T161" fmla="*/ T160 w 1541"/>
                            <a:gd name="T162" fmla="+- 0 235 215"/>
                            <a:gd name="T163" fmla="*/ 235 h 590"/>
                            <a:gd name="T164" fmla="+- 0 1632 1304"/>
                            <a:gd name="T165" fmla="*/ T164 w 1541"/>
                            <a:gd name="T166" fmla="+- 0 280 215"/>
                            <a:gd name="T167" fmla="*/ 280 h 590"/>
                            <a:gd name="T168" fmla="+- 0 1571 1304"/>
                            <a:gd name="T169" fmla="*/ T168 w 1541"/>
                            <a:gd name="T170" fmla="+- 0 384 215"/>
                            <a:gd name="T171" fmla="*/ 384 h 590"/>
                            <a:gd name="T172" fmla="+- 0 1523 1304"/>
                            <a:gd name="T173" fmla="*/ T172 w 1541"/>
                            <a:gd name="T174" fmla="+- 0 545 215"/>
                            <a:gd name="T175" fmla="*/ 545 h 590"/>
                            <a:gd name="T176" fmla="+- 0 1543 1304"/>
                            <a:gd name="T177" fmla="*/ T176 w 1541"/>
                            <a:gd name="T178" fmla="+- 0 500 215"/>
                            <a:gd name="T179" fmla="*/ 500 h 590"/>
                            <a:gd name="T180" fmla="+- 0 1648 1304"/>
                            <a:gd name="T181" fmla="*/ T180 w 1541"/>
                            <a:gd name="T182" fmla="+- 0 293 215"/>
                            <a:gd name="T183" fmla="*/ 293 h 590"/>
                            <a:gd name="T184" fmla="+- 0 1688 1304"/>
                            <a:gd name="T185" fmla="*/ T184 w 1541"/>
                            <a:gd name="T186" fmla="+- 0 253 215"/>
                            <a:gd name="T187" fmla="*/ 253 h 590"/>
                            <a:gd name="T188" fmla="+- 0 1767 1304"/>
                            <a:gd name="T189" fmla="*/ T188 w 1541"/>
                            <a:gd name="T190" fmla="+- 0 239 215"/>
                            <a:gd name="T191" fmla="*/ 239 h 590"/>
                            <a:gd name="T192" fmla="+- 0 1721 1304"/>
                            <a:gd name="T193" fmla="*/ T192 w 1541"/>
                            <a:gd name="T194" fmla="+- 0 215 215"/>
                            <a:gd name="T195" fmla="*/ 215 h 590"/>
                            <a:gd name="T196" fmla="+- 0 2768 1304"/>
                            <a:gd name="T197" fmla="*/ T196 w 1541"/>
                            <a:gd name="T198" fmla="+- 0 534 215"/>
                            <a:gd name="T199" fmla="*/ 534 h 590"/>
                            <a:gd name="T200" fmla="+- 0 2769 1304"/>
                            <a:gd name="T201" fmla="*/ T200 w 1541"/>
                            <a:gd name="T202" fmla="+- 0 526 215"/>
                            <a:gd name="T203" fmla="*/ 526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41" h="590">
                              <a:moveTo>
                                <a:pt x="183" y="340"/>
                              </a:moveTo>
                              <a:lnTo>
                                <a:pt x="171" y="341"/>
                              </a:lnTo>
                              <a:lnTo>
                                <a:pt x="159" y="342"/>
                              </a:lnTo>
                              <a:lnTo>
                                <a:pt x="146" y="344"/>
                              </a:lnTo>
                              <a:lnTo>
                                <a:pt x="134" y="347"/>
                              </a:lnTo>
                              <a:lnTo>
                                <a:pt x="122" y="350"/>
                              </a:lnTo>
                              <a:lnTo>
                                <a:pt x="99" y="359"/>
                              </a:lnTo>
                              <a:lnTo>
                                <a:pt x="77" y="370"/>
                              </a:lnTo>
                              <a:lnTo>
                                <a:pt x="57" y="384"/>
                              </a:lnTo>
                              <a:lnTo>
                                <a:pt x="38" y="401"/>
                              </a:lnTo>
                              <a:lnTo>
                                <a:pt x="22" y="420"/>
                              </a:lnTo>
                              <a:lnTo>
                                <a:pt x="10" y="442"/>
                              </a:lnTo>
                              <a:lnTo>
                                <a:pt x="3" y="466"/>
                              </a:lnTo>
                              <a:lnTo>
                                <a:pt x="0" y="491"/>
                              </a:lnTo>
                              <a:lnTo>
                                <a:pt x="4" y="516"/>
                              </a:lnTo>
                              <a:lnTo>
                                <a:pt x="13" y="539"/>
                              </a:lnTo>
                              <a:lnTo>
                                <a:pt x="28" y="559"/>
                              </a:lnTo>
                              <a:lnTo>
                                <a:pt x="48" y="574"/>
                              </a:lnTo>
                              <a:lnTo>
                                <a:pt x="71" y="584"/>
                              </a:lnTo>
                              <a:lnTo>
                                <a:pt x="95" y="589"/>
                              </a:lnTo>
                              <a:lnTo>
                                <a:pt x="119" y="590"/>
                              </a:lnTo>
                              <a:lnTo>
                                <a:pt x="143" y="587"/>
                              </a:lnTo>
                              <a:lnTo>
                                <a:pt x="167" y="582"/>
                              </a:lnTo>
                              <a:lnTo>
                                <a:pt x="172" y="581"/>
                              </a:lnTo>
                              <a:lnTo>
                                <a:pt x="119" y="581"/>
                              </a:lnTo>
                              <a:lnTo>
                                <a:pt x="96" y="580"/>
                              </a:lnTo>
                              <a:lnTo>
                                <a:pt x="74" y="575"/>
                              </a:lnTo>
                              <a:lnTo>
                                <a:pt x="53" y="566"/>
                              </a:lnTo>
                              <a:lnTo>
                                <a:pt x="36" y="552"/>
                              </a:lnTo>
                              <a:lnTo>
                                <a:pt x="23" y="534"/>
                              </a:lnTo>
                              <a:lnTo>
                                <a:pt x="14" y="513"/>
                              </a:lnTo>
                              <a:lnTo>
                                <a:pt x="12" y="491"/>
                              </a:lnTo>
                              <a:lnTo>
                                <a:pt x="15" y="469"/>
                              </a:lnTo>
                              <a:lnTo>
                                <a:pt x="23" y="448"/>
                              </a:lnTo>
                              <a:lnTo>
                                <a:pt x="34" y="429"/>
                              </a:lnTo>
                              <a:lnTo>
                                <a:pt x="49" y="412"/>
                              </a:lnTo>
                              <a:lnTo>
                                <a:pt x="66" y="397"/>
                              </a:lnTo>
                              <a:lnTo>
                                <a:pt x="85" y="385"/>
                              </a:lnTo>
                              <a:lnTo>
                                <a:pt x="106" y="375"/>
                              </a:lnTo>
                              <a:lnTo>
                                <a:pt x="128" y="368"/>
                              </a:lnTo>
                              <a:lnTo>
                                <a:pt x="150" y="364"/>
                              </a:lnTo>
                              <a:lnTo>
                                <a:pt x="172" y="361"/>
                              </a:lnTo>
                              <a:lnTo>
                                <a:pt x="216" y="361"/>
                              </a:lnTo>
                              <a:lnTo>
                                <a:pt x="218" y="342"/>
                              </a:lnTo>
                              <a:lnTo>
                                <a:pt x="208" y="341"/>
                              </a:lnTo>
                              <a:lnTo>
                                <a:pt x="196" y="340"/>
                              </a:lnTo>
                              <a:lnTo>
                                <a:pt x="183" y="340"/>
                              </a:lnTo>
                              <a:close/>
                              <a:moveTo>
                                <a:pt x="394" y="387"/>
                              </a:moveTo>
                              <a:lnTo>
                                <a:pt x="369" y="426"/>
                              </a:lnTo>
                              <a:lnTo>
                                <a:pt x="355" y="444"/>
                              </a:lnTo>
                              <a:lnTo>
                                <a:pt x="340" y="462"/>
                              </a:lnTo>
                              <a:lnTo>
                                <a:pt x="324" y="480"/>
                              </a:lnTo>
                              <a:lnTo>
                                <a:pt x="308" y="496"/>
                              </a:lnTo>
                              <a:lnTo>
                                <a:pt x="290" y="511"/>
                              </a:lnTo>
                              <a:lnTo>
                                <a:pt x="271" y="525"/>
                              </a:lnTo>
                              <a:lnTo>
                                <a:pt x="251" y="538"/>
                              </a:lnTo>
                              <a:lnTo>
                                <a:pt x="231" y="549"/>
                              </a:lnTo>
                              <a:lnTo>
                                <a:pt x="209" y="559"/>
                              </a:lnTo>
                              <a:lnTo>
                                <a:pt x="187" y="567"/>
                              </a:lnTo>
                              <a:lnTo>
                                <a:pt x="165" y="574"/>
                              </a:lnTo>
                              <a:lnTo>
                                <a:pt x="142" y="579"/>
                              </a:lnTo>
                              <a:lnTo>
                                <a:pt x="119" y="581"/>
                              </a:lnTo>
                              <a:lnTo>
                                <a:pt x="172" y="581"/>
                              </a:lnTo>
                              <a:lnTo>
                                <a:pt x="190" y="575"/>
                              </a:lnTo>
                              <a:lnTo>
                                <a:pt x="213" y="567"/>
                              </a:lnTo>
                              <a:lnTo>
                                <a:pt x="235" y="557"/>
                              </a:lnTo>
                              <a:lnTo>
                                <a:pt x="276" y="533"/>
                              </a:lnTo>
                              <a:lnTo>
                                <a:pt x="315" y="504"/>
                              </a:lnTo>
                              <a:lnTo>
                                <a:pt x="350" y="471"/>
                              </a:lnTo>
                              <a:lnTo>
                                <a:pt x="382" y="435"/>
                              </a:lnTo>
                              <a:lnTo>
                                <a:pt x="410" y="396"/>
                              </a:lnTo>
                              <a:lnTo>
                                <a:pt x="413" y="389"/>
                              </a:lnTo>
                              <a:lnTo>
                                <a:pt x="407" y="389"/>
                              </a:lnTo>
                              <a:lnTo>
                                <a:pt x="394" y="387"/>
                              </a:lnTo>
                              <a:close/>
                              <a:moveTo>
                                <a:pt x="216" y="363"/>
                              </a:moveTo>
                              <a:lnTo>
                                <a:pt x="215" y="375"/>
                              </a:lnTo>
                              <a:lnTo>
                                <a:pt x="215" y="378"/>
                              </a:lnTo>
                              <a:lnTo>
                                <a:pt x="217" y="425"/>
                              </a:lnTo>
                              <a:lnTo>
                                <a:pt x="217" y="426"/>
                              </a:lnTo>
                              <a:lnTo>
                                <a:pt x="219" y="426"/>
                              </a:lnTo>
                              <a:lnTo>
                                <a:pt x="219" y="425"/>
                              </a:lnTo>
                              <a:lnTo>
                                <a:pt x="221" y="381"/>
                              </a:lnTo>
                              <a:lnTo>
                                <a:pt x="221" y="377"/>
                              </a:lnTo>
                              <a:lnTo>
                                <a:pt x="223" y="364"/>
                              </a:lnTo>
                              <a:lnTo>
                                <a:pt x="218" y="364"/>
                              </a:lnTo>
                              <a:lnTo>
                                <a:pt x="216" y="363"/>
                              </a:lnTo>
                              <a:close/>
                              <a:moveTo>
                                <a:pt x="428" y="364"/>
                              </a:moveTo>
                              <a:lnTo>
                                <a:pt x="413" y="389"/>
                              </a:lnTo>
                              <a:lnTo>
                                <a:pt x="454" y="392"/>
                              </a:lnTo>
                              <a:lnTo>
                                <a:pt x="502" y="394"/>
                              </a:lnTo>
                              <a:lnTo>
                                <a:pt x="550" y="395"/>
                              </a:lnTo>
                              <a:lnTo>
                                <a:pt x="598" y="395"/>
                              </a:lnTo>
                              <a:lnTo>
                                <a:pt x="646" y="393"/>
                              </a:lnTo>
                              <a:lnTo>
                                <a:pt x="694" y="390"/>
                              </a:lnTo>
                              <a:lnTo>
                                <a:pt x="742" y="386"/>
                              </a:lnTo>
                              <a:lnTo>
                                <a:pt x="789" y="379"/>
                              </a:lnTo>
                              <a:lnTo>
                                <a:pt x="836" y="371"/>
                              </a:lnTo>
                              <a:lnTo>
                                <a:pt x="854" y="367"/>
                              </a:lnTo>
                              <a:lnTo>
                                <a:pt x="550" y="367"/>
                              </a:lnTo>
                              <a:lnTo>
                                <a:pt x="503" y="367"/>
                              </a:lnTo>
                              <a:lnTo>
                                <a:pt x="456" y="365"/>
                              </a:lnTo>
                              <a:lnTo>
                                <a:pt x="428" y="364"/>
                              </a:lnTo>
                              <a:close/>
                              <a:moveTo>
                                <a:pt x="407" y="363"/>
                              </a:moveTo>
                              <a:lnTo>
                                <a:pt x="395" y="386"/>
                              </a:lnTo>
                              <a:lnTo>
                                <a:pt x="394" y="387"/>
                              </a:lnTo>
                              <a:lnTo>
                                <a:pt x="407" y="389"/>
                              </a:lnTo>
                              <a:lnTo>
                                <a:pt x="413" y="389"/>
                              </a:lnTo>
                              <a:lnTo>
                                <a:pt x="428" y="364"/>
                              </a:lnTo>
                              <a:lnTo>
                                <a:pt x="409" y="363"/>
                              </a:lnTo>
                              <a:lnTo>
                                <a:pt x="407" y="363"/>
                              </a:lnTo>
                              <a:close/>
                              <a:moveTo>
                                <a:pt x="227" y="342"/>
                              </a:moveTo>
                              <a:lnTo>
                                <a:pt x="223" y="364"/>
                              </a:lnTo>
                              <a:lnTo>
                                <a:pt x="241" y="367"/>
                              </a:lnTo>
                              <a:lnTo>
                                <a:pt x="288" y="374"/>
                              </a:lnTo>
                              <a:lnTo>
                                <a:pt x="312" y="378"/>
                              </a:lnTo>
                              <a:lnTo>
                                <a:pt x="335" y="381"/>
                              </a:lnTo>
                              <a:lnTo>
                                <a:pt x="359" y="384"/>
                              </a:lnTo>
                              <a:lnTo>
                                <a:pt x="383" y="386"/>
                              </a:lnTo>
                              <a:lnTo>
                                <a:pt x="394" y="387"/>
                              </a:lnTo>
                              <a:lnTo>
                                <a:pt x="395" y="386"/>
                              </a:lnTo>
                              <a:lnTo>
                                <a:pt x="407" y="363"/>
                              </a:lnTo>
                              <a:lnTo>
                                <a:pt x="385" y="361"/>
                              </a:lnTo>
                              <a:lnTo>
                                <a:pt x="362" y="359"/>
                              </a:lnTo>
                              <a:lnTo>
                                <a:pt x="338" y="356"/>
                              </a:lnTo>
                              <a:lnTo>
                                <a:pt x="315" y="353"/>
                              </a:lnTo>
                              <a:lnTo>
                                <a:pt x="291" y="350"/>
                              </a:lnTo>
                              <a:lnTo>
                                <a:pt x="244" y="344"/>
                              </a:lnTo>
                              <a:lnTo>
                                <a:pt x="227" y="342"/>
                              </a:lnTo>
                              <a:close/>
                              <a:moveTo>
                                <a:pt x="1237" y="286"/>
                              </a:moveTo>
                              <a:lnTo>
                                <a:pt x="1160" y="288"/>
                              </a:lnTo>
                              <a:lnTo>
                                <a:pt x="1084" y="296"/>
                              </a:lnTo>
                              <a:lnTo>
                                <a:pt x="1008" y="308"/>
                              </a:lnTo>
                              <a:lnTo>
                                <a:pt x="998" y="310"/>
                              </a:lnTo>
                              <a:lnTo>
                                <a:pt x="859" y="337"/>
                              </a:lnTo>
                              <a:lnTo>
                                <a:pt x="785" y="350"/>
                              </a:lnTo>
                              <a:lnTo>
                                <a:pt x="738" y="356"/>
                              </a:lnTo>
                              <a:lnTo>
                                <a:pt x="691" y="361"/>
                              </a:lnTo>
                              <a:lnTo>
                                <a:pt x="644" y="364"/>
                              </a:lnTo>
                              <a:lnTo>
                                <a:pt x="597" y="366"/>
                              </a:lnTo>
                              <a:lnTo>
                                <a:pt x="550" y="367"/>
                              </a:lnTo>
                              <a:lnTo>
                                <a:pt x="854" y="367"/>
                              </a:lnTo>
                              <a:lnTo>
                                <a:pt x="883" y="361"/>
                              </a:lnTo>
                              <a:lnTo>
                                <a:pt x="907" y="356"/>
                              </a:lnTo>
                              <a:lnTo>
                                <a:pt x="1023" y="331"/>
                              </a:lnTo>
                              <a:lnTo>
                                <a:pt x="1069" y="323"/>
                              </a:lnTo>
                              <a:lnTo>
                                <a:pt x="1115" y="315"/>
                              </a:lnTo>
                              <a:lnTo>
                                <a:pt x="1162" y="310"/>
                              </a:lnTo>
                              <a:lnTo>
                                <a:pt x="1237" y="305"/>
                              </a:lnTo>
                              <a:lnTo>
                                <a:pt x="1432" y="305"/>
                              </a:lnTo>
                              <a:lnTo>
                                <a:pt x="1390" y="298"/>
                              </a:lnTo>
                              <a:lnTo>
                                <a:pt x="1314" y="290"/>
                              </a:lnTo>
                              <a:lnTo>
                                <a:pt x="1237" y="286"/>
                              </a:lnTo>
                              <a:close/>
                              <a:moveTo>
                                <a:pt x="218" y="342"/>
                              </a:moveTo>
                              <a:lnTo>
                                <a:pt x="216" y="363"/>
                              </a:lnTo>
                              <a:lnTo>
                                <a:pt x="218" y="364"/>
                              </a:lnTo>
                              <a:lnTo>
                                <a:pt x="223" y="364"/>
                              </a:lnTo>
                              <a:lnTo>
                                <a:pt x="227" y="342"/>
                              </a:lnTo>
                              <a:lnTo>
                                <a:pt x="220" y="342"/>
                              </a:lnTo>
                              <a:lnTo>
                                <a:pt x="218" y="342"/>
                              </a:lnTo>
                              <a:close/>
                              <a:moveTo>
                                <a:pt x="463" y="24"/>
                              </a:moveTo>
                              <a:lnTo>
                                <a:pt x="417" y="24"/>
                              </a:lnTo>
                              <a:lnTo>
                                <a:pt x="423" y="25"/>
                              </a:lnTo>
                              <a:lnTo>
                                <a:pt x="429" y="27"/>
                              </a:lnTo>
                              <a:lnTo>
                                <a:pt x="434" y="29"/>
                              </a:lnTo>
                              <a:lnTo>
                                <a:pt x="438" y="32"/>
                              </a:lnTo>
                              <a:lnTo>
                                <a:pt x="446" y="42"/>
                              </a:lnTo>
                              <a:lnTo>
                                <a:pt x="449" y="48"/>
                              </a:lnTo>
                              <a:lnTo>
                                <a:pt x="451" y="55"/>
                              </a:lnTo>
                              <a:lnTo>
                                <a:pt x="454" y="61"/>
                              </a:lnTo>
                              <a:lnTo>
                                <a:pt x="456" y="69"/>
                              </a:lnTo>
                              <a:lnTo>
                                <a:pt x="457" y="76"/>
                              </a:lnTo>
                              <a:lnTo>
                                <a:pt x="464" y="121"/>
                              </a:lnTo>
                              <a:lnTo>
                                <a:pt x="464" y="168"/>
                              </a:lnTo>
                              <a:lnTo>
                                <a:pt x="459" y="213"/>
                              </a:lnTo>
                              <a:lnTo>
                                <a:pt x="449" y="258"/>
                              </a:lnTo>
                              <a:lnTo>
                                <a:pt x="435" y="302"/>
                              </a:lnTo>
                              <a:lnTo>
                                <a:pt x="417" y="345"/>
                              </a:lnTo>
                              <a:lnTo>
                                <a:pt x="407" y="363"/>
                              </a:lnTo>
                              <a:lnTo>
                                <a:pt x="409" y="363"/>
                              </a:lnTo>
                              <a:lnTo>
                                <a:pt x="428" y="364"/>
                              </a:lnTo>
                              <a:lnTo>
                                <a:pt x="434" y="354"/>
                              </a:lnTo>
                              <a:lnTo>
                                <a:pt x="455" y="310"/>
                              </a:lnTo>
                              <a:lnTo>
                                <a:pt x="471" y="264"/>
                              </a:lnTo>
                              <a:lnTo>
                                <a:pt x="483" y="217"/>
                              </a:lnTo>
                              <a:lnTo>
                                <a:pt x="489" y="169"/>
                              </a:lnTo>
                              <a:lnTo>
                                <a:pt x="489" y="119"/>
                              </a:lnTo>
                              <a:lnTo>
                                <a:pt x="481" y="71"/>
                              </a:lnTo>
                              <a:lnTo>
                                <a:pt x="479" y="62"/>
                              </a:lnTo>
                              <a:lnTo>
                                <a:pt x="477" y="54"/>
                              </a:lnTo>
                              <a:lnTo>
                                <a:pt x="474" y="46"/>
                              </a:lnTo>
                              <a:lnTo>
                                <a:pt x="471" y="38"/>
                              </a:lnTo>
                              <a:lnTo>
                                <a:pt x="467" y="30"/>
                              </a:lnTo>
                              <a:lnTo>
                                <a:pt x="463" y="24"/>
                              </a:lnTo>
                              <a:close/>
                              <a:moveTo>
                                <a:pt x="216" y="361"/>
                              </a:moveTo>
                              <a:lnTo>
                                <a:pt x="172" y="361"/>
                              </a:lnTo>
                              <a:lnTo>
                                <a:pt x="195" y="362"/>
                              </a:lnTo>
                              <a:lnTo>
                                <a:pt x="216" y="363"/>
                              </a:lnTo>
                              <a:lnTo>
                                <a:pt x="216" y="361"/>
                              </a:lnTo>
                              <a:close/>
                              <a:moveTo>
                                <a:pt x="417" y="0"/>
                              </a:moveTo>
                              <a:lnTo>
                                <a:pt x="407" y="2"/>
                              </a:lnTo>
                              <a:lnTo>
                                <a:pt x="394" y="6"/>
                              </a:lnTo>
                              <a:lnTo>
                                <a:pt x="381" y="12"/>
                              </a:lnTo>
                              <a:lnTo>
                                <a:pt x="371" y="20"/>
                              </a:lnTo>
                              <a:lnTo>
                                <a:pt x="361" y="28"/>
                              </a:lnTo>
                              <a:lnTo>
                                <a:pt x="352" y="37"/>
                              </a:lnTo>
                              <a:lnTo>
                                <a:pt x="343" y="46"/>
                              </a:lnTo>
                              <a:lnTo>
                                <a:pt x="335" y="55"/>
                              </a:lnTo>
                              <a:lnTo>
                                <a:pt x="328" y="65"/>
                              </a:lnTo>
                              <a:lnTo>
                                <a:pt x="313" y="84"/>
                              </a:lnTo>
                              <a:lnTo>
                                <a:pt x="300" y="104"/>
                              </a:lnTo>
                              <a:lnTo>
                                <a:pt x="288" y="126"/>
                              </a:lnTo>
                              <a:lnTo>
                                <a:pt x="277" y="147"/>
                              </a:lnTo>
                              <a:lnTo>
                                <a:pt x="267" y="169"/>
                              </a:lnTo>
                              <a:lnTo>
                                <a:pt x="257" y="191"/>
                              </a:lnTo>
                              <a:lnTo>
                                <a:pt x="248" y="213"/>
                              </a:lnTo>
                              <a:lnTo>
                                <a:pt x="240" y="236"/>
                              </a:lnTo>
                              <a:lnTo>
                                <a:pt x="227" y="282"/>
                              </a:lnTo>
                              <a:lnTo>
                                <a:pt x="219" y="330"/>
                              </a:lnTo>
                              <a:lnTo>
                                <a:pt x="218" y="342"/>
                              </a:lnTo>
                              <a:lnTo>
                                <a:pt x="220" y="342"/>
                              </a:lnTo>
                              <a:lnTo>
                                <a:pt x="227" y="342"/>
                              </a:lnTo>
                              <a:lnTo>
                                <a:pt x="228" y="331"/>
                              </a:lnTo>
                              <a:lnTo>
                                <a:pt x="239" y="285"/>
                              </a:lnTo>
                              <a:lnTo>
                                <a:pt x="254" y="241"/>
                              </a:lnTo>
                              <a:lnTo>
                                <a:pt x="272" y="197"/>
                              </a:lnTo>
                              <a:lnTo>
                                <a:pt x="293" y="155"/>
                              </a:lnTo>
                              <a:lnTo>
                                <a:pt x="317" y="115"/>
                              </a:lnTo>
                              <a:lnTo>
                                <a:pt x="344" y="78"/>
                              </a:lnTo>
                              <a:lnTo>
                                <a:pt x="352" y="69"/>
                              </a:lnTo>
                              <a:lnTo>
                                <a:pt x="359" y="61"/>
                              </a:lnTo>
                              <a:lnTo>
                                <a:pt x="367" y="52"/>
                              </a:lnTo>
                              <a:lnTo>
                                <a:pt x="376" y="45"/>
                              </a:lnTo>
                              <a:lnTo>
                                <a:pt x="384" y="38"/>
                              </a:lnTo>
                              <a:lnTo>
                                <a:pt x="393" y="32"/>
                              </a:lnTo>
                              <a:lnTo>
                                <a:pt x="402" y="28"/>
                              </a:lnTo>
                              <a:lnTo>
                                <a:pt x="411" y="25"/>
                              </a:lnTo>
                              <a:lnTo>
                                <a:pt x="417" y="24"/>
                              </a:lnTo>
                              <a:lnTo>
                                <a:pt x="463" y="24"/>
                              </a:lnTo>
                              <a:lnTo>
                                <a:pt x="455" y="15"/>
                              </a:lnTo>
                              <a:lnTo>
                                <a:pt x="447" y="8"/>
                              </a:lnTo>
                              <a:lnTo>
                                <a:pt x="437" y="4"/>
                              </a:lnTo>
                              <a:lnTo>
                                <a:pt x="427" y="1"/>
                              </a:lnTo>
                              <a:lnTo>
                                <a:pt x="417" y="0"/>
                              </a:lnTo>
                              <a:close/>
                              <a:moveTo>
                                <a:pt x="1432" y="305"/>
                              </a:moveTo>
                              <a:lnTo>
                                <a:pt x="1237" y="305"/>
                              </a:lnTo>
                              <a:lnTo>
                                <a:pt x="1313" y="305"/>
                              </a:lnTo>
                              <a:lnTo>
                                <a:pt x="1388" y="310"/>
                              </a:lnTo>
                              <a:lnTo>
                                <a:pt x="1464" y="319"/>
                              </a:lnTo>
                              <a:lnTo>
                                <a:pt x="1539" y="332"/>
                              </a:lnTo>
                              <a:lnTo>
                                <a:pt x="1540" y="332"/>
                              </a:lnTo>
                              <a:lnTo>
                                <a:pt x="1540" y="330"/>
                              </a:lnTo>
                              <a:lnTo>
                                <a:pt x="1465" y="311"/>
                              </a:lnTo>
                              <a:lnTo>
                                <a:pt x="1432"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E6625" id="AutoShape 163" o:spid="_x0000_s1026" alt="Signature" style="position:absolute;margin-left:65.2pt;margin-top:2.5pt;width:77.05pt;height:29.5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82EBEAAEBWAAAOAAAAZHJzL2Uyb0RvYy54bWysXNtuI7kRfQ+QfxD0mGDW4qVvxnoW2Wwm&#10;CLBJFtjOB2gkeSxElhRJM55NkH/PKZLVJtu8Idh5cNvTp8liHVaxqsjub7/7+nxYfNldrvvT8WEp&#10;vlktF7vj5rTdHz89LP8xfnjXLxfX2/q4XR9Ox93D8pfddfnd+9/+5tuX8/1Onp5Oh+3uskAjx+v9&#10;y/lh+XS7ne/v7q6bp93z+vrN6bw74ubj6fK8vuHPy6e77WX9gtafD3dytWrvXk6X7fly2uyuV/zv&#10;D/bm8r1p//Fxt7n9/fHxurstDg9LyHYzPy/m50f6eff+2/X9p8v6/LTfODHW/4cUz+v9EZ1OTf2w&#10;vq0Xny/7N0097zeX0/X0ePtmc3q+Oz0+7jc7MwaMRqxmo/n5aX3embFAOdfzpKbrr9fs5m9ffros&#10;9tuHJYg6rp9B0R8+306m54Vo1XKx3V03UNjP+0/H9e3zZUcqezlf7/Hkz+efLjTo6/nH0+afV9y4&#10;C+7QH1dgFh9f/nraouk1mjZq+vp4eaYnoYDFV8PGLxMbu6+3xQb/OXR9o5rlYoNbqtNtY9i6W9/z&#10;w5vP19ufdyfT0PrLj9ebJXOL3wwVWzegEcQ/Ph/A6+/fLVYLoVW/EGqlHfkTTDDsd3eLcbV4WYhG&#10;izlIMsi01bRyIUUzB0FttkO0RJCnRTPwXJu60wyyUikto1JBA1Nbo05I1TLItNWKNiZVxyBIRZCo&#10;VJgGvq7UKq6rgWGkqz4hlQgV3ykRE0v4eidMVC4RKl6oYYiqS/i6H4VMiRZqv1/pqGi+8gkTFy3U&#10;vtBSxUXzCRhBQHyGiZCCboiSKXwGCBMVTYYMCCW7qGjS52CUyckfktDpIaY16VNAmLhoIQNCJaxS&#10;+hyMMmUBMiSh1VFCpU8BYeKihQzAYcRNU/ocjDJlBiokoelVTGvKp4AwUdFUyIBoMMNjvkz5HIyQ&#10;Pz7XVEhC00TnGnnhyQcRJi5ayIBom7iFKp+DUaXMQIUkUGsxT+tTQJioaDpkQDRdE9Ua3P3rQEed&#10;MgMdktABGBFN+xQQJi5ayIDQbVxr2udgxMyNE6pDEro+qjXtU0CYuGghA5hrceehfQ5GnTIDrN/+&#10;0tL10aWz8SkgTFS0JmRAtH0bJbTxORiblBk0IQkINWKENj4FhImLFjIgGnjTmIU2PgcjjCpOaBOS&#10;0HR9VDSfAsJERWtDBiCaiIrW+hyMbcoM2pCEVkeXd4ohJ+dBmLhoIQMQLW6hrc/B2KbMoA1JaIbo&#10;XGt9CggTFy1kQHQJM2h9DsY2ZQZdSEIbjzw6nwLCREXrQgbEgEkZm2udz8HYpcygC0loEftF/Frn&#10;U0CYuGghA2gnHkh2PgdjlzKDLiShiTuPzqeAMFHR+pABEBo3g97nYOxTZtCHJCQstPcpSFpoHzIg&#10;ukTk0fscjH3KDPqQhKaLrga9TwFh4loLGUBuFLfQ3udg7FNmgHzIXw0ShA4+BUlCh5ABrAbxhWrw&#10;ORhh73GXO4QktKuoXxt8CggT1doQMiDaNr5QDT4HI8L5hGghCU0XjXIHnwLCREUTq5AC0SD3inkP&#10;sfJZGPFcQjqxColomi7mQMTK54FACflCHqRaxWNdsfKpgHwpcxCrkA1aZCIOTqx8MgiUkC8kQwwI&#10;feL68/mAfCmbELOEOWGvIsiYkwYrZimzlAk/J2Y5czppFiEjTRe1DIGCyOuST6C4/kTIhkS1Ja4/&#10;4fMxinTmPEudKfSK8RvkzgSKyzdPnhuZmH9h9iyS6bOQdfYRJNBp+5AhG4iZdFx/YQotkjm0mCXR&#10;KfsNsuiMfDP76FSiLhLm0SKZSMO4eGKZOpdEySzGb5BKEyjO7zyX7pr4iobSBHdL1S4UUVL+b5ZO&#10;yy4+/4J8mkAJ+UL7EB1iyqh/CTNqkUypxSynVvFKBGpr3ngJFJdvnlWn4igRptUimVejcsYd2+pq&#10;PNlBPYZhVF9NZTtCz+yjS2T9Isyt8VyK31l2rePxlAjSawIl9De3D2g6ym+YYItkhi1mKbbs4utv&#10;kGMTKC7fPMnu2nhYhcDB42OEH0rpb5ZnSxWNR0WQaBMoId/MPlKZNso9oXyp6Ao5CgPd/IuWw0Tj&#10;20eDnCUu3zzdblPzL8y3RTLhFrOMW6p4/BKk3ARKyDezjzaRbKCSx2ox/i+ZdSO6ZaD1z8iZYv45&#10;yLslQAn5QjZAYyI+CDNvhP+p+TfLvRUSp5h8QfJNoLh88+y7Sdb9Q/tI5t9iloBTihWVz+eDQAn5&#10;QjaQsSX8S5iDY51J6i9kpEEmEJUvsA+A4vLN8/A2FT+HibhIZuJilorLIVppF0EuTqCEfHP7QDIb&#10;9c9hNi6S6biY5eOyScjn+ysCJeQL2QBvCf8cpuQimZOLWVKe8s9BVp72z/O0vEuUG0WYl4tkYo4M&#10;K/QvIm4fQWqOCZrQ3yw3l8n4KkzORTI7F0PISKPi/iXMzwGK8ovjDeFou8TWAE4OMJD8M55L2K+c&#10;5+cyur7JMD8HaJIPu++feH99/cRb7puvR7fnjt8Wazr6sTLb/OfTlbb3R8iHTfxR0T45mgCKNugT&#10;YDg3AndVYHgaAiMjrmmaEl0DNzv2RUko7zTwoap1SgMJjvStRhjKygy8bqSUJBEcyU1N65SzGHjd&#10;UCmFMPC6oVJET3BE4jXCUIBt4HVDpXiX4IhTa1qn8NPA64ZK0aCB1w2VgjOCI6iqEYZiJQOvGyqF&#10;LgRHyFHTOhXyDbxuqLSwG3jdUGmdJTjWxxphaNkz8Lqh0ipEcKweNa3TomDgdUMlH23gdUM1NU3C&#10;UzGyRhxTZLQP1A1XrNx4qVxX1cPkneyBorJ7mvwTClpVPbCHEpUuSrCPEij51PXAg650U6a2YtSK&#10;okhVD+ypqEpR9QD7Kiob1D3g5jXl8XUP8KArHZZJmM2gkelW9cA+i1LPqgfYa9ERvroHeNBIzuoe&#10;4EFXui7sZVkLFdhArOqBvZfAtl7VA+y/KMCve4AHjS2wugd40JVOzIS2hmnEpFU9sB8TCBJrHjDB&#10;H/VAUZv3gPUeLiy74Bzs/ATsZbnACdiP9Mz6/ry+UTTHvy5ecJaXDj8unh6WdHSRbjyfvuzGk4Hc&#10;KKozaRR6VqgD2o5fEYdjgKSE2iDZE/J9vp5ti1RYMTjpWuT7fHU4qsMZnDnDiaHyfb46HNVjDY7p&#10;5ft8dTiqyxNuOmLK9/lqcRS3GxhTw7f5amFu3ipUG6xe+DZfLczZNOoLWRjVbNGpRpCfa80NQWPT&#10;IgejHSZqDZXWHMyaqkY9J4dybU22wOPjqx2n5aDBbk+uLbf4NZNX50b4ahuTVhvN5Af5Nl9dnw6G&#10;gkquUzcvmwIFlE9CaQ0imFxrgvaVCGfP+qanJdWvTXuFaUl1MoPLkyWoEGVw+SkyyQc/mRsH5cWm&#10;ufxUomIVwSZ3zhTw1U1zN9jCXFKuUxSdc7LR1hh1CsvOwWijkmCYVVmYVZwuzGDaz0RrOJqXbc3J&#10;pnWfhTmnpJHQ5WRzSZDGLm4ORiVXyKawbuRgLlZXuOZgZoecmiuQij06222bH6vZkaD22gJfbgor&#10;xC05+STtGZv2SjgnX8HPyRXj8u2h5mP7ndY6nuR8tZP97ZrI9zeH03WHob1dRxVVtWhMUxCSWkeV&#10;yxY19mlzWlK0gYIWNXbAsjjawSMc9hWyONppJhwqtlmc06aGtnI4SXVGtNdMmRFria/O2bN/RhqS&#10;bY82tKg9rJVZHG0MEw62lcW51K20ygg6OUXtTTEzy89XNytcUQBHcbL9mv1Pam8KeLkdvrr2eKEp&#10;OPLqhYH5KFi95EW6MF5sOVm9IMTJ6rlzTh/FqhxOOQfc2Hd2kgsrxW/Eh55SEtYbX63+FO0TEG7K&#10;Ofk+Xy1Ou2hJFeazdnpRhQBB08Ei9FvCvfUILFfai7x6RtZlyovQjo2Rosg24wpW5coQumSlE67g&#10;HdzsLnk5OeEK3sFVPVTBWnA+yumlMGvdOl9a0ySdRiK2C2vfW+bKbOtp/WWPkmK7em7S3jxJi12b&#10;nC02tIdgcNwzS8tXazuNs0U1Jb58n68OR3smpr08iy3nfKgL5uRreTUtBOEdnTWhfrEnl2sPb0dY&#10;XMEn9y6AVQXf07OeCz500l8JR5s1NI4CTjccOeX1/HZmMV9p3zP5tanYlJqNNBtqtJ72gCyN89CV&#10;HrXaCt7YFffHV+7XzYppxHyfr4xzHv8NLq1NScfriNEpdk1pU9Z6IlcCLc0R2TtbLMQpik6WkoQ4&#10;lZ+zHeXigJLnVVz3KeThOIr2q86e2tn4dn4zy3y1bFN2ZW0xn00oOsdD+itUMfBKpMPlfRTHRwo7&#10;YTk+JPJc228+jpd0cs7MwLyPfztTWR/p2Y2tBzu95eR4U9MbB31tPEfzMjcunKi2AstCoIaj606j&#10;uOZaHHhVQgSYw/U8czGoHA6vsldpvqtkvGUmC/kyXnG1/RZikMaVnVWhSlO7KtWucj1bdGEcA/t5&#10;rGI5PeMNBOcipv0nnpJ8taaKQofz4Hgg26I5zU7GMO3KcUt8dS2a03kGmJ8zkwUovLeQ7RrvHVv2&#10;SkDlEjiJaZttUbnCGGXgWeBbK+XRpk17CnjLC9dUxskrf2qxMH2rF8I3SyuPiq+WS0lH/40DzAfD&#10;k3zTiLmdtJY0QgFqGzUVy0DK/WmXL01AbpuvVlZ8bcC2l59MVG403eYdlXbVyVJxkv1UXj/aBe1v&#10;1DMbAtc687NXc5mnMFIXYRdcCgfEhaKudts0KFXkDEZjhpJ6BZLIKlyhcKrdwkIll2x7TnUSR5ez&#10;OA7FkL5lcW7SKRzZyeLYIb8JbGfUulKaKuFqA2/e0gPJWflcCVQVFnAqFRmzKHgY7RYqCf1k+3Xp&#10;oihNK8ahiJFvz8pXyCrxkoEZRqGQq93WZEl5bmsH1puVzemuUHXVyExJxXh5J9va3C/yREq70tfK&#10;CRtdypdyJbS0v4A3qK2sBUW+9pw3z1ccS1geFft9VldqTJyV5A2aM+k8lZShWfeV5YiKG8ZaWDYe&#10;DV/tkkRaNrC8T1L0gglNjLxJKbddWpiNnGxOR2pYJr462ZyjQUk+NxuVK+mWMlI6o0tuv1CZ5sya&#10;3rDLdYuXcWx709Ejlp6vLkBxNlVyM9KtXqKwwymxZ2kYKyw30u0YSVS7suNwgZZEpT2LczVcVXAO&#10;6UBrppfawK06EHT5YiGdwCF4q7/C/irecbU4VGSyenH7oaKwrYuXF+x8Kc16t6xTMpPrV7l8sVTY&#10;cZZbWOS4rlOIxKgsRZOvsPWv3G5RITKh8zTGqxScj9McUqycQrQrd8NrZGH0SjaGUNgCYddeCulT&#10;S2E42bWLcQqcanodEbIVRuDKMoWwytlNfvbyMOerRHolx9nMeaqbWvbq02f24cU8W3HdsxAs4uNM&#10;bm4VojYc8HTVhcL0wiE7l2nWA+daDScFZHQhTGFzPaJybol5wkYrHQw072xMJwTxn/6HF6+nw377&#10;YX840NGG6+XTxz8eLosva/rcpvnnzCaAHczrH8cTPcZWRY/jy4/uECJ9A9J8PvM/A15XX30vh3cf&#10;8FWPd/qDbt4N3ap/txLD9wM+jDPoHz78l84nCn3/tN9ud8cf98cdf8pT6LpPZbqPitqPcJqPedIR&#10;yAHffjBHHwPpKwd5OX0+bjG69f3Tbr39k/v9tt4f7O93ocRGyRg2X40izOc0r+Yrm/QtzY+n7S/4&#10;mublZD9jis+u4pen0+Xfy8ULPmH6sLz+6/MaX+hcHP5yxDdCB7zJjNl1M38gj6W18eLf+ejfWR83&#10;aOpheVviDR769Y83/IVHPp8v+09P6EkYXRxP9IHQxz19bdPIZ6Vyf+AzpWYE7pOq9B1U/2+Dev3w&#10;6/v/CQAAAP//AwBQSwMEFAAGAAgAAAAhALTIbxDeAAAACAEAAA8AAABkcnMvZG93bnJldi54bWxM&#10;j8FOwzAQRO9I/IO1SFwqalPSqqRxqqoIcUJVWz7Ajd0kqr0OtpsEvp7lBMfRjGbeFOvRWdabEFuP&#10;Eh6nApjByusWawkfx9eHJbCYFGplPRoJXybCury9KVSu/YB70x9SzagEY64kNCl1OeexaoxTceo7&#10;g+SdfXAqkQw110ENVO4snwmx4E61SAuN6sy2MdXlcHUScPP2/nx+sZMhbI8aJ5/9t9jvpLy/Gzcr&#10;YMmM6S8Mv/iEDiUxnfwVdWSW9JPIKCphTpfIny2zObCThEUmgJcF/3+g/AEAAP//AwBQSwECLQAU&#10;AAYACAAAACEAtoM4kv4AAADhAQAAEwAAAAAAAAAAAAAAAAAAAAAAW0NvbnRlbnRfVHlwZXNdLnht&#10;bFBLAQItABQABgAIAAAAIQA4/SH/1gAAAJQBAAALAAAAAAAAAAAAAAAAAC8BAABfcmVscy8ucmVs&#10;c1BLAQItABQABgAIAAAAIQCi8Q82EBEAAEBWAAAOAAAAAAAAAAAAAAAAAC4CAABkcnMvZTJvRG9j&#10;LnhtbFBLAQItABQABgAIAAAAIQC0yG8Q3gAAAAgBAAAPAAAAAAAAAAAAAAAAAGoTAABkcnMvZG93&#10;bnJldi54bWxQSwUGAAAAAAQABADzAAAAdRQAAAAA&#10;" path="m183,340r-12,1l159,342r-13,2l134,347r-12,3l99,359,77,370,57,384,38,401,22,420,10,442,3,466,,491r4,25l13,539r15,20l48,574r23,10l95,589r24,1l143,587r24,-5l172,581r-53,l96,580,74,575,53,566,36,552,23,534,14,513,12,491r3,-22l23,448,34,429,49,412,66,397,85,385r21,-10l128,368r22,-4l172,361r44,l218,342r-10,-1l196,340r-13,xm394,387r-25,39l355,444r-15,18l324,480r-16,16l290,511r-19,14l251,538r-20,11l209,559r-22,8l165,574r-23,5l119,581r53,l190,575r23,-8l235,557r41,-24l315,504r35,-33l382,435r28,-39l413,389r-6,l394,387xm216,363r-1,12l215,378r2,47l217,426r2,l219,425r2,-44l221,377r2,-13l218,364r-2,-1xm428,364r-15,25l454,392r48,2l550,395r48,l646,393r48,-3l742,386r47,-7l836,371r18,-4l550,367r-47,l456,365r-28,-1xm407,363r-12,23l394,387r13,2l413,389r15,-25l409,363r-2,xm227,342r-4,22l241,367r47,7l312,378r23,3l359,384r24,2l394,387r1,-1l407,363r-22,-2l362,359r-24,-3l315,353r-24,-3l244,344r-17,-2xm1237,286r-77,2l1084,296r-76,12l998,310,859,337r-74,13l738,356r-47,5l644,364r-47,2l550,367r304,l883,361r24,-5l1023,331r46,-8l1115,315r47,-5l1237,305r195,l1390,298r-76,-8l1237,286xm218,342r-2,21l218,364r5,l227,342r-7,l218,342xm463,24r-46,l423,25r6,2l434,29r4,3l446,42r3,6l451,55r3,6l456,69r1,7l464,121r,47l459,213r-10,45l435,302r-18,43l407,363r2,l428,364r6,-10l455,310r16,-46l483,217r6,-48l489,119,481,71r-2,-9l477,54r-3,-8l471,38r-4,-8l463,24xm216,361r-44,l195,362r21,1l216,361xm417,l407,2,394,6r-13,6l371,20r-10,8l352,37r-9,9l335,55r-7,10l313,84r-13,20l288,126r-11,21l267,169r-10,22l248,213r-8,23l227,282r-8,48l218,342r2,l227,342r1,-11l239,285r15,-44l272,197r21,-42l317,115,344,78r8,-9l359,61r8,-9l376,45r8,-7l393,32r9,-4l411,25r6,-1l463,24r-8,-9l447,8,437,4,427,1,417,xm1432,305r-195,l1313,305r75,5l1464,319r75,13l1540,332r,-2l1465,311r-33,-6xe" fillcolor="black" stroked="f">
                <v:path arrowok="t" o:connecttype="custom" o:connectlocs="85090,356870;24130,391160;2540,464185;60325,510540;75565,505460;14605,475615;21590,408940;81280,370205;132080,353060;225425,418465;172085,469900;104775,501015;135255,496570;242570,412750;137160,367030;137795,407035;140335,375920;262255,383540;410210,386080;542290,369570;258445,367030;271780,367665;153035,369570;243205,381635;229870,364490;144145,353695;633730,333375;408940,367665;575945,362585;785495,330200;138430,353695;139700,353695;272415,153670;286385,171450;294640,243205;258445,367030;299085,304165;304165,175895;294005,151765;137160,365760;235585,149225;208280,177800;169545,243840;139065,346075;151765,317500;218440,186055;243840,160655;294005,151765;264795,136525;929640,339090;930275,334010" o:connectangles="0,0,0,0,0,0,0,0,0,0,0,0,0,0,0,0,0,0,0,0,0,0,0,0,0,0,0,0,0,0,0,0,0,0,0,0,0,0,0,0,0,0,0,0,0,0,0,0,0,0,0"/>
                <w10:wrap type="topAndBottom" anchorx="page"/>
              </v:shape>
            </w:pict>
          </mc:Fallback>
        </mc:AlternateContent>
      </w:r>
    </w:p>
    <w:p w:rsidR="00D840DF" w:rsidRPr="00B80667" w:rsidRDefault="00961020" w:rsidP="00B80667">
      <w:pPr>
        <w:pStyle w:val="BodyText"/>
      </w:pPr>
      <w:r w:rsidRPr="00B80667">
        <w:rPr>
          <w:rFonts w:ascii="Futura PT Bold" w:hAnsi="Futura PT Bold"/>
          <w:color w:val="008F54"/>
        </w:rPr>
        <w:t xml:space="preserve">James </w:t>
      </w:r>
      <w:proofErr w:type="spellStart"/>
      <w:r w:rsidRPr="00B80667">
        <w:rPr>
          <w:rFonts w:ascii="Futura PT Bold" w:hAnsi="Futura PT Bold"/>
          <w:color w:val="008F54"/>
        </w:rPr>
        <w:t>Downie</w:t>
      </w:r>
      <w:proofErr w:type="spellEnd"/>
      <w:r w:rsidR="00B80667">
        <w:br/>
      </w:r>
      <w:r w:rsidRPr="00B80667">
        <w:t>Chief</w:t>
      </w:r>
      <w:r w:rsidR="00E314B6">
        <w:t xml:space="preserve"> </w:t>
      </w:r>
      <w:r w:rsidRPr="00B80667">
        <w:t>Executive Officer</w:t>
      </w:r>
      <w:r w:rsidR="00B80667">
        <w:br/>
      </w:r>
      <w:r w:rsidRPr="00B80667">
        <w:t xml:space="preserve">Independent Hospital Pricing Authority </w:t>
      </w:r>
      <w:r w:rsidR="00B80667">
        <w:br/>
      </w:r>
      <w:r w:rsidRPr="00B80667">
        <w:t>2 October 2017</w:t>
      </w:r>
    </w:p>
    <w:p w:rsidR="00D840DF" w:rsidRDefault="00D840DF">
      <w:pPr>
        <w:spacing w:line="256" w:lineRule="auto"/>
        <w:sectPr w:rsidR="00D840DF">
          <w:pgSz w:w="9980" w:h="14180"/>
          <w:pgMar w:top="1320" w:right="1180" w:bottom="280" w:left="1200" w:header="720" w:footer="720" w:gutter="0"/>
          <w:cols w:space="720"/>
        </w:sectPr>
      </w:pPr>
    </w:p>
    <w:p w:rsidR="00D840DF" w:rsidRPr="009B28EE" w:rsidRDefault="009B28EE" w:rsidP="009B28EE">
      <w:pPr>
        <w:pStyle w:val="Heading1"/>
        <w:rPr>
          <w:rStyle w:val="BookTitle"/>
          <w:b/>
          <w:bCs/>
          <w:i w:val="0"/>
          <w:iCs w:val="0"/>
          <w:spacing w:val="-12"/>
        </w:rPr>
      </w:pPr>
      <w:bookmarkStart w:id="6" w:name="Enabling_legislation"/>
      <w:bookmarkStart w:id="7" w:name="_bookmark1"/>
      <w:bookmarkStart w:id="8" w:name="_Toc496088475"/>
      <w:bookmarkEnd w:id="6"/>
      <w:bookmarkEnd w:id="7"/>
      <w:r w:rsidRPr="009B28EE">
        <w:rPr>
          <w:rStyle w:val="BookTitle"/>
          <w:b/>
          <w:bCs/>
          <w:i w:val="0"/>
          <w:iCs w:val="0"/>
          <w:spacing w:val="-12"/>
        </w:rPr>
        <w:lastRenderedPageBreak/>
        <w:t xml:space="preserve">01 </w:t>
      </w:r>
      <w:r w:rsidR="00961020" w:rsidRPr="009B28EE">
        <w:rPr>
          <w:rStyle w:val="BookTitle"/>
          <w:b/>
          <w:bCs/>
          <w:i w:val="0"/>
          <w:iCs w:val="0"/>
          <w:spacing w:val="-12"/>
        </w:rPr>
        <w:t>About IHPA</w:t>
      </w:r>
      <w:bookmarkEnd w:id="8"/>
    </w:p>
    <w:p w:rsidR="00D840DF" w:rsidRPr="009B28EE" w:rsidRDefault="00961020" w:rsidP="009B28EE">
      <w:pPr>
        <w:pStyle w:val="Heading2"/>
      </w:pPr>
      <w:bookmarkStart w:id="9" w:name="_Toc496088476"/>
      <w:r w:rsidRPr="009B28EE">
        <w:t>Enabling legislation</w:t>
      </w:r>
      <w:bookmarkEnd w:id="9"/>
    </w:p>
    <w:p w:rsidR="00D840DF" w:rsidRPr="009B28EE" w:rsidRDefault="00961020" w:rsidP="009B28EE">
      <w:pPr>
        <w:pStyle w:val="BodyText"/>
      </w:pPr>
      <w:r>
        <w:t xml:space="preserve">The Independent Hospital Pricing Authority (IHPA) is a Corporate Commonwealth Entity under the </w:t>
      </w:r>
      <w:r>
        <w:rPr>
          <w:i/>
        </w:rPr>
        <w:t>Public Governance, Performance and Accountability Act 2013</w:t>
      </w:r>
      <w:r>
        <w:t>.</w:t>
      </w:r>
    </w:p>
    <w:p w:rsidR="00D840DF" w:rsidRPr="009B28EE" w:rsidRDefault="00961020" w:rsidP="009B28EE">
      <w:pPr>
        <w:pStyle w:val="BodyText"/>
      </w:pPr>
      <w:r>
        <w:rPr>
          <w:color w:val="636466"/>
        </w:rPr>
        <w:t xml:space="preserve">IHPA was established under the </w:t>
      </w:r>
      <w:r>
        <w:rPr>
          <w:i/>
          <w:color w:val="636466"/>
        </w:rPr>
        <w:t>National Health Reform Act 2011</w:t>
      </w:r>
      <w:r>
        <w:rPr>
          <w:color w:val="636466"/>
        </w:rPr>
        <w:t>, giving effect to the National Health Reform Agreement signed by the Australian Government and all states and territories in August 2011.</w:t>
      </w:r>
    </w:p>
    <w:p w:rsidR="00D840DF" w:rsidRDefault="00961020" w:rsidP="009B28EE">
      <w:pPr>
        <w:pStyle w:val="Heading2"/>
      </w:pPr>
      <w:bookmarkStart w:id="10" w:name="_Toc496088477"/>
      <w:r w:rsidRPr="009B28EE">
        <w:t>Functions</w:t>
      </w:r>
      <w:r>
        <w:t xml:space="preserve"> and purpose</w:t>
      </w:r>
      <w:bookmarkEnd w:id="10"/>
    </w:p>
    <w:p w:rsidR="00D840DF" w:rsidRPr="009B28EE" w:rsidRDefault="00961020" w:rsidP="009B28EE">
      <w:pPr>
        <w:pStyle w:val="BodyText"/>
      </w:pPr>
      <w:r>
        <w:t xml:space="preserve">Pursuant to the </w:t>
      </w:r>
      <w:r>
        <w:rPr>
          <w:i/>
        </w:rPr>
        <w:t>National Health Reform Act 2011</w:t>
      </w:r>
      <w:r>
        <w:t>,</w:t>
      </w:r>
      <w:r w:rsidR="00E314B6">
        <w:t xml:space="preserve"> </w:t>
      </w:r>
      <w:r>
        <w:t>the main functions of IHPA are to:</w:t>
      </w:r>
    </w:p>
    <w:p w:rsidR="00D840DF" w:rsidRDefault="00961020">
      <w:pPr>
        <w:pStyle w:val="ListParagraph"/>
        <w:numPr>
          <w:ilvl w:val="0"/>
          <w:numId w:val="23"/>
        </w:numPr>
        <w:tabs>
          <w:tab w:val="left" w:pos="341"/>
        </w:tabs>
        <w:spacing w:line="256" w:lineRule="auto"/>
        <w:ind w:right="181"/>
        <w:rPr>
          <w:sz w:val="19"/>
        </w:rPr>
      </w:pPr>
      <w:r>
        <w:rPr>
          <w:color w:val="636466"/>
          <w:sz w:val="19"/>
        </w:rPr>
        <w:t>Determine the National Efficient Price for health care services provided by public hospitals where the services are funded on an activity</w:t>
      </w:r>
      <w:r w:rsidR="00E314B6">
        <w:rPr>
          <w:color w:val="636466"/>
          <w:sz w:val="19"/>
        </w:rPr>
        <w:t xml:space="preserve"> </w:t>
      </w:r>
      <w:r>
        <w:rPr>
          <w:color w:val="636466"/>
          <w:sz w:val="19"/>
        </w:rPr>
        <w:t>basis.</w:t>
      </w:r>
    </w:p>
    <w:p w:rsidR="00D840DF" w:rsidRDefault="00961020">
      <w:pPr>
        <w:pStyle w:val="ListParagraph"/>
        <w:numPr>
          <w:ilvl w:val="0"/>
          <w:numId w:val="23"/>
        </w:numPr>
        <w:tabs>
          <w:tab w:val="left" w:pos="341"/>
        </w:tabs>
        <w:spacing w:before="112" w:line="256" w:lineRule="auto"/>
        <w:ind w:right="696"/>
        <w:rPr>
          <w:sz w:val="19"/>
        </w:rPr>
      </w:pPr>
      <w:r>
        <w:rPr>
          <w:color w:val="636466"/>
          <w:sz w:val="19"/>
        </w:rPr>
        <w:t>Determine the efficient cost for health care services provided by public hospitals where the services are block</w:t>
      </w:r>
      <w:r>
        <w:rPr>
          <w:color w:val="636466"/>
          <w:spacing w:val="32"/>
          <w:sz w:val="19"/>
        </w:rPr>
        <w:t xml:space="preserve"> </w:t>
      </w:r>
      <w:r>
        <w:rPr>
          <w:color w:val="636466"/>
          <w:sz w:val="19"/>
        </w:rPr>
        <w:t>funded.</w:t>
      </w:r>
    </w:p>
    <w:p w:rsidR="00D840DF" w:rsidRPr="00206D44" w:rsidRDefault="00961020" w:rsidP="00206D44">
      <w:pPr>
        <w:pStyle w:val="ListParagraph"/>
        <w:numPr>
          <w:ilvl w:val="0"/>
          <w:numId w:val="23"/>
        </w:numPr>
        <w:tabs>
          <w:tab w:val="left" w:pos="341"/>
        </w:tabs>
        <w:spacing w:before="112" w:line="256" w:lineRule="auto"/>
        <w:ind w:right="116"/>
        <w:rPr>
          <w:sz w:val="19"/>
        </w:rPr>
      </w:pPr>
      <w:r>
        <w:rPr>
          <w:color w:val="636466"/>
          <w:sz w:val="19"/>
        </w:rPr>
        <w:t>Publish the National Efficient Price, National Efficient Cost and other information each year for the purpose</w:t>
      </w:r>
      <w:r>
        <w:rPr>
          <w:color w:val="636466"/>
          <w:spacing w:val="5"/>
          <w:sz w:val="19"/>
        </w:rPr>
        <w:t xml:space="preserve"> </w:t>
      </w:r>
      <w:r>
        <w:rPr>
          <w:color w:val="636466"/>
          <w:sz w:val="19"/>
        </w:rPr>
        <w:t>of</w:t>
      </w:r>
      <w:r>
        <w:rPr>
          <w:color w:val="636466"/>
          <w:spacing w:val="5"/>
          <w:sz w:val="19"/>
        </w:rPr>
        <w:t xml:space="preserve"> </w:t>
      </w:r>
      <w:r>
        <w:rPr>
          <w:color w:val="636466"/>
          <w:sz w:val="19"/>
        </w:rPr>
        <w:t>informing</w:t>
      </w:r>
      <w:r>
        <w:rPr>
          <w:color w:val="636466"/>
          <w:spacing w:val="5"/>
          <w:sz w:val="19"/>
        </w:rPr>
        <w:t xml:space="preserve"> </w:t>
      </w:r>
      <w:r>
        <w:rPr>
          <w:color w:val="636466"/>
          <w:sz w:val="19"/>
        </w:rPr>
        <w:t>decision</w:t>
      </w:r>
      <w:r>
        <w:rPr>
          <w:color w:val="636466"/>
          <w:spacing w:val="5"/>
          <w:sz w:val="19"/>
        </w:rPr>
        <w:t xml:space="preserve"> </w:t>
      </w:r>
      <w:r>
        <w:rPr>
          <w:color w:val="636466"/>
          <w:sz w:val="19"/>
        </w:rPr>
        <w:t>makers</w:t>
      </w:r>
      <w:r>
        <w:rPr>
          <w:color w:val="636466"/>
          <w:spacing w:val="5"/>
          <w:sz w:val="19"/>
        </w:rPr>
        <w:t xml:space="preserve"> </w:t>
      </w:r>
      <w:r>
        <w:rPr>
          <w:color w:val="636466"/>
          <w:sz w:val="19"/>
        </w:rPr>
        <w:t>in</w:t>
      </w:r>
      <w:r>
        <w:rPr>
          <w:color w:val="636466"/>
          <w:spacing w:val="5"/>
          <w:sz w:val="19"/>
        </w:rPr>
        <w:t xml:space="preserve"> </w:t>
      </w:r>
      <w:r>
        <w:rPr>
          <w:color w:val="636466"/>
          <w:sz w:val="19"/>
        </w:rPr>
        <w:t>relation</w:t>
      </w:r>
      <w:r>
        <w:rPr>
          <w:color w:val="636466"/>
          <w:spacing w:val="5"/>
          <w:sz w:val="19"/>
        </w:rPr>
        <w:t xml:space="preserve"> </w:t>
      </w:r>
      <w:r>
        <w:rPr>
          <w:color w:val="636466"/>
          <w:sz w:val="19"/>
        </w:rPr>
        <w:t>to</w:t>
      </w:r>
      <w:r>
        <w:rPr>
          <w:color w:val="636466"/>
          <w:spacing w:val="5"/>
          <w:sz w:val="19"/>
        </w:rPr>
        <w:t xml:space="preserve"> </w:t>
      </w:r>
      <w:r>
        <w:rPr>
          <w:color w:val="636466"/>
          <w:sz w:val="19"/>
        </w:rPr>
        <w:t>the</w:t>
      </w:r>
      <w:r>
        <w:rPr>
          <w:color w:val="636466"/>
          <w:spacing w:val="5"/>
          <w:sz w:val="19"/>
        </w:rPr>
        <w:t xml:space="preserve"> </w:t>
      </w:r>
      <w:r>
        <w:rPr>
          <w:color w:val="636466"/>
          <w:sz w:val="19"/>
        </w:rPr>
        <w:t>funding</w:t>
      </w:r>
      <w:r>
        <w:rPr>
          <w:color w:val="636466"/>
          <w:spacing w:val="5"/>
          <w:sz w:val="19"/>
        </w:rPr>
        <w:t xml:space="preserve"> </w:t>
      </w:r>
      <w:r>
        <w:rPr>
          <w:color w:val="636466"/>
          <w:sz w:val="19"/>
        </w:rPr>
        <w:t>of</w:t>
      </w:r>
      <w:r>
        <w:rPr>
          <w:color w:val="636466"/>
          <w:spacing w:val="5"/>
          <w:sz w:val="19"/>
        </w:rPr>
        <w:t xml:space="preserve"> </w:t>
      </w:r>
      <w:r>
        <w:rPr>
          <w:color w:val="636466"/>
          <w:sz w:val="19"/>
        </w:rPr>
        <w:t>public</w:t>
      </w:r>
      <w:r>
        <w:rPr>
          <w:color w:val="636466"/>
          <w:spacing w:val="5"/>
          <w:sz w:val="19"/>
        </w:rPr>
        <w:t xml:space="preserve"> </w:t>
      </w:r>
      <w:r>
        <w:rPr>
          <w:color w:val="636466"/>
          <w:sz w:val="19"/>
        </w:rPr>
        <w:t>hospitals.</w:t>
      </w:r>
    </w:p>
    <w:p w:rsidR="00D840DF" w:rsidRDefault="00961020" w:rsidP="009B28EE">
      <w:pPr>
        <w:pStyle w:val="BodyText"/>
        <w:rPr>
          <w:spacing w:val="-7"/>
        </w:rPr>
      </w:pPr>
      <w:r>
        <w:t xml:space="preserve">IHPA was </w:t>
      </w:r>
      <w:r w:rsidRPr="009B28EE">
        <w:t>established</w:t>
      </w:r>
      <w:r>
        <w:t xml:space="preserve"> to promote improved efficiency in, and access to, public hospital services through the provision of independent advice to Australian governments in relation to the efficient</w:t>
      </w:r>
      <w:r w:rsidR="00E314B6">
        <w:t xml:space="preserve"> </w:t>
      </w:r>
      <w:r>
        <w:t>costs of public hospital services, and developing and implementing robust systems to support Activity Based</w:t>
      </w:r>
      <w:r>
        <w:rPr>
          <w:spacing w:val="6"/>
        </w:rPr>
        <w:t xml:space="preserve"> </w:t>
      </w:r>
      <w:r>
        <w:t>Funding</w:t>
      </w:r>
      <w:r>
        <w:rPr>
          <w:spacing w:val="6"/>
        </w:rPr>
        <w:t xml:space="preserve"> </w:t>
      </w:r>
      <w:r>
        <w:t>for</w:t>
      </w:r>
      <w:r>
        <w:rPr>
          <w:spacing w:val="6"/>
        </w:rPr>
        <w:t xml:space="preserve"> </w:t>
      </w:r>
      <w:r>
        <w:t>those</w:t>
      </w:r>
      <w:r>
        <w:rPr>
          <w:spacing w:val="6"/>
        </w:rPr>
        <w:t xml:space="preserve"> </w:t>
      </w:r>
      <w:r>
        <w:t>services.</w:t>
      </w:r>
      <w:r>
        <w:rPr>
          <w:spacing w:val="6"/>
        </w:rPr>
        <w:t xml:space="preserve"> </w:t>
      </w:r>
      <w:r>
        <w:t>(</w:t>
      </w:r>
      <w:r>
        <w:rPr>
          <w:i/>
        </w:rPr>
        <w:t>See</w:t>
      </w:r>
      <w:r>
        <w:rPr>
          <w:i/>
          <w:spacing w:val="5"/>
        </w:rPr>
        <w:t xml:space="preserve"> </w:t>
      </w:r>
      <w:r>
        <w:t>‘What</w:t>
      </w:r>
      <w:r>
        <w:rPr>
          <w:spacing w:val="6"/>
        </w:rPr>
        <w:t xml:space="preserve"> </w:t>
      </w:r>
      <w:r>
        <w:t>is</w:t>
      </w:r>
      <w:r>
        <w:rPr>
          <w:spacing w:val="6"/>
        </w:rPr>
        <w:t xml:space="preserve"> </w:t>
      </w:r>
      <w:r>
        <w:t>Activity</w:t>
      </w:r>
      <w:r>
        <w:rPr>
          <w:spacing w:val="6"/>
        </w:rPr>
        <w:t xml:space="preserve"> </w:t>
      </w:r>
      <w:r>
        <w:t>Based</w:t>
      </w:r>
      <w:r>
        <w:rPr>
          <w:spacing w:val="6"/>
        </w:rPr>
        <w:t xml:space="preserve"> </w:t>
      </w:r>
      <w:r>
        <w:t>Funding?’</w:t>
      </w:r>
      <w:r>
        <w:rPr>
          <w:spacing w:val="6"/>
        </w:rPr>
        <w:t xml:space="preserve"> </w:t>
      </w:r>
      <w:r>
        <w:t>at</w:t>
      </w:r>
      <w:r>
        <w:rPr>
          <w:spacing w:val="6"/>
        </w:rPr>
        <w:t xml:space="preserve"> </w:t>
      </w:r>
      <w:r>
        <w:rPr>
          <w:spacing w:val="-7"/>
        </w:rPr>
        <w:t>p12.)</w:t>
      </w:r>
    </w:p>
    <w:p w:rsidR="00D840DF" w:rsidRPr="009B28EE" w:rsidRDefault="00961020" w:rsidP="009B28EE">
      <w:pPr>
        <w:pStyle w:val="BodyText"/>
        <w:spacing w:before="89" w:line="256" w:lineRule="auto"/>
        <w:ind w:right="175"/>
      </w:pPr>
      <w:bookmarkStart w:id="11" w:name="Functions_and_purpose"/>
      <w:bookmarkStart w:id="12" w:name="_bookmark2"/>
      <w:bookmarkEnd w:id="11"/>
      <w:bookmarkEnd w:id="12"/>
      <w:r>
        <w:rPr>
          <w:color w:val="636466"/>
        </w:rPr>
        <w:t>In undertaking its work, IHPA is required to consider the actual cost of delivering public hospital services in as wide a range of hospitals as practicable. It is also required to take into account any legitimate and unavoidable variations in costs due to hospital characteristics and patient complexity. IHPA balances a range of national policy objectives, guided by principles contained in the National Health Reform Agreement.</w:t>
      </w:r>
    </w:p>
    <w:p w:rsidR="00D840DF" w:rsidRPr="009B28EE" w:rsidRDefault="00961020" w:rsidP="009B28EE">
      <w:pPr>
        <w:pStyle w:val="Heading3"/>
      </w:pPr>
      <w:r w:rsidRPr="009B28EE">
        <w:t>Pricing and funding for safety and quality</w:t>
      </w:r>
    </w:p>
    <w:p w:rsidR="00D840DF" w:rsidRPr="009B28EE" w:rsidRDefault="00961020" w:rsidP="009B28EE">
      <w:pPr>
        <w:pStyle w:val="BodyText"/>
      </w:pPr>
      <w:r>
        <w:t>During the financial year 2016–17 IHPA undertook work to develop and evaluate options for introducing safety and quality into pricing and funding models for Australian public hospitals.</w:t>
      </w:r>
    </w:p>
    <w:p w:rsidR="00D840DF" w:rsidRPr="009B28EE" w:rsidRDefault="00961020" w:rsidP="009B28EE">
      <w:pPr>
        <w:pStyle w:val="BodyText"/>
      </w:pPr>
      <w:r>
        <w:t xml:space="preserve">On 30 November 2016 IHPA provided advice to the COAG Health Council on options for the </w:t>
      </w:r>
      <w:r>
        <w:lastRenderedPageBreak/>
        <w:t>integration of safety and quality into public hospital pricing and funding. In this advice, IHPA proposed one approach for sentinel events (such as surgical procedures involving the wrong body part or medication errors leading to death), one approach for hospital acquired complications (HACs), and an initial approach on avoidable readmissions.</w:t>
      </w:r>
    </w:p>
    <w:p w:rsidR="00D840DF" w:rsidRPr="009B28EE" w:rsidRDefault="00961020" w:rsidP="009B28EE">
      <w:pPr>
        <w:pStyle w:val="BodyText"/>
      </w:pPr>
      <w:r>
        <w:t xml:space="preserve">In February </w:t>
      </w:r>
      <w:r>
        <w:rPr>
          <w:spacing w:val="-11"/>
        </w:rPr>
        <w:t xml:space="preserve">2017, </w:t>
      </w:r>
      <w:r>
        <w:t xml:space="preserve">the Hon. Greg Hunt </w:t>
      </w:r>
      <w:r>
        <w:rPr>
          <w:spacing w:val="-5"/>
        </w:rPr>
        <w:t xml:space="preserve">MP, </w:t>
      </w:r>
      <w:r>
        <w:t xml:space="preserve">the Minister for Health, acting under section </w:t>
      </w:r>
      <w:r>
        <w:rPr>
          <w:spacing w:val="-3"/>
        </w:rPr>
        <w:t xml:space="preserve">226 </w:t>
      </w:r>
      <w:r>
        <w:t xml:space="preserve">of the </w:t>
      </w:r>
      <w:r>
        <w:rPr>
          <w:i/>
        </w:rPr>
        <w:t xml:space="preserve">National Health Reform Act </w:t>
      </w:r>
      <w:r>
        <w:rPr>
          <w:i/>
          <w:spacing w:val="-10"/>
        </w:rPr>
        <w:t>2011</w:t>
      </w:r>
      <w:r w:rsidR="00E314B6">
        <w:rPr>
          <w:i/>
          <w:spacing w:val="-10"/>
        </w:rPr>
        <w:t xml:space="preserve"> </w:t>
      </w:r>
      <w:r>
        <w:t>directed IHPA to work to implement the three recommendations</w:t>
      </w:r>
      <w:r w:rsidR="00E314B6">
        <w:t xml:space="preserve"> </w:t>
      </w:r>
      <w:r>
        <w:t xml:space="preserve">it had made to the COAG Health Council. These recommendations are reflected in the </w:t>
      </w:r>
      <w:r>
        <w:rPr>
          <w:i/>
        </w:rPr>
        <w:t>Pricing Framework for Australian Public Hospital Services</w:t>
      </w:r>
      <w:r w:rsidR="00E314B6">
        <w:rPr>
          <w:i/>
        </w:rPr>
        <w:t xml:space="preserve"> </w:t>
      </w:r>
      <w:r>
        <w:rPr>
          <w:i/>
          <w:spacing w:val="-9"/>
        </w:rPr>
        <w:t>2017–18</w:t>
      </w:r>
      <w:r>
        <w:rPr>
          <w:spacing w:val="-9"/>
        </w:rPr>
        <w:t>.</w:t>
      </w:r>
    </w:p>
    <w:p w:rsidR="00D840DF" w:rsidRDefault="00961020" w:rsidP="009B28EE">
      <w:pPr>
        <w:pStyle w:val="Heading2"/>
      </w:pPr>
      <w:bookmarkStart w:id="13" w:name="_Toc496088478"/>
      <w:r>
        <w:t>Responsible Minister</w:t>
      </w:r>
      <w:bookmarkEnd w:id="13"/>
    </w:p>
    <w:p w:rsidR="00D840DF" w:rsidRPr="009B28EE" w:rsidRDefault="00961020" w:rsidP="009B28EE">
      <w:pPr>
        <w:pStyle w:val="BodyText"/>
      </w:pPr>
      <w:r>
        <w:t>The Independent Hospital Pricing Authority sits within the Department of Health portfolio. There have been two Ministers responsible for this reporting period.</w:t>
      </w:r>
    </w:p>
    <w:p w:rsidR="00D840DF" w:rsidRDefault="00961020">
      <w:pPr>
        <w:pStyle w:val="ListParagraph"/>
        <w:numPr>
          <w:ilvl w:val="0"/>
          <w:numId w:val="23"/>
        </w:numPr>
        <w:tabs>
          <w:tab w:val="left" w:pos="332"/>
        </w:tabs>
        <w:spacing w:line="256" w:lineRule="auto"/>
        <w:ind w:left="331" w:right="1711"/>
        <w:rPr>
          <w:sz w:val="19"/>
        </w:rPr>
      </w:pPr>
      <w:r>
        <w:rPr>
          <w:color w:val="636466"/>
          <w:sz w:val="19"/>
        </w:rPr>
        <w:t xml:space="preserve">The Hon. </w:t>
      </w:r>
      <w:proofErr w:type="spellStart"/>
      <w:r>
        <w:rPr>
          <w:color w:val="636466"/>
          <w:sz w:val="19"/>
        </w:rPr>
        <w:t>Sussan</w:t>
      </w:r>
      <w:proofErr w:type="spellEnd"/>
      <w:r>
        <w:rPr>
          <w:color w:val="636466"/>
          <w:sz w:val="19"/>
        </w:rPr>
        <w:t xml:space="preserve"> Ley </w:t>
      </w:r>
      <w:r>
        <w:rPr>
          <w:color w:val="636466"/>
          <w:spacing w:val="-5"/>
          <w:sz w:val="19"/>
        </w:rPr>
        <w:t xml:space="preserve">MP, </w:t>
      </w:r>
      <w:r>
        <w:rPr>
          <w:color w:val="636466"/>
          <w:sz w:val="19"/>
        </w:rPr>
        <w:t xml:space="preserve">Minister for Health and Aged Care, 1 July </w:t>
      </w:r>
      <w:r>
        <w:rPr>
          <w:color w:val="636466"/>
          <w:spacing w:val="-7"/>
          <w:sz w:val="19"/>
        </w:rPr>
        <w:t xml:space="preserve">2016 </w:t>
      </w:r>
      <w:r>
        <w:rPr>
          <w:color w:val="636466"/>
          <w:sz w:val="19"/>
        </w:rPr>
        <w:t xml:space="preserve">– 24 January </w:t>
      </w:r>
      <w:r>
        <w:rPr>
          <w:color w:val="636466"/>
          <w:spacing w:val="-8"/>
          <w:sz w:val="19"/>
        </w:rPr>
        <w:t>2017</w:t>
      </w:r>
      <w:r w:rsidR="00E314B6">
        <w:rPr>
          <w:color w:val="636466"/>
          <w:spacing w:val="-8"/>
          <w:sz w:val="19"/>
        </w:rPr>
        <w:t xml:space="preserve"> </w:t>
      </w:r>
      <w:r>
        <w:rPr>
          <w:color w:val="636466"/>
          <w:sz w:val="19"/>
        </w:rPr>
        <w:t>(stood aside on 9 January</w:t>
      </w:r>
      <w:r>
        <w:rPr>
          <w:color w:val="636466"/>
          <w:spacing w:val="8"/>
          <w:sz w:val="19"/>
        </w:rPr>
        <w:t xml:space="preserve"> </w:t>
      </w:r>
      <w:r>
        <w:rPr>
          <w:color w:val="636466"/>
          <w:spacing w:val="-6"/>
          <w:sz w:val="19"/>
        </w:rPr>
        <w:t>2017).</w:t>
      </w:r>
    </w:p>
    <w:p w:rsidR="00D840DF" w:rsidRDefault="00961020">
      <w:pPr>
        <w:pStyle w:val="ListParagraph"/>
        <w:numPr>
          <w:ilvl w:val="0"/>
          <w:numId w:val="23"/>
        </w:numPr>
        <w:tabs>
          <w:tab w:val="left" w:pos="332"/>
        </w:tabs>
        <w:spacing w:before="112"/>
        <w:ind w:left="331"/>
        <w:rPr>
          <w:sz w:val="19"/>
        </w:rPr>
      </w:pPr>
      <w:r>
        <w:rPr>
          <w:color w:val="636466"/>
          <w:sz w:val="19"/>
        </w:rPr>
        <w:t xml:space="preserve">The Hon. Greg Hunt </w:t>
      </w:r>
      <w:r>
        <w:rPr>
          <w:color w:val="636466"/>
          <w:spacing w:val="-5"/>
          <w:sz w:val="19"/>
        </w:rPr>
        <w:t xml:space="preserve">MP, </w:t>
      </w:r>
      <w:r>
        <w:rPr>
          <w:color w:val="636466"/>
          <w:sz w:val="19"/>
        </w:rPr>
        <w:t xml:space="preserve">Minister for Health, 24 January </w:t>
      </w:r>
      <w:r>
        <w:rPr>
          <w:color w:val="636466"/>
          <w:spacing w:val="-8"/>
          <w:sz w:val="19"/>
        </w:rPr>
        <w:t>2017</w:t>
      </w:r>
      <w:r w:rsidR="00E314B6">
        <w:rPr>
          <w:color w:val="636466"/>
          <w:spacing w:val="-8"/>
          <w:sz w:val="19"/>
        </w:rPr>
        <w:t xml:space="preserve"> </w:t>
      </w:r>
      <w:r>
        <w:rPr>
          <w:color w:val="636466"/>
          <w:sz w:val="19"/>
        </w:rPr>
        <w:t>– 30 June</w:t>
      </w:r>
      <w:r>
        <w:rPr>
          <w:color w:val="636466"/>
          <w:spacing w:val="32"/>
          <w:sz w:val="19"/>
        </w:rPr>
        <w:t xml:space="preserve"> </w:t>
      </w:r>
      <w:r>
        <w:rPr>
          <w:color w:val="636466"/>
          <w:spacing w:val="-12"/>
          <w:sz w:val="19"/>
        </w:rPr>
        <w:t>2017.</w:t>
      </w:r>
    </w:p>
    <w:p w:rsidR="00D840DF" w:rsidRDefault="00D840DF">
      <w:pPr>
        <w:rPr>
          <w:sz w:val="19"/>
        </w:rPr>
        <w:sectPr w:rsidR="00D840DF" w:rsidSect="009B28EE">
          <w:pgSz w:w="9980" w:h="14180"/>
          <w:pgMar w:top="1276" w:right="1100" w:bottom="1134" w:left="1200" w:header="720" w:footer="720" w:gutter="0"/>
          <w:cols w:space="720"/>
        </w:sectPr>
      </w:pPr>
    </w:p>
    <w:p w:rsidR="00D840DF" w:rsidRDefault="00961020" w:rsidP="009B28EE">
      <w:pPr>
        <w:pStyle w:val="Heading2"/>
      </w:pPr>
      <w:bookmarkStart w:id="14" w:name="Ministerial_Directions_and_government_po"/>
      <w:bookmarkStart w:id="15" w:name="Responsible_Minister"/>
      <w:bookmarkStart w:id="16" w:name="_bookmark3"/>
      <w:bookmarkStart w:id="17" w:name="_Toc496088479"/>
      <w:bookmarkEnd w:id="14"/>
      <w:bookmarkEnd w:id="15"/>
      <w:bookmarkEnd w:id="16"/>
      <w:r>
        <w:lastRenderedPageBreak/>
        <w:t xml:space="preserve">Ministerial Directions </w:t>
      </w:r>
      <w:r>
        <w:rPr>
          <w:spacing w:val="-7"/>
        </w:rPr>
        <w:t xml:space="preserve">and </w:t>
      </w:r>
      <w:r>
        <w:rPr>
          <w:spacing w:val="-11"/>
        </w:rPr>
        <w:t xml:space="preserve">government </w:t>
      </w:r>
      <w:r>
        <w:t xml:space="preserve">policy </w:t>
      </w:r>
      <w:r>
        <w:rPr>
          <w:spacing w:val="-9"/>
        </w:rPr>
        <w:t>orders</w:t>
      </w:r>
      <w:bookmarkEnd w:id="17"/>
    </w:p>
    <w:p w:rsidR="00D840DF" w:rsidRPr="009B28EE" w:rsidRDefault="00961020" w:rsidP="009B28EE">
      <w:pPr>
        <w:pStyle w:val="BodyText"/>
      </w:pPr>
      <w:r>
        <w:t xml:space="preserve">In 2016–17 IHPA received two Ministerial Directions. It also received a request for a report in accordance with Section 208 of the </w:t>
      </w:r>
      <w:r>
        <w:rPr>
          <w:i/>
        </w:rPr>
        <w:t>National Health Reform Act 2011</w:t>
      </w:r>
      <w:r>
        <w:t>.</w:t>
      </w:r>
    </w:p>
    <w:p w:rsidR="00D840DF" w:rsidRDefault="00961020">
      <w:pPr>
        <w:pStyle w:val="ListParagraph"/>
        <w:numPr>
          <w:ilvl w:val="0"/>
          <w:numId w:val="22"/>
        </w:numPr>
        <w:tabs>
          <w:tab w:val="left" w:pos="341"/>
        </w:tabs>
        <w:spacing w:line="256" w:lineRule="auto"/>
        <w:ind w:right="108"/>
        <w:rPr>
          <w:sz w:val="19"/>
        </w:rPr>
      </w:pPr>
      <w:r>
        <w:rPr>
          <w:color w:val="636466"/>
          <w:sz w:val="19"/>
        </w:rPr>
        <w:t xml:space="preserve">On 29 August </w:t>
      </w:r>
      <w:r>
        <w:rPr>
          <w:color w:val="636466"/>
          <w:spacing w:val="-7"/>
          <w:sz w:val="19"/>
        </w:rPr>
        <w:t xml:space="preserve">2016 </w:t>
      </w:r>
      <w:r>
        <w:rPr>
          <w:color w:val="636466"/>
          <w:sz w:val="19"/>
        </w:rPr>
        <w:t xml:space="preserve">IHPA received a Ministerial Direction from the Hon. </w:t>
      </w:r>
      <w:proofErr w:type="spellStart"/>
      <w:r>
        <w:rPr>
          <w:color w:val="636466"/>
          <w:sz w:val="19"/>
        </w:rPr>
        <w:t>Sussan</w:t>
      </w:r>
      <w:proofErr w:type="spellEnd"/>
      <w:r>
        <w:rPr>
          <w:color w:val="636466"/>
          <w:sz w:val="19"/>
        </w:rPr>
        <w:t xml:space="preserve"> Ley, under section </w:t>
      </w:r>
      <w:r>
        <w:rPr>
          <w:color w:val="636466"/>
          <w:spacing w:val="-3"/>
          <w:sz w:val="19"/>
        </w:rPr>
        <w:t xml:space="preserve">226 </w:t>
      </w:r>
      <w:r>
        <w:rPr>
          <w:color w:val="636466"/>
          <w:sz w:val="19"/>
        </w:rPr>
        <w:t xml:space="preserve">of the </w:t>
      </w:r>
      <w:r>
        <w:rPr>
          <w:i/>
          <w:color w:val="636466"/>
          <w:sz w:val="19"/>
        </w:rPr>
        <w:t>National Health Reform Act</w:t>
      </w:r>
      <w:r>
        <w:rPr>
          <w:i/>
          <w:color w:val="636466"/>
          <w:spacing w:val="40"/>
          <w:sz w:val="19"/>
        </w:rPr>
        <w:t xml:space="preserve"> </w:t>
      </w:r>
      <w:r>
        <w:rPr>
          <w:i/>
          <w:color w:val="636466"/>
          <w:spacing w:val="-10"/>
          <w:sz w:val="19"/>
        </w:rPr>
        <w:t>2011</w:t>
      </w:r>
      <w:r>
        <w:rPr>
          <w:color w:val="636466"/>
          <w:spacing w:val="-10"/>
          <w:sz w:val="19"/>
        </w:rPr>
        <w:t>.</w:t>
      </w:r>
    </w:p>
    <w:p w:rsidR="00D840DF" w:rsidRPr="009B28EE" w:rsidRDefault="00961020" w:rsidP="009B28EE">
      <w:pPr>
        <w:pStyle w:val="BodyText"/>
        <w:spacing w:before="112" w:line="256" w:lineRule="auto"/>
        <w:ind w:left="340"/>
      </w:pPr>
      <w:r>
        <w:rPr>
          <w:color w:val="636466"/>
        </w:rPr>
        <w:t>The Direction required the Independent Hospital Pricing Authority (IHPA) to provide advice to the Commonwealth and states and territories on options for developing:</w:t>
      </w:r>
    </w:p>
    <w:p w:rsidR="00D840DF" w:rsidRDefault="00961020">
      <w:pPr>
        <w:pStyle w:val="ListParagraph"/>
        <w:numPr>
          <w:ilvl w:val="1"/>
          <w:numId w:val="22"/>
        </w:numPr>
        <w:tabs>
          <w:tab w:val="left" w:pos="497"/>
        </w:tabs>
        <w:spacing w:line="256" w:lineRule="auto"/>
        <w:ind w:right="135"/>
        <w:rPr>
          <w:sz w:val="19"/>
        </w:rPr>
      </w:pPr>
      <w:r>
        <w:rPr>
          <w:color w:val="636466"/>
          <w:sz w:val="19"/>
        </w:rPr>
        <w:t>a comprehensive and risk-adjusted model to determine how funding and pricing can be used to improve patient outcomes and reduce the amount the Commonwealth pays for sentinel events, and a set of preventable hospital acquired conditions, defined by the Australian Commission on Safety</w:t>
      </w:r>
      <w:r>
        <w:rPr>
          <w:color w:val="636466"/>
          <w:spacing w:val="5"/>
          <w:sz w:val="19"/>
        </w:rPr>
        <w:t xml:space="preserve"> </w:t>
      </w:r>
      <w:r>
        <w:rPr>
          <w:color w:val="636466"/>
          <w:sz w:val="19"/>
        </w:rPr>
        <w:t>and</w:t>
      </w:r>
      <w:r>
        <w:rPr>
          <w:color w:val="636466"/>
          <w:spacing w:val="5"/>
          <w:sz w:val="19"/>
        </w:rPr>
        <w:t xml:space="preserve"> </w:t>
      </w:r>
      <w:r>
        <w:rPr>
          <w:color w:val="636466"/>
          <w:sz w:val="19"/>
        </w:rPr>
        <w:t>Quality</w:t>
      </w:r>
      <w:r>
        <w:rPr>
          <w:color w:val="636466"/>
          <w:spacing w:val="5"/>
          <w:sz w:val="19"/>
        </w:rPr>
        <w:t xml:space="preserve"> </w:t>
      </w:r>
      <w:r>
        <w:rPr>
          <w:color w:val="636466"/>
          <w:sz w:val="19"/>
        </w:rPr>
        <w:t>in</w:t>
      </w:r>
      <w:r>
        <w:rPr>
          <w:color w:val="636466"/>
          <w:spacing w:val="5"/>
          <w:sz w:val="19"/>
        </w:rPr>
        <w:t xml:space="preserve"> </w:t>
      </w:r>
      <w:r>
        <w:rPr>
          <w:color w:val="636466"/>
          <w:sz w:val="19"/>
        </w:rPr>
        <w:t>Health</w:t>
      </w:r>
      <w:r>
        <w:rPr>
          <w:color w:val="636466"/>
          <w:spacing w:val="5"/>
          <w:sz w:val="19"/>
        </w:rPr>
        <w:t xml:space="preserve"> </w:t>
      </w:r>
      <w:r>
        <w:rPr>
          <w:color w:val="636466"/>
          <w:sz w:val="19"/>
        </w:rPr>
        <w:t>Care</w:t>
      </w:r>
      <w:r>
        <w:rPr>
          <w:color w:val="636466"/>
          <w:spacing w:val="5"/>
          <w:sz w:val="19"/>
        </w:rPr>
        <w:t xml:space="preserve"> </w:t>
      </w:r>
      <w:r>
        <w:rPr>
          <w:color w:val="636466"/>
          <w:sz w:val="19"/>
        </w:rPr>
        <w:t>and</w:t>
      </w:r>
      <w:r>
        <w:rPr>
          <w:color w:val="636466"/>
          <w:spacing w:val="5"/>
          <w:sz w:val="19"/>
        </w:rPr>
        <w:t xml:space="preserve"> </w:t>
      </w:r>
      <w:r>
        <w:rPr>
          <w:color w:val="636466"/>
          <w:sz w:val="19"/>
        </w:rPr>
        <w:t>agreed</w:t>
      </w:r>
      <w:r>
        <w:rPr>
          <w:color w:val="636466"/>
          <w:spacing w:val="5"/>
          <w:sz w:val="19"/>
        </w:rPr>
        <w:t xml:space="preserve"> </w:t>
      </w:r>
      <w:r>
        <w:rPr>
          <w:color w:val="636466"/>
          <w:sz w:val="19"/>
        </w:rPr>
        <w:t>by</w:t>
      </w:r>
      <w:r>
        <w:rPr>
          <w:color w:val="636466"/>
          <w:spacing w:val="5"/>
          <w:sz w:val="19"/>
        </w:rPr>
        <w:t xml:space="preserve"> </w:t>
      </w:r>
      <w:r>
        <w:rPr>
          <w:color w:val="636466"/>
          <w:sz w:val="19"/>
        </w:rPr>
        <w:t>the</w:t>
      </w:r>
      <w:r>
        <w:rPr>
          <w:color w:val="636466"/>
          <w:spacing w:val="5"/>
          <w:sz w:val="19"/>
        </w:rPr>
        <w:t xml:space="preserve"> </w:t>
      </w:r>
      <w:r>
        <w:rPr>
          <w:color w:val="636466"/>
          <w:sz w:val="19"/>
        </w:rPr>
        <w:t>Parties,</w:t>
      </w:r>
      <w:r>
        <w:rPr>
          <w:color w:val="636466"/>
          <w:spacing w:val="5"/>
          <w:sz w:val="19"/>
        </w:rPr>
        <w:t xml:space="preserve"> </w:t>
      </w:r>
      <w:r>
        <w:rPr>
          <w:color w:val="636466"/>
          <w:sz w:val="19"/>
        </w:rPr>
        <w:t>that</w:t>
      </w:r>
      <w:r>
        <w:rPr>
          <w:color w:val="636466"/>
          <w:spacing w:val="5"/>
          <w:sz w:val="19"/>
        </w:rPr>
        <w:t xml:space="preserve"> </w:t>
      </w:r>
      <w:r>
        <w:rPr>
          <w:color w:val="636466"/>
          <w:sz w:val="19"/>
        </w:rPr>
        <w:t>occur</w:t>
      </w:r>
      <w:r>
        <w:rPr>
          <w:color w:val="636466"/>
          <w:spacing w:val="5"/>
          <w:sz w:val="19"/>
        </w:rPr>
        <w:t xml:space="preserve"> </w:t>
      </w:r>
      <w:r>
        <w:rPr>
          <w:color w:val="636466"/>
          <w:sz w:val="19"/>
        </w:rPr>
        <w:t>in</w:t>
      </w:r>
      <w:r>
        <w:rPr>
          <w:color w:val="636466"/>
          <w:spacing w:val="5"/>
          <w:sz w:val="19"/>
        </w:rPr>
        <w:t xml:space="preserve"> </w:t>
      </w:r>
      <w:r>
        <w:rPr>
          <w:color w:val="636466"/>
          <w:sz w:val="19"/>
        </w:rPr>
        <w:t>public</w:t>
      </w:r>
      <w:r>
        <w:rPr>
          <w:color w:val="636466"/>
          <w:spacing w:val="5"/>
          <w:sz w:val="19"/>
        </w:rPr>
        <w:t xml:space="preserve"> </w:t>
      </w:r>
      <w:r>
        <w:rPr>
          <w:color w:val="636466"/>
          <w:sz w:val="19"/>
        </w:rPr>
        <w:t>hospitals;</w:t>
      </w:r>
      <w:r>
        <w:rPr>
          <w:color w:val="636466"/>
          <w:spacing w:val="5"/>
          <w:sz w:val="19"/>
        </w:rPr>
        <w:t xml:space="preserve"> </w:t>
      </w:r>
      <w:r>
        <w:rPr>
          <w:color w:val="636466"/>
          <w:sz w:val="19"/>
        </w:rPr>
        <w:t>and</w:t>
      </w:r>
    </w:p>
    <w:p w:rsidR="00D840DF" w:rsidRPr="009B28EE" w:rsidRDefault="00961020" w:rsidP="009B28EE">
      <w:pPr>
        <w:pStyle w:val="ListParagraph"/>
        <w:numPr>
          <w:ilvl w:val="1"/>
          <w:numId w:val="22"/>
        </w:numPr>
        <w:tabs>
          <w:tab w:val="left" w:pos="497"/>
        </w:tabs>
        <w:spacing w:before="112" w:line="256" w:lineRule="auto"/>
        <w:ind w:right="399"/>
        <w:rPr>
          <w:sz w:val="19"/>
        </w:rPr>
      </w:pPr>
      <w:proofErr w:type="gramStart"/>
      <w:r>
        <w:rPr>
          <w:color w:val="636466"/>
          <w:sz w:val="19"/>
        </w:rPr>
        <w:t>a</w:t>
      </w:r>
      <w:proofErr w:type="gramEnd"/>
      <w:r>
        <w:rPr>
          <w:color w:val="636466"/>
          <w:sz w:val="19"/>
        </w:rPr>
        <w:t xml:space="preserve"> comprehensive and risk-adjusted strategy and funding model to reduce avoidable readmissions to hospital that will adjust the funding to hospitals that exceed a predetermined avoidable readmission rate for an agreed set of conditions and the circumstances in which they</w:t>
      </w:r>
      <w:r>
        <w:rPr>
          <w:color w:val="636466"/>
          <w:spacing w:val="-2"/>
          <w:sz w:val="19"/>
        </w:rPr>
        <w:t xml:space="preserve"> </w:t>
      </w:r>
      <w:r>
        <w:rPr>
          <w:color w:val="636466"/>
          <w:sz w:val="19"/>
        </w:rPr>
        <w:t>occur.</w:t>
      </w:r>
    </w:p>
    <w:p w:rsidR="00D840DF" w:rsidRPr="009B28EE" w:rsidRDefault="00961020" w:rsidP="009B28EE">
      <w:pPr>
        <w:pStyle w:val="BodyText"/>
        <w:spacing w:line="256" w:lineRule="auto"/>
        <w:ind w:left="340" w:right="269"/>
      </w:pPr>
      <w:r>
        <w:rPr>
          <w:color w:val="636466"/>
        </w:rPr>
        <w:t>The Direction specified that IHPA provide advice to the COAG Health Council regarding options by 30 November 2016.</w:t>
      </w:r>
    </w:p>
    <w:p w:rsidR="00D840DF" w:rsidRPr="009B28EE" w:rsidRDefault="00961020" w:rsidP="009B28EE">
      <w:pPr>
        <w:pStyle w:val="BodyText"/>
        <w:spacing w:line="256" w:lineRule="auto"/>
        <w:ind w:left="340"/>
      </w:pPr>
      <w:r>
        <w:rPr>
          <w:color w:val="636466"/>
        </w:rPr>
        <w:t>On 30 November 2016 IHPA provided advice to the COAG Health Council on options for the integration of safety and quality into public hospital pricing and funding.</w:t>
      </w:r>
    </w:p>
    <w:p w:rsidR="00D840DF" w:rsidRDefault="00961020">
      <w:pPr>
        <w:pStyle w:val="ListParagraph"/>
        <w:numPr>
          <w:ilvl w:val="0"/>
          <w:numId w:val="22"/>
        </w:numPr>
        <w:tabs>
          <w:tab w:val="left" w:pos="341"/>
        </w:tabs>
        <w:spacing w:line="256" w:lineRule="auto"/>
        <w:ind w:right="578"/>
        <w:rPr>
          <w:i/>
          <w:sz w:val="19"/>
        </w:rPr>
      </w:pPr>
      <w:r>
        <w:rPr>
          <w:color w:val="636466"/>
          <w:sz w:val="19"/>
        </w:rPr>
        <w:t xml:space="preserve">On </w:t>
      </w:r>
      <w:r>
        <w:rPr>
          <w:color w:val="636466"/>
          <w:spacing w:val="-7"/>
          <w:sz w:val="19"/>
        </w:rPr>
        <w:t xml:space="preserve">16 </w:t>
      </w:r>
      <w:r>
        <w:rPr>
          <w:color w:val="636466"/>
          <w:sz w:val="19"/>
        </w:rPr>
        <w:t xml:space="preserve">February </w:t>
      </w:r>
      <w:r>
        <w:rPr>
          <w:color w:val="636466"/>
          <w:spacing w:val="-8"/>
          <w:sz w:val="19"/>
        </w:rPr>
        <w:t xml:space="preserve">2017 </w:t>
      </w:r>
      <w:r>
        <w:rPr>
          <w:color w:val="636466"/>
          <w:sz w:val="19"/>
        </w:rPr>
        <w:t xml:space="preserve">IHPA received a Ministerial Direction from the Hon. Greg Hunt under section </w:t>
      </w:r>
      <w:r>
        <w:rPr>
          <w:color w:val="636466"/>
          <w:spacing w:val="-6"/>
          <w:sz w:val="19"/>
        </w:rPr>
        <w:t>226(1)</w:t>
      </w:r>
      <w:r w:rsidR="00E314B6">
        <w:rPr>
          <w:color w:val="636466"/>
          <w:spacing w:val="-6"/>
          <w:sz w:val="19"/>
        </w:rPr>
        <w:t xml:space="preserve"> </w:t>
      </w:r>
      <w:r>
        <w:rPr>
          <w:color w:val="636466"/>
          <w:sz w:val="19"/>
        </w:rPr>
        <w:t xml:space="preserve">of the </w:t>
      </w:r>
      <w:r>
        <w:rPr>
          <w:i/>
          <w:color w:val="636466"/>
          <w:sz w:val="19"/>
        </w:rPr>
        <w:t>National Health Reform Act</w:t>
      </w:r>
      <w:r>
        <w:rPr>
          <w:i/>
          <w:color w:val="636466"/>
          <w:spacing w:val="17"/>
          <w:sz w:val="19"/>
        </w:rPr>
        <w:t xml:space="preserve"> </w:t>
      </w:r>
      <w:r>
        <w:rPr>
          <w:i/>
          <w:color w:val="636466"/>
          <w:spacing w:val="-10"/>
          <w:sz w:val="19"/>
        </w:rPr>
        <w:t>2011.</w:t>
      </w:r>
    </w:p>
    <w:p w:rsidR="00D840DF" w:rsidRPr="009B28EE" w:rsidRDefault="00961020" w:rsidP="009B28EE">
      <w:pPr>
        <w:pStyle w:val="BodyText"/>
        <w:spacing w:before="112" w:line="256" w:lineRule="auto"/>
        <w:ind w:left="340" w:right="269"/>
      </w:pPr>
      <w:r>
        <w:rPr>
          <w:color w:val="636466"/>
        </w:rPr>
        <w:t>The Direction required that IHPA undertake implementation of agreed recommendations of the COAG Health Council on pricing for safety and quality to give effect to:</w:t>
      </w:r>
    </w:p>
    <w:p w:rsidR="00D840DF" w:rsidRDefault="00961020">
      <w:pPr>
        <w:pStyle w:val="ListParagraph"/>
        <w:numPr>
          <w:ilvl w:val="1"/>
          <w:numId w:val="22"/>
        </w:numPr>
        <w:tabs>
          <w:tab w:val="left" w:pos="497"/>
        </w:tabs>
        <w:spacing w:line="256" w:lineRule="auto"/>
        <w:ind w:right="362"/>
        <w:rPr>
          <w:sz w:val="19"/>
        </w:rPr>
      </w:pPr>
      <w:r>
        <w:rPr>
          <w:color w:val="636466"/>
          <w:sz w:val="19"/>
        </w:rPr>
        <w:t>Nil funding for a public hospital episode including a sentinel event which occurs on or after</w:t>
      </w:r>
      <w:r w:rsidR="00E314B6">
        <w:rPr>
          <w:color w:val="636466"/>
          <w:sz w:val="19"/>
        </w:rPr>
        <w:t xml:space="preserve"> </w:t>
      </w:r>
      <w:r>
        <w:rPr>
          <w:color w:val="636466"/>
          <w:sz w:val="19"/>
        </w:rPr>
        <w:t xml:space="preserve">1 July </w:t>
      </w:r>
      <w:r>
        <w:rPr>
          <w:color w:val="636466"/>
          <w:spacing w:val="-11"/>
          <w:sz w:val="19"/>
        </w:rPr>
        <w:t xml:space="preserve">2017, </w:t>
      </w:r>
      <w:r>
        <w:rPr>
          <w:color w:val="636466"/>
          <w:sz w:val="19"/>
        </w:rPr>
        <w:t>applying to all relevant episodes of care (being admitted and other episodes) in hospitals where the services are funded on an activity basis and hospitals where services are block</w:t>
      </w:r>
      <w:r>
        <w:rPr>
          <w:color w:val="636466"/>
          <w:spacing w:val="15"/>
          <w:sz w:val="19"/>
        </w:rPr>
        <w:t xml:space="preserve"> </w:t>
      </w:r>
      <w:r>
        <w:rPr>
          <w:color w:val="636466"/>
          <w:sz w:val="19"/>
        </w:rPr>
        <w:t>funded.</w:t>
      </w:r>
    </w:p>
    <w:p w:rsidR="00D840DF" w:rsidRDefault="00961020" w:rsidP="009B28EE">
      <w:pPr>
        <w:pStyle w:val="ListParagraph"/>
        <w:numPr>
          <w:ilvl w:val="1"/>
          <w:numId w:val="22"/>
        </w:numPr>
        <w:tabs>
          <w:tab w:val="left" w:pos="497"/>
        </w:tabs>
        <w:spacing w:before="112" w:line="256" w:lineRule="auto"/>
        <w:ind w:right="373"/>
        <w:rPr>
          <w:sz w:val="20"/>
        </w:rPr>
      </w:pPr>
      <w:r>
        <w:rPr>
          <w:color w:val="636466"/>
          <w:sz w:val="19"/>
        </w:rPr>
        <w:t xml:space="preserve">An appropriate reduced funding level for all hospital acquired complications, in accordance with Option 3 of the draft </w:t>
      </w:r>
      <w:hyperlink r:id="rId16">
        <w:r>
          <w:rPr>
            <w:i/>
            <w:color w:val="636466"/>
            <w:sz w:val="19"/>
          </w:rPr>
          <w:t>Pricing Framework for Australian Public Hospital Services</w:t>
        </w:r>
      </w:hyperlink>
      <w:r>
        <w:rPr>
          <w:i/>
          <w:color w:val="636466"/>
          <w:sz w:val="19"/>
        </w:rPr>
        <w:t xml:space="preserve"> </w:t>
      </w:r>
      <w:hyperlink r:id="rId17">
        <w:r>
          <w:rPr>
            <w:i/>
            <w:color w:val="636466"/>
            <w:sz w:val="19"/>
          </w:rPr>
          <w:t xml:space="preserve"> </w:t>
        </w:r>
        <w:r>
          <w:rPr>
            <w:i/>
            <w:color w:val="636466"/>
            <w:spacing w:val="-9"/>
            <w:sz w:val="19"/>
          </w:rPr>
          <w:t>2017–18</w:t>
        </w:r>
        <w:r>
          <w:rPr>
            <w:color w:val="636466"/>
            <w:spacing w:val="-9"/>
            <w:sz w:val="19"/>
          </w:rPr>
          <w:t>,</w:t>
        </w:r>
      </w:hyperlink>
      <w:r>
        <w:rPr>
          <w:color w:val="636466"/>
          <w:spacing w:val="-9"/>
          <w:sz w:val="19"/>
        </w:rPr>
        <w:t xml:space="preserve"> </w:t>
      </w:r>
      <w:r>
        <w:rPr>
          <w:color w:val="636466"/>
          <w:sz w:val="19"/>
        </w:rPr>
        <w:t xml:space="preserve">as existing on 30 November </w:t>
      </w:r>
      <w:r>
        <w:rPr>
          <w:color w:val="636466"/>
          <w:spacing w:val="-6"/>
          <w:sz w:val="19"/>
        </w:rPr>
        <w:t xml:space="preserve">2016, </w:t>
      </w:r>
      <w:r>
        <w:rPr>
          <w:color w:val="636466"/>
          <w:sz w:val="19"/>
        </w:rPr>
        <w:t>to reflect the additional cost of a hospital admission</w:t>
      </w:r>
      <w:r>
        <w:rPr>
          <w:color w:val="636466"/>
          <w:spacing w:val="5"/>
          <w:sz w:val="19"/>
        </w:rPr>
        <w:t xml:space="preserve"> </w:t>
      </w:r>
      <w:r>
        <w:rPr>
          <w:color w:val="636466"/>
          <w:sz w:val="19"/>
        </w:rPr>
        <w:t>with</w:t>
      </w:r>
      <w:r>
        <w:rPr>
          <w:color w:val="636466"/>
          <w:spacing w:val="6"/>
          <w:sz w:val="19"/>
        </w:rPr>
        <w:t xml:space="preserve"> </w:t>
      </w:r>
      <w:r>
        <w:rPr>
          <w:color w:val="636466"/>
          <w:sz w:val="19"/>
        </w:rPr>
        <w:t>a</w:t>
      </w:r>
      <w:r>
        <w:rPr>
          <w:color w:val="636466"/>
          <w:spacing w:val="6"/>
          <w:sz w:val="19"/>
        </w:rPr>
        <w:t xml:space="preserve"> </w:t>
      </w:r>
      <w:r>
        <w:rPr>
          <w:color w:val="636466"/>
          <w:sz w:val="19"/>
        </w:rPr>
        <w:t>hospital</w:t>
      </w:r>
      <w:r>
        <w:rPr>
          <w:color w:val="636466"/>
          <w:spacing w:val="6"/>
          <w:sz w:val="19"/>
        </w:rPr>
        <w:t xml:space="preserve"> </w:t>
      </w:r>
      <w:r>
        <w:rPr>
          <w:color w:val="636466"/>
          <w:sz w:val="19"/>
        </w:rPr>
        <w:t>acquired</w:t>
      </w:r>
      <w:r>
        <w:rPr>
          <w:color w:val="636466"/>
          <w:spacing w:val="6"/>
          <w:sz w:val="19"/>
        </w:rPr>
        <w:t xml:space="preserve"> </w:t>
      </w:r>
      <w:r>
        <w:rPr>
          <w:color w:val="636466"/>
          <w:sz w:val="19"/>
        </w:rPr>
        <w:t>complication,</w:t>
      </w:r>
      <w:r>
        <w:rPr>
          <w:color w:val="636466"/>
          <w:spacing w:val="6"/>
          <w:sz w:val="19"/>
        </w:rPr>
        <w:t xml:space="preserve"> </w:t>
      </w:r>
      <w:r>
        <w:rPr>
          <w:color w:val="636466"/>
          <w:sz w:val="19"/>
        </w:rPr>
        <w:t>to</w:t>
      </w:r>
      <w:r>
        <w:rPr>
          <w:color w:val="636466"/>
          <w:spacing w:val="6"/>
          <w:sz w:val="19"/>
        </w:rPr>
        <w:t xml:space="preserve"> </w:t>
      </w:r>
      <w:r>
        <w:rPr>
          <w:color w:val="636466"/>
          <w:sz w:val="19"/>
        </w:rPr>
        <w:t>be</w:t>
      </w:r>
      <w:r>
        <w:rPr>
          <w:color w:val="636466"/>
          <w:spacing w:val="6"/>
          <w:sz w:val="19"/>
        </w:rPr>
        <w:t xml:space="preserve"> </w:t>
      </w:r>
      <w:r>
        <w:rPr>
          <w:color w:val="636466"/>
          <w:sz w:val="19"/>
        </w:rPr>
        <w:t>applied</w:t>
      </w:r>
      <w:r>
        <w:rPr>
          <w:color w:val="636466"/>
          <w:spacing w:val="6"/>
          <w:sz w:val="19"/>
        </w:rPr>
        <w:t xml:space="preserve"> </w:t>
      </w:r>
      <w:r>
        <w:rPr>
          <w:color w:val="636466"/>
          <w:sz w:val="19"/>
        </w:rPr>
        <w:t>across</w:t>
      </w:r>
      <w:r>
        <w:rPr>
          <w:color w:val="636466"/>
          <w:spacing w:val="6"/>
          <w:sz w:val="19"/>
        </w:rPr>
        <w:t xml:space="preserve"> </w:t>
      </w:r>
      <w:r>
        <w:rPr>
          <w:color w:val="636466"/>
          <w:sz w:val="19"/>
        </w:rPr>
        <w:t>all</w:t>
      </w:r>
      <w:r>
        <w:rPr>
          <w:color w:val="636466"/>
          <w:spacing w:val="6"/>
          <w:sz w:val="19"/>
        </w:rPr>
        <w:t xml:space="preserve"> </w:t>
      </w:r>
      <w:r>
        <w:rPr>
          <w:color w:val="636466"/>
          <w:sz w:val="19"/>
        </w:rPr>
        <w:t>public</w:t>
      </w:r>
      <w:r>
        <w:rPr>
          <w:color w:val="636466"/>
          <w:spacing w:val="5"/>
          <w:sz w:val="19"/>
        </w:rPr>
        <w:t xml:space="preserve"> </w:t>
      </w:r>
      <w:r>
        <w:rPr>
          <w:color w:val="636466"/>
          <w:sz w:val="19"/>
        </w:rPr>
        <w:t>hospitals.</w:t>
      </w:r>
      <w:r w:rsidR="009B28EE">
        <w:rPr>
          <w:sz w:val="20"/>
        </w:rPr>
        <w:t xml:space="preserve"> </w:t>
      </w:r>
    </w:p>
    <w:p w:rsidR="00D840DF" w:rsidRPr="009B28EE" w:rsidRDefault="00961020" w:rsidP="009B28EE">
      <w:pPr>
        <w:pStyle w:val="ListParagraph"/>
        <w:numPr>
          <w:ilvl w:val="1"/>
          <w:numId w:val="22"/>
        </w:numPr>
        <w:tabs>
          <w:tab w:val="left" w:pos="487"/>
        </w:tabs>
        <w:spacing w:before="89" w:line="256" w:lineRule="auto"/>
        <w:ind w:left="486" w:right="110"/>
        <w:rPr>
          <w:sz w:val="19"/>
        </w:rPr>
      </w:pPr>
      <w:r>
        <w:rPr>
          <w:color w:val="636466"/>
          <w:sz w:val="19"/>
        </w:rPr>
        <w:t xml:space="preserve">Undertake further public consultation to inform a future pricing and funding approach in relation </w:t>
      </w:r>
      <w:r>
        <w:rPr>
          <w:color w:val="636466"/>
          <w:sz w:val="19"/>
        </w:rPr>
        <w:lastRenderedPageBreak/>
        <w:t>to avoidable hospital readmissions, based on a set of definitions to be developed by the Australian</w:t>
      </w:r>
      <w:r>
        <w:rPr>
          <w:color w:val="636466"/>
          <w:spacing w:val="7"/>
          <w:sz w:val="19"/>
        </w:rPr>
        <w:t xml:space="preserve"> </w:t>
      </w:r>
      <w:r>
        <w:rPr>
          <w:color w:val="636466"/>
          <w:sz w:val="19"/>
        </w:rPr>
        <w:t>Commission</w:t>
      </w:r>
      <w:r>
        <w:rPr>
          <w:color w:val="636466"/>
          <w:spacing w:val="7"/>
          <w:sz w:val="19"/>
        </w:rPr>
        <w:t xml:space="preserve"> </w:t>
      </w:r>
      <w:r>
        <w:rPr>
          <w:color w:val="636466"/>
          <w:sz w:val="19"/>
        </w:rPr>
        <w:t>on</w:t>
      </w:r>
      <w:r>
        <w:rPr>
          <w:color w:val="636466"/>
          <w:spacing w:val="6"/>
          <w:sz w:val="19"/>
        </w:rPr>
        <w:t xml:space="preserve"> </w:t>
      </w:r>
      <w:r>
        <w:rPr>
          <w:color w:val="636466"/>
          <w:sz w:val="19"/>
        </w:rPr>
        <w:t>Safety</w:t>
      </w:r>
      <w:r>
        <w:rPr>
          <w:color w:val="636466"/>
          <w:spacing w:val="7"/>
          <w:sz w:val="19"/>
        </w:rPr>
        <w:t xml:space="preserve"> </w:t>
      </w:r>
      <w:r>
        <w:rPr>
          <w:color w:val="636466"/>
          <w:sz w:val="19"/>
        </w:rPr>
        <w:t>and</w:t>
      </w:r>
      <w:r>
        <w:rPr>
          <w:color w:val="636466"/>
          <w:spacing w:val="6"/>
          <w:sz w:val="19"/>
        </w:rPr>
        <w:t xml:space="preserve"> </w:t>
      </w:r>
      <w:r>
        <w:rPr>
          <w:color w:val="636466"/>
          <w:sz w:val="19"/>
        </w:rPr>
        <w:t>Quality</w:t>
      </w:r>
      <w:r>
        <w:rPr>
          <w:color w:val="636466"/>
          <w:spacing w:val="7"/>
          <w:sz w:val="19"/>
        </w:rPr>
        <w:t xml:space="preserve"> </w:t>
      </w:r>
      <w:r>
        <w:rPr>
          <w:color w:val="636466"/>
          <w:sz w:val="19"/>
        </w:rPr>
        <w:t>in</w:t>
      </w:r>
      <w:r>
        <w:rPr>
          <w:color w:val="636466"/>
          <w:spacing w:val="7"/>
          <w:sz w:val="19"/>
        </w:rPr>
        <w:t xml:space="preserve"> </w:t>
      </w:r>
      <w:r>
        <w:rPr>
          <w:color w:val="636466"/>
          <w:sz w:val="19"/>
        </w:rPr>
        <w:t>Health</w:t>
      </w:r>
      <w:r>
        <w:rPr>
          <w:color w:val="636466"/>
          <w:spacing w:val="7"/>
          <w:sz w:val="19"/>
        </w:rPr>
        <w:t xml:space="preserve"> </w:t>
      </w:r>
      <w:r>
        <w:rPr>
          <w:color w:val="636466"/>
          <w:sz w:val="19"/>
        </w:rPr>
        <w:t>Care.</w:t>
      </w:r>
    </w:p>
    <w:p w:rsidR="00D840DF" w:rsidRPr="009B28EE" w:rsidRDefault="00961020" w:rsidP="009B28EE">
      <w:pPr>
        <w:pStyle w:val="BodyText"/>
      </w:pPr>
      <w:r>
        <w:t xml:space="preserve">IHPA incorporated the requirements under this Direction into the final </w:t>
      </w:r>
      <w:r>
        <w:rPr>
          <w:i/>
        </w:rPr>
        <w:t>Pricing Framework for Australian Public Hospitals 2017–18</w:t>
      </w:r>
      <w:r w:rsidR="00E314B6">
        <w:rPr>
          <w:i/>
        </w:rPr>
        <w:t xml:space="preserve"> </w:t>
      </w:r>
      <w:r>
        <w:t>published on the IHPA website in early March</w:t>
      </w:r>
      <w:r w:rsidR="00E314B6">
        <w:t xml:space="preserve"> </w:t>
      </w:r>
      <w:r>
        <w:t>2017.</w:t>
      </w:r>
    </w:p>
    <w:p w:rsidR="00D840DF" w:rsidRDefault="00961020" w:rsidP="009B28EE">
      <w:pPr>
        <w:pStyle w:val="BodyText"/>
      </w:pPr>
      <w:r>
        <w:t xml:space="preserve">IHPA will undertake further consultation as part of its annual consultation process on the draft </w:t>
      </w:r>
      <w:r>
        <w:rPr>
          <w:i/>
        </w:rPr>
        <w:t xml:space="preserve">Pricing Framework for Australian Public Hospitals 2018–19 </w:t>
      </w:r>
      <w:r>
        <w:t>due for publication in June 2017 and provide a report back to the COAG Health Council by 30 November 2017.</w:t>
      </w:r>
    </w:p>
    <w:p w:rsidR="00D840DF" w:rsidRDefault="00D840DF">
      <w:pPr>
        <w:spacing w:line="256" w:lineRule="auto"/>
        <w:jc w:val="both"/>
        <w:rPr>
          <w:sz w:val="19"/>
        </w:rPr>
        <w:sectPr w:rsidR="00D840DF">
          <w:pgSz w:w="9980" w:h="14180"/>
          <w:pgMar w:top="1320" w:right="1020" w:bottom="280" w:left="1200" w:header="720" w:footer="720" w:gutter="0"/>
          <w:cols w:space="720"/>
        </w:sectPr>
      </w:pPr>
    </w:p>
    <w:p w:rsidR="00D840DF" w:rsidRDefault="00961020" w:rsidP="009B28EE">
      <w:pPr>
        <w:pStyle w:val="Heading2"/>
      </w:pPr>
      <w:bookmarkStart w:id="18" w:name="What_is_Activity_Based_Funding?"/>
      <w:bookmarkStart w:id="19" w:name="Classification_"/>
      <w:bookmarkStart w:id="20" w:name="Data_collection_"/>
      <w:bookmarkStart w:id="21" w:name="Costing_"/>
      <w:bookmarkStart w:id="22" w:name="Pricing"/>
      <w:bookmarkStart w:id="23" w:name="_bookmark4"/>
      <w:bookmarkStart w:id="24" w:name="_Toc496088480"/>
      <w:bookmarkEnd w:id="18"/>
      <w:bookmarkEnd w:id="19"/>
      <w:bookmarkEnd w:id="20"/>
      <w:bookmarkEnd w:id="21"/>
      <w:bookmarkEnd w:id="22"/>
      <w:bookmarkEnd w:id="23"/>
      <w:r>
        <w:lastRenderedPageBreak/>
        <w:t>What is Activity Based Funding?</w:t>
      </w:r>
      <w:bookmarkEnd w:id="24"/>
    </w:p>
    <w:p w:rsidR="00D840DF" w:rsidRPr="009B28EE" w:rsidRDefault="00961020" w:rsidP="009B28EE">
      <w:pPr>
        <w:pStyle w:val="BodyText"/>
      </w:pPr>
      <w:r>
        <w:t>Activity Based Funding (ABF) means hospitals are paid for the number and complexity of patients they treat. If a hospital treats more patients, it receives more funding. ABF takes into account the fact that some patients are more complicated to treat than others.</w:t>
      </w:r>
    </w:p>
    <w:p w:rsidR="00D840DF" w:rsidRPr="009B28EE" w:rsidRDefault="00961020" w:rsidP="009B28EE">
      <w:pPr>
        <w:pStyle w:val="BodyText"/>
      </w:pPr>
      <w:r>
        <w:t xml:space="preserve">ABF enables efficiency comparisons between hospitals and allows system and hospital managers to identify </w:t>
      </w:r>
      <w:r w:rsidRPr="009B28EE">
        <w:t>inefficient</w:t>
      </w:r>
      <w:r>
        <w:t xml:space="preserve"> practices, manage costs and </w:t>
      </w:r>
      <w:proofErr w:type="spellStart"/>
      <w:r>
        <w:t>optimise</w:t>
      </w:r>
      <w:proofErr w:type="spellEnd"/>
      <w:r>
        <w:t xml:space="preserve"> resource allocation. ABF is a useful tool to measure hospital performance and to establish appropriate</w:t>
      </w:r>
      <w:r w:rsidR="00E314B6">
        <w:t xml:space="preserve"> </w:t>
      </w:r>
      <w:r>
        <w:t>benchmarks.</w:t>
      </w:r>
    </w:p>
    <w:p w:rsidR="00D840DF" w:rsidRPr="009B28EE" w:rsidRDefault="00961020" w:rsidP="009B28EE">
      <w:pPr>
        <w:pStyle w:val="BodyText"/>
      </w:pPr>
      <w:r>
        <w:t xml:space="preserve">The building blocks </w:t>
      </w:r>
      <w:r w:rsidRPr="009B28EE">
        <w:t>required</w:t>
      </w:r>
      <w:r>
        <w:t xml:space="preserve"> for an ABF system are:</w:t>
      </w:r>
    </w:p>
    <w:p w:rsidR="00D840DF" w:rsidRDefault="00961020" w:rsidP="009B28EE">
      <w:pPr>
        <w:pStyle w:val="Heading3"/>
      </w:pPr>
      <w:r>
        <w:t>Classification</w:t>
      </w:r>
    </w:p>
    <w:p w:rsidR="00D840DF" w:rsidRPr="009B28EE" w:rsidRDefault="00961020">
      <w:pPr>
        <w:pStyle w:val="BodyText"/>
      </w:pPr>
      <w:r>
        <w:t>Classifications provide the health care sector with a nationally consistent method of classifying</w:t>
      </w:r>
      <w:r w:rsidR="00E314B6">
        <w:t xml:space="preserve"> </w:t>
      </w:r>
      <w:r>
        <w:t>all</w:t>
      </w:r>
      <w:r>
        <w:rPr>
          <w:spacing w:val="7"/>
        </w:rPr>
        <w:t xml:space="preserve"> </w:t>
      </w:r>
      <w:r>
        <w:t>types</w:t>
      </w:r>
      <w:r>
        <w:rPr>
          <w:spacing w:val="5"/>
        </w:rPr>
        <w:t xml:space="preserve"> </w:t>
      </w:r>
      <w:r w:rsidRPr="009B28EE">
        <w:t>of patients, their treatment and associated costs in order to provide better management,</w:t>
      </w:r>
      <w:r w:rsidR="00206D44">
        <w:t xml:space="preserve"> </w:t>
      </w:r>
      <w:r w:rsidRPr="009B28EE">
        <w:t>measurement and funding of high quality and efficient health care services. More information about IHPA’s classifications</w:t>
      </w:r>
      <w:r>
        <w:t xml:space="preserve"> and how they are developed is available at </w:t>
      </w:r>
      <w:hyperlink r:id="rId18">
        <w:r>
          <w:rPr>
            <w:color w:val="008F54"/>
            <w:u w:val="single" w:color="008F54"/>
          </w:rPr>
          <w:t>www.ihpa.gov.au/what-we-do/</w:t>
        </w:r>
      </w:hyperlink>
      <w:r>
        <w:rPr>
          <w:color w:val="008F54"/>
        </w:rPr>
        <w:t xml:space="preserve"> </w:t>
      </w:r>
      <w:hyperlink r:id="rId19">
        <w:r>
          <w:rPr>
            <w:color w:val="008F54"/>
            <w:u w:val="single" w:color="008F54"/>
          </w:rPr>
          <w:t>classifications</w:t>
        </w:r>
      </w:hyperlink>
      <w:r>
        <w:t>.</w:t>
      </w:r>
    </w:p>
    <w:p w:rsidR="00D840DF" w:rsidRDefault="00961020" w:rsidP="009B28EE">
      <w:pPr>
        <w:pStyle w:val="Heading3"/>
      </w:pPr>
      <w:r>
        <w:t>Data collection</w:t>
      </w:r>
    </w:p>
    <w:p w:rsidR="00D840DF" w:rsidRPr="009B28EE" w:rsidRDefault="00961020" w:rsidP="009B28EE">
      <w:pPr>
        <w:pStyle w:val="BodyText"/>
      </w:pPr>
      <w:r>
        <w:t xml:space="preserve">Each patient episode needs to be counted. This includes inpatient admissions, emergency department presentations and outpatient appointments as well as a range of mental health and rehabilitation services. More information about IHPA’s data collection is available at </w:t>
      </w:r>
      <w:hyperlink r:id="rId20">
        <w:r>
          <w:rPr>
            <w:color w:val="008F54"/>
            <w:u w:val="single" w:color="008F54"/>
          </w:rPr>
          <w:t>www.ihpa.gov.au/what-we-</w:t>
        </w:r>
      </w:hyperlink>
      <w:r>
        <w:rPr>
          <w:color w:val="008F54"/>
        </w:rPr>
        <w:t xml:space="preserve"> </w:t>
      </w:r>
      <w:hyperlink r:id="rId21">
        <w:r>
          <w:rPr>
            <w:color w:val="008F54"/>
            <w:u w:val="single" w:color="008F54"/>
          </w:rPr>
          <w:t>do/data</w:t>
        </w:r>
      </w:hyperlink>
      <w:r>
        <w:rPr>
          <w:color w:val="008F54"/>
          <w:u w:val="single" w:color="008F54"/>
        </w:rPr>
        <w:t>-collection</w:t>
      </w:r>
      <w:r>
        <w:t>.</w:t>
      </w:r>
    </w:p>
    <w:p w:rsidR="00D840DF" w:rsidRDefault="00961020" w:rsidP="009B28EE">
      <w:pPr>
        <w:pStyle w:val="Heading3"/>
      </w:pPr>
      <w:r>
        <w:t>Costing</w:t>
      </w:r>
    </w:p>
    <w:p w:rsidR="00D840DF" w:rsidRPr="009B28EE" w:rsidRDefault="00961020">
      <w:pPr>
        <w:pStyle w:val="BodyText"/>
      </w:pPr>
      <w:r>
        <w:t xml:space="preserve">A representative </w:t>
      </w:r>
      <w:r w:rsidRPr="009B28EE">
        <w:t>number</w:t>
      </w:r>
      <w:r>
        <w:t xml:space="preserve"> of patient episodes are costed. This information is used for developing the classification system and for the pricing model. More information about IHPA’s costing activities is available at </w:t>
      </w:r>
      <w:hyperlink r:id="rId22">
        <w:r>
          <w:rPr>
            <w:color w:val="008F54"/>
            <w:u w:val="single" w:color="008F54"/>
          </w:rPr>
          <w:t>www.ihpa.gov.au/what-we-do/costing</w:t>
        </w:r>
      </w:hyperlink>
      <w:r>
        <w:t>.</w:t>
      </w:r>
    </w:p>
    <w:p w:rsidR="00D840DF" w:rsidRPr="009B28EE" w:rsidRDefault="00961020" w:rsidP="009B28EE">
      <w:pPr>
        <w:pStyle w:val="Heading3"/>
      </w:pPr>
      <w:r>
        <w:t>Pricing</w:t>
      </w:r>
    </w:p>
    <w:p w:rsidR="00D840DF" w:rsidRDefault="00961020" w:rsidP="009B28EE">
      <w:pPr>
        <w:pStyle w:val="BodyText"/>
      </w:pPr>
      <w:r>
        <w:t xml:space="preserve">The pricing model determines how much is paid for an average patient. The pricing model needs to </w:t>
      </w:r>
      <w:r w:rsidRPr="009B28EE">
        <w:t>adequately</w:t>
      </w:r>
      <w:r>
        <w:t xml:space="preserve"> </w:t>
      </w:r>
      <w:proofErr w:type="spellStart"/>
      <w:r>
        <w:t>recognise</w:t>
      </w:r>
      <w:proofErr w:type="spellEnd"/>
      <w:r>
        <w:t xml:space="preserve"> factors that increase the cost of care that may not be picked up in the classification system, for example the additional cost of providing health services in remote areas, or to children. More information about IHPA pricing activities is available at </w:t>
      </w:r>
      <w:hyperlink r:id="rId23">
        <w:r>
          <w:rPr>
            <w:color w:val="008F54"/>
            <w:u w:val="single" w:color="008F54"/>
          </w:rPr>
          <w:t>www.ihpa.gov.au/what-we-do/pricing</w:t>
        </w:r>
      </w:hyperlink>
      <w:r>
        <w:t>.</w:t>
      </w:r>
    </w:p>
    <w:p w:rsidR="00D840DF" w:rsidRDefault="00D840DF">
      <w:pPr>
        <w:spacing w:line="256" w:lineRule="auto"/>
        <w:sectPr w:rsidR="00D840DF">
          <w:pgSz w:w="9980" w:h="14180"/>
          <w:pgMar w:top="1320" w:right="1220" w:bottom="280" w:left="1040" w:header="720" w:footer="720" w:gutter="0"/>
          <w:cols w:space="720"/>
        </w:sectPr>
      </w:pPr>
    </w:p>
    <w:p w:rsidR="00D840DF" w:rsidRDefault="00961020" w:rsidP="009B28EE">
      <w:pPr>
        <w:pStyle w:val="Heading2"/>
      </w:pPr>
      <w:bookmarkStart w:id="25" w:name="Organisational_structure"/>
      <w:bookmarkStart w:id="26" w:name="_bookmark5"/>
      <w:bookmarkStart w:id="27" w:name="_Toc496088481"/>
      <w:bookmarkEnd w:id="25"/>
      <w:bookmarkEnd w:id="26"/>
      <w:proofErr w:type="spellStart"/>
      <w:r>
        <w:lastRenderedPageBreak/>
        <w:t>Organisational</w:t>
      </w:r>
      <w:proofErr w:type="spellEnd"/>
      <w:r>
        <w:t xml:space="preserve"> structure</w:t>
      </w:r>
      <w:bookmarkEnd w:id="27"/>
    </w:p>
    <w:p w:rsidR="00D840DF" w:rsidRPr="00206D44" w:rsidRDefault="00961020" w:rsidP="00206D44">
      <w:pPr>
        <w:pStyle w:val="Heading4"/>
        <w:rPr>
          <w:rFonts w:ascii="Futura PT Bold"/>
        </w:rPr>
      </w:pPr>
      <w:bookmarkStart w:id="28" w:name="_Figure_1:_IHPA’s"/>
      <w:bookmarkEnd w:id="28"/>
      <w:r w:rsidRPr="00D56902">
        <w:t>F</w:t>
      </w:r>
      <w:r w:rsidR="00D56902" w:rsidRPr="00D56902">
        <w:t xml:space="preserve">igure 1: </w:t>
      </w:r>
      <w:r w:rsidRPr="00D56902">
        <w:t>IHPA’s</w:t>
      </w:r>
      <w:r w:rsidR="00E314B6">
        <w:t xml:space="preserve"> </w:t>
      </w:r>
      <w:proofErr w:type="spellStart"/>
      <w:r w:rsidRPr="00D56902">
        <w:t>organisational</w:t>
      </w:r>
      <w:proofErr w:type="spellEnd"/>
      <w:r w:rsidRPr="00D56902">
        <w:t xml:space="preserve"> structure at 30 June 2017</w:t>
      </w:r>
    </w:p>
    <w:p w:rsidR="00D840DF" w:rsidRDefault="00E14BA1" w:rsidP="00206D44">
      <w:pPr>
        <w:pStyle w:val="BodyText"/>
      </w:pPr>
      <w:r>
        <w:rPr>
          <w:noProof/>
        </w:rPr>
        <w:drawing>
          <wp:anchor distT="0" distB="0" distL="114300" distR="114300" simplePos="0" relativeHeight="251729408" behindDoc="0" locked="0" layoutInCell="1" allowOverlap="1">
            <wp:simplePos x="0" y="0"/>
            <wp:positionH relativeFrom="column">
              <wp:posOffset>-1905</wp:posOffset>
            </wp:positionH>
            <wp:positionV relativeFrom="paragraph">
              <wp:posOffset>635</wp:posOffset>
            </wp:positionV>
            <wp:extent cx="4927600" cy="4665980"/>
            <wp:effectExtent l="0" t="0" r="6350" b="1270"/>
            <wp:wrapTopAndBottom/>
            <wp:docPr id="192" name="Picture 15" descr="The Minister for Health is reported to by the Pricing Authority (Chair: Shane Solomon). The Chief Executive Officer (James Downie) reports to the Pricing Authority. The Activity Based Funding SES1 and the Office of the CEO both report to the CEO. Reporting to the Activity Based Funding SES1: Classifications and coding standards EL2, Hospital costing EL2, Data acquisition EL2, Pricing EL2, Policy development EL2." title="Figure 1: IHPA’s organisational structure at 30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Minister for Health is reported to by the Pricing Authority (Chair: Shane Solomon). The Chief Executive Officer (James Downie) reports to the Pricing Authority. The Activity Based Funding SES1 and the Office of the CEO both report to the CEO. Reporting to the Activity Based Funding SES1: Classifications and coding standards EL2, Hospital costing EL2, Data acquisition EL2, Pricing EL2, Policy development EL2." title="Figure 1: IHPA’s organisational structure at 30 June 2017"/>
                    <pic:cNvPicPr/>
                  </pic:nvPicPr>
                  <pic:blipFill>
                    <a:blip r:embed="rId24">
                      <a:extLst>
                        <a:ext uri="{28A0092B-C50C-407E-A947-70E740481C1C}">
                          <a14:useLocalDpi xmlns:a14="http://schemas.microsoft.com/office/drawing/2010/main" val="0"/>
                        </a:ext>
                      </a:extLst>
                    </a:blip>
                    <a:stretch>
                      <a:fillRect/>
                    </a:stretch>
                  </pic:blipFill>
                  <pic:spPr>
                    <a:xfrm>
                      <a:off x="0" y="0"/>
                      <a:ext cx="4927600" cy="4665980"/>
                    </a:xfrm>
                    <a:prstGeom prst="rect">
                      <a:avLst/>
                    </a:prstGeom>
                  </pic:spPr>
                </pic:pic>
              </a:graphicData>
            </a:graphic>
            <wp14:sizeRelH relativeFrom="page">
              <wp14:pctWidth>0</wp14:pctWidth>
            </wp14:sizeRelH>
            <wp14:sizeRelV relativeFrom="page">
              <wp14:pctHeight>0</wp14:pctHeight>
            </wp14:sizeRelV>
          </wp:anchor>
        </w:drawing>
      </w:r>
    </w:p>
    <w:p w:rsidR="00206D44" w:rsidRDefault="00206D44" w:rsidP="00206D44">
      <w:pPr>
        <w:rPr>
          <w:sz w:val="19"/>
        </w:rPr>
      </w:pPr>
    </w:p>
    <w:p w:rsidR="00206D44" w:rsidRDefault="00206D44">
      <w:pPr>
        <w:jc w:val="center"/>
        <w:rPr>
          <w:sz w:val="19"/>
        </w:rPr>
        <w:sectPr w:rsidR="00206D44">
          <w:pgSz w:w="9980" w:h="14180"/>
          <w:pgMar w:top="1320" w:right="1020" w:bottom="280" w:left="1200" w:header="720" w:footer="720" w:gutter="0"/>
          <w:cols w:space="720"/>
        </w:sectPr>
      </w:pPr>
    </w:p>
    <w:p w:rsidR="00D840DF" w:rsidRPr="00D56902" w:rsidRDefault="00961020" w:rsidP="00D56902">
      <w:pPr>
        <w:pStyle w:val="BodyText"/>
      </w:pPr>
      <w:r>
        <w:lastRenderedPageBreak/>
        <w:t xml:space="preserve">The Pricing Authority is a body corporate consisting of a Chair, Deputy Chair, and up to seven other members. The Chair of the Pricing Authority reports directly to the Minister for Health. For more about the Pricing Authority, </w:t>
      </w:r>
      <w:r>
        <w:rPr>
          <w:i/>
        </w:rPr>
        <w:t xml:space="preserve">see </w:t>
      </w:r>
      <w:r>
        <w:t>p19.</w:t>
      </w:r>
    </w:p>
    <w:p w:rsidR="00D840DF" w:rsidRPr="00D56902" w:rsidRDefault="00961020" w:rsidP="00D56902">
      <w:pPr>
        <w:pStyle w:val="BodyText"/>
      </w:pPr>
      <w:r>
        <w:t xml:space="preserve">The Chief Executive Officer is responsible for the day-to-day management of IHPA and its staff. Pursuant to s 163(4) of the </w:t>
      </w:r>
      <w:r>
        <w:rPr>
          <w:i/>
        </w:rPr>
        <w:t>National Health Reform Act 2011</w:t>
      </w:r>
      <w:r>
        <w:t xml:space="preserve">, the Chief Executive Officer is the Accountable Authority of IHPA for the purposes of the </w:t>
      </w:r>
      <w:r>
        <w:rPr>
          <w:i/>
        </w:rPr>
        <w:t>Public Governance, Performance and Accountability Act 2013</w:t>
      </w:r>
      <w:r>
        <w:t>,</w:t>
      </w:r>
      <w:r w:rsidR="00E314B6">
        <w:t xml:space="preserve"> </w:t>
      </w:r>
      <w:r>
        <w:t>and therefore for the purposes of this Annual</w:t>
      </w:r>
      <w:r w:rsidR="00E314B6">
        <w:t xml:space="preserve"> </w:t>
      </w:r>
      <w:r>
        <w:t>Report.</w:t>
      </w:r>
    </w:p>
    <w:p w:rsidR="00D840DF" w:rsidRDefault="00961020" w:rsidP="00D56902">
      <w:pPr>
        <w:pStyle w:val="BodyText"/>
      </w:pPr>
      <w:r>
        <w:t>To achieve its annual Work Program, IHPA works in collaboration with all Commonwealth and state and territory governments, advisory committees, key</w:t>
      </w:r>
      <w:r w:rsidR="00E314B6">
        <w:t xml:space="preserve"> </w:t>
      </w:r>
      <w:r>
        <w:t>stakeholders</w:t>
      </w:r>
      <w:r w:rsidR="00E314B6">
        <w:t xml:space="preserve"> </w:t>
      </w:r>
      <w:r>
        <w:t>and</w:t>
      </w:r>
      <w:r w:rsidR="00E314B6">
        <w:t xml:space="preserve"> </w:t>
      </w:r>
      <w:r>
        <w:t>the public.</w:t>
      </w:r>
    </w:p>
    <w:p w:rsidR="00D840DF" w:rsidRPr="00D56902" w:rsidRDefault="00961020" w:rsidP="00D56902">
      <w:pPr>
        <w:pStyle w:val="BodyText"/>
      </w:pPr>
      <w:r>
        <w:t xml:space="preserve">IHPA’s statutory committees comprise the Clinical Advisory Committee (CAC) and the Jurisdictional Advisory Committee (JAC), established pursuant to Parts 4.10 and 4.11 of the </w:t>
      </w:r>
      <w:r>
        <w:rPr>
          <w:i/>
        </w:rPr>
        <w:t>National Health Reform Act 2011</w:t>
      </w:r>
      <w:r>
        <w:t>.</w:t>
      </w:r>
      <w:r w:rsidR="00E314B6">
        <w:t xml:space="preserve"> </w:t>
      </w:r>
      <w:r>
        <w:t>(An Annual Report for CAC is included within the IHPA Annual Report at</w:t>
      </w:r>
      <w:r w:rsidR="00E314B6">
        <w:t xml:space="preserve"> </w:t>
      </w:r>
      <w:r>
        <w:t>p33.)</w:t>
      </w:r>
    </w:p>
    <w:p w:rsidR="00D840DF" w:rsidRPr="00D56902" w:rsidRDefault="00961020" w:rsidP="00D56902">
      <w:pPr>
        <w:pStyle w:val="BodyText"/>
      </w:pPr>
      <w:r>
        <w:t>The IHPA office in Sydney is the only facility of the entity, and IHPA’s major activities are located here.</w:t>
      </w:r>
    </w:p>
    <w:p w:rsidR="00D840DF" w:rsidRDefault="00961020" w:rsidP="00D56902">
      <w:pPr>
        <w:pStyle w:val="BodyText"/>
      </w:pPr>
      <w:r>
        <w:t xml:space="preserve">James </w:t>
      </w:r>
      <w:proofErr w:type="spellStart"/>
      <w:r>
        <w:t>Downie</w:t>
      </w:r>
      <w:proofErr w:type="spellEnd"/>
      <w:r>
        <w:t xml:space="preserve"> was appointed Chief Executive Officer of the Independent Hospital Pricing Authority</w:t>
      </w:r>
      <w:r w:rsidR="00E314B6">
        <w:t xml:space="preserve"> </w:t>
      </w:r>
      <w:r>
        <w:t xml:space="preserve">on 1 September </w:t>
      </w:r>
      <w:r>
        <w:rPr>
          <w:spacing w:val="-6"/>
        </w:rPr>
        <w:t xml:space="preserve">2016, </w:t>
      </w:r>
      <w:r>
        <w:t xml:space="preserve">having acted in the role since June </w:t>
      </w:r>
      <w:r>
        <w:rPr>
          <w:spacing w:val="-6"/>
        </w:rPr>
        <w:t xml:space="preserve">2015. </w:t>
      </w:r>
      <w:r>
        <w:t>Prior to this James was the Executive Director, Activity Based Funding, leading the teams responsible for delivering the classification,</w:t>
      </w:r>
      <w:r w:rsidR="00E314B6">
        <w:t xml:space="preserve"> </w:t>
      </w:r>
      <w:r>
        <w:t>costing</w:t>
      </w:r>
      <w:r>
        <w:rPr>
          <w:spacing w:val="5"/>
        </w:rPr>
        <w:t xml:space="preserve"> </w:t>
      </w:r>
      <w:r>
        <w:t>and</w:t>
      </w:r>
      <w:r>
        <w:rPr>
          <w:spacing w:val="5"/>
        </w:rPr>
        <w:t xml:space="preserve"> </w:t>
      </w:r>
      <w:r>
        <w:t>pricing</w:t>
      </w:r>
      <w:r>
        <w:rPr>
          <w:spacing w:val="5"/>
        </w:rPr>
        <w:t xml:space="preserve"> </w:t>
      </w:r>
      <w:r>
        <w:t>functions</w:t>
      </w:r>
      <w:r>
        <w:rPr>
          <w:spacing w:val="5"/>
        </w:rPr>
        <w:t xml:space="preserve"> </w:t>
      </w:r>
      <w:r>
        <w:t>of</w:t>
      </w:r>
      <w:r>
        <w:rPr>
          <w:spacing w:val="5"/>
        </w:rPr>
        <w:t xml:space="preserve"> </w:t>
      </w:r>
      <w:r>
        <w:t>IHPA</w:t>
      </w:r>
      <w:r>
        <w:rPr>
          <w:spacing w:val="5"/>
        </w:rPr>
        <w:t xml:space="preserve"> </w:t>
      </w:r>
      <w:r>
        <w:t>as</w:t>
      </w:r>
      <w:r>
        <w:rPr>
          <w:spacing w:val="5"/>
        </w:rPr>
        <w:t xml:space="preserve"> </w:t>
      </w:r>
      <w:r>
        <w:t>well</w:t>
      </w:r>
      <w:r>
        <w:rPr>
          <w:spacing w:val="5"/>
        </w:rPr>
        <w:t xml:space="preserve"> </w:t>
      </w:r>
      <w:r>
        <w:t>as</w:t>
      </w:r>
      <w:r>
        <w:rPr>
          <w:spacing w:val="5"/>
        </w:rPr>
        <w:t xml:space="preserve"> </w:t>
      </w:r>
      <w:r>
        <w:t>the</w:t>
      </w:r>
      <w:r>
        <w:rPr>
          <w:spacing w:val="5"/>
        </w:rPr>
        <w:t xml:space="preserve"> </w:t>
      </w:r>
      <w:r>
        <w:t>data</w:t>
      </w:r>
      <w:r>
        <w:rPr>
          <w:spacing w:val="5"/>
        </w:rPr>
        <w:t xml:space="preserve"> </w:t>
      </w:r>
      <w:r>
        <w:t>acquisition</w:t>
      </w:r>
      <w:r>
        <w:rPr>
          <w:spacing w:val="5"/>
        </w:rPr>
        <w:t xml:space="preserve"> </w:t>
      </w:r>
      <w:r>
        <w:t>activities.</w:t>
      </w:r>
    </w:p>
    <w:p w:rsidR="00D840DF" w:rsidRDefault="00D840DF">
      <w:pPr>
        <w:spacing w:line="256" w:lineRule="auto"/>
        <w:sectPr w:rsidR="00D840DF">
          <w:pgSz w:w="9980" w:h="14180"/>
          <w:pgMar w:top="1320" w:right="1200" w:bottom="280" w:left="1020" w:header="720" w:footer="720" w:gutter="0"/>
          <w:cols w:space="720"/>
        </w:sectPr>
      </w:pPr>
    </w:p>
    <w:p w:rsidR="00D840DF" w:rsidRDefault="00961020" w:rsidP="00D56902">
      <w:pPr>
        <w:pStyle w:val="Heading2"/>
      </w:pPr>
      <w:bookmarkStart w:id="29" w:name="Committees_and_working_groups"/>
      <w:bookmarkStart w:id="30" w:name="_bookmark6"/>
      <w:bookmarkStart w:id="31" w:name="_Toc496088482"/>
      <w:bookmarkEnd w:id="29"/>
      <w:bookmarkEnd w:id="30"/>
      <w:r>
        <w:lastRenderedPageBreak/>
        <w:t>Committees and working groups</w:t>
      </w:r>
      <w:bookmarkEnd w:id="31"/>
    </w:p>
    <w:p w:rsidR="00D840DF" w:rsidRPr="00D56902" w:rsidRDefault="00961020" w:rsidP="00D56902">
      <w:pPr>
        <w:pStyle w:val="BodyText"/>
      </w:pPr>
      <w:r>
        <w:t xml:space="preserve">IHPA has developed a committee framework to assist in providing expert advice and to ensure the transparency and integrity of the </w:t>
      </w:r>
      <w:proofErr w:type="spellStart"/>
      <w:r>
        <w:t>organisation</w:t>
      </w:r>
      <w:proofErr w:type="spellEnd"/>
      <w:r>
        <w:t>.</w:t>
      </w:r>
    </w:p>
    <w:p w:rsidR="00D840DF" w:rsidRPr="00D56902" w:rsidRDefault="00961020" w:rsidP="00D56902">
      <w:pPr>
        <w:pStyle w:val="BodyText"/>
      </w:pPr>
      <w:r>
        <w:rPr>
          <w:color w:val="636466"/>
        </w:rPr>
        <w:t>IHPA’s statutory committees comprise the Clinical Advisory Committee and the Jurisdictional Advisory Committee.</w:t>
      </w:r>
    </w:p>
    <w:p w:rsidR="00D840DF" w:rsidRPr="00D56902" w:rsidRDefault="00961020" w:rsidP="00D56902">
      <w:pPr>
        <w:pStyle w:val="BodyText"/>
      </w:pPr>
      <w:r>
        <w:rPr>
          <w:color w:val="636466"/>
          <w:spacing w:val="1"/>
        </w:rPr>
        <w:t xml:space="preserve">Other </w:t>
      </w:r>
      <w:r>
        <w:rPr>
          <w:color w:val="636466"/>
          <w:spacing w:val="2"/>
        </w:rPr>
        <w:t xml:space="preserve">advisory </w:t>
      </w:r>
      <w:r>
        <w:rPr>
          <w:color w:val="636466"/>
          <w:spacing w:val="1"/>
        </w:rPr>
        <w:t xml:space="preserve">committees </w:t>
      </w:r>
      <w:r>
        <w:rPr>
          <w:color w:val="636466"/>
        </w:rPr>
        <w:t xml:space="preserve">and working groups have been established to </w:t>
      </w:r>
      <w:r>
        <w:rPr>
          <w:color w:val="636466"/>
          <w:spacing w:val="1"/>
        </w:rPr>
        <w:t xml:space="preserve">assist </w:t>
      </w:r>
      <w:r>
        <w:rPr>
          <w:color w:val="636466"/>
        </w:rPr>
        <w:t xml:space="preserve">IHPA in </w:t>
      </w:r>
      <w:r>
        <w:rPr>
          <w:color w:val="636466"/>
          <w:spacing w:val="1"/>
        </w:rPr>
        <w:t>the delivery</w:t>
      </w:r>
      <w:r w:rsidR="00E314B6">
        <w:rPr>
          <w:color w:val="636466"/>
          <w:spacing w:val="1"/>
        </w:rPr>
        <w:t xml:space="preserve"> </w:t>
      </w:r>
      <w:r>
        <w:rPr>
          <w:color w:val="636466"/>
        </w:rPr>
        <w:t xml:space="preserve">of </w:t>
      </w:r>
      <w:r>
        <w:rPr>
          <w:color w:val="636466"/>
          <w:spacing w:val="1"/>
        </w:rPr>
        <w:t>its</w:t>
      </w:r>
      <w:r>
        <w:rPr>
          <w:color w:val="636466"/>
        </w:rPr>
        <w:t xml:space="preserve"> </w:t>
      </w:r>
      <w:r>
        <w:rPr>
          <w:color w:val="636466"/>
          <w:spacing w:val="-3"/>
        </w:rPr>
        <w:t>Work</w:t>
      </w:r>
      <w:r>
        <w:rPr>
          <w:color w:val="636466"/>
          <w:spacing w:val="-6"/>
        </w:rPr>
        <w:t xml:space="preserve"> </w:t>
      </w:r>
      <w:r>
        <w:rPr>
          <w:color w:val="636466"/>
        </w:rPr>
        <w:t>Program,</w:t>
      </w:r>
      <w:r>
        <w:rPr>
          <w:color w:val="636466"/>
          <w:spacing w:val="-6"/>
        </w:rPr>
        <w:t xml:space="preserve"> </w:t>
      </w:r>
      <w:r>
        <w:rPr>
          <w:color w:val="636466"/>
        </w:rPr>
        <w:t>pursuant</w:t>
      </w:r>
      <w:r>
        <w:rPr>
          <w:color w:val="636466"/>
          <w:spacing w:val="-6"/>
        </w:rPr>
        <w:t xml:space="preserve"> </w:t>
      </w:r>
      <w:r>
        <w:rPr>
          <w:color w:val="636466"/>
        </w:rPr>
        <w:t>to</w:t>
      </w:r>
      <w:r>
        <w:rPr>
          <w:color w:val="636466"/>
          <w:spacing w:val="-6"/>
        </w:rPr>
        <w:t xml:space="preserve"> </w:t>
      </w:r>
      <w:r>
        <w:rPr>
          <w:color w:val="636466"/>
        </w:rPr>
        <w:t>Part</w:t>
      </w:r>
      <w:r>
        <w:rPr>
          <w:color w:val="636466"/>
          <w:spacing w:val="-6"/>
        </w:rPr>
        <w:t xml:space="preserve"> </w:t>
      </w:r>
      <w:r>
        <w:rPr>
          <w:color w:val="636466"/>
          <w:spacing w:val="-8"/>
        </w:rPr>
        <w:t>4.12</w:t>
      </w:r>
      <w:r>
        <w:rPr>
          <w:color w:val="636466"/>
          <w:spacing w:val="-6"/>
        </w:rPr>
        <w:t xml:space="preserve"> </w:t>
      </w:r>
      <w:r>
        <w:rPr>
          <w:color w:val="636466"/>
        </w:rPr>
        <w:t>of</w:t>
      </w:r>
      <w:r>
        <w:rPr>
          <w:color w:val="636466"/>
          <w:spacing w:val="-6"/>
        </w:rPr>
        <w:t xml:space="preserve"> </w:t>
      </w:r>
      <w:r>
        <w:rPr>
          <w:color w:val="636466"/>
        </w:rPr>
        <w:t>the</w:t>
      </w:r>
      <w:r>
        <w:rPr>
          <w:color w:val="636466"/>
          <w:spacing w:val="-6"/>
        </w:rPr>
        <w:t xml:space="preserve"> </w:t>
      </w:r>
      <w:r>
        <w:rPr>
          <w:i/>
          <w:color w:val="636466"/>
        </w:rPr>
        <w:t>National</w:t>
      </w:r>
      <w:r>
        <w:rPr>
          <w:i/>
          <w:color w:val="636466"/>
          <w:spacing w:val="-6"/>
        </w:rPr>
        <w:t xml:space="preserve"> </w:t>
      </w:r>
      <w:r>
        <w:rPr>
          <w:i/>
          <w:color w:val="636466"/>
        </w:rPr>
        <w:t>Health</w:t>
      </w:r>
      <w:r>
        <w:rPr>
          <w:i/>
          <w:color w:val="636466"/>
          <w:spacing w:val="-6"/>
        </w:rPr>
        <w:t xml:space="preserve"> </w:t>
      </w:r>
      <w:r>
        <w:rPr>
          <w:i/>
          <w:color w:val="636466"/>
        </w:rPr>
        <w:t>Reform</w:t>
      </w:r>
      <w:r>
        <w:rPr>
          <w:i/>
          <w:color w:val="636466"/>
          <w:spacing w:val="-6"/>
        </w:rPr>
        <w:t xml:space="preserve"> </w:t>
      </w:r>
      <w:r>
        <w:rPr>
          <w:i/>
          <w:color w:val="636466"/>
        </w:rPr>
        <w:t>Act</w:t>
      </w:r>
      <w:r>
        <w:rPr>
          <w:i/>
          <w:color w:val="636466"/>
          <w:spacing w:val="-6"/>
        </w:rPr>
        <w:t xml:space="preserve"> </w:t>
      </w:r>
      <w:r>
        <w:rPr>
          <w:i/>
          <w:color w:val="636466"/>
          <w:spacing w:val="-12"/>
        </w:rPr>
        <w:t>2011</w:t>
      </w:r>
      <w:r>
        <w:rPr>
          <w:color w:val="636466"/>
          <w:spacing w:val="-12"/>
        </w:rPr>
        <w:t>,</w:t>
      </w:r>
      <w:r>
        <w:rPr>
          <w:color w:val="636466"/>
          <w:spacing w:val="-6"/>
        </w:rPr>
        <w:t xml:space="preserve"> </w:t>
      </w:r>
      <w:r>
        <w:rPr>
          <w:color w:val="636466"/>
        </w:rPr>
        <w:t>including:</w:t>
      </w:r>
    </w:p>
    <w:p w:rsidR="00D840DF" w:rsidRDefault="00961020">
      <w:pPr>
        <w:pStyle w:val="ListParagraph"/>
        <w:numPr>
          <w:ilvl w:val="0"/>
          <w:numId w:val="23"/>
        </w:numPr>
        <w:tabs>
          <w:tab w:val="left" w:pos="331"/>
        </w:tabs>
        <w:spacing w:before="1"/>
        <w:ind w:left="330"/>
        <w:rPr>
          <w:sz w:val="19"/>
        </w:rPr>
      </w:pPr>
      <w:r>
        <w:rPr>
          <w:color w:val="636466"/>
          <w:sz w:val="19"/>
        </w:rPr>
        <w:t>Stakeholder</w:t>
      </w:r>
      <w:r w:rsidR="00E314B6">
        <w:rPr>
          <w:color w:val="636466"/>
          <w:sz w:val="19"/>
        </w:rPr>
        <w:t xml:space="preserve"> </w:t>
      </w:r>
      <w:r>
        <w:rPr>
          <w:color w:val="636466"/>
          <w:sz w:val="19"/>
        </w:rPr>
        <w:t>Advisory</w:t>
      </w:r>
      <w:r>
        <w:rPr>
          <w:color w:val="636466"/>
          <w:spacing w:val="-1"/>
          <w:sz w:val="19"/>
        </w:rPr>
        <w:t xml:space="preserve"> </w:t>
      </w:r>
      <w:r>
        <w:rPr>
          <w:color w:val="636466"/>
          <w:sz w:val="19"/>
        </w:rPr>
        <w:t>Committee</w:t>
      </w:r>
    </w:p>
    <w:p w:rsidR="00D840DF" w:rsidRDefault="00961020">
      <w:pPr>
        <w:pStyle w:val="ListParagraph"/>
        <w:numPr>
          <w:ilvl w:val="0"/>
          <w:numId w:val="23"/>
        </w:numPr>
        <w:tabs>
          <w:tab w:val="left" w:pos="331"/>
        </w:tabs>
        <w:spacing w:before="130"/>
        <w:ind w:left="330"/>
        <w:rPr>
          <w:sz w:val="19"/>
        </w:rPr>
      </w:pPr>
      <w:r>
        <w:rPr>
          <w:color w:val="636466"/>
          <w:sz w:val="19"/>
        </w:rPr>
        <w:t>Activity Based Funding Technical Advisory</w:t>
      </w:r>
      <w:r w:rsidR="00E314B6">
        <w:rPr>
          <w:color w:val="636466"/>
          <w:sz w:val="19"/>
        </w:rPr>
        <w:t xml:space="preserve"> </w:t>
      </w:r>
      <w:r>
        <w:rPr>
          <w:color w:val="636466"/>
          <w:sz w:val="19"/>
        </w:rPr>
        <w:t>Committee</w:t>
      </w:r>
    </w:p>
    <w:p w:rsidR="00D840DF" w:rsidRDefault="00961020">
      <w:pPr>
        <w:pStyle w:val="ListParagraph"/>
        <w:numPr>
          <w:ilvl w:val="0"/>
          <w:numId w:val="23"/>
        </w:numPr>
        <w:tabs>
          <w:tab w:val="left" w:pos="331"/>
        </w:tabs>
        <w:spacing w:before="130"/>
        <w:ind w:left="330"/>
        <w:rPr>
          <w:sz w:val="19"/>
        </w:rPr>
      </w:pPr>
      <w:r>
        <w:rPr>
          <w:color w:val="636466"/>
          <w:sz w:val="19"/>
        </w:rPr>
        <w:t>National</w:t>
      </w:r>
      <w:r>
        <w:rPr>
          <w:color w:val="636466"/>
          <w:spacing w:val="12"/>
          <w:sz w:val="19"/>
        </w:rPr>
        <w:t xml:space="preserve"> </w:t>
      </w:r>
      <w:r>
        <w:rPr>
          <w:color w:val="636466"/>
          <w:sz w:val="19"/>
        </w:rPr>
        <w:t>Hospital</w:t>
      </w:r>
      <w:r>
        <w:rPr>
          <w:color w:val="636466"/>
          <w:spacing w:val="12"/>
          <w:sz w:val="19"/>
        </w:rPr>
        <w:t xml:space="preserve"> </w:t>
      </w:r>
      <w:r>
        <w:rPr>
          <w:color w:val="636466"/>
          <w:sz w:val="19"/>
        </w:rPr>
        <w:t>Cost</w:t>
      </w:r>
      <w:r>
        <w:rPr>
          <w:color w:val="636466"/>
          <w:spacing w:val="12"/>
          <w:sz w:val="19"/>
        </w:rPr>
        <w:t xml:space="preserve"> </w:t>
      </w:r>
      <w:r>
        <w:rPr>
          <w:color w:val="636466"/>
          <w:sz w:val="19"/>
        </w:rPr>
        <w:t>Data</w:t>
      </w:r>
      <w:r>
        <w:rPr>
          <w:color w:val="636466"/>
          <w:spacing w:val="12"/>
          <w:sz w:val="19"/>
        </w:rPr>
        <w:t xml:space="preserve"> </w:t>
      </w:r>
      <w:r>
        <w:rPr>
          <w:color w:val="636466"/>
          <w:sz w:val="19"/>
        </w:rPr>
        <w:t>Collection</w:t>
      </w:r>
      <w:r>
        <w:rPr>
          <w:color w:val="636466"/>
          <w:spacing w:val="10"/>
          <w:sz w:val="19"/>
        </w:rPr>
        <w:t xml:space="preserve"> </w:t>
      </w:r>
      <w:r>
        <w:rPr>
          <w:color w:val="636466"/>
          <w:sz w:val="19"/>
        </w:rPr>
        <w:t>Advisory</w:t>
      </w:r>
      <w:r>
        <w:rPr>
          <w:color w:val="636466"/>
          <w:spacing w:val="12"/>
          <w:sz w:val="19"/>
        </w:rPr>
        <w:t xml:space="preserve"> </w:t>
      </w:r>
      <w:r>
        <w:rPr>
          <w:color w:val="636466"/>
          <w:sz w:val="19"/>
        </w:rPr>
        <w:t>Committee</w:t>
      </w:r>
    </w:p>
    <w:p w:rsidR="00D840DF" w:rsidRDefault="00961020">
      <w:pPr>
        <w:pStyle w:val="ListParagraph"/>
        <w:numPr>
          <w:ilvl w:val="0"/>
          <w:numId w:val="23"/>
        </w:numPr>
        <w:tabs>
          <w:tab w:val="left" w:pos="331"/>
        </w:tabs>
        <w:spacing w:before="130"/>
        <w:ind w:left="330"/>
        <w:rPr>
          <w:sz w:val="19"/>
        </w:rPr>
      </w:pPr>
      <w:r>
        <w:rPr>
          <w:color w:val="636466"/>
          <w:sz w:val="19"/>
        </w:rPr>
        <w:t>Teaching, Training and Research Working</w:t>
      </w:r>
      <w:r>
        <w:rPr>
          <w:color w:val="636466"/>
          <w:spacing w:val="12"/>
          <w:sz w:val="19"/>
        </w:rPr>
        <w:t xml:space="preserve"> </w:t>
      </w:r>
      <w:r>
        <w:rPr>
          <w:color w:val="636466"/>
          <w:sz w:val="19"/>
        </w:rPr>
        <w:t>Group</w:t>
      </w:r>
    </w:p>
    <w:p w:rsidR="00D840DF" w:rsidRDefault="00961020">
      <w:pPr>
        <w:pStyle w:val="ListParagraph"/>
        <w:numPr>
          <w:ilvl w:val="0"/>
          <w:numId w:val="23"/>
        </w:numPr>
        <w:tabs>
          <w:tab w:val="left" w:pos="331"/>
        </w:tabs>
        <w:spacing w:before="130"/>
        <w:ind w:left="330"/>
        <w:rPr>
          <w:sz w:val="19"/>
        </w:rPr>
      </w:pPr>
      <w:r>
        <w:rPr>
          <w:color w:val="636466"/>
          <w:sz w:val="19"/>
        </w:rPr>
        <w:t>Small Rural Hospitals Working</w:t>
      </w:r>
      <w:r>
        <w:rPr>
          <w:color w:val="636466"/>
          <w:spacing w:val="17"/>
          <w:sz w:val="19"/>
        </w:rPr>
        <w:t xml:space="preserve"> </w:t>
      </w:r>
      <w:r>
        <w:rPr>
          <w:color w:val="636466"/>
          <w:sz w:val="19"/>
        </w:rPr>
        <w:t>Group</w:t>
      </w:r>
    </w:p>
    <w:p w:rsidR="00D840DF" w:rsidRDefault="00961020">
      <w:pPr>
        <w:pStyle w:val="ListParagraph"/>
        <w:numPr>
          <w:ilvl w:val="0"/>
          <w:numId w:val="23"/>
        </w:numPr>
        <w:tabs>
          <w:tab w:val="left" w:pos="331"/>
        </w:tabs>
        <w:spacing w:before="130"/>
        <w:ind w:left="330"/>
        <w:rPr>
          <w:sz w:val="19"/>
        </w:rPr>
      </w:pPr>
      <w:r>
        <w:rPr>
          <w:color w:val="636466"/>
          <w:sz w:val="19"/>
        </w:rPr>
        <w:t>Non-admitted Care Advisory Working</w:t>
      </w:r>
      <w:r w:rsidR="00E314B6">
        <w:rPr>
          <w:color w:val="636466"/>
          <w:sz w:val="19"/>
        </w:rPr>
        <w:t xml:space="preserve"> </w:t>
      </w:r>
      <w:r>
        <w:rPr>
          <w:color w:val="636466"/>
          <w:sz w:val="19"/>
        </w:rPr>
        <w:t>Group</w:t>
      </w:r>
    </w:p>
    <w:p w:rsidR="00D840DF" w:rsidRDefault="00961020">
      <w:pPr>
        <w:pStyle w:val="ListParagraph"/>
        <w:numPr>
          <w:ilvl w:val="0"/>
          <w:numId w:val="23"/>
        </w:numPr>
        <w:tabs>
          <w:tab w:val="left" w:pos="331"/>
        </w:tabs>
        <w:spacing w:before="130"/>
        <w:ind w:left="330"/>
        <w:rPr>
          <w:sz w:val="19"/>
        </w:rPr>
      </w:pPr>
      <w:r>
        <w:rPr>
          <w:color w:val="636466"/>
          <w:sz w:val="19"/>
        </w:rPr>
        <w:t>Subacute Care Working</w:t>
      </w:r>
      <w:r>
        <w:rPr>
          <w:color w:val="636466"/>
          <w:spacing w:val="15"/>
          <w:sz w:val="19"/>
        </w:rPr>
        <w:t xml:space="preserve"> </w:t>
      </w:r>
      <w:r>
        <w:rPr>
          <w:color w:val="636466"/>
          <w:sz w:val="19"/>
        </w:rPr>
        <w:t>Group</w:t>
      </w:r>
    </w:p>
    <w:p w:rsidR="00D840DF" w:rsidRDefault="00961020">
      <w:pPr>
        <w:pStyle w:val="ListParagraph"/>
        <w:numPr>
          <w:ilvl w:val="0"/>
          <w:numId w:val="23"/>
        </w:numPr>
        <w:tabs>
          <w:tab w:val="left" w:pos="331"/>
        </w:tabs>
        <w:spacing w:before="130"/>
        <w:ind w:left="330"/>
        <w:rPr>
          <w:sz w:val="19"/>
        </w:rPr>
      </w:pPr>
      <w:r>
        <w:rPr>
          <w:color w:val="636466"/>
          <w:sz w:val="19"/>
        </w:rPr>
        <w:t>Mental Health Working</w:t>
      </w:r>
      <w:r>
        <w:rPr>
          <w:color w:val="636466"/>
          <w:spacing w:val="17"/>
          <w:sz w:val="19"/>
        </w:rPr>
        <w:t xml:space="preserve"> </w:t>
      </w:r>
      <w:r>
        <w:rPr>
          <w:color w:val="636466"/>
          <w:sz w:val="19"/>
        </w:rPr>
        <w:t>Group</w:t>
      </w:r>
    </w:p>
    <w:p w:rsidR="00D840DF" w:rsidRDefault="00961020">
      <w:pPr>
        <w:pStyle w:val="ListParagraph"/>
        <w:numPr>
          <w:ilvl w:val="0"/>
          <w:numId w:val="23"/>
        </w:numPr>
        <w:tabs>
          <w:tab w:val="left" w:pos="331"/>
        </w:tabs>
        <w:spacing w:before="130"/>
        <w:ind w:left="330"/>
        <w:rPr>
          <w:sz w:val="19"/>
        </w:rPr>
      </w:pPr>
      <w:r>
        <w:rPr>
          <w:color w:val="636466"/>
          <w:sz w:val="19"/>
        </w:rPr>
        <w:t>Emergency Care Advisory Working</w:t>
      </w:r>
      <w:r>
        <w:rPr>
          <w:color w:val="636466"/>
          <w:spacing w:val="30"/>
          <w:sz w:val="19"/>
        </w:rPr>
        <w:t xml:space="preserve"> </w:t>
      </w:r>
      <w:r>
        <w:rPr>
          <w:color w:val="636466"/>
          <w:sz w:val="19"/>
        </w:rPr>
        <w:t>Group</w:t>
      </w:r>
    </w:p>
    <w:p w:rsidR="00D840DF" w:rsidRDefault="00961020">
      <w:pPr>
        <w:pStyle w:val="ListParagraph"/>
        <w:numPr>
          <w:ilvl w:val="0"/>
          <w:numId w:val="23"/>
        </w:numPr>
        <w:tabs>
          <w:tab w:val="left" w:pos="331"/>
        </w:tabs>
        <w:spacing w:before="130"/>
        <w:ind w:left="330"/>
        <w:rPr>
          <w:sz w:val="19"/>
        </w:rPr>
      </w:pPr>
      <w:r>
        <w:rPr>
          <w:color w:val="636466"/>
          <w:sz w:val="19"/>
        </w:rPr>
        <w:t>Bundled Pricing Advisory</w:t>
      </w:r>
      <w:r>
        <w:rPr>
          <w:color w:val="636466"/>
          <w:spacing w:val="35"/>
          <w:sz w:val="19"/>
        </w:rPr>
        <w:t xml:space="preserve"> </w:t>
      </w:r>
      <w:r>
        <w:rPr>
          <w:color w:val="636466"/>
          <w:sz w:val="19"/>
        </w:rPr>
        <w:t>Group</w:t>
      </w:r>
    </w:p>
    <w:p w:rsidR="00D840DF" w:rsidRDefault="00961020">
      <w:pPr>
        <w:pStyle w:val="ListParagraph"/>
        <w:numPr>
          <w:ilvl w:val="0"/>
          <w:numId w:val="23"/>
        </w:numPr>
        <w:tabs>
          <w:tab w:val="left" w:pos="331"/>
        </w:tabs>
        <w:spacing w:before="130"/>
        <w:ind w:left="330"/>
        <w:rPr>
          <w:sz w:val="19"/>
        </w:rPr>
      </w:pPr>
      <w:r>
        <w:rPr>
          <w:color w:val="636466"/>
          <w:sz w:val="19"/>
        </w:rPr>
        <w:t>National Benchmarking Portal Development Steering</w:t>
      </w:r>
      <w:r w:rsidR="00E314B6">
        <w:rPr>
          <w:color w:val="636466"/>
          <w:sz w:val="19"/>
        </w:rPr>
        <w:t xml:space="preserve"> </w:t>
      </w:r>
      <w:r>
        <w:rPr>
          <w:color w:val="636466"/>
          <w:sz w:val="19"/>
        </w:rPr>
        <w:t>Committee</w:t>
      </w:r>
    </w:p>
    <w:p w:rsidR="00D840DF" w:rsidRDefault="00961020">
      <w:pPr>
        <w:pStyle w:val="ListParagraph"/>
        <w:numPr>
          <w:ilvl w:val="0"/>
          <w:numId w:val="23"/>
        </w:numPr>
        <w:tabs>
          <w:tab w:val="left" w:pos="331"/>
        </w:tabs>
        <w:spacing w:before="130"/>
        <w:ind w:left="330"/>
        <w:rPr>
          <w:sz w:val="19"/>
        </w:rPr>
      </w:pPr>
      <w:r>
        <w:rPr>
          <w:color w:val="636466"/>
          <w:sz w:val="19"/>
        </w:rPr>
        <w:t>Audit Risk and Compliance</w:t>
      </w:r>
      <w:r>
        <w:rPr>
          <w:color w:val="636466"/>
          <w:spacing w:val="35"/>
          <w:sz w:val="19"/>
        </w:rPr>
        <w:t xml:space="preserve"> </w:t>
      </w:r>
      <w:r>
        <w:rPr>
          <w:color w:val="636466"/>
          <w:sz w:val="19"/>
        </w:rPr>
        <w:t>Committee</w:t>
      </w:r>
    </w:p>
    <w:p w:rsidR="00D840DF" w:rsidRPr="00D56902" w:rsidRDefault="00961020" w:rsidP="00D56902">
      <w:pPr>
        <w:pStyle w:val="ListParagraph"/>
        <w:numPr>
          <w:ilvl w:val="0"/>
          <w:numId w:val="23"/>
        </w:numPr>
        <w:tabs>
          <w:tab w:val="left" w:pos="331"/>
        </w:tabs>
        <w:spacing w:before="130"/>
        <w:ind w:left="330"/>
        <w:rPr>
          <w:sz w:val="19"/>
        </w:rPr>
      </w:pPr>
      <w:r>
        <w:rPr>
          <w:color w:val="636466"/>
          <w:sz w:val="19"/>
        </w:rPr>
        <w:t>Work, Health and Safety</w:t>
      </w:r>
      <w:r w:rsidR="00E314B6">
        <w:rPr>
          <w:color w:val="636466"/>
          <w:sz w:val="19"/>
        </w:rPr>
        <w:t xml:space="preserve"> </w:t>
      </w:r>
      <w:r>
        <w:rPr>
          <w:color w:val="636466"/>
          <w:sz w:val="19"/>
        </w:rPr>
        <w:t>Committee</w:t>
      </w:r>
    </w:p>
    <w:p w:rsidR="00D840DF" w:rsidRDefault="00961020" w:rsidP="00D56902">
      <w:pPr>
        <w:pStyle w:val="BodyText"/>
        <w:ind w:left="103"/>
      </w:pPr>
      <w:r>
        <w:rPr>
          <w:color w:val="636466"/>
        </w:rPr>
        <w:t xml:space="preserve">Working groups </w:t>
      </w:r>
      <w:r w:rsidRPr="00D56902">
        <w:t>and committees are structured to enhance IHPA’s statutory functions.</w:t>
      </w:r>
      <w:r w:rsidR="00D56902" w:rsidRPr="00D56902">
        <w:t xml:space="preserve"> </w:t>
      </w:r>
      <w:r w:rsidRPr="00D56902">
        <w:t xml:space="preserve">Some committees and working groups may also have sub-committees to assist in the delivery of IHPA’s Work Program. All committees and working groups have Terms of Reference setting out their role, function, delegated power, </w:t>
      </w:r>
      <w:proofErr w:type="gramStart"/>
      <w:r w:rsidRPr="00D56902">
        <w:t>membership</w:t>
      </w:r>
      <w:proofErr w:type="gramEnd"/>
      <w:r w:rsidRPr="00D56902">
        <w:t xml:space="preserve"> and</w:t>
      </w:r>
      <w:r>
        <w:rPr>
          <w:color w:val="636466"/>
        </w:rPr>
        <w:t xml:space="preserve"> reporting relationship.</w:t>
      </w:r>
    </w:p>
    <w:p w:rsidR="00D840DF" w:rsidRDefault="00D840DF">
      <w:pPr>
        <w:spacing w:line="256" w:lineRule="auto"/>
        <w:sectPr w:rsidR="00D840DF">
          <w:pgSz w:w="9980" w:h="14180"/>
          <w:pgMar w:top="1320" w:right="1020" w:bottom="280" w:left="1200" w:header="720" w:footer="720" w:gutter="0"/>
          <w:cols w:space="720"/>
        </w:sectPr>
      </w:pPr>
    </w:p>
    <w:p w:rsidR="00D840DF" w:rsidRDefault="00961020" w:rsidP="00D56902">
      <w:pPr>
        <w:pStyle w:val="Heading4"/>
      </w:pPr>
      <w:bookmarkStart w:id="32" w:name="_bookmark7"/>
      <w:bookmarkStart w:id="33" w:name="_Figure_2:_IHPA’s"/>
      <w:bookmarkEnd w:id="32"/>
      <w:bookmarkEnd w:id="33"/>
      <w:r>
        <w:lastRenderedPageBreak/>
        <w:t>Figure 2: IHPA’s</w:t>
      </w:r>
      <w:r w:rsidR="00E314B6">
        <w:t xml:space="preserve"> </w:t>
      </w:r>
      <w:r>
        <w:t>management, committees and working groups</w:t>
      </w:r>
    </w:p>
    <w:p w:rsidR="00FC47A3" w:rsidRDefault="00E14BA1" w:rsidP="00FC47A3">
      <w:pPr>
        <w:pStyle w:val="BodyText"/>
      </w:pPr>
      <w:bookmarkStart w:id="34" w:name="Clinical_Advisory_Committee_"/>
      <w:bookmarkStart w:id="35" w:name="Jurisdictional_Advisory_Committee"/>
      <w:bookmarkStart w:id="36" w:name="_bookmark8"/>
      <w:bookmarkEnd w:id="34"/>
      <w:bookmarkEnd w:id="35"/>
      <w:bookmarkEnd w:id="36"/>
      <w:r>
        <w:rPr>
          <w:noProof/>
        </w:rPr>
        <w:drawing>
          <wp:anchor distT="0" distB="0" distL="114300" distR="114300" simplePos="0" relativeHeight="251730432" behindDoc="0" locked="0" layoutInCell="1" allowOverlap="1">
            <wp:simplePos x="0" y="0"/>
            <wp:positionH relativeFrom="column">
              <wp:posOffset>-1905</wp:posOffset>
            </wp:positionH>
            <wp:positionV relativeFrom="paragraph">
              <wp:posOffset>1905</wp:posOffset>
            </wp:positionV>
            <wp:extent cx="4914900" cy="6329680"/>
            <wp:effectExtent l="0" t="0" r="0" b="0"/>
            <wp:wrapTopAndBottom/>
            <wp:docPr id="191" name="Picture 17" descr="Minister for Health, reported to by the Pricing Authority. The Clinical Advisory Committee (a statutory committee) reports to both the Minister for Health and the Pricing Authority. The Chief Executive Officer (CEO) reports to the Pricing Authority. The Audit Risk &amp; Compliance Committee (a management committee) reports to the CEO. The&#10;Ihpa Executive Committee (a management committee) reports to the CEO. The following reports to the IHPA Executive Committee:&#10;Work Health &amp; Safety Committee (a management committee), &#10;Jurisdictional Advisory Committee,&#10;NHCDC Advisory Committee (an advisory committee), and the Stakeholder Advisory Committee (an advisory committee). The following report to the Jurisdictional Advisory Committee (a statutory commitee):, ABF Technical Advisory Committee (an advisory committee), and these working groups: Bundled Pricing Advisory Group; Teaching, Training and Research Working Group; Small Rural Hospitals Working Group; Non-Admitted Care Advisory Working Group; Subacute Care Working Group; Mental Health Working Group; Emergency Care Advisory Working Group;&#10;NBPD Steering Committee.&#10;" title="Figure 2: IHPA’s management, committees and work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inister for Health, reported to by the Pricing Authority. The Clinical Advisory Committee (a statutory committee) reports to both the Minister for Health and the Pricing Authority. The Chief Executive Officer (CEO) reports to the Pricing Authority. The Audit Risk &amp; Compliance Committee (a management committee) reports to the CEO. The&#10;Ihpa Executive Committee (a management committee) reports to the CEO. The following reports to the IHPA Executive Committee:&#10;Work Health &amp; Safety Committee (a management committee), &#10;Jurisdictional Advisory Committee,&#10;NHCDC Advisory Committee (an advisory committee), and the Stakeholder Advisory Committee (an advisory committee). The following report to the Jurisdictional Advisory Committee (a statutory commitee):, ABF Technical Advisory Committee (an advisory committee), and these working groups: Bundled Pricing Advisory Group; Teaching, Training and Research Working Group; Small Rural Hospitals Working Group; Non-Admitted Care Advisory Working Group; Subacute Care Working Group; Mental Health Working Group; Emergency Care Advisory Working Group;&#10;NBPD Steering Committee.&#10;" title="Figure 2: IHPA’s management, committees and working groups"/>
                    <pic:cNvPicPr/>
                  </pic:nvPicPr>
                  <pic:blipFill>
                    <a:blip r:embed="rId25">
                      <a:extLst>
                        <a:ext uri="{28A0092B-C50C-407E-A947-70E740481C1C}">
                          <a14:useLocalDpi xmlns:a14="http://schemas.microsoft.com/office/drawing/2010/main" val="0"/>
                        </a:ext>
                      </a:extLst>
                    </a:blip>
                    <a:stretch>
                      <a:fillRect/>
                    </a:stretch>
                  </pic:blipFill>
                  <pic:spPr>
                    <a:xfrm>
                      <a:off x="0" y="0"/>
                      <a:ext cx="4914900" cy="6329680"/>
                    </a:xfrm>
                    <a:prstGeom prst="rect">
                      <a:avLst/>
                    </a:prstGeom>
                  </pic:spPr>
                </pic:pic>
              </a:graphicData>
            </a:graphic>
            <wp14:sizeRelH relativeFrom="page">
              <wp14:pctWidth>0</wp14:pctWidth>
            </wp14:sizeRelH>
            <wp14:sizeRelV relativeFrom="page">
              <wp14:pctHeight>0</wp14:pctHeight>
            </wp14:sizeRelV>
          </wp:anchor>
        </w:drawing>
      </w:r>
    </w:p>
    <w:p w:rsidR="00FC47A3" w:rsidRDefault="00FC47A3">
      <w:pPr>
        <w:rPr>
          <w:rFonts w:ascii="Futura PT Bold" w:eastAsia="Futura PT Bold" w:hAnsi="Futura PT Bold" w:cs="Futura PT Bold"/>
          <w:b/>
          <w:bCs/>
          <w:color w:val="003E2D"/>
          <w:sz w:val="24"/>
          <w:szCs w:val="24"/>
        </w:rPr>
      </w:pPr>
      <w:r>
        <w:br w:type="page"/>
      </w:r>
    </w:p>
    <w:p w:rsidR="00D840DF" w:rsidRDefault="00961020" w:rsidP="00D56902">
      <w:pPr>
        <w:pStyle w:val="Heading3"/>
      </w:pPr>
      <w:r>
        <w:lastRenderedPageBreak/>
        <w:t>Clinical Advisory Committee</w:t>
      </w:r>
    </w:p>
    <w:p w:rsidR="00D840DF" w:rsidRPr="00D56902" w:rsidRDefault="00961020" w:rsidP="00D56902">
      <w:pPr>
        <w:pStyle w:val="BodyText"/>
      </w:pPr>
      <w:r>
        <w:t xml:space="preserve">The Clinical Advisory Committee (CAC) is established under section 177 of the </w:t>
      </w:r>
      <w:r>
        <w:rPr>
          <w:i/>
        </w:rPr>
        <w:t xml:space="preserve">National Health Reform Act </w:t>
      </w:r>
      <w:r w:rsidRPr="00D56902">
        <w:t>2011. Its functions include advising the Pricing Authority on developing and specifying classification systems for health care and other services provided by public hospitals, the functions of the Pricing Authority, and matters referred to it by the Pricing Authority.</w:t>
      </w:r>
    </w:p>
    <w:p w:rsidR="00D840DF" w:rsidRPr="00D56902" w:rsidRDefault="00961020" w:rsidP="00D56902">
      <w:pPr>
        <w:pStyle w:val="BodyText"/>
      </w:pPr>
      <w:r w:rsidRPr="00D56902">
        <w:t>CAC members are appointed by the Australian Government Minister for Health. At 30 June 2017, the CAC consisted of 26 members.</w:t>
      </w:r>
    </w:p>
    <w:p w:rsidR="00D840DF" w:rsidRPr="00D56902" w:rsidRDefault="00961020" w:rsidP="00D56902">
      <w:pPr>
        <w:pStyle w:val="BodyText"/>
      </w:pPr>
      <w:r w:rsidRPr="00D56902">
        <w:t>The CAC is required</w:t>
      </w:r>
      <w:r>
        <w:t xml:space="preserve"> to report annually. The CAC Annual Report, including details of its members and meetings, sits within the IHPA Annual Report, at</w:t>
      </w:r>
      <w:r w:rsidR="00E314B6">
        <w:t xml:space="preserve"> </w:t>
      </w:r>
      <w:r>
        <w:t>p33.</w:t>
      </w:r>
    </w:p>
    <w:p w:rsidR="00D840DF" w:rsidRDefault="00961020" w:rsidP="00D56902">
      <w:pPr>
        <w:pStyle w:val="Heading3"/>
      </w:pPr>
      <w:r>
        <w:t>Jurisdictional Advisory Committee</w:t>
      </w:r>
    </w:p>
    <w:p w:rsidR="00D840DF" w:rsidRDefault="00961020" w:rsidP="00D56902">
      <w:pPr>
        <w:pStyle w:val="BodyText"/>
      </w:pPr>
      <w:r>
        <w:t xml:space="preserve">The Jurisdictional Advisory Committee (JAC) was established under section </w:t>
      </w:r>
      <w:r>
        <w:rPr>
          <w:spacing w:val="-6"/>
        </w:rPr>
        <w:t xml:space="preserve">195 </w:t>
      </w:r>
      <w:r>
        <w:t xml:space="preserve">of the </w:t>
      </w:r>
      <w:r>
        <w:rPr>
          <w:i/>
        </w:rPr>
        <w:t xml:space="preserve">National Health Reform Act </w:t>
      </w:r>
      <w:r>
        <w:rPr>
          <w:i/>
          <w:spacing w:val="-10"/>
        </w:rPr>
        <w:t>2011</w:t>
      </w:r>
      <w:r>
        <w:rPr>
          <w:spacing w:val="-10"/>
        </w:rPr>
        <w:t xml:space="preserve">. </w:t>
      </w:r>
      <w:r>
        <w:t xml:space="preserve">The </w:t>
      </w:r>
      <w:r>
        <w:rPr>
          <w:spacing w:val="-2"/>
        </w:rPr>
        <w:t xml:space="preserve">JAC </w:t>
      </w:r>
      <w:r>
        <w:t xml:space="preserve">consists of a Chair appointed by the Pricing Authority and nine other </w:t>
      </w:r>
      <w:r w:rsidRPr="00D56902">
        <w:t>members</w:t>
      </w:r>
      <w:r>
        <w:t xml:space="preserve"> (one to represent each state, territory and the Australian Government). </w:t>
      </w:r>
      <w:r>
        <w:rPr>
          <w:spacing w:val="-2"/>
        </w:rPr>
        <w:t xml:space="preserve">JAC </w:t>
      </w:r>
      <w:r>
        <w:t>members are</w:t>
      </w:r>
      <w:r>
        <w:rPr>
          <w:spacing w:val="6"/>
        </w:rPr>
        <w:t xml:space="preserve"> </w:t>
      </w:r>
      <w:r>
        <w:t>appointed</w:t>
      </w:r>
      <w:r>
        <w:rPr>
          <w:spacing w:val="6"/>
        </w:rPr>
        <w:t xml:space="preserve"> </w:t>
      </w:r>
      <w:r>
        <w:t>by</w:t>
      </w:r>
      <w:r>
        <w:rPr>
          <w:spacing w:val="6"/>
        </w:rPr>
        <w:t xml:space="preserve"> </w:t>
      </w:r>
      <w:r>
        <w:t>written</w:t>
      </w:r>
      <w:r>
        <w:rPr>
          <w:spacing w:val="6"/>
        </w:rPr>
        <w:t xml:space="preserve"> </w:t>
      </w:r>
      <w:r>
        <w:t>instrument</w:t>
      </w:r>
      <w:r>
        <w:rPr>
          <w:spacing w:val="6"/>
        </w:rPr>
        <w:t xml:space="preserve"> </w:t>
      </w:r>
      <w:r>
        <w:t>by</w:t>
      </w:r>
      <w:r>
        <w:rPr>
          <w:spacing w:val="6"/>
        </w:rPr>
        <w:t xml:space="preserve"> </w:t>
      </w:r>
      <w:r>
        <w:t>the</w:t>
      </w:r>
      <w:r>
        <w:rPr>
          <w:spacing w:val="6"/>
        </w:rPr>
        <w:t xml:space="preserve"> </w:t>
      </w:r>
      <w:r>
        <w:t>head</w:t>
      </w:r>
      <w:r>
        <w:rPr>
          <w:spacing w:val="6"/>
        </w:rPr>
        <w:t xml:space="preserve"> </w:t>
      </w:r>
      <w:r>
        <w:t>of</w:t>
      </w:r>
      <w:r>
        <w:rPr>
          <w:spacing w:val="6"/>
        </w:rPr>
        <w:t xml:space="preserve"> </w:t>
      </w:r>
      <w:r>
        <w:t>the</w:t>
      </w:r>
      <w:r>
        <w:rPr>
          <w:spacing w:val="6"/>
        </w:rPr>
        <w:t xml:space="preserve"> </w:t>
      </w:r>
      <w:r>
        <w:t>health</w:t>
      </w:r>
      <w:r>
        <w:rPr>
          <w:spacing w:val="6"/>
        </w:rPr>
        <w:t xml:space="preserve"> </w:t>
      </w:r>
      <w:r>
        <w:t>department</w:t>
      </w:r>
      <w:r>
        <w:rPr>
          <w:spacing w:val="6"/>
        </w:rPr>
        <w:t xml:space="preserve"> </w:t>
      </w:r>
      <w:r>
        <w:t>of</w:t>
      </w:r>
      <w:r>
        <w:rPr>
          <w:spacing w:val="6"/>
        </w:rPr>
        <w:t xml:space="preserve"> </w:t>
      </w:r>
      <w:r>
        <w:t>each</w:t>
      </w:r>
      <w:r>
        <w:rPr>
          <w:spacing w:val="6"/>
        </w:rPr>
        <w:t xml:space="preserve"> </w:t>
      </w:r>
      <w:r>
        <w:t>jurisdiction.</w:t>
      </w:r>
    </w:p>
    <w:p w:rsidR="00D840DF" w:rsidRPr="00D56902" w:rsidRDefault="00961020" w:rsidP="00D56902">
      <w:pPr>
        <w:pStyle w:val="BodyText"/>
      </w:pPr>
      <w:r>
        <w:t>The JAC met on nine occasions between 1 July 2016</w:t>
      </w:r>
      <w:r w:rsidR="00E314B6">
        <w:t xml:space="preserve"> </w:t>
      </w:r>
      <w:r>
        <w:t>and 30 June 2017.</w:t>
      </w:r>
    </w:p>
    <w:p w:rsidR="00D840DF" w:rsidRDefault="00961020" w:rsidP="00D56902">
      <w:pPr>
        <w:pStyle w:val="Heading4"/>
      </w:pPr>
      <w:r>
        <w:t>JAC members as of 30 June 2017:</w:t>
      </w:r>
    </w:p>
    <w:p w:rsidR="00D840DF" w:rsidRDefault="00961020">
      <w:pPr>
        <w:pStyle w:val="ListParagraph"/>
        <w:numPr>
          <w:ilvl w:val="0"/>
          <w:numId w:val="23"/>
        </w:numPr>
        <w:tabs>
          <w:tab w:val="left" w:pos="331"/>
        </w:tabs>
        <w:spacing w:before="186"/>
        <w:ind w:left="330"/>
        <w:rPr>
          <w:sz w:val="19"/>
        </w:rPr>
      </w:pPr>
      <w:r>
        <w:rPr>
          <w:color w:val="636466"/>
          <w:sz w:val="19"/>
        </w:rPr>
        <w:t xml:space="preserve">James </w:t>
      </w:r>
      <w:proofErr w:type="spellStart"/>
      <w:r>
        <w:rPr>
          <w:color w:val="636466"/>
          <w:sz w:val="19"/>
        </w:rPr>
        <w:t>Downie</w:t>
      </w:r>
      <w:proofErr w:type="spellEnd"/>
      <w:r>
        <w:rPr>
          <w:color w:val="636466"/>
          <w:sz w:val="19"/>
        </w:rPr>
        <w:t>,</w:t>
      </w:r>
      <w:r>
        <w:rPr>
          <w:color w:val="636466"/>
          <w:spacing w:val="11"/>
          <w:sz w:val="19"/>
        </w:rPr>
        <w:t xml:space="preserve"> </w:t>
      </w:r>
      <w:r>
        <w:rPr>
          <w:color w:val="636466"/>
          <w:sz w:val="19"/>
        </w:rPr>
        <w:t>Chair</w:t>
      </w:r>
    </w:p>
    <w:p w:rsidR="00D840DF" w:rsidRDefault="00961020">
      <w:pPr>
        <w:pStyle w:val="ListParagraph"/>
        <w:numPr>
          <w:ilvl w:val="0"/>
          <w:numId w:val="23"/>
        </w:numPr>
        <w:tabs>
          <w:tab w:val="left" w:pos="331"/>
        </w:tabs>
        <w:ind w:left="330"/>
        <w:rPr>
          <w:sz w:val="19"/>
        </w:rPr>
      </w:pPr>
      <w:r>
        <w:rPr>
          <w:color w:val="636466"/>
          <w:sz w:val="19"/>
        </w:rPr>
        <w:t>Simone</w:t>
      </w:r>
      <w:r>
        <w:rPr>
          <w:color w:val="636466"/>
          <w:spacing w:val="10"/>
          <w:sz w:val="19"/>
        </w:rPr>
        <w:t xml:space="preserve"> </w:t>
      </w:r>
      <w:proofErr w:type="spellStart"/>
      <w:r>
        <w:rPr>
          <w:color w:val="636466"/>
          <w:sz w:val="19"/>
        </w:rPr>
        <w:t>Corin</w:t>
      </w:r>
      <w:proofErr w:type="spellEnd"/>
    </w:p>
    <w:p w:rsidR="00D840DF" w:rsidRDefault="00961020">
      <w:pPr>
        <w:pStyle w:val="ListParagraph"/>
        <w:numPr>
          <w:ilvl w:val="0"/>
          <w:numId w:val="23"/>
        </w:numPr>
        <w:tabs>
          <w:tab w:val="left" w:pos="331"/>
        </w:tabs>
        <w:ind w:left="330"/>
        <w:rPr>
          <w:sz w:val="19"/>
        </w:rPr>
      </w:pPr>
      <w:r>
        <w:rPr>
          <w:color w:val="636466"/>
          <w:sz w:val="19"/>
        </w:rPr>
        <w:t>Michael</w:t>
      </w:r>
      <w:r>
        <w:rPr>
          <w:color w:val="636466"/>
          <w:spacing w:val="13"/>
          <w:sz w:val="19"/>
        </w:rPr>
        <w:t xml:space="preserve"> </w:t>
      </w:r>
      <w:proofErr w:type="spellStart"/>
      <w:r>
        <w:rPr>
          <w:color w:val="636466"/>
          <w:sz w:val="19"/>
        </w:rPr>
        <w:t>Pervan</w:t>
      </w:r>
      <w:proofErr w:type="spellEnd"/>
    </w:p>
    <w:p w:rsidR="00D840DF" w:rsidRDefault="00961020">
      <w:pPr>
        <w:pStyle w:val="ListParagraph"/>
        <w:numPr>
          <w:ilvl w:val="0"/>
          <w:numId w:val="23"/>
        </w:numPr>
        <w:tabs>
          <w:tab w:val="left" w:pos="331"/>
        </w:tabs>
        <w:ind w:left="330"/>
        <w:rPr>
          <w:sz w:val="19"/>
        </w:rPr>
      </w:pPr>
      <w:proofErr w:type="spellStart"/>
      <w:r>
        <w:rPr>
          <w:color w:val="636466"/>
          <w:sz w:val="19"/>
        </w:rPr>
        <w:t>Jamin</w:t>
      </w:r>
      <w:proofErr w:type="spellEnd"/>
      <w:r>
        <w:rPr>
          <w:color w:val="636466"/>
          <w:spacing w:val="2"/>
          <w:sz w:val="19"/>
        </w:rPr>
        <w:t xml:space="preserve"> </w:t>
      </w:r>
      <w:proofErr w:type="spellStart"/>
      <w:r>
        <w:rPr>
          <w:color w:val="636466"/>
          <w:sz w:val="19"/>
        </w:rPr>
        <w:t>Woolcock</w:t>
      </w:r>
      <w:proofErr w:type="spellEnd"/>
    </w:p>
    <w:p w:rsidR="00D840DF" w:rsidRDefault="00961020">
      <w:pPr>
        <w:pStyle w:val="ListParagraph"/>
        <w:numPr>
          <w:ilvl w:val="0"/>
          <w:numId w:val="23"/>
        </w:numPr>
        <w:tabs>
          <w:tab w:val="left" w:pos="331"/>
        </w:tabs>
        <w:ind w:left="330"/>
        <w:rPr>
          <w:sz w:val="19"/>
        </w:rPr>
      </w:pPr>
      <w:r>
        <w:rPr>
          <w:color w:val="636466"/>
          <w:sz w:val="19"/>
        </w:rPr>
        <w:t>Nigel</w:t>
      </w:r>
      <w:r>
        <w:rPr>
          <w:color w:val="636466"/>
          <w:spacing w:val="-2"/>
          <w:sz w:val="19"/>
        </w:rPr>
        <w:t xml:space="preserve"> </w:t>
      </w:r>
      <w:r>
        <w:rPr>
          <w:color w:val="636466"/>
          <w:sz w:val="19"/>
        </w:rPr>
        <w:t>Lyons</w:t>
      </w:r>
    </w:p>
    <w:p w:rsidR="00D840DF" w:rsidRDefault="00961020">
      <w:pPr>
        <w:pStyle w:val="ListParagraph"/>
        <w:numPr>
          <w:ilvl w:val="0"/>
          <w:numId w:val="23"/>
        </w:numPr>
        <w:tabs>
          <w:tab w:val="left" w:pos="331"/>
        </w:tabs>
        <w:ind w:left="330"/>
        <w:rPr>
          <w:sz w:val="19"/>
        </w:rPr>
      </w:pPr>
      <w:r>
        <w:rPr>
          <w:color w:val="636466"/>
          <w:sz w:val="19"/>
        </w:rPr>
        <w:t>Trevor</w:t>
      </w:r>
      <w:r>
        <w:rPr>
          <w:color w:val="636466"/>
          <w:spacing w:val="-1"/>
          <w:sz w:val="19"/>
        </w:rPr>
        <w:t xml:space="preserve"> </w:t>
      </w:r>
      <w:r>
        <w:rPr>
          <w:color w:val="636466"/>
          <w:sz w:val="19"/>
        </w:rPr>
        <w:t>Vivian</w:t>
      </w:r>
    </w:p>
    <w:p w:rsidR="00D840DF" w:rsidRDefault="00961020">
      <w:pPr>
        <w:pStyle w:val="ListParagraph"/>
        <w:numPr>
          <w:ilvl w:val="0"/>
          <w:numId w:val="23"/>
        </w:numPr>
        <w:tabs>
          <w:tab w:val="left" w:pos="331"/>
        </w:tabs>
        <w:ind w:left="330"/>
        <w:rPr>
          <w:sz w:val="19"/>
        </w:rPr>
      </w:pPr>
      <w:r>
        <w:rPr>
          <w:color w:val="636466"/>
          <w:sz w:val="19"/>
        </w:rPr>
        <w:t>Toni Cunningham</w:t>
      </w:r>
    </w:p>
    <w:p w:rsidR="00D840DF" w:rsidRDefault="00961020">
      <w:pPr>
        <w:pStyle w:val="ListParagraph"/>
        <w:numPr>
          <w:ilvl w:val="0"/>
          <w:numId w:val="23"/>
        </w:numPr>
        <w:tabs>
          <w:tab w:val="left" w:pos="331"/>
        </w:tabs>
        <w:ind w:left="330"/>
        <w:rPr>
          <w:sz w:val="19"/>
        </w:rPr>
      </w:pPr>
      <w:r>
        <w:rPr>
          <w:color w:val="636466"/>
          <w:sz w:val="19"/>
        </w:rPr>
        <w:t>Rob</w:t>
      </w:r>
      <w:r>
        <w:rPr>
          <w:color w:val="636466"/>
          <w:spacing w:val="10"/>
          <w:sz w:val="19"/>
        </w:rPr>
        <w:t xml:space="preserve"> </w:t>
      </w:r>
      <w:r>
        <w:rPr>
          <w:color w:val="636466"/>
          <w:sz w:val="19"/>
        </w:rPr>
        <w:t>Anderson</w:t>
      </w:r>
    </w:p>
    <w:p w:rsidR="00D840DF" w:rsidRPr="00D56902" w:rsidRDefault="00961020" w:rsidP="00D56902">
      <w:pPr>
        <w:pStyle w:val="ListParagraph"/>
        <w:numPr>
          <w:ilvl w:val="0"/>
          <w:numId w:val="23"/>
        </w:numPr>
        <w:tabs>
          <w:tab w:val="left" w:pos="331"/>
        </w:tabs>
        <w:ind w:left="330"/>
        <w:rPr>
          <w:sz w:val="19"/>
        </w:rPr>
      </w:pPr>
      <w:r>
        <w:rPr>
          <w:color w:val="636466"/>
          <w:sz w:val="19"/>
        </w:rPr>
        <w:t>Helen</w:t>
      </w:r>
      <w:r>
        <w:rPr>
          <w:color w:val="636466"/>
          <w:spacing w:val="8"/>
          <w:sz w:val="19"/>
        </w:rPr>
        <w:t xml:space="preserve"> </w:t>
      </w:r>
      <w:proofErr w:type="spellStart"/>
      <w:r>
        <w:rPr>
          <w:color w:val="636466"/>
          <w:sz w:val="19"/>
        </w:rPr>
        <w:t>Ceron</w:t>
      </w:r>
      <w:proofErr w:type="spellEnd"/>
    </w:p>
    <w:p w:rsidR="00D840DF" w:rsidRDefault="00961020" w:rsidP="00D56902">
      <w:pPr>
        <w:pStyle w:val="BodyText"/>
      </w:pPr>
      <w:r>
        <w:t xml:space="preserve">During </w:t>
      </w:r>
      <w:r w:rsidRPr="00D56902">
        <w:t>the</w:t>
      </w:r>
      <w:r>
        <w:t xml:space="preserve"> reporting period there were six JAC membership changes, with the NT, NSW, VIC and ACT advising IHPA of changes to JAC membership by written instrument.</w:t>
      </w:r>
    </w:p>
    <w:p w:rsidR="00D840DF" w:rsidRDefault="00D840DF">
      <w:pPr>
        <w:spacing w:line="256" w:lineRule="auto"/>
        <w:sectPr w:rsidR="00D840DF">
          <w:pgSz w:w="9980" w:h="14180"/>
          <w:pgMar w:top="1320" w:right="1040" w:bottom="280" w:left="1200" w:header="720" w:footer="720" w:gutter="0"/>
          <w:cols w:space="720"/>
        </w:sectPr>
      </w:pPr>
    </w:p>
    <w:p w:rsidR="00D840DF" w:rsidRDefault="00E14BA1" w:rsidP="00D56902">
      <w:pPr>
        <w:pStyle w:val="Heading1"/>
      </w:pPr>
      <w:bookmarkStart w:id="37" w:name="Chair’s_welcome"/>
      <w:bookmarkStart w:id="38" w:name="_bookmark9"/>
      <w:bookmarkStart w:id="39" w:name="_Toc496088483"/>
      <w:bookmarkEnd w:id="37"/>
      <w:bookmarkEnd w:id="38"/>
      <w:r>
        <w:rPr>
          <w:noProof/>
        </w:rPr>
        <w:lastRenderedPageBreak/>
        <w:drawing>
          <wp:anchor distT="0" distB="0" distL="114300" distR="114300" simplePos="0" relativeHeight="251652608" behindDoc="1" locked="0" layoutInCell="1" allowOverlap="1">
            <wp:simplePos x="0" y="0"/>
            <wp:positionH relativeFrom="column">
              <wp:posOffset>-38100</wp:posOffset>
            </wp:positionH>
            <wp:positionV relativeFrom="paragraph">
              <wp:posOffset>819150</wp:posOffset>
            </wp:positionV>
            <wp:extent cx="571500" cy="506095"/>
            <wp:effectExtent l="0" t="0" r="0" b="8255"/>
            <wp:wrapTight wrapText="bothSides">
              <wp:wrapPolygon edited="0">
                <wp:start x="0" y="0"/>
                <wp:lineTo x="0" y="21139"/>
                <wp:lineTo x="20880" y="21139"/>
                <wp:lineTo x="20880" y="0"/>
                <wp:lineTo x="0" y="0"/>
              </wp:wrapPolygon>
            </wp:wrapTight>
            <wp:docPr id="190" name="Picture 2" descr="Shane Solo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ne Solom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902">
        <w:t xml:space="preserve">02 </w:t>
      </w:r>
      <w:r w:rsidR="00961020">
        <w:t>Pricing</w:t>
      </w:r>
      <w:r w:rsidR="00961020">
        <w:rPr>
          <w:spacing w:val="2"/>
        </w:rPr>
        <w:t xml:space="preserve"> </w:t>
      </w:r>
      <w:r w:rsidR="00961020">
        <w:t>Authority</w:t>
      </w:r>
      <w:bookmarkEnd w:id="39"/>
    </w:p>
    <w:p w:rsidR="00D840DF" w:rsidRDefault="00961020" w:rsidP="00D56902">
      <w:pPr>
        <w:pStyle w:val="Heading2"/>
      </w:pPr>
      <w:bookmarkStart w:id="40" w:name="_Toc496088484"/>
      <w:r>
        <w:t>Chair’s welcome</w:t>
      </w:r>
      <w:bookmarkEnd w:id="40"/>
      <w:r>
        <w:t xml:space="preserve"> </w:t>
      </w:r>
    </w:p>
    <w:p w:rsidR="00D840DF" w:rsidRPr="00D56902" w:rsidRDefault="00961020" w:rsidP="00D56902">
      <w:pPr>
        <w:pStyle w:val="BodyText"/>
      </w:pPr>
      <w:r>
        <w:t>It is with pleasure that I present the Independent Hospital Pricing Authority’s Annual Report for 2016–17.</w:t>
      </w:r>
    </w:p>
    <w:p w:rsidR="00D840DF" w:rsidRPr="00D56902" w:rsidRDefault="00961020" w:rsidP="00D56902">
      <w:pPr>
        <w:pStyle w:val="BodyText"/>
      </w:pPr>
      <w:r>
        <w:rPr>
          <w:color w:val="636466"/>
        </w:rPr>
        <w:t>This year has been defined by some new and exciting challenges presented to IHPA and the Pricing Authority regarding work to provide options for pricing and funding for safety and quality in</w:t>
      </w:r>
      <w:r w:rsidR="00D56902">
        <w:t xml:space="preserve"> </w:t>
      </w:r>
      <w:r>
        <w:rPr>
          <w:color w:val="636466"/>
        </w:rPr>
        <w:t>health care.</w:t>
      </w:r>
    </w:p>
    <w:p w:rsidR="00D840DF" w:rsidRPr="00D56902" w:rsidRDefault="00961020" w:rsidP="00D56902">
      <w:pPr>
        <w:pStyle w:val="BodyText"/>
      </w:pPr>
      <w:r>
        <w:rPr>
          <w:color w:val="636466"/>
        </w:rPr>
        <w:t>IHPA has successfully led this program of work with extensive collaboration between the Australian Commission on Safety and Quality in Health Care, clinicians, the states and territories and other key stakeholders. This resulted in the provision of robust advice to the COAG Health Council on options for the integration of safety and quality in public hospital pricing and funding.</w:t>
      </w:r>
    </w:p>
    <w:p w:rsidR="00D840DF" w:rsidRDefault="00961020" w:rsidP="00D56902">
      <w:pPr>
        <w:pStyle w:val="BodyText"/>
      </w:pPr>
      <w:r>
        <w:rPr>
          <w:color w:val="636466"/>
        </w:rPr>
        <w:t xml:space="preserve">It is a reflection of the quality of </w:t>
      </w:r>
      <w:r>
        <w:rPr>
          <w:color w:val="636466"/>
          <w:spacing w:val="-5"/>
        </w:rPr>
        <w:t xml:space="preserve">IHPA’s </w:t>
      </w:r>
      <w:r>
        <w:rPr>
          <w:color w:val="636466"/>
        </w:rPr>
        <w:t xml:space="preserve">work that in February </w:t>
      </w:r>
      <w:r>
        <w:rPr>
          <w:color w:val="636466"/>
          <w:spacing w:val="-8"/>
        </w:rPr>
        <w:t>2017</w:t>
      </w:r>
      <w:r w:rsidR="00E314B6">
        <w:rPr>
          <w:color w:val="636466"/>
          <w:spacing w:val="-8"/>
        </w:rPr>
        <w:t xml:space="preserve"> </w:t>
      </w:r>
      <w:r>
        <w:rPr>
          <w:color w:val="636466"/>
        </w:rPr>
        <w:t>the Minister for Health</w:t>
      </w:r>
      <w:r w:rsidR="00E314B6">
        <w:rPr>
          <w:color w:val="636466"/>
        </w:rPr>
        <w:t xml:space="preserve"> </w:t>
      </w:r>
      <w:r>
        <w:rPr>
          <w:color w:val="636466"/>
        </w:rPr>
        <w:t>directed IHPA to implement the three recommendations it presented to the COAG Health Council relating</w:t>
      </w:r>
      <w:r>
        <w:rPr>
          <w:color w:val="636466"/>
          <w:spacing w:val="6"/>
        </w:rPr>
        <w:t xml:space="preserve"> </w:t>
      </w:r>
      <w:r>
        <w:rPr>
          <w:color w:val="636466"/>
        </w:rPr>
        <w:t>to</w:t>
      </w:r>
      <w:r>
        <w:rPr>
          <w:color w:val="636466"/>
          <w:spacing w:val="7"/>
        </w:rPr>
        <w:t xml:space="preserve"> </w:t>
      </w:r>
      <w:r>
        <w:rPr>
          <w:color w:val="636466"/>
        </w:rPr>
        <w:t>sentinel</w:t>
      </w:r>
      <w:r>
        <w:rPr>
          <w:color w:val="636466"/>
          <w:spacing w:val="7"/>
        </w:rPr>
        <w:t xml:space="preserve"> </w:t>
      </w:r>
      <w:r>
        <w:rPr>
          <w:color w:val="636466"/>
        </w:rPr>
        <w:t>events,</w:t>
      </w:r>
      <w:r>
        <w:rPr>
          <w:color w:val="636466"/>
          <w:spacing w:val="7"/>
        </w:rPr>
        <w:t xml:space="preserve"> </w:t>
      </w:r>
      <w:r>
        <w:rPr>
          <w:color w:val="636466"/>
        </w:rPr>
        <w:t>hospital</w:t>
      </w:r>
      <w:r>
        <w:rPr>
          <w:color w:val="636466"/>
          <w:spacing w:val="7"/>
        </w:rPr>
        <w:t xml:space="preserve"> </w:t>
      </w:r>
      <w:r>
        <w:rPr>
          <w:color w:val="636466"/>
        </w:rPr>
        <w:t>acquired</w:t>
      </w:r>
      <w:r>
        <w:rPr>
          <w:color w:val="636466"/>
          <w:spacing w:val="7"/>
        </w:rPr>
        <w:t xml:space="preserve"> </w:t>
      </w:r>
      <w:r>
        <w:rPr>
          <w:color w:val="636466"/>
        </w:rPr>
        <w:t>complications</w:t>
      </w:r>
      <w:r>
        <w:rPr>
          <w:color w:val="636466"/>
          <w:spacing w:val="7"/>
        </w:rPr>
        <w:t xml:space="preserve"> </w:t>
      </w:r>
      <w:r>
        <w:rPr>
          <w:color w:val="636466"/>
        </w:rPr>
        <w:t>(HACs)</w:t>
      </w:r>
      <w:r>
        <w:rPr>
          <w:color w:val="636466"/>
          <w:spacing w:val="7"/>
        </w:rPr>
        <w:t xml:space="preserve"> </w:t>
      </w:r>
      <w:r>
        <w:rPr>
          <w:color w:val="636466"/>
        </w:rPr>
        <w:t>and</w:t>
      </w:r>
      <w:r>
        <w:rPr>
          <w:color w:val="636466"/>
          <w:spacing w:val="7"/>
        </w:rPr>
        <w:t xml:space="preserve"> </w:t>
      </w:r>
      <w:r>
        <w:rPr>
          <w:color w:val="636466"/>
        </w:rPr>
        <w:t>avoidable</w:t>
      </w:r>
      <w:r>
        <w:rPr>
          <w:color w:val="636466"/>
          <w:spacing w:val="7"/>
        </w:rPr>
        <w:t xml:space="preserve"> </w:t>
      </w:r>
      <w:r>
        <w:rPr>
          <w:color w:val="636466"/>
        </w:rPr>
        <w:t>readmissions.</w:t>
      </w:r>
    </w:p>
    <w:p w:rsidR="00D840DF" w:rsidRPr="00D56902" w:rsidRDefault="00961020" w:rsidP="00D56902">
      <w:pPr>
        <w:pStyle w:val="BodyText"/>
      </w:pPr>
      <w:r>
        <w:rPr>
          <w:color w:val="636466"/>
        </w:rPr>
        <w:t xml:space="preserve">The recommendations are reflected as part of IHPA’s annual pricing process in the </w:t>
      </w:r>
      <w:r>
        <w:rPr>
          <w:i/>
          <w:color w:val="636466"/>
        </w:rPr>
        <w:t>Pricing Framework for Australian Public Hospital Services</w:t>
      </w:r>
      <w:r w:rsidR="00E314B6">
        <w:rPr>
          <w:i/>
          <w:color w:val="636466"/>
        </w:rPr>
        <w:t xml:space="preserve"> </w:t>
      </w:r>
      <w:r>
        <w:rPr>
          <w:i/>
          <w:color w:val="636466"/>
        </w:rPr>
        <w:t>2017–18</w:t>
      </w:r>
      <w:r>
        <w:rPr>
          <w:color w:val="636466"/>
        </w:rPr>
        <w:t>.</w:t>
      </w:r>
    </w:p>
    <w:p w:rsidR="00D840DF" w:rsidRPr="00D56902" w:rsidRDefault="00961020" w:rsidP="00D56902">
      <w:pPr>
        <w:pStyle w:val="BodyText"/>
      </w:pPr>
      <w:r>
        <w:rPr>
          <w:color w:val="636466"/>
        </w:rPr>
        <w:t>In addition to the safety and quality work IHPA has continued to deliver its sixth round of pricing functions, further refining and improving the pricing model. We continue to see the impact that ABF is having in reducing the rate of growth in public hospital costs (see figures 3 and 4).</w:t>
      </w:r>
    </w:p>
    <w:p w:rsidR="00D840DF" w:rsidRPr="00D56902" w:rsidRDefault="00961020" w:rsidP="00D56902">
      <w:pPr>
        <w:pStyle w:val="BodyText"/>
      </w:pPr>
      <w:r>
        <w:rPr>
          <w:color w:val="636466"/>
        </w:rPr>
        <w:t xml:space="preserve">This year the Pricing Authority said goodbye to two of its founding members, </w:t>
      </w:r>
      <w:proofErr w:type="spellStart"/>
      <w:r>
        <w:rPr>
          <w:color w:val="636466"/>
        </w:rPr>
        <w:t>Mr</w:t>
      </w:r>
      <w:proofErr w:type="spellEnd"/>
      <w:r>
        <w:rPr>
          <w:color w:val="636466"/>
        </w:rPr>
        <w:t xml:space="preserve"> Alan </w:t>
      </w:r>
      <w:proofErr w:type="spellStart"/>
      <w:r>
        <w:rPr>
          <w:color w:val="636466"/>
        </w:rPr>
        <w:t>Bansemer</w:t>
      </w:r>
      <w:proofErr w:type="spellEnd"/>
      <w:r>
        <w:rPr>
          <w:color w:val="636466"/>
        </w:rPr>
        <w:t xml:space="preserve"> and </w:t>
      </w:r>
      <w:proofErr w:type="spellStart"/>
      <w:r>
        <w:rPr>
          <w:color w:val="636466"/>
        </w:rPr>
        <w:t>Mr</w:t>
      </w:r>
      <w:proofErr w:type="spellEnd"/>
      <w:r>
        <w:rPr>
          <w:color w:val="636466"/>
        </w:rPr>
        <w:t xml:space="preserve"> Alan Morris. I would like to thank both members for their contributions over the last five years as well as the continuing Pricing Authority members who provide expert vision and guidance.</w:t>
      </w:r>
    </w:p>
    <w:p w:rsidR="00D840DF" w:rsidRPr="00D56902" w:rsidRDefault="00961020" w:rsidP="00D56902">
      <w:pPr>
        <w:pStyle w:val="BodyText"/>
      </w:pPr>
      <w:r>
        <w:rPr>
          <w:color w:val="636466"/>
        </w:rPr>
        <w:t>Our achievements this year would not be possible without the input from our many stakeholders. I’d like to thank the states and territories and the Australian Government whose partnership is vital for</w:t>
      </w:r>
      <w:r w:rsidR="00E314B6">
        <w:rPr>
          <w:color w:val="636466"/>
        </w:rPr>
        <w:t xml:space="preserve"> </w:t>
      </w:r>
      <w:r>
        <w:rPr>
          <w:color w:val="636466"/>
        </w:rPr>
        <w:t>the delivery of better health care for local communities. Also our Clinical Advisory Committee whose advice always underpins any proposed</w:t>
      </w:r>
      <w:r>
        <w:rPr>
          <w:color w:val="636466"/>
          <w:spacing w:val="38"/>
        </w:rPr>
        <w:t xml:space="preserve"> </w:t>
      </w:r>
      <w:r>
        <w:rPr>
          <w:color w:val="636466"/>
        </w:rPr>
        <w:t>changes.</w:t>
      </w:r>
    </w:p>
    <w:p w:rsidR="00D840DF" w:rsidRDefault="00961020" w:rsidP="00D56902">
      <w:pPr>
        <w:pStyle w:val="BodyText"/>
      </w:pPr>
      <w:r>
        <w:rPr>
          <w:color w:val="636466"/>
        </w:rPr>
        <w:t xml:space="preserve">Finally, I’d like to thank James </w:t>
      </w:r>
      <w:proofErr w:type="spellStart"/>
      <w:r>
        <w:rPr>
          <w:color w:val="636466"/>
        </w:rPr>
        <w:t>Downie</w:t>
      </w:r>
      <w:proofErr w:type="spellEnd"/>
      <w:r>
        <w:rPr>
          <w:color w:val="636466"/>
        </w:rPr>
        <w:t>, Chief Executive Officer at IHPA and all of his staff whose ability to meet new challenges demonstrates their expertise as well as the capability of IHPA to deliver high quality work in a timely manner.</w:t>
      </w:r>
    </w:p>
    <w:p w:rsidR="00D840DF" w:rsidRDefault="00D840DF">
      <w:pPr>
        <w:spacing w:line="256" w:lineRule="auto"/>
        <w:sectPr w:rsidR="00D840DF">
          <w:pgSz w:w="9980" w:h="14180"/>
          <w:pgMar w:top="1320" w:right="1200" w:bottom="280" w:left="1020" w:header="720" w:footer="720" w:gutter="0"/>
          <w:cols w:space="720"/>
        </w:sectPr>
      </w:pPr>
    </w:p>
    <w:p w:rsidR="00D840DF" w:rsidRDefault="00961020" w:rsidP="00D56902">
      <w:pPr>
        <w:pStyle w:val="BodyText"/>
        <w:spacing w:before="89" w:line="256" w:lineRule="auto"/>
        <w:ind w:right="258"/>
      </w:pPr>
      <w:bookmarkStart w:id="41" w:name="Significant_slowdown_in_costs"/>
      <w:bookmarkStart w:id="42" w:name="_bookmark10"/>
      <w:bookmarkEnd w:id="41"/>
      <w:bookmarkEnd w:id="42"/>
      <w:r>
        <w:rPr>
          <w:color w:val="636466"/>
        </w:rPr>
        <w:lastRenderedPageBreak/>
        <w:t xml:space="preserve">I look forward to further developing work towards pricing and funding for safety and quality in health care next year as part of our ongoing role to improve </w:t>
      </w:r>
      <w:r>
        <w:rPr>
          <w:color w:val="636466"/>
          <w:spacing w:val="1"/>
        </w:rPr>
        <w:t xml:space="preserve">the transparency </w:t>
      </w:r>
      <w:r>
        <w:rPr>
          <w:color w:val="636466"/>
        </w:rPr>
        <w:t xml:space="preserve">of public hospital </w:t>
      </w:r>
      <w:r>
        <w:rPr>
          <w:color w:val="636466"/>
          <w:spacing w:val="1"/>
        </w:rPr>
        <w:t>funding</w:t>
      </w:r>
      <w:r w:rsidR="00E314B6">
        <w:rPr>
          <w:color w:val="636466"/>
          <w:spacing w:val="1"/>
        </w:rPr>
        <w:t xml:space="preserve"> </w:t>
      </w:r>
      <w:r>
        <w:rPr>
          <w:color w:val="636466"/>
        </w:rPr>
        <w:t xml:space="preserve">and </w:t>
      </w:r>
      <w:r>
        <w:rPr>
          <w:color w:val="636466"/>
          <w:spacing w:val="1"/>
        </w:rPr>
        <w:t xml:space="preserve">strengthen incentives </w:t>
      </w:r>
      <w:r>
        <w:rPr>
          <w:color w:val="636466"/>
        </w:rPr>
        <w:t xml:space="preserve">for </w:t>
      </w:r>
      <w:r>
        <w:rPr>
          <w:color w:val="636466"/>
          <w:spacing w:val="1"/>
        </w:rPr>
        <w:t xml:space="preserve">efficiency </w:t>
      </w:r>
      <w:r>
        <w:rPr>
          <w:color w:val="636466"/>
        </w:rPr>
        <w:t xml:space="preserve">in </w:t>
      </w:r>
      <w:r>
        <w:rPr>
          <w:color w:val="636466"/>
          <w:spacing w:val="1"/>
        </w:rPr>
        <w:t xml:space="preserve">the delivery </w:t>
      </w:r>
      <w:r>
        <w:rPr>
          <w:color w:val="636466"/>
        </w:rPr>
        <w:t xml:space="preserve">of public hospital </w:t>
      </w:r>
      <w:r>
        <w:rPr>
          <w:color w:val="636466"/>
          <w:spacing w:val="2"/>
        </w:rPr>
        <w:t xml:space="preserve">services </w:t>
      </w:r>
      <w:r>
        <w:rPr>
          <w:color w:val="636466"/>
        </w:rPr>
        <w:t xml:space="preserve">through </w:t>
      </w:r>
      <w:r>
        <w:rPr>
          <w:color w:val="636466"/>
          <w:spacing w:val="2"/>
        </w:rPr>
        <w:t xml:space="preserve">the </w:t>
      </w:r>
      <w:r>
        <w:rPr>
          <w:color w:val="636466"/>
        </w:rPr>
        <w:t>implementation of Activity Based</w:t>
      </w:r>
      <w:r w:rsidR="00E314B6">
        <w:rPr>
          <w:color w:val="636466"/>
        </w:rPr>
        <w:t xml:space="preserve"> </w:t>
      </w:r>
      <w:r>
        <w:rPr>
          <w:color w:val="636466"/>
        </w:rPr>
        <w:t>Funding.</w:t>
      </w:r>
    </w:p>
    <w:p w:rsidR="00D840DF" w:rsidRDefault="00E14BA1">
      <w:pPr>
        <w:pStyle w:val="BodyText"/>
        <w:spacing w:before="10"/>
        <w:rPr>
          <w:sz w:val="27"/>
        </w:rPr>
      </w:pPr>
      <w:r>
        <w:rPr>
          <w:noProof/>
        </w:rPr>
        <w:drawing>
          <wp:anchor distT="0" distB="0" distL="0" distR="0" simplePos="0" relativeHeight="251603456" behindDoc="0" locked="0" layoutInCell="1" allowOverlap="1">
            <wp:simplePos x="0" y="0"/>
            <wp:positionH relativeFrom="page">
              <wp:posOffset>785495</wp:posOffset>
            </wp:positionH>
            <wp:positionV relativeFrom="paragraph">
              <wp:posOffset>251460</wp:posOffset>
            </wp:positionV>
            <wp:extent cx="1872615" cy="301625"/>
            <wp:effectExtent l="0" t="0" r="0" b="3175"/>
            <wp:wrapTopAndBottom/>
            <wp:docPr id="189" name="image10.jpeg"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descr="Signa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2615" cy="30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0DF" w:rsidRPr="00343885" w:rsidRDefault="00961020" w:rsidP="00343885">
      <w:pPr>
        <w:pStyle w:val="BodyText"/>
      </w:pPr>
      <w:r w:rsidRPr="00343885">
        <w:rPr>
          <w:b/>
          <w:color w:val="008F54"/>
        </w:rPr>
        <w:t>Shane Solomon</w:t>
      </w:r>
      <w:r w:rsidRPr="00343885">
        <w:t xml:space="preserve"> </w:t>
      </w:r>
      <w:r w:rsidR="00D56902" w:rsidRPr="00343885">
        <w:br/>
      </w:r>
      <w:r w:rsidRPr="00343885">
        <w:t>Chair, Pricing Authority 2 October 2017</w:t>
      </w:r>
    </w:p>
    <w:p w:rsidR="00D840DF" w:rsidRDefault="00961020" w:rsidP="00D56902">
      <w:pPr>
        <w:pStyle w:val="Heading3"/>
      </w:pPr>
      <w:r>
        <w:t>Significant slowdown in costs</w:t>
      </w:r>
    </w:p>
    <w:p w:rsidR="00D840DF" w:rsidRPr="00D56902" w:rsidRDefault="00961020" w:rsidP="00D56902">
      <w:pPr>
        <w:pStyle w:val="Heading4"/>
      </w:pPr>
      <w:r w:rsidRPr="00D56902">
        <w:t>Cost per National Weighted Activity Unit (NWAU)</w:t>
      </w:r>
    </w:p>
    <w:p w:rsidR="00D840DF" w:rsidRPr="00D56902" w:rsidRDefault="00961020" w:rsidP="00D56902">
      <w:pPr>
        <w:pStyle w:val="BodyText"/>
      </w:pPr>
      <w:r>
        <w:t xml:space="preserve">The </w:t>
      </w:r>
      <w:r w:rsidRPr="00D56902">
        <w:t>NWAU</w:t>
      </w:r>
      <w:r>
        <w:t xml:space="preserve"> is a measure of health service activity expressed as a common unit, against which the National Efficient Price (NEP) is determined. Figure 3 indicates a significant levelling off since the first NEP Determination in 2012,</w:t>
      </w:r>
      <w:r w:rsidR="00E314B6">
        <w:t xml:space="preserve"> </w:t>
      </w:r>
      <w:r>
        <w:t>to a sustained growth rate of 1.1%</w:t>
      </w:r>
      <w:r w:rsidR="00E314B6">
        <w:t xml:space="preserve"> </w:t>
      </w:r>
      <w:r>
        <w:t>since 2011–12.</w:t>
      </w:r>
    </w:p>
    <w:p w:rsidR="00D840DF" w:rsidRDefault="00961020" w:rsidP="00D56902">
      <w:pPr>
        <w:pStyle w:val="Heading4"/>
      </w:pPr>
      <w:bookmarkStart w:id="43" w:name="_Figure_3:_Cost"/>
      <w:bookmarkEnd w:id="43"/>
      <w:r>
        <w:t>Figure 3: Cost per National Weighted Activity Unit</w:t>
      </w:r>
      <w:r w:rsidR="00E314B6">
        <w:t xml:space="preserve"> </w:t>
      </w:r>
      <w:r>
        <w:t>(NWAU)</w:t>
      </w:r>
    </w:p>
    <w:p w:rsidR="00D56902" w:rsidRDefault="00E14BA1" w:rsidP="00D56902">
      <w:pPr>
        <w:pStyle w:val="BodyText"/>
      </w:pPr>
      <w:bookmarkStart w:id="44" w:name="_bookmark11"/>
      <w:bookmarkEnd w:id="44"/>
      <w:r>
        <w:rPr>
          <w:noProof/>
        </w:rPr>
        <w:drawing>
          <wp:anchor distT="0" distB="1524" distL="114300" distR="116840" simplePos="0" relativeHeight="251726336" behindDoc="1" locked="0" layoutInCell="1" allowOverlap="1">
            <wp:simplePos x="0" y="0"/>
            <wp:positionH relativeFrom="column">
              <wp:posOffset>0</wp:posOffset>
            </wp:positionH>
            <wp:positionV relativeFrom="paragraph">
              <wp:posOffset>-3175</wp:posOffset>
            </wp:positionV>
            <wp:extent cx="4813300" cy="2704846"/>
            <wp:effectExtent l="0" t="0" r="6350" b="635"/>
            <wp:wrapTight wrapText="bothSides">
              <wp:wrapPolygon edited="0">
                <wp:start x="0" y="0"/>
                <wp:lineTo x="0" y="21453"/>
                <wp:lineTo x="21543" y="21453"/>
                <wp:lineTo x="21543" y="0"/>
                <wp:lineTo x="0" y="0"/>
              </wp:wrapPolygon>
            </wp:wrapTight>
            <wp:docPr id="188" name="Picture 10" descr="2006-07 = $3646&#10;2007-08 = $3790&#10;2008-09 = $4003&#10;2009-10 = $4291&#10;2010-11 = $4379&#10;2011-12 = $4527&#10;2012-13 = $4530&#10;2013-14 = $4588&#10;2014-15 = $4682" title="Figure 3: Cost per national weighted activity unit (NW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06-07 = $3646&#10;2007-08 = $3790&#10;2008-09 = $4003&#10;2009-10 = $4291&#10;2010-11 = $4379&#10;2011-12 = $4527&#10;2012-13 = $4530&#10;2013-14 = $4588&#10;2014-15 = $4682" title="Figure 3: Cost per national weighted activity unit (NWAU)"/>
                    <pic:cNvPicPr/>
                  </pic:nvPicPr>
                  <pic:blipFill>
                    <a:blip r:embed="rId28">
                      <a:extLst>
                        <a:ext uri="{28A0092B-C50C-407E-A947-70E740481C1C}">
                          <a14:useLocalDpi xmlns:a14="http://schemas.microsoft.com/office/drawing/2010/main" val="0"/>
                        </a:ext>
                      </a:extLst>
                    </a:blip>
                    <a:stretch>
                      <a:fillRect/>
                    </a:stretch>
                  </pic:blipFill>
                  <pic:spPr>
                    <a:xfrm>
                      <a:off x="0" y="0"/>
                      <a:ext cx="4813300" cy="2704465"/>
                    </a:xfrm>
                    <a:prstGeom prst="rect">
                      <a:avLst/>
                    </a:prstGeom>
                  </pic:spPr>
                </pic:pic>
              </a:graphicData>
            </a:graphic>
            <wp14:sizeRelH relativeFrom="page">
              <wp14:pctWidth>0</wp14:pctWidth>
            </wp14:sizeRelH>
            <wp14:sizeRelV relativeFrom="page">
              <wp14:pctHeight>0</wp14:pctHeight>
            </wp14:sizeRelV>
          </wp:anchor>
        </w:drawing>
      </w:r>
    </w:p>
    <w:p w:rsidR="00D56902" w:rsidRPr="00F706F7" w:rsidRDefault="00D56902">
      <w:pPr>
        <w:rPr>
          <w:color w:val="7F7F7F"/>
          <w:sz w:val="19"/>
          <w:szCs w:val="19"/>
        </w:rPr>
      </w:pPr>
      <w:r>
        <w:br w:type="page"/>
      </w:r>
    </w:p>
    <w:p w:rsidR="00D840DF" w:rsidRDefault="00D56902" w:rsidP="00D56902">
      <w:pPr>
        <w:pStyle w:val="Heading4"/>
      </w:pPr>
      <w:r>
        <w:lastRenderedPageBreak/>
        <w:t xml:space="preserve">National </w:t>
      </w:r>
      <w:r w:rsidR="00961020">
        <w:t>Efficient Price</w:t>
      </w:r>
    </w:p>
    <w:p w:rsidR="00D840DF" w:rsidRPr="00D56902" w:rsidRDefault="00961020" w:rsidP="00D56902">
      <w:pPr>
        <w:pStyle w:val="BodyText"/>
      </w:pPr>
      <w:r>
        <w:t xml:space="preserve">The National Efficient Price represents the average cost of providing public hospital services across Australia </w:t>
      </w:r>
      <w:r w:rsidRPr="00D56902">
        <w:t>and is a determinate (along with the volume of services delivered) of the Australian Government’s funding contribution to public hospitals. Figure 4 below, is an indicator of Activity Based Funding’s success in controlling costs.</w:t>
      </w:r>
    </w:p>
    <w:p w:rsidR="00D840DF" w:rsidRPr="00D56902" w:rsidRDefault="00961020" w:rsidP="00D56902">
      <w:pPr>
        <w:pStyle w:val="BodyText"/>
      </w:pPr>
      <w:r w:rsidRPr="00D56902">
        <w:t>As required under the National Health Reform Agreement (cl B40), IHPA back-casts the NEP whenever significant</w:t>
      </w:r>
      <w:r>
        <w:t xml:space="preserve"> changes to the methodology or underlying data occurs, to enable the fair calculation of the Australian Government’s growth</w:t>
      </w:r>
      <w:r w:rsidR="00E314B6">
        <w:t xml:space="preserve"> </w:t>
      </w:r>
      <w:r>
        <w:t>funding.</w:t>
      </w:r>
    </w:p>
    <w:p w:rsidR="00D56902" w:rsidRPr="00D56902" w:rsidRDefault="00E14BA1" w:rsidP="00D56902">
      <w:pPr>
        <w:pStyle w:val="Heading4"/>
        <w:rPr>
          <w:rFonts w:ascii="Futura PT Book" w:eastAsia="Futura PT Book" w:hAnsi="Futura PT Book" w:cs="Futura PT Book"/>
          <w:color w:val="636466"/>
          <w:w w:val="105"/>
          <w:sz w:val="14"/>
          <w:szCs w:val="22"/>
        </w:rPr>
      </w:pPr>
      <w:bookmarkStart w:id="45" w:name="_Figure_4:_National"/>
      <w:bookmarkEnd w:id="45"/>
      <w:r>
        <w:rPr>
          <w:noProof/>
        </w:rPr>
        <w:drawing>
          <wp:anchor distT="0" distB="1524" distL="114300" distR="116840" simplePos="0" relativeHeight="251689472" behindDoc="1" locked="0" layoutInCell="1" allowOverlap="1">
            <wp:simplePos x="0" y="0"/>
            <wp:positionH relativeFrom="column">
              <wp:posOffset>0</wp:posOffset>
            </wp:positionH>
            <wp:positionV relativeFrom="paragraph">
              <wp:posOffset>306070</wp:posOffset>
            </wp:positionV>
            <wp:extent cx="4813300" cy="2704846"/>
            <wp:effectExtent l="0" t="0" r="6350" b="635"/>
            <wp:wrapTight wrapText="bothSides">
              <wp:wrapPolygon edited="0">
                <wp:start x="0" y="0"/>
                <wp:lineTo x="0" y="21453"/>
                <wp:lineTo x="21543" y="21453"/>
                <wp:lineTo x="21543" y="0"/>
                <wp:lineTo x="0" y="0"/>
              </wp:wrapPolygon>
            </wp:wrapTight>
            <wp:docPr id="187" name="Picture 12" descr="2012-13 = $4808&#10;2013-14 = $4993&#10;2014-15 = $5007&#10;2015-16 = $4971&#10;2016-17 = $4883&#10;2017-18 = $4910" title="Figure 4: National Efficient Price  20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2012-13 = $4808&#10;2013-14 = $4993&#10;2014-15 = $5007&#10;2015-16 = $4971&#10;2016-17 = $4883&#10;2017-18 = $4910" title="Figure 4: National Efficient Price  2012–2017"/>
                    <pic:cNvPicPr/>
                  </pic:nvPicPr>
                  <pic:blipFill>
                    <a:blip r:embed="rId29">
                      <a:extLst>
                        <a:ext uri="{28A0092B-C50C-407E-A947-70E740481C1C}">
                          <a14:useLocalDpi xmlns:a14="http://schemas.microsoft.com/office/drawing/2010/main" val="0"/>
                        </a:ext>
                      </a:extLst>
                    </a:blip>
                    <a:stretch>
                      <a:fillRect/>
                    </a:stretch>
                  </pic:blipFill>
                  <pic:spPr>
                    <a:xfrm>
                      <a:off x="0" y="0"/>
                      <a:ext cx="4813300" cy="2704465"/>
                    </a:xfrm>
                    <a:prstGeom prst="rect">
                      <a:avLst/>
                    </a:prstGeom>
                  </pic:spPr>
                </pic:pic>
              </a:graphicData>
            </a:graphic>
            <wp14:sizeRelH relativeFrom="page">
              <wp14:pctWidth>0</wp14:pctWidth>
            </wp14:sizeRelH>
            <wp14:sizeRelV relativeFrom="page">
              <wp14:pctHeight>0</wp14:pctHeight>
            </wp14:sizeRelV>
          </wp:anchor>
        </w:drawing>
      </w:r>
      <w:r w:rsidR="00961020">
        <w:t>Figure 4: National Efficient Price</w:t>
      </w:r>
      <w:r w:rsidR="00E314B6">
        <w:t xml:space="preserve"> </w:t>
      </w:r>
      <w:r w:rsidR="00961020">
        <w:t>2012–2017</w:t>
      </w:r>
    </w:p>
    <w:p w:rsidR="00D56902" w:rsidRPr="00F706F7" w:rsidRDefault="00D56902">
      <w:pPr>
        <w:rPr>
          <w:color w:val="7F7F7F"/>
          <w:sz w:val="19"/>
          <w:szCs w:val="19"/>
        </w:rPr>
      </w:pPr>
      <w:r>
        <w:br w:type="page"/>
      </w:r>
    </w:p>
    <w:p w:rsidR="00D840DF" w:rsidRDefault="00D56902" w:rsidP="00D56902">
      <w:pPr>
        <w:pStyle w:val="Heading2"/>
      </w:pPr>
      <w:bookmarkStart w:id="46" w:name="About_the_Pricing_Authority"/>
      <w:bookmarkStart w:id="47" w:name="_bookmark12"/>
      <w:bookmarkStart w:id="48" w:name="_Toc496088485"/>
      <w:bookmarkEnd w:id="46"/>
      <w:bookmarkEnd w:id="47"/>
      <w:r>
        <w:rPr>
          <w:spacing w:val="-13"/>
        </w:rPr>
        <w:lastRenderedPageBreak/>
        <w:t xml:space="preserve">About </w:t>
      </w:r>
      <w:r w:rsidR="00961020">
        <w:rPr>
          <w:spacing w:val="-9"/>
        </w:rPr>
        <w:t xml:space="preserve">the </w:t>
      </w:r>
      <w:r w:rsidR="00961020">
        <w:rPr>
          <w:spacing w:val="-14"/>
        </w:rPr>
        <w:t xml:space="preserve">Pricing </w:t>
      </w:r>
      <w:r w:rsidR="00961020">
        <w:t>Authority</w:t>
      </w:r>
      <w:bookmarkEnd w:id="48"/>
    </w:p>
    <w:p w:rsidR="00D840DF" w:rsidRPr="00D56902" w:rsidRDefault="00961020" w:rsidP="00D56902">
      <w:pPr>
        <w:pStyle w:val="BodyText"/>
      </w:pPr>
      <w:r>
        <w:t xml:space="preserve">The Pricing Authority is responsible for promoting improved efficiency and access to public hospital services by providing independent advice to government in relation to the efficient costs of services and developing and implementing robust systems to promote Activity Based Funding for such services. The Pricing Authority consists of a Chair, a Deputy Chair and seven other members. As of 30 June </w:t>
      </w:r>
      <w:r>
        <w:rPr>
          <w:spacing w:val="-11"/>
        </w:rPr>
        <w:t>2017,</w:t>
      </w:r>
      <w:r w:rsidR="00E314B6">
        <w:rPr>
          <w:spacing w:val="-11"/>
        </w:rPr>
        <w:t xml:space="preserve"> </w:t>
      </w:r>
      <w:r>
        <w:t>three positions were not</w:t>
      </w:r>
      <w:r>
        <w:rPr>
          <w:spacing w:val="8"/>
        </w:rPr>
        <w:t xml:space="preserve"> </w:t>
      </w:r>
      <w:r>
        <w:t>filled.</w:t>
      </w:r>
    </w:p>
    <w:p w:rsidR="00D840DF" w:rsidRPr="00D56902" w:rsidRDefault="00961020" w:rsidP="00D56902">
      <w:pPr>
        <w:pStyle w:val="BodyText"/>
      </w:pPr>
      <w:r>
        <w:t>Pricing Authority members are appointed for a period not greater than five years. The Chair is appointed by the Australian Government Minister for Health; the Deputy Chair is appointed with the agreement of First Ministers of all states and territories; and the Pricing Authority members are appointed with the agreement of the Prime Minister and First Ministers of the states and territories.</w:t>
      </w:r>
    </w:p>
    <w:p w:rsidR="00D840DF" w:rsidRPr="00D56902" w:rsidRDefault="00961020" w:rsidP="00D56902">
      <w:pPr>
        <w:pStyle w:val="BodyText"/>
      </w:pPr>
      <w:r>
        <w:t>Members of the Pricing Authority bring significant and varied expertise to their role including: substantial experience and knowledge of the health industry, health care needs and the provision of health care in regional and rural areas. The Pricing Authority is supported by a Chief Executive Officer, who is responsible for the day-to-day running of IHPA.</w:t>
      </w:r>
    </w:p>
    <w:p w:rsidR="00D840DF" w:rsidRPr="00D56902" w:rsidRDefault="00961020" w:rsidP="00D56902">
      <w:pPr>
        <w:pStyle w:val="BodyText"/>
      </w:pPr>
      <w:r>
        <w:t xml:space="preserve">The current Pricing Authority members were appointed in February 2017. Two members, </w:t>
      </w:r>
      <w:proofErr w:type="spellStart"/>
      <w:r>
        <w:t>Mr</w:t>
      </w:r>
      <w:proofErr w:type="spellEnd"/>
      <w:r>
        <w:t xml:space="preserve"> Alan </w:t>
      </w:r>
      <w:proofErr w:type="spellStart"/>
      <w:r>
        <w:t>Bansemer</w:t>
      </w:r>
      <w:proofErr w:type="spellEnd"/>
      <w:r>
        <w:t xml:space="preserve"> and </w:t>
      </w:r>
      <w:proofErr w:type="spellStart"/>
      <w:r>
        <w:t>Mr</w:t>
      </w:r>
      <w:proofErr w:type="spellEnd"/>
      <w:r>
        <w:t xml:space="preserve"> Alan Morris were not re-appointed on 1 February 2017.</w:t>
      </w:r>
    </w:p>
    <w:p w:rsidR="00D840DF" w:rsidRPr="00D56902" w:rsidRDefault="00961020" w:rsidP="00D56902">
      <w:pPr>
        <w:pStyle w:val="BodyText"/>
      </w:pPr>
      <w:r>
        <w:t>All Pricing Authority members are non-executive.</w:t>
      </w:r>
    </w:p>
    <w:p w:rsidR="00D840DF" w:rsidRDefault="00961020" w:rsidP="00D56902">
      <w:pPr>
        <w:pStyle w:val="BodyText"/>
        <w:rPr>
          <w:sz w:val="16"/>
        </w:rPr>
      </w:pPr>
      <w:r>
        <w:rPr>
          <w:rFonts w:ascii="Futura PT Heavy"/>
          <w:b/>
          <w:sz w:val="16"/>
        </w:rPr>
        <w:t xml:space="preserve">The Pricing Authority. </w:t>
      </w:r>
      <w:r>
        <w:rPr>
          <w:sz w:val="16"/>
        </w:rPr>
        <w:t xml:space="preserve">Back row, left to right: </w:t>
      </w:r>
      <w:proofErr w:type="spellStart"/>
      <w:r>
        <w:rPr>
          <w:sz w:val="16"/>
        </w:rPr>
        <w:t>Mr</w:t>
      </w:r>
      <w:proofErr w:type="spellEnd"/>
      <w:r>
        <w:rPr>
          <w:sz w:val="16"/>
        </w:rPr>
        <w:t xml:space="preserve"> Glenn Appleyard, </w:t>
      </w:r>
      <w:proofErr w:type="spellStart"/>
      <w:r>
        <w:rPr>
          <w:sz w:val="16"/>
        </w:rPr>
        <w:t>Mr</w:t>
      </w:r>
      <w:proofErr w:type="spellEnd"/>
      <w:r>
        <w:rPr>
          <w:sz w:val="16"/>
        </w:rPr>
        <w:t xml:space="preserve"> Jim Birch, AM (Deputy Chair), </w:t>
      </w:r>
      <w:proofErr w:type="spellStart"/>
      <w:r>
        <w:rPr>
          <w:sz w:val="16"/>
        </w:rPr>
        <w:t>Dr</w:t>
      </w:r>
      <w:proofErr w:type="spellEnd"/>
      <w:r>
        <w:rPr>
          <w:sz w:val="16"/>
        </w:rPr>
        <w:t xml:space="preserve"> Michael Walsh, </w:t>
      </w:r>
      <w:proofErr w:type="spellStart"/>
      <w:r>
        <w:rPr>
          <w:sz w:val="16"/>
        </w:rPr>
        <w:t>Mr</w:t>
      </w:r>
      <w:proofErr w:type="spellEnd"/>
      <w:r>
        <w:rPr>
          <w:sz w:val="16"/>
        </w:rPr>
        <w:t xml:space="preserve"> Alan </w:t>
      </w:r>
      <w:proofErr w:type="spellStart"/>
      <w:r>
        <w:rPr>
          <w:sz w:val="16"/>
        </w:rPr>
        <w:t>Bansemer</w:t>
      </w:r>
      <w:proofErr w:type="spellEnd"/>
      <w:r>
        <w:rPr>
          <w:sz w:val="16"/>
        </w:rPr>
        <w:t xml:space="preserve">, Associate Professor Bruce </w:t>
      </w:r>
      <w:proofErr w:type="spellStart"/>
      <w:r>
        <w:rPr>
          <w:sz w:val="16"/>
        </w:rPr>
        <w:t>Chater</w:t>
      </w:r>
      <w:proofErr w:type="spellEnd"/>
      <w:r>
        <w:rPr>
          <w:sz w:val="16"/>
        </w:rPr>
        <w:t xml:space="preserve">, OAM. Front row, left to right: </w:t>
      </w:r>
      <w:proofErr w:type="spellStart"/>
      <w:r>
        <w:rPr>
          <w:sz w:val="16"/>
        </w:rPr>
        <w:t>Mr</w:t>
      </w:r>
      <w:proofErr w:type="spellEnd"/>
      <w:r>
        <w:rPr>
          <w:sz w:val="16"/>
        </w:rPr>
        <w:t xml:space="preserve"> Alan Morris, Professor Jane Hall, </w:t>
      </w:r>
      <w:proofErr w:type="spellStart"/>
      <w:r>
        <w:rPr>
          <w:sz w:val="16"/>
        </w:rPr>
        <w:t>Mr</w:t>
      </w:r>
      <w:proofErr w:type="spellEnd"/>
      <w:r>
        <w:rPr>
          <w:sz w:val="16"/>
        </w:rPr>
        <w:t xml:space="preserve"> Shane Solomon</w:t>
      </w:r>
      <w:r w:rsidR="00E314B6">
        <w:rPr>
          <w:sz w:val="16"/>
        </w:rPr>
        <w:t xml:space="preserve"> </w:t>
      </w:r>
      <w:r>
        <w:rPr>
          <w:sz w:val="16"/>
        </w:rPr>
        <w:t>(Chair).</w:t>
      </w:r>
    </w:p>
    <w:p w:rsidR="00D840DF" w:rsidRDefault="00E14BA1">
      <w:pPr>
        <w:pStyle w:val="BodyText"/>
        <w:spacing w:before="9"/>
        <w:rPr>
          <w:sz w:val="8"/>
        </w:rPr>
      </w:pPr>
      <w:r>
        <w:rPr>
          <w:noProof/>
        </w:rPr>
        <w:drawing>
          <wp:anchor distT="0" distB="0" distL="0" distR="0" simplePos="0" relativeHeight="251615744" behindDoc="0" locked="0" layoutInCell="1" allowOverlap="1">
            <wp:simplePos x="0" y="0"/>
            <wp:positionH relativeFrom="page">
              <wp:posOffset>828040</wp:posOffset>
            </wp:positionH>
            <wp:positionV relativeFrom="paragraph">
              <wp:posOffset>95885</wp:posOffset>
            </wp:positionV>
            <wp:extent cx="4759325" cy="2308225"/>
            <wp:effectExtent l="0" t="0" r="3175" b="0"/>
            <wp:wrapTopAndBottom/>
            <wp:docPr id="186" name="image15.jpeg" descr="The Pricing Authority: Back row, left to right: Mr Glenn Appleyard, Mr Jim Birch, AM (Deputy Chair), Dr Michael Walsh, Mr Alan Bansemer, Associate Professor Bruce Chater, OAM. Front row, left to right: Mr Alan Morris, Professor Jane Hall, Mr Shane Solomo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descr="The Pricing Authority: Back row, left to right: Mr Glenn Appleyard, Mr Jim Birch, AM (Deputy Chair), Dr Michael Walsh, Mr Alan Bansemer, Associate Professor Bruce Chater, OAM. Front row, left to right: Mr Alan Morris, Professor Jane Hall, Mr Shane Solomon (Chai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9325"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0DF" w:rsidRDefault="00D840DF">
      <w:pPr>
        <w:rPr>
          <w:sz w:val="8"/>
        </w:rPr>
        <w:sectPr w:rsidR="00D840DF">
          <w:pgSz w:w="9980" w:h="14180"/>
          <w:pgMar w:top="1320" w:right="1020" w:bottom="280" w:left="1200" w:header="720" w:footer="720" w:gutter="0"/>
          <w:cols w:space="720"/>
        </w:sectPr>
      </w:pPr>
    </w:p>
    <w:p w:rsidR="00D840DF" w:rsidRDefault="00961020" w:rsidP="00D56902">
      <w:pPr>
        <w:pStyle w:val="Heading3"/>
      </w:pPr>
      <w:bookmarkStart w:id="49" w:name="Members_of_the_Pricing_Authority_2016–17"/>
      <w:bookmarkStart w:id="50" w:name="_bookmark13"/>
      <w:bookmarkEnd w:id="49"/>
      <w:bookmarkEnd w:id="50"/>
      <w:r>
        <w:lastRenderedPageBreak/>
        <w:t>Members of the Pricing Authority 2016–17</w:t>
      </w:r>
    </w:p>
    <w:p w:rsidR="00D840DF" w:rsidRDefault="00961020" w:rsidP="00D56902">
      <w:pPr>
        <w:pStyle w:val="Heading4"/>
      </w:pPr>
      <w:r>
        <w:t>Shane Solomon (Chair)</w:t>
      </w:r>
    </w:p>
    <w:p w:rsidR="00D840DF" w:rsidRPr="00D56902" w:rsidRDefault="00961020" w:rsidP="00D56902">
      <w:pPr>
        <w:pStyle w:val="BodyText"/>
      </w:pPr>
      <w:r>
        <w:t xml:space="preserve">Shane Solomon has over 30 years of international and national healthcare management expertise. Shane </w:t>
      </w:r>
      <w:r w:rsidRPr="00D56902">
        <w:t>currently provides health strategy and advisory services and has non-executive director</w:t>
      </w:r>
      <w:r w:rsidR="00E314B6">
        <w:t xml:space="preserve"> </w:t>
      </w:r>
      <w:r w:rsidRPr="00D56902">
        <w:t>roles. Prior to this he was the founding Managing Director of Telstra Health, a new eHealth business within Telstra.</w:t>
      </w:r>
    </w:p>
    <w:p w:rsidR="00D840DF" w:rsidRPr="00D56902" w:rsidRDefault="00961020" w:rsidP="00D56902">
      <w:pPr>
        <w:pStyle w:val="BodyText"/>
      </w:pPr>
      <w:r w:rsidRPr="00D56902">
        <w:t xml:space="preserve">Shane was KPMG’s Partner in Charge, Healthcare. In this role, he worked with state and Australian Governments, along with private sector health </w:t>
      </w:r>
      <w:proofErr w:type="spellStart"/>
      <w:r w:rsidRPr="00D56902">
        <w:t>organisations</w:t>
      </w:r>
      <w:proofErr w:type="spellEnd"/>
      <w:r w:rsidRPr="00D56902">
        <w:t>.</w:t>
      </w:r>
    </w:p>
    <w:p w:rsidR="00D840DF" w:rsidRPr="00D56902" w:rsidRDefault="00961020" w:rsidP="00D56902">
      <w:pPr>
        <w:pStyle w:val="BodyText"/>
      </w:pPr>
      <w:r w:rsidRPr="00D56902">
        <w:t>Shane was the Chief Executive of the Hong Kong Hospital Authority, managing Hong Kong’s 57,000 public hospital staff. During his five-year tenure, he implemented significant funding and service</w:t>
      </w:r>
      <w:r w:rsidR="00E314B6">
        <w:t xml:space="preserve"> </w:t>
      </w:r>
      <w:r w:rsidRPr="00D56902">
        <w:t xml:space="preserve">quality reforms, including a </w:t>
      </w:r>
      <w:proofErr w:type="spellStart"/>
      <w:r w:rsidRPr="00D56902">
        <w:t>casemix</w:t>
      </w:r>
      <w:proofErr w:type="spellEnd"/>
      <w:r w:rsidRPr="00D56902">
        <w:t xml:space="preserve"> pay for performance model and the ongoing development of a comprehensive integrated e-health</w:t>
      </w:r>
      <w:r w:rsidR="00E314B6">
        <w:t xml:space="preserve"> </w:t>
      </w:r>
      <w:r w:rsidRPr="00D56902">
        <w:t>system.</w:t>
      </w:r>
    </w:p>
    <w:p w:rsidR="00D840DF" w:rsidRPr="00D56902" w:rsidRDefault="00961020" w:rsidP="00D56902">
      <w:pPr>
        <w:pStyle w:val="BodyText"/>
      </w:pPr>
      <w:r w:rsidRPr="00D56902">
        <w:t xml:space="preserve">In Victoria, Shane was Under-Secretary of Health at the Department of Human Services (as it then was) where he was responsible for managing the funding system (including </w:t>
      </w:r>
      <w:proofErr w:type="spellStart"/>
      <w:r w:rsidRPr="00D56902">
        <w:t>casemix</w:t>
      </w:r>
      <w:proofErr w:type="spellEnd"/>
      <w:r w:rsidRPr="00D56902">
        <w:t>) for Victoria, and performance and governance of Melbourne metropolitan health services. He was responsible for developing the Hospital Admission Risk Program and governance reforms to Victoria’s public hospital system.</w:t>
      </w:r>
    </w:p>
    <w:p w:rsidR="00D840DF" w:rsidRPr="00D56902" w:rsidRDefault="00961020" w:rsidP="00D56902">
      <w:pPr>
        <w:pStyle w:val="BodyText"/>
      </w:pPr>
      <w:r w:rsidRPr="00D56902">
        <w:t>Shane was the first Group Chief Executive Officer of the integrated Sisters of Mercy Victorian hospital and</w:t>
      </w:r>
      <w:r>
        <w:t xml:space="preserve"> aged care services group, merging public hospitals, private hospitals, aged care services, and palliative care services into a single new </w:t>
      </w:r>
      <w:proofErr w:type="spellStart"/>
      <w:r>
        <w:t>organisation</w:t>
      </w:r>
      <w:proofErr w:type="spellEnd"/>
      <w:r>
        <w:t xml:space="preserve"> and expanding the Sisters of Mercy mission from five entities to 12.</w:t>
      </w:r>
    </w:p>
    <w:p w:rsidR="00D840DF" w:rsidRDefault="00961020" w:rsidP="00D56902">
      <w:pPr>
        <w:pStyle w:val="Heading4"/>
      </w:pPr>
      <w:r>
        <w:t>Jim Birch, AM (Deputy Chair)</w:t>
      </w:r>
    </w:p>
    <w:p w:rsidR="00D840DF" w:rsidRPr="00D56902" w:rsidRDefault="00961020" w:rsidP="00D56902">
      <w:pPr>
        <w:pStyle w:val="BodyText"/>
      </w:pPr>
      <w:r>
        <w:t xml:space="preserve">Jim </w:t>
      </w:r>
      <w:r w:rsidRPr="00D56902">
        <w:t xml:space="preserve">Birch lives in Adelaide, South Australia and is a board member of the Australian Red Cross Blood Service, the Australian Red Cross Society, Little Company of Mary Health Care, the Australian Digital Health Agency, Cancer Council of SA and Mary </w:t>
      </w:r>
      <w:proofErr w:type="spellStart"/>
      <w:r w:rsidRPr="00D56902">
        <w:t>MacKillop</w:t>
      </w:r>
      <w:proofErr w:type="spellEnd"/>
      <w:r w:rsidRPr="00D56902">
        <w:t xml:space="preserve"> Care</w:t>
      </w:r>
      <w:r w:rsidR="00E314B6">
        <w:t xml:space="preserve"> </w:t>
      </w:r>
      <w:r w:rsidRPr="00D56902">
        <w:t>SA.</w:t>
      </w:r>
    </w:p>
    <w:p w:rsidR="00D840DF" w:rsidRPr="00D56902" w:rsidRDefault="00961020" w:rsidP="00D56902">
      <w:pPr>
        <w:pStyle w:val="BodyText"/>
      </w:pPr>
      <w:r w:rsidRPr="00D56902">
        <w:t>Jim is a business consultant and was previously Global Health Leader of Ernst and Young, Lead Partner,</w:t>
      </w:r>
      <w:r>
        <w:t xml:space="preserve"> Health and Human Services and Government and Public Sector Lead Partner at Ernst and Young. Jim has also held the position of Chief Executive of the Human Services and Health Department in South Australia.</w:t>
      </w:r>
    </w:p>
    <w:p w:rsidR="00D840DF" w:rsidRDefault="00961020" w:rsidP="00343885">
      <w:pPr>
        <w:pStyle w:val="Heading4"/>
      </w:pPr>
      <w:r>
        <w:t>Glenn Appleyard</w:t>
      </w:r>
    </w:p>
    <w:p w:rsidR="00D840DF" w:rsidRDefault="00961020" w:rsidP="00D56902">
      <w:pPr>
        <w:pStyle w:val="BodyText"/>
      </w:pPr>
      <w:r>
        <w:t>Glenn Appleyard was a member of the Australian Accounting Standards Board from 1 January 2003 to 31</w:t>
      </w:r>
      <w:r w:rsidR="00E314B6">
        <w:t xml:space="preserve"> </w:t>
      </w:r>
      <w:r>
        <w:t>December 2011.</w:t>
      </w:r>
    </w:p>
    <w:p w:rsidR="00D840DF" w:rsidRDefault="00D840DF" w:rsidP="00D56902">
      <w:pPr>
        <w:pStyle w:val="BodyText"/>
        <w:sectPr w:rsidR="00D840DF">
          <w:pgSz w:w="9980" w:h="14180"/>
          <w:pgMar w:top="1320" w:right="1200" w:bottom="280" w:left="1020" w:header="720" w:footer="720" w:gutter="0"/>
          <w:cols w:space="720"/>
        </w:sectPr>
      </w:pPr>
    </w:p>
    <w:p w:rsidR="00D840DF" w:rsidRPr="00343885" w:rsidRDefault="00961020" w:rsidP="00343885">
      <w:pPr>
        <w:pStyle w:val="BodyText"/>
      </w:pPr>
      <w:r>
        <w:lastRenderedPageBreak/>
        <w:t xml:space="preserve">Glenn </w:t>
      </w:r>
      <w:r w:rsidRPr="00343885">
        <w:t>has held several senior positions within the public service including: Deputy Secretary in</w:t>
      </w:r>
      <w:r w:rsidR="00E314B6">
        <w:t xml:space="preserve"> </w:t>
      </w:r>
      <w:r w:rsidRPr="00343885">
        <w:t>the Tasmanian and Victorian Departments of Treasury and Finance and Regional Director for the Australian Bureau of Statistics in Tasmania.</w:t>
      </w:r>
    </w:p>
    <w:p w:rsidR="00D840DF" w:rsidRPr="00D56902" w:rsidRDefault="00961020" w:rsidP="00343885">
      <w:pPr>
        <w:pStyle w:val="BodyText"/>
      </w:pPr>
      <w:r w:rsidRPr="00343885">
        <w:t>He was a member of the Commonwealth Grants Commission for 11 years and was also the Chair of the Tasmanian</w:t>
      </w:r>
      <w:r>
        <w:t xml:space="preserve"> Economic Regulator. Glenn is currently the Chairman of PSMA Australia Ltd.</w:t>
      </w:r>
    </w:p>
    <w:p w:rsidR="00D840DF" w:rsidRDefault="00961020" w:rsidP="00343885">
      <w:pPr>
        <w:pStyle w:val="Heading4"/>
      </w:pPr>
      <w:r>
        <w:t xml:space="preserve">Alan </w:t>
      </w:r>
      <w:proofErr w:type="spellStart"/>
      <w:r>
        <w:t>Bansemer</w:t>
      </w:r>
      <w:proofErr w:type="spellEnd"/>
    </w:p>
    <w:p w:rsidR="00D840DF" w:rsidRPr="00343885" w:rsidRDefault="00961020" w:rsidP="00343885">
      <w:pPr>
        <w:pStyle w:val="BodyText"/>
      </w:pPr>
      <w:r>
        <w:t xml:space="preserve">Alan </w:t>
      </w:r>
      <w:proofErr w:type="spellStart"/>
      <w:r w:rsidRPr="00343885">
        <w:t>Bansemer</w:t>
      </w:r>
      <w:proofErr w:type="spellEnd"/>
      <w:r w:rsidRPr="00343885">
        <w:t xml:space="preserve"> has over 42 years’ experience in the health sector, including six years as the West Australian Health Commissioner and eight years as the Deputy Secretary to the Australian</w:t>
      </w:r>
    </w:p>
    <w:p w:rsidR="00D840DF" w:rsidRPr="00343885" w:rsidRDefault="00961020" w:rsidP="00343885">
      <w:pPr>
        <w:pStyle w:val="BodyText"/>
      </w:pPr>
      <w:r w:rsidRPr="00343885">
        <w:t>Government Department of Human Services and Health (as it then was). He currently runs his own private consultancy</w:t>
      </w:r>
      <w:r>
        <w:t xml:space="preserve"> group, </w:t>
      </w:r>
      <w:proofErr w:type="spellStart"/>
      <w:r>
        <w:t>Banscott</w:t>
      </w:r>
      <w:proofErr w:type="spellEnd"/>
      <w:r>
        <w:t xml:space="preserve"> Health Consulting Pty Ltd, providing strategic advice to health departments</w:t>
      </w:r>
      <w:r w:rsidR="00E314B6">
        <w:t xml:space="preserve"> </w:t>
      </w:r>
      <w:r>
        <w:t>throughout Australia.</w:t>
      </w:r>
    </w:p>
    <w:p w:rsidR="00D840DF" w:rsidRPr="00343885" w:rsidRDefault="00961020">
      <w:pPr>
        <w:pStyle w:val="BodyText"/>
      </w:pPr>
      <w:r>
        <w:t xml:space="preserve">Alan has chaired a number of committees including the Medicare Schedule Review Board and </w:t>
      </w:r>
      <w:r w:rsidRPr="00343885">
        <w:t>General</w:t>
      </w:r>
      <w:r>
        <w:t xml:space="preserve"> Practice Consultative Committee. In addition, he has served as a member of numerous health advisory committees including the Australian Health Ministers’ Advisory Council, Health Insurance Commission and the Australian Institute of Health and Welfare.</w:t>
      </w:r>
    </w:p>
    <w:p w:rsidR="00D840DF" w:rsidRDefault="00961020" w:rsidP="00343885">
      <w:pPr>
        <w:pStyle w:val="Heading4"/>
      </w:pPr>
      <w:r>
        <w:t xml:space="preserve">Associate Professor Bruce </w:t>
      </w:r>
      <w:proofErr w:type="spellStart"/>
      <w:r>
        <w:t>Chater</w:t>
      </w:r>
      <w:proofErr w:type="spellEnd"/>
      <w:r>
        <w:t>, OAM</w:t>
      </w:r>
    </w:p>
    <w:p w:rsidR="00D840DF" w:rsidRPr="00343885" w:rsidRDefault="00961020" w:rsidP="00343885">
      <w:pPr>
        <w:pStyle w:val="BodyText"/>
      </w:pPr>
      <w:r w:rsidRPr="00343885">
        <w:t xml:space="preserve">Associate Professor Bruce </w:t>
      </w:r>
      <w:proofErr w:type="spellStart"/>
      <w:r w:rsidRPr="00343885">
        <w:t>Chater</w:t>
      </w:r>
      <w:proofErr w:type="spellEnd"/>
      <w:r w:rsidRPr="00343885">
        <w:t xml:space="preserve"> is Head of the Academic Discipline of Rural and</w:t>
      </w:r>
      <w:r w:rsidR="00343885">
        <w:t xml:space="preserve"> </w:t>
      </w:r>
      <w:r w:rsidRPr="00343885">
        <w:t>Remote Medicine at the University of Queensland—a task he performs from his rural base of Theodore</w:t>
      </w:r>
      <w:r>
        <w:t>, Queensland where he</w:t>
      </w:r>
      <w:r w:rsidR="00E314B6">
        <w:t xml:space="preserve"> </w:t>
      </w:r>
      <w:r>
        <w:t>continues as</w:t>
      </w:r>
      <w:r w:rsidR="00E314B6">
        <w:t xml:space="preserve"> </w:t>
      </w:r>
      <w:r>
        <w:t>a</w:t>
      </w:r>
      <w:r w:rsidR="00E314B6">
        <w:t xml:space="preserve"> </w:t>
      </w:r>
      <w:proofErr w:type="spellStart"/>
      <w:r>
        <w:t>practising</w:t>
      </w:r>
      <w:proofErr w:type="spellEnd"/>
      <w:r>
        <w:t xml:space="preserve"> rural doctor.</w:t>
      </w:r>
    </w:p>
    <w:p w:rsidR="00D840DF" w:rsidRPr="00343885" w:rsidRDefault="00961020" w:rsidP="00343885">
      <w:pPr>
        <w:pStyle w:val="BodyText"/>
      </w:pPr>
      <w:r>
        <w:rPr>
          <w:spacing w:val="1"/>
        </w:rPr>
        <w:t xml:space="preserve">Bruce </w:t>
      </w:r>
      <w:r>
        <w:t xml:space="preserve">has been </w:t>
      </w:r>
      <w:r>
        <w:rPr>
          <w:spacing w:val="1"/>
        </w:rPr>
        <w:t xml:space="preserve">heavily </w:t>
      </w:r>
      <w:r>
        <w:t xml:space="preserve">involved in ensuring that rural health services provide high </w:t>
      </w:r>
      <w:r>
        <w:rPr>
          <w:spacing w:val="2"/>
        </w:rPr>
        <w:t xml:space="preserve">quality </w:t>
      </w:r>
      <w:r>
        <w:t xml:space="preserve">and </w:t>
      </w:r>
      <w:r>
        <w:rPr>
          <w:spacing w:val="1"/>
        </w:rPr>
        <w:t xml:space="preserve">professional </w:t>
      </w:r>
      <w:r>
        <w:rPr>
          <w:spacing w:val="2"/>
        </w:rPr>
        <w:t xml:space="preserve">services </w:t>
      </w:r>
      <w:r>
        <w:t xml:space="preserve">to rural people. He was </w:t>
      </w:r>
      <w:r>
        <w:rPr>
          <w:spacing w:val="1"/>
        </w:rPr>
        <w:t xml:space="preserve">the </w:t>
      </w:r>
      <w:r>
        <w:t xml:space="preserve">founding convener of </w:t>
      </w:r>
      <w:r>
        <w:rPr>
          <w:spacing w:val="1"/>
        </w:rPr>
        <w:t xml:space="preserve">the </w:t>
      </w:r>
      <w:r>
        <w:t xml:space="preserve">Rural Doctors’ </w:t>
      </w:r>
      <w:r>
        <w:rPr>
          <w:spacing w:val="1"/>
        </w:rPr>
        <w:t xml:space="preserve">Association </w:t>
      </w:r>
      <w:r>
        <w:t xml:space="preserve">of Queensland and </w:t>
      </w:r>
      <w:r>
        <w:rPr>
          <w:spacing w:val="-3"/>
        </w:rPr>
        <w:t xml:space="preserve">Australia, founding Chair </w:t>
      </w:r>
      <w:r>
        <w:t xml:space="preserve">of the National Rural </w:t>
      </w:r>
      <w:r>
        <w:rPr>
          <w:spacing w:val="1"/>
        </w:rPr>
        <w:t xml:space="preserve">Health Alliance, </w:t>
      </w:r>
      <w:r>
        <w:t>Secretary</w:t>
      </w:r>
      <w:r>
        <w:rPr>
          <w:spacing w:val="-8"/>
        </w:rPr>
        <w:t xml:space="preserve"> </w:t>
      </w:r>
      <w:r>
        <w:t>Rural</w:t>
      </w:r>
      <w:r>
        <w:rPr>
          <w:spacing w:val="-8"/>
        </w:rPr>
        <w:t xml:space="preserve"> </w:t>
      </w:r>
      <w:proofErr w:type="spellStart"/>
      <w:r>
        <w:rPr>
          <w:spacing w:val="-3"/>
        </w:rPr>
        <w:t>Wonca</w:t>
      </w:r>
      <w:proofErr w:type="spellEnd"/>
      <w:r>
        <w:rPr>
          <w:spacing w:val="-8"/>
        </w:rPr>
        <w:t xml:space="preserve"> </w:t>
      </w:r>
      <w:r>
        <w:t>(Rural</w:t>
      </w:r>
      <w:r>
        <w:rPr>
          <w:spacing w:val="-8"/>
        </w:rPr>
        <w:t xml:space="preserve"> </w:t>
      </w:r>
      <w:r>
        <w:t>Working</w:t>
      </w:r>
      <w:r>
        <w:rPr>
          <w:spacing w:val="-8"/>
        </w:rPr>
        <w:t xml:space="preserve"> </w:t>
      </w:r>
      <w:r>
        <w:t>Party</w:t>
      </w:r>
      <w:r>
        <w:rPr>
          <w:spacing w:val="-8"/>
        </w:rPr>
        <w:t xml:space="preserve"> </w:t>
      </w:r>
      <w:r>
        <w:t>of</w:t>
      </w:r>
      <w:r>
        <w:rPr>
          <w:spacing w:val="-8"/>
        </w:rPr>
        <w:t xml:space="preserve"> </w:t>
      </w:r>
      <w:r>
        <w:t>the</w:t>
      </w:r>
      <w:r>
        <w:rPr>
          <w:spacing w:val="-8"/>
        </w:rPr>
        <w:t xml:space="preserve"> </w:t>
      </w:r>
      <w:r>
        <w:t>World</w:t>
      </w:r>
      <w:r>
        <w:rPr>
          <w:spacing w:val="-8"/>
        </w:rPr>
        <w:t xml:space="preserve"> </w:t>
      </w:r>
      <w:proofErr w:type="spellStart"/>
      <w:r>
        <w:t>Organisation</w:t>
      </w:r>
      <w:proofErr w:type="spellEnd"/>
      <w:r>
        <w:rPr>
          <w:spacing w:val="-8"/>
        </w:rPr>
        <w:t xml:space="preserve"> </w:t>
      </w:r>
      <w:r>
        <w:t>of</w:t>
      </w:r>
      <w:r>
        <w:rPr>
          <w:spacing w:val="-8"/>
        </w:rPr>
        <w:t xml:space="preserve"> </w:t>
      </w:r>
      <w:r>
        <w:t>Family</w:t>
      </w:r>
      <w:r>
        <w:rPr>
          <w:spacing w:val="-8"/>
        </w:rPr>
        <w:t xml:space="preserve"> </w:t>
      </w:r>
      <w:r>
        <w:t>Doctors)</w:t>
      </w:r>
      <w:r>
        <w:rPr>
          <w:spacing w:val="-8"/>
        </w:rPr>
        <w:t xml:space="preserve"> </w:t>
      </w:r>
      <w:r>
        <w:t>and</w:t>
      </w:r>
      <w:r>
        <w:rPr>
          <w:spacing w:val="-9"/>
        </w:rPr>
        <w:t xml:space="preserve"> </w:t>
      </w:r>
      <w:r>
        <w:t>served as</w:t>
      </w:r>
      <w:r>
        <w:rPr>
          <w:spacing w:val="-7"/>
        </w:rPr>
        <w:t xml:space="preserve"> </w:t>
      </w:r>
      <w:r>
        <w:t>President</w:t>
      </w:r>
      <w:r>
        <w:rPr>
          <w:spacing w:val="-7"/>
        </w:rPr>
        <w:t xml:space="preserve"> </w:t>
      </w:r>
      <w:r>
        <w:t>of</w:t>
      </w:r>
      <w:r>
        <w:rPr>
          <w:spacing w:val="-7"/>
        </w:rPr>
        <w:t xml:space="preserve"> </w:t>
      </w:r>
      <w:r>
        <w:t>the</w:t>
      </w:r>
      <w:r>
        <w:rPr>
          <w:spacing w:val="-7"/>
        </w:rPr>
        <w:t xml:space="preserve"> </w:t>
      </w:r>
      <w:r>
        <w:t>Australian</w:t>
      </w:r>
      <w:r>
        <w:rPr>
          <w:spacing w:val="-7"/>
        </w:rPr>
        <w:t xml:space="preserve"> </w:t>
      </w:r>
      <w:r>
        <w:t>College</w:t>
      </w:r>
      <w:r>
        <w:rPr>
          <w:spacing w:val="-7"/>
        </w:rPr>
        <w:t xml:space="preserve"> </w:t>
      </w:r>
      <w:r>
        <w:t>of</w:t>
      </w:r>
      <w:r>
        <w:rPr>
          <w:spacing w:val="-6"/>
        </w:rPr>
        <w:t xml:space="preserve"> </w:t>
      </w:r>
      <w:r>
        <w:t>Rural</w:t>
      </w:r>
      <w:r>
        <w:rPr>
          <w:spacing w:val="-2"/>
        </w:rPr>
        <w:t xml:space="preserve"> </w:t>
      </w:r>
      <w:r>
        <w:t>and</w:t>
      </w:r>
      <w:r>
        <w:rPr>
          <w:spacing w:val="-2"/>
        </w:rPr>
        <w:t xml:space="preserve"> </w:t>
      </w:r>
      <w:r>
        <w:t>Remote</w:t>
      </w:r>
      <w:r>
        <w:rPr>
          <w:spacing w:val="-2"/>
        </w:rPr>
        <w:t xml:space="preserve"> </w:t>
      </w:r>
      <w:r>
        <w:t>Medicine.</w:t>
      </w:r>
    </w:p>
    <w:p w:rsidR="00D840DF" w:rsidRDefault="00961020" w:rsidP="00343885">
      <w:pPr>
        <w:pStyle w:val="Heading4"/>
      </w:pPr>
      <w:r>
        <w:t>Professor Jane Hall</w:t>
      </w:r>
    </w:p>
    <w:p w:rsidR="00D840DF" w:rsidRPr="00343885" w:rsidRDefault="00961020" w:rsidP="00343885">
      <w:pPr>
        <w:pStyle w:val="BodyText"/>
      </w:pPr>
      <w:r w:rsidRPr="00343885">
        <w:t>Professor</w:t>
      </w:r>
      <w:r>
        <w:t xml:space="preserve"> Jane Hall is Distinguished Professor of Health Economics in the Business School at the University of Technology, Sydney. Jane is a Fellow of the Academy of Social Sciences in Australia and a Fellow of the Australian Academy of Health and Medical Sciences.</w:t>
      </w:r>
    </w:p>
    <w:p w:rsidR="00D840DF" w:rsidRPr="00343885" w:rsidRDefault="00961020" w:rsidP="00343885">
      <w:pPr>
        <w:pStyle w:val="BodyText"/>
      </w:pPr>
      <w:r>
        <w:t xml:space="preserve">Jane has worked across many areas of health economics, including health technology assessment, </w:t>
      </w:r>
      <w:r w:rsidRPr="00343885">
        <w:t xml:space="preserve">measurement of quality of life, end of life care, health workforce, </w:t>
      </w:r>
      <w:proofErr w:type="gramStart"/>
      <w:r w:rsidRPr="00343885">
        <w:t>the</w:t>
      </w:r>
      <w:proofErr w:type="gramEnd"/>
      <w:r w:rsidRPr="00343885">
        <w:t xml:space="preserve"> economics of primary care</w:t>
      </w:r>
      <w:r w:rsidR="00E314B6">
        <w:t xml:space="preserve"> </w:t>
      </w:r>
      <w:r w:rsidRPr="00343885">
        <w:t>and funding and financing issues. She established the Centre for Health Economics Research</w:t>
      </w:r>
    </w:p>
    <w:p w:rsidR="00D840DF" w:rsidRDefault="00961020" w:rsidP="00343885">
      <w:pPr>
        <w:pStyle w:val="BodyText"/>
      </w:pPr>
      <w:proofErr w:type="gramStart"/>
      <w:r w:rsidRPr="00343885">
        <w:t>and</w:t>
      </w:r>
      <w:proofErr w:type="gramEnd"/>
      <w:r w:rsidRPr="00343885">
        <w:t xml:space="preserve"> Evaluation (CHERE) in 1990 and served as Director until 2012. She remains in the Centre as Director, Strategy. Jane is involved in health policy issues internationally through her involvement with the Commonw</w:t>
      </w:r>
      <w:r>
        <w:t>ealth Fund International Program in Health Policy and Practice. She has held</w:t>
      </w:r>
      <w:r w:rsidR="00343885">
        <w:t xml:space="preserve"> </w:t>
      </w:r>
      <w:r>
        <w:t xml:space="preserve">many advisory and board positions, and is currently a member of the board of the Bureau of Health Information. She is actively involved in policy analysis and critique, and is a regular commentator on health funding and </w:t>
      </w:r>
      <w:proofErr w:type="spellStart"/>
      <w:r>
        <w:t>organisational</w:t>
      </w:r>
      <w:proofErr w:type="spellEnd"/>
      <w:r>
        <w:t xml:space="preserve"> issues in</w:t>
      </w:r>
      <w:r w:rsidR="00E314B6">
        <w:t xml:space="preserve"> </w:t>
      </w:r>
      <w:r>
        <w:t>Australia.</w:t>
      </w:r>
    </w:p>
    <w:p w:rsidR="00D840DF" w:rsidRDefault="00D840DF">
      <w:pPr>
        <w:pStyle w:val="BodyText"/>
        <w:spacing w:before="5"/>
        <w:rPr>
          <w:sz w:val="17"/>
        </w:rPr>
      </w:pPr>
    </w:p>
    <w:p w:rsidR="00D840DF" w:rsidRDefault="00961020" w:rsidP="00343885">
      <w:pPr>
        <w:pStyle w:val="Heading4"/>
      </w:pPr>
      <w:r>
        <w:lastRenderedPageBreak/>
        <w:t>Alan Morris</w:t>
      </w:r>
    </w:p>
    <w:p w:rsidR="00D840DF" w:rsidRPr="00343885" w:rsidRDefault="00961020" w:rsidP="00343885">
      <w:pPr>
        <w:pStyle w:val="BodyText"/>
      </w:pPr>
      <w:r>
        <w:t xml:space="preserve">Alan </w:t>
      </w:r>
      <w:r w:rsidRPr="00343885">
        <w:t>Morris</w:t>
      </w:r>
      <w:r>
        <w:t xml:space="preserve"> is the former Chair of the Commonwealth Grants Commission and also undertakes consulting and advisory work for </w:t>
      </w:r>
      <w:proofErr w:type="spellStart"/>
      <w:r>
        <w:t>AusAID</w:t>
      </w:r>
      <w:proofErr w:type="spellEnd"/>
      <w:r>
        <w:t xml:space="preserve"> and the World</w:t>
      </w:r>
      <w:r w:rsidR="00E314B6">
        <w:t xml:space="preserve"> </w:t>
      </w:r>
      <w:r>
        <w:t>Bank.</w:t>
      </w:r>
    </w:p>
    <w:p w:rsidR="00D840DF" w:rsidRPr="00343885" w:rsidRDefault="00961020" w:rsidP="00343885">
      <w:pPr>
        <w:pStyle w:val="BodyText"/>
      </w:pPr>
      <w:r>
        <w:t>His prior appointments have included: Executive Director for Australia, Korea, New Zealand and Egypt at the European Bank for Reconstruction and Development, London; Secretary, Department</w:t>
      </w:r>
      <w:r w:rsidR="00E314B6">
        <w:t xml:space="preserve"> </w:t>
      </w:r>
      <w:r>
        <w:t>of Premier and Cabinet, Tasmania; Secretary (Chief Executive Officer) and Secretary to Cabinet, Department of the Chief Minister, Northern Territory of Australia; Assistant to Executive Director, International Monetary Fund, Washington DC; Chief Financial Officer, International Finance Section, Australian Treasury; and First Assistant Secretary, Department of Finance, Papua New</w:t>
      </w:r>
      <w:r>
        <w:rPr>
          <w:spacing w:val="-6"/>
        </w:rPr>
        <w:t xml:space="preserve"> </w:t>
      </w:r>
      <w:r>
        <w:t>Guinea.</w:t>
      </w:r>
    </w:p>
    <w:p w:rsidR="00D840DF" w:rsidRDefault="00961020" w:rsidP="00343885">
      <w:pPr>
        <w:pStyle w:val="Heading4"/>
      </w:pPr>
      <w:proofErr w:type="spellStart"/>
      <w:r>
        <w:t>Dr</w:t>
      </w:r>
      <w:proofErr w:type="spellEnd"/>
      <w:r>
        <w:t xml:space="preserve"> Michael Walsh</w:t>
      </w:r>
    </w:p>
    <w:p w:rsidR="00D840DF" w:rsidRPr="00343885" w:rsidRDefault="00961020" w:rsidP="00343885">
      <w:pPr>
        <w:pStyle w:val="BodyText"/>
      </w:pPr>
      <w:r>
        <w:t xml:space="preserve">Michael Walsh is Chief Executive of Cabrini Health, a private not for profit Catholic </w:t>
      </w:r>
      <w:r>
        <w:rPr>
          <w:spacing w:val="1"/>
        </w:rPr>
        <w:t xml:space="preserve">health </w:t>
      </w:r>
      <w:r>
        <w:rPr>
          <w:spacing w:val="2"/>
        </w:rPr>
        <w:t xml:space="preserve">service </w:t>
      </w:r>
      <w:r>
        <w:t xml:space="preserve">in </w:t>
      </w:r>
      <w:r w:rsidRPr="00343885">
        <w:t>Melbourne, Australia. He was recruited from Doha, Qatar where he was Chief Executive of</w:t>
      </w:r>
      <w:r w:rsidR="00E314B6">
        <w:t xml:space="preserve"> </w:t>
      </w:r>
      <w:r w:rsidRPr="00343885">
        <w:t>the National Health Authority. Prior to this he worked in London, England as Chief Executive,</w:t>
      </w:r>
    </w:p>
    <w:p w:rsidR="00D840DF" w:rsidRPr="00343885" w:rsidRDefault="00961020" w:rsidP="00343885">
      <w:pPr>
        <w:pStyle w:val="BodyText"/>
      </w:pPr>
      <w:r w:rsidRPr="00343885">
        <w:t>South East London Strategic Health Authority. Michael has held a range of senior hospital and health department</w:t>
      </w:r>
      <w:r>
        <w:t xml:space="preserve"> positions in Victoria and Western</w:t>
      </w:r>
      <w:r w:rsidR="00E314B6">
        <w:t xml:space="preserve"> </w:t>
      </w:r>
      <w:r>
        <w:t>Australia.</w:t>
      </w:r>
    </w:p>
    <w:p w:rsidR="00D840DF" w:rsidRDefault="00961020" w:rsidP="00343885">
      <w:pPr>
        <w:pStyle w:val="BodyText"/>
      </w:pPr>
      <w:r>
        <w:t>Michael is Vice President of the Royal Australasian College of Medical Administration and a Fellow</w:t>
      </w:r>
      <w:r w:rsidR="00E314B6">
        <w:t xml:space="preserve"> </w:t>
      </w:r>
      <w:r>
        <w:t xml:space="preserve">of the </w:t>
      </w:r>
      <w:r w:rsidRPr="00343885">
        <w:t>Australasian</w:t>
      </w:r>
      <w:r>
        <w:t xml:space="preserve"> College of Health Service Management. Michael has over 25 years’ experience in</w:t>
      </w:r>
      <w:r>
        <w:rPr>
          <w:spacing w:val="6"/>
        </w:rPr>
        <w:t xml:space="preserve"> </w:t>
      </w:r>
      <w:r>
        <w:t>health</w:t>
      </w:r>
      <w:r>
        <w:rPr>
          <w:spacing w:val="6"/>
        </w:rPr>
        <w:t xml:space="preserve"> </w:t>
      </w:r>
      <w:r>
        <w:t>service</w:t>
      </w:r>
      <w:r>
        <w:rPr>
          <w:spacing w:val="6"/>
        </w:rPr>
        <w:t xml:space="preserve"> </w:t>
      </w:r>
      <w:r>
        <w:t>policy</w:t>
      </w:r>
      <w:r>
        <w:rPr>
          <w:spacing w:val="6"/>
        </w:rPr>
        <w:t xml:space="preserve"> </w:t>
      </w:r>
      <w:r>
        <w:t>and</w:t>
      </w:r>
      <w:r>
        <w:rPr>
          <w:spacing w:val="6"/>
        </w:rPr>
        <w:t xml:space="preserve"> </w:t>
      </w:r>
      <w:r>
        <w:t>management</w:t>
      </w:r>
      <w:r>
        <w:rPr>
          <w:spacing w:val="6"/>
        </w:rPr>
        <w:t xml:space="preserve"> </w:t>
      </w:r>
      <w:r>
        <w:t>in</w:t>
      </w:r>
      <w:r>
        <w:rPr>
          <w:spacing w:val="6"/>
        </w:rPr>
        <w:t xml:space="preserve"> </w:t>
      </w:r>
      <w:r>
        <w:t>both</w:t>
      </w:r>
      <w:r>
        <w:rPr>
          <w:spacing w:val="6"/>
        </w:rPr>
        <w:t xml:space="preserve"> </w:t>
      </w:r>
      <w:r>
        <w:t>public</w:t>
      </w:r>
      <w:r>
        <w:rPr>
          <w:spacing w:val="6"/>
        </w:rPr>
        <w:t xml:space="preserve"> </w:t>
      </w:r>
      <w:r>
        <w:t>and</w:t>
      </w:r>
      <w:r>
        <w:rPr>
          <w:spacing w:val="5"/>
        </w:rPr>
        <w:t xml:space="preserve"> </w:t>
      </w:r>
      <w:r>
        <w:t>private</w:t>
      </w:r>
      <w:r>
        <w:rPr>
          <w:spacing w:val="6"/>
        </w:rPr>
        <w:t xml:space="preserve"> </w:t>
      </w:r>
      <w:r>
        <w:t>sectors.</w:t>
      </w:r>
    </w:p>
    <w:p w:rsidR="00D840DF" w:rsidRDefault="00D840DF">
      <w:pPr>
        <w:spacing w:line="256" w:lineRule="auto"/>
        <w:jc w:val="both"/>
        <w:sectPr w:rsidR="00D840DF">
          <w:pgSz w:w="9980" w:h="14180"/>
          <w:pgMar w:top="1320" w:right="1220" w:bottom="280" w:left="1020" w:header="720" w:footer="720" w:gutter="0"/>
          <w:cols w:space="720"/>
        </w:sectPr>
      </w:pPr>
    </w:p>
    <w:p w:rsidR="00D840DF" w:rsidRDefault="00961020" w:rsidP="00343885">
      <w:pPr>
        <w:pStyle w:val="Heading3"/>
      </w:pPr>
      <w:bookmarkStart w:id="51" w:name="Meetings_of_the_Pricing_Authority_2016–1"/>
      <w:bookmarkStart w:id="52" w:name="_bookmark14"/>
      <w:bookmarkEnd w:id="51"/>
      <w:bookmarkEnd w:id="52"/>
      <w:r>
        <w:lastRenderedPageBreak/>
        <w:t>Meetings of the Pricing Authority 2016–17</w:t>
      </w:r>
    </w:p>
    <w:p w:rsidR="00D840DF" w:rsidRPr="00343885" w:rsidRDefault="00961020" w:rsidP="00343885">
      <w:pPr>
        <w:pStyle w:val="BodyText"/>
      </w:pPr>
      <w:r>
        <w:t xml:space="preserve">The Pricing Authority met on 10 occasions between 1 July 2016 and 30 June 2017. Chief Executive Officer, James </w:t>
      </w:r>
      <w:proofErr w:type="spellStart"/>
      <w:r>
        <w:t>Downie</w:t>
      </w:r>
      <w:proofErr w:type="spellEnd"/>
      <w:r>
        <w:t>, as the Accountable Authority, attended all ten meetings.</w:t>
      </w:r>
    </w:p>
    <w:p w:rsidR="00D840DF" w:rsidRPr="00343885" w:rsidRDefault="00961020" w:rsidP="00343885">
      <w:pPr>
        <w:pStyle w:val="Heading4"/>
      </w:pPr>
      <w:bookmarkStart w:id="53" w:name="_Table_1:_Pricing"/>
      <w:bookmarkEnd w:id="53"/>
      <w:r>
        <w:t>Table 1:</w:t>
      </w:r>
      <w:r w:rsidR="00E314B6">
        <w:t xml:space="preserve"> </w:t>
      </w:r>
      <w:r>
        <w:t>Pricing Authority meetings and attendances 2016–17</w:t>
      </w:r>
    </w:p>
    <w:tbl>
      <w:tblPr>
        <w:tblW w:w="0" w:type="auto"/>
        <w:tblInd w:w="103" w:type="dxa"/>
        <w:tblLayout w:type="fixed"/>
        <w:tblCellMar>
          <w:left w:w="0" w:type="dxa"/>
          <w:right w:w="0" w:type="dxa"/>
        </w:tblCellMar>
        <w:tblLook w:val="01E0" w:firstRow="1" w:lastRow="1" w:firstColumn="1" w:lastColumn="1" w:noHBand="0" w:noVBand="0"/>
      </w:tblPr>
      <w:tblGrid>
        <w:gridCol w:w="2736"/>
        <w:gridCol w:w="2358"/>
        <w:gridCol w:w="2447"/>
      </w:tblGrid>
      <w:tr w:rsidR="00D840DF">
        <w:trPr>
          <w:trHeight w:val="280"/>
        </w:trPr>
        <w:tc>
          <w:tcPr>
            <w:tcW w:w="2736" w:type="dxa"/>
            <w:shd w:val="clear" w:color="auto" w:fill="008F54"/>
          </w:tcPr>
          <w:p w:rsidR="00D840DF" w:rsidRDefault="00961020">
            <w:pPr>
              <w:pStyle w:val="TableParagraph"/>
              <w:spacing w:before="31"/>
              <w:ind w:left="113"/>
              <w:rPr>
                <w:rFonts w:ascii="Futura PT Demi"/>
                <w:sz w:val="17"/>
              </w:rPr>
            </w:pPr>
            <w:r>
              <w:rPr>
                <w:rFonts w:ascii="Futura PT Demi"/>
                <w:color w:val="FFFFFF"/>
                <w:sz w:val="17"/>
              </w:rPr>
              <w:t>MEMBER</w:t>
            </w:r>
          </w:p>
        </w:tc>
        <w:tc>
          <w:tcPr>
            <w:tcW w:w="2358" w:type="dxa"/>
            <w:shd w:val="clear" w:color="auto" w:fill="008F54"/>
          </w:tcPr>
          <w:p w:rsidR="00D840DF" w:rsidRDefault="00961020">
            <w:pPr>
              <w:pStyle w:val="TableParagraph"/>
              <w:spacing w:before="31"/>
              <w:ind w:left="496"/>
              <w:rPr>
                <w:rFonts w:ascii="Futura PT Demi"/>
                <w:sz w:val="17"/>
              </w:rPr>
            </w:pPr>
            <w:r>
              <w:rPr>
                <w:rFonts w:ascii="Futura PT Demi"/>
                <w:color w:val="FFFFFF"/>
                <w:sz w:val="17"/>
              </w:rPr>
              <w:t>MEETINGS ELIGIBLE</w:t>
            </w:r>
          </w:p>
        </w:tc>
        <w:tc>
          <w:tcPr>
            <w:tcW w:w="2447" w:type="dxa"/>
            <w:shd w:val="clear" w:color="auto" w:fill="008F54"/>
          </w:tcPr>
          <w:p w:rsidR="00D840DF" w:rsidRDefault="00961020">
            <w:pPr>
              <w:pStyle w:val="TableParagraph"/>
              <w:spacing w:before="31"/>
              <w:ind w:left="349"/>
              <w:rPr>
                <w:rFonts w:ascii="Futura PT Demi"/>
                <w:sz w:val="17"/>
              </w:rPr>
            </w:pPr>
            <w:r>
              <w:rPr>
                <w:rFonts w:ascii="Futura PT Demi"/>
                <w:color w:val="FFFFFF"/>
                <w:sz w:val="17"/>
              </w:rPr>
              <w:t>MEETINGS ATTENDED</w:t>
            </w:r>
          </w:p>
        </w:tc>
      </w:tr>
      <w:tr w:rsidR="00D840DF">
        <w:trPr>
          <w:trHeight w:val="220"/>
        </w:trPr>
        <w:tc>
          <w:tcPr>
            <w:tcW w:w="2736" w:type="dxa"/>
            <w:tcBorders>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Shane</w:t>
            </w:r>
            <w:r w:rsidR="00E314B6">
              <w:rPr>
                <w:rFonts w:ascii="Futura PT Heavy"/>
                <w:b/>
                <w:color w:val="636466"/>
                <w:sz w:val="16"/>
              </w:rPr>
              <w:t xml:space="preserve"> </w:t>
            </w:r>
            <w:r>
              <w:rPr>
                <w:rFonts w:ascii="Futura PT Heavy"/>
                <w:b/>
                <w:color w:val="636466"/>
                <w:sz w:val="16"/>
              </w:rPr>
              <w:t>Solomon (Chair)</w:t>
            </w:r>
          </w:p>
        </w:tc>
        <w:tc>
          <w:tcPr>
            <w:tcW w:w="2358" w:type="dxa"/>
            <w:tcBorders>
              <w:bottom w:val="single" w:sz="4" w:space="0" w:color="C7C8CA"/>
            </w:tcBorders>
          </w:tcPr>
          <w:p w:rsidR="00D840DF" w:rsidRDefault="00961020">
            <w:pPr>
              <w:pStyle w:val="TableParagraph"/>
              <w:spacing w:line="200" w:lineRule="exact"/>
              <w:ind w:left="496"/>
              <w:rPr>
                <w:sz w:val="16"/>
              </w:rPr>
            </w:pPr>
            <w:r>
              <w:rPr>
                <w:color w:val="636466"/>
                <w:sz w:val="16"/>
              </w:rPr>
              <w:t>10</w:t>
            </w:r>
          </w:p>
        </w:tc>
        <w:tc>
          <w:tcPr>
            <w:tcW w:w="2447" w:type="dxa"/>
            <w:tcBorders>
              <w:bottom w:val="single" w:sz="4" w:space="0" w:color="C7C8CA"/>
            </w:tcBorders>
          </w:tcPr>
          <w:p w:rsidR="00D840DF" w:rsidRDefault="00961020">
            <w:pPr>
              <w:pStyle w:val="TableParagraph"/>
              <w:spacing w:line="200" w:lineRule="exact"/>
              <w:ind w:left="349"/>
              <w:rPr>
                <w:sz w:val="16"/>
              </w:rPr>
            </w:pPr>
            <w:r>
              <w:rPr>
                <w:color w:val="636466"/>
                <w:sz w:val="16"/>
              </w:rPr>
              <w:t>9</w:t>
            </w:r>
          </w:p>
        </w:tc>
      </w:tr>
      <w:tr w:rsidR="00D840DF">
        <w:trPr>
          <w:trHeight w:val="220"/>
        </w:trPr>
        <w:tc>
          <w:tcPr>
            <w:tcW w:w="2736" w:type="dxa"/>
            <w:tcBorders>
              <w:top w:val="single" w:sz="4" w:space="0" w:color="C7C8CA"/>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Jim Birch, AM (Deputy</w:t>
            </w:r>
            <w:r w:rsidR="00E314B6">
              <w:rPr>
                <w:rFonts w:ascii="Futura PT Heavy"/>
                <w:b/>
                <w:color w:val="636466"/>
                <w:sz w:val="16"/>
              </w:rPr>
              <w:t xml:space="preserve"> </w:t>
            </w:r>
            <w:r>
              <w:rPr>
                <w:rFonts w:ascii="Futura PT Heavy"/>
                <w:b/>
                <w:color w:val="636466"/>
                <w:sz w:val="16"/>
              </w:rPr>
              <w:t>Chair)</w:t>
            </w:r>
          </w:p>
        </w:tc>
        <w:tc>
          <w:tcPr>
            <w:tcW w:w="2358" w:type="dxa"/>
            <w:tcBorders>
              <w:top w:val="single" w:sz="4" w:space="0" w:color="C7C8CA"/>
              <w:bottom w:val="single" w:sz="4" w:space="0" w:color="C7C8CA"/>
            </w:tcBorders>
          </w:tcPr>
          <w:p w:rsidR="00D840DF" w:rsidRDefault="00961020">
            <w:pPr>
              <w:pStyle w:val="TableParagraph"/>
              <w:spacing w:line="200" w:lineRule="exact"/>
              <w:ind w:left="496"/>
              <w:rPr>
                <w:sz w:val="16"/>
              </w:rPr>
            </w:pPr>
            <w:r>
              <w:rPr>
                <w:color w:val="636466"/>
                <w:sz w:val="16"/>
              </w:rPr>
              <w:t>10</w:t>
            </w:r>
          </w:p>
        </w:tc>
        <w:tc>
          <w:tcPr>
            <w:tcW w:w="2447" w:type="dxa"/>
            <w:tcBorders>
              <w:top w:val="single" w:sz="4" w:space="0" w:color="C7C8CA"/>
              <w:bottom w:val="single" w:sz="4" w:space="0" w:color="C7C8CA"/>
            </w:tcBorders>
          </w:tcPr>
          <w:p w:rsidR="00D840DF" w:rsidRDefault="00961020">
            <w:pPr>
              <w:pStyle w:val="TableParagraph"/>
              <w:spacing w:line="200" w:lineRule="exact"/>
              <w:ind w:left="349"/>
              <w:rPr>
                <w:sz w:val="16"/>
              </w:rPr>
            </w:pPr>
            <w:r>
              <w:rPr>
                <w:color w:val="636466"/>
                <w:sz w:val="16"/>
              </w:rPr>
              <w:t>7</w:t>
            </w:r>
          </w:p>
        </w:tc>
      </w:tr>
      <w:tr w:rsidR="00D840DF">
        <w:trPr>
          <w:trHeight w:val="220"/>
        </w:trPr>
        <w:tc>
          <w:tcPr>
            <w:tcW w:w="2736" w:type="dxa"/>
            <w:tcBorders>
              <w:top w:val="single" w:sz="4" w:space="0" w:color="C7C8CA"/>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Glenn Appleyard</w:t>
            </w:r>
          </w:p>
        </w:tc>
        <w:tc>
          <w:tcPr>
            <w:tcW w:w="2358" w:type="dxa"/>
            <w:tcBorders>
              <w:top w:val="single" w:sz="4" w:space="0" w:color="C7C8CA"/>
              <w:bottom w:val="single" w:sz="4" w:space="0" w:color="C7C8CA"/>
            </w:tcBorders>
          </w:tcPr>
          <w:p w:rsidR="00D840DF" w:rsidRDefault="00961020">
            <w:pPr>
              <w:pStyle w:val="TableParagraph"/>
              <w:spacing w:line="200" w:lineRule="exact"/>
              <w:ind w:left="496"/>
              <w:rPr>
                <w:sz w:val="16"/>
              </w:rPr>
            </w:pPr>
            <w:r>
              <w:rPr>
                <w:color w:val="636466"/>
                <w:sz w:val="16"/>
              </w:rPr>
              <w:t>10</w:t>
            </w:r>
          </w:p>
        </w:tc>
        <w:tc>
          <w:tcPr>
            <w:tcW w:w="2447" w:type="dxa"/>
            <w:tcBorders>
              <w:top w:val="single" w:sz="4" w:space="0" w:color="C7C8CA"/>
              <w:bottom w:val="single" w:sz="4" w:space="0" w:color="C7C8CA"/>
            </w:tcBorders>
          </w:tcPr>
          <w:p w:rsidR="00D840DF" w:rsidRDefault="00961020">
            <w:pPr>
              <w:pStyle w:val="TableParagraph"/>
              <w:spacing w:line="200" w:lineRule="exact"/>
              <w:ind w:left="349"/>
              <w:rPr>
                <w:sz w:val="16"/>
              </w:rPr>
            </w:pPr>
            <w:r>
              <w:rPr>
                <w:color w:val="636466"/>
                <w:sz w:val="16"/>
              </w:rPr>
              <w:t>10</w:t>
            </w:r>
          </w:p>
        </w:tc>
      </w:tr>
      <w:tr w:rsidR="00D840DF">
        <w:trPr>
          <w:trHeight w:val="220"/>
        </w:trPr>
        <w:tc>
          <w:tcPr>
            <w:tcW w:w="2736" w:type="dxa"/>
            <w:tcBorders>
              <w:top w:val="single" w:sz="4" w:space="0" w:color="C7C8CA"/>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Alan Morris</w:t>
            </w:r>
          </w:p>
        </w:tc>
        <w:tc>
          <w:tcPr>
            <w:tcW w:w="2358" w:type="dxa"/>
            <w:tcBorders>
              <w:top w:val="single" w:sz="4" w:space="0" w:color="C7C8CA"/>
              <w:bottom w:val="single" w:sz="4" w:space="0" w:color="C7C8CA"/>
            </w:tcBorders>
          </w:tcPr>
          <w:p w:rsidR="00D840DF" w:rsidRDefault="00961020">
            <w:pPr>
              <w:pStyle w:val="TableParagraph"/>
              <w:spacing w:line="200" w:lineRule="exact"/>
              <w:ind w:left="496"/>
              <w:rPr>
                <w:sz w:val="16"/>
              </w:rPr>
            </w:pPr>
            <w:r>
              <w:rPr>
                <w:color w:val="636466"/>
                <w:sz w:val="16"/>
              </w:rPr>
              <w:t>6</w:t>
            </w:r>
          </w:p>
        </w:tc>
        <w:tc>
          <w:tcPr>
            <w:tcW w:w="2447" w:type="dxa"/>
            <w:tcBorders>
              <w:top w:val="single" w:sz="4" w:space="0" w:color="C7C8CA"/>
              <w:bottom w:val="single" w:sz="4" w:space="0" w:color="C7C8CA"/>
            </w:tcBorders>
          </w:tcPr>
          <w:p w:rsidR="00D840DF" w:rsidRDefault="00961020">
            <w:pPr>
              <w:pStyle w:val="TableParagraph"/>
              <w:spacing w:line="200" w:lineRule="exact"/>
              <w:ind w:left="349"/>
              <w:rPr>
                <w:sz w:val="16"/>
              </w:rPr>
            </w:pPr>
            <w:r>
              <w:rPr>
                <w:color w:val="636466"/>
                <w:sz w:val="16"/>
              </w:rPr>
              <w:t>4</w:t>
            </w:r>
          </w:p>
        </w:tc>
      </w:tr>
      <w:tr w:rsidR="00D840DF">
        <w:trPr>
          <w:trHeight w:val="220"/>
        </w:trPr>
        <w:tc>
          <w:tcPr>
            <w:tcW w:w="2736" w:type="dxa"/>
            <w:tcBorders>
              <w:top w:val="single" w:sz="4" w:space="0" w:color="C7C8CA"/>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 xml:space="preserve">Alan </w:t>
            </w:r>
            <w:proofErr w:type="spellStart"/>
            <w:r>
              <w:rPr>
                <w:rFonts w:ascii="Futura PT Heavy"/>
                <w:b/>
                <w:color w:val="636466"/>
                <w:sz w:val="16"/>
              </w:rPr>
              <w:t>Bansemer</w:t>
            </w:r>
            <w:proofErr w:type="spellEnd"/>
          </w:p>
        </w:tc>
        <w:tc>
          <w:tcPr>
            <w:tcW w:w="2358" w:type="dxa"/>
            <w:tcBorders>
              <w:top w:val="single" w:sz="4" w:space="0" w:color="C7C8CA"/>
              <w:bottom w:val="single" w:sz="4" w:space="0" w:color="C7C8CA"/>
            </w:tcBorders>
          </w:tcPr>
          <w:p w:rsidR="00D840DF" w:rsidRDefault="00961020">
            <w:pPr>
              <w:pStyle w:val="TableParagraph"/>
              <w:spacing w:line="200" w:lineRule="exact"/>
              <w:ind w:left="496"/>
              <w:rPr>
                <w:sz w:val="16"/>
              </w:rPr>
            </w:pPr>
            <w:r>
              <w:rPr>
                <w:color w:val="636466"/>
                <w:sz w:val="16"/>
              </w:rPr>
              <w:t>6</w:t>
            </w:r>
          </w:p>
        </w:tc>
        <w:tc>
          <w:tcPr>
            <w:tcW w:w="2447" w:type="dxa"/>
            <w:tcBorders>
              <w:top w:val="single" w:sz="4" w:space="0" w:color="C7C8CA"/>
              <w:bottom w:val="single" w:sz="4" w:space="0" w:color="C7C8CA"/>
            </w:tcBorders>
          </w:tcPr>
          <w:p w:rsidR="00D840DF" w:rsidRDefault="00961020">
            <w:pPr>
              <w:pStyle w:val="TableParagraph"/>
              <w:spacing w:line="200" w:lineRule="exact"/>
              <w:ind w:left="349"/>
              <w:rPr>
                <w:sz w:val="16"/>
              </w:rPr>
            </w:pPr>
            <w:r>
              <w:rPr>
                <w:color w:val="636466"/>
                <w:sz w:val="16"/>
              </w:rPr>
              <w:t>5</w:t>
            </w:r>
          </w:p>
        </w:tc>
      </w:tr>
      <w:tr w:rsidR="00D840DF">
        <w:trPr>
          <w:trHeight w:val="220"/>
        </w:trPr>
        <w:tc>
          <w:tcPr>
            <w:tcW w:w="2736" w:type="dxa"/>
            <w:tcBorders>
              <w:top w:val="single" w:sz="4" w:space="0" w:color="C7C8CA"/>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 xml:space="preserve">A/Prof. Bruce </w:t>
            </w:r>
            <w:proofErr w:type="spellStart"/>
            <w:r>
              <w:rPr>
                <w:rFonts w:ascii="Futura PT Heavy"/>
                <w:b/>
                <w:color w:val="636466"/>
                <w:sz w:val="16"/>
              </w:rPr>
              <w:t>Chater</w:t>
            </w:r>
            <w:proofErr w:type="spellEnd"/>
            <w:r>
              <w:rPr>
                <w:rFonts w:ascii="Futura PT Heavy"/>
                <w:b/>
                <w:color w:val="636466"/>
                <w:sz w:val="16"/>
              </w:rPr>
              <w:t>, OAM</w:t>
            </w:r>
          </w:p>
        </w:tc>
        <w:tc>
          <w:tcPr>
            <w:tcW w:w="2358" w:type="dxa"/>
            <w:tcBorders>
              <w:top w:val="single" w:sz="4" w:space="0" w:color="C7C8CA"/>
              <w:bottom w:val="single" w:sz="4" w:space="0" w:color="C7C8CA"/>
            </w:tcBorders>
          </w:tcPr>
          <w:p w:rsidR="00D840DF" w:rsidRDefault="00961020">
            <w:pPr>
              <w:pStyle w:val="TableParagraph"/>
              <w:spacing w:line="200" w:lineRule="exact"/>
              <w:ind w:left="496"/>
              <w:rPr>
                <w:sz w:val="16"/>
              </w:rPr>
            </w:pPr>
            <w:r>
              <w:rPr>
                <w:color w:val="636466"/>
                <w:sz w:val="16"/>
              </w:rPr>
              <w:t>10</w:t>
            </w:r>
          </w:p>
        </w:tc>
        <w:tc>
          <w:tcPr>
            <w:tcW w:w="2447" w:type="dxa"/>
            <w:tcBorders>
              <w:top w:val="single" w:sz="4" w:space="0" w:color="C7C8CA"/>
              <w:bottom w:val="single" w:sz="4" w:space="0" w:color="C7C8CA"/>
            </w:tcBorders>
          </w:tcPr>
          <w:p w:rsidR="00D840DF" w:rsidRDefault="00961020">
            <w:pPr>
              <w:pStyle w:val="TableParagraph"/>
              <w:spacing w:line="200" w:lineRule="exact"/>
              <w:ind w:left="349"/>
              <w:rPr>
                <w:sz w:val="16"/>
              </w:rPr>
            </w:pPr>
            <w:r>
              <w:rPr>
                <w:color w:val="636466"/>
                <w:sz w:val="16"/>
              </w:rPr>
              <w:t>8</w:t>
            </w:r>
          </w:p>
        </w:tc>
      </w:tr>
      <w:tr w:rsidR="00D840DF">
        <w:trPr>
          <w:trHeight w:val="220"/>
        </w:trPr>
        <w:tc>
          <w:tcPr>
            <w:tcW w:w="2736" w:type="dxa"/>
            <w:tcBorders>
              <w:top w:val="single" w:sz="4" w:space="0" w:color="C7C8CA"/>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Prof. Jane Hall</w:t>
            </w:r>
          </w:p>
        </w:tc>
        <w:tc>
          <w:tcPr>
            <w:tcW w:w="2358" w:type="dxa"/>
            <w:tcBorders>
              <w:top w:val="single" w:sz="4" w:space="0" w:color="C7C8CA"/>
              <w:bottom w:val="single" w:sz="4" w:space="0" w:color="C7C8CA"/>
            </w:tcBorders>
          </w:tcPr>
          <w:p w:rsidR="00D840DF" w:rsidRDefault="00961020">
            <w:pPr>
              <w:pStyle w:val="TableParagraph"/>
              <w:spacing w:line="200" w:lineRule="exact"/>
              <w:ind w:left="496"/>
              <w:rPr>
                <w:sz w:val="16"/>
              </w:rPr>
            </w:pPr>
            <w:r>
              <w:rPr>
                <w:color w:val="636466"/>
                <w:sz w:val="16"/>
              </w:rPr>
              <w:t>10</w:t>
            </w:r>
          </w:p>
        </w:tc>
        <w:tc>
          <w:tcPr>
            <w:tcW w:w="2447" w:type="dxa"/>
            <w:tcBorders>
              <w:top w:val="single" w:sz="4" w:space="0" w:color="C7C8CA"/>
              <w:bottom w:val="single" w:sz="4" w:space="0" w:color="C7C8CA"/>
            </w:tcBorders>
          </w:tcPr>
          <w:p w:rsidR="00D840DF" w:rsidRDefault="00961020">
            <w:pPr>
              <w:pStyle w:val="TableParagraph"/>
              <w:spacing w:line="200" w:lineRule="exact"/>
              <w:ind w:left="349"/>
              <w:rPr>
                <w:sz w:val="16"/>
              </w:rPr>
            </w:pPr>
            <w:r>
              <w:rPr>
                <w:color w:val="636466"/>
                <w:sz w:val="16"/>
              </w:rPr>
              <w:t>10</w:t>
            </w:r>
          </w:p>
        </w:tc>
      </w:tr>
      <w:tr w:rsidR="00D840DF">
        <w:trPr>
          <w:trHeight w:val="220"/>
        </w:trPr>
        <w:tc>
          <w:tcPr>
            <w:tcW w:w="2736" w:type="dxa"/>
            <w:tcBorders>
              <w:top w:val="single" w:sz="4" w:space="0" w:color="C7C8CA"/>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Michael Walsh</w:t>
            </w:r>
          </w:p>
        </w:tc>
        <w:tc>
          <w:tcPr>
            <w:tcW w:w="2358" w:type="dxa"/>
            <w:tcBorders>
              <w:top w:val="single" w:sz="4" w:space="0" w:color="C7C8CA"/>
              <w:bottom w:val="single" w:sz="4" w:space="0" w:color="C7C8CA"/>
            </w:tcBorders>
          </w:tcPr>
          <w:p w:rsidR="00D840DF" w:rsidRDefault="00961020">
            <w:pPr>
              <w:pStyle w:val="TableParagraph"/>
              <w:spacing w:line="200" w:lineRule="exact"/>
              <w:ind w:left="496"/>
              <w:rPr>
                <w:sz w:val="16"/>
              </w:rPr>
            </w:pPr>
            <w:r>
              <w:rPr>
                <w:color w:val="636466"/>
                <w:sz w:val="16"/>
              </w:rPr>
              <w:t>10</w:t>
            </w:r>
          </w:p>
        </w:tc>
        <w:tc>
          <w:tcPr>
            <w:tcW w:w="2447" w:type="dxa"/>
            <w:tcBorders>
              <w:top w:val="single" w:sz="4" w:space="0" w:color="C7C8CA"/>
              <w:bottom w:val="single" w:sz="4" w:space="0" w:color="C7C8CA"/>
            </w:tcBorders>
          </w:tcPr>
          <w:p w:rsidR="00D840DF" w:rsidRDefault="00961020">
            <w:pPr>
              <w:pStyle w:val="TableParagraph"/>
              <w:spacing w:line="200" w:lineRule="exact"/>
              <w:ind w:left="349"/>
              <w:rPr>
                <w:sz w:val="16"/>
              </w:rPr>
            </w:pPr>
            <w:r>
              <w:rPr>
                <w:color w:val="636466"/>
                <w:sz w:val="16"/>
              </w:rPr>
              <w:t>9</w:t>
            </w:r>
          </w:p>
        </w:tc>
      </w:tr>
    </w:tbl>
    <w:p w:rsidR="00D840DF" w:rsidRDefault="00D840DF">
      <w:pPr>
        <w:spacing w:line="200" w:lineRule="exact"/>
        <w:rPr>
          <w:sz w:val="16"/>
        </w:rPr>
        <w:sectPr w:rsidR="00D840DF">
          <w:pgSz w:w="9980" w:h="14180"/>
          <w:pgMar w:top="1320" w:right="1020" w:bottom="280" w:left="1200" w:header="720" w:footer="720" w:gutter="0"/>
          <w:cols w:space="720"/>
        </w:sectPr>
      </w:pPr>
    </w:p>
    <w:p w:rsidR="00D840DF" w:rsidRDefault="00E14BA1" w:rsidP="00343885">
      <w:pPr>
        <w:pStyle w:val="Heading1"/>
      </w:pPr>
      <w:bookmarkStart w:id="54" w:name="CEO’s_year_in_review"/>
      <w:bookmarkStart w:id="55" w:name="_bookmark15"/>
      <w:bookmarkStart w:id="56" w:name="_Toc496088486"/>
      <w:bookmarkEnd w:id="54"/>
      <w:bookmarkEnd w:id="55"/>
      <w:r>
        <w:rPr>
          <w:noProof/>
        </w:rPr>
        <w:lastRenderedPageBreak/>
        <w:drawing>
          <wp:anchor distT="0" distB="0" distL="114300" distR="114300" simplePos="0" relativeHeight="251664896" behindDoc="1" locked="0" layoutInCell="1" allowOverlap="1">
            <wp:simplePos x="0" y="0"/>
            <wp:positionH relativeFrom="column">
              <wp:posOffset>-3175</wp:posOffset>
            </wp:positionH>
            <wp:positionV relativeFrom="paragraph">
              <wp:posOffset>857250</wp:posOffset>
            </wp:positionV>
            <wp:extent cx="495300" cy="438785"/>
            <wp:effectExtent l="0" t="0" r="0" b="0"/>
            <wp:wrapTight wrapText="bothSides">
              <wp:wrapPolygon edited="0">
                <wp:start x="0" y="0"/>
                <wp:lineTo x="0" y="20631"/>
                <wp:lineTo x="20769" y="20631"/>
                <wp:lineTo x="20769" y="0"/>
                <wp:lineTo x="0" y="0"/>
              </wp:wrapPolygon>
            </wp:wrapTight>
            <wp:docPr id="185" name="Picture 4" descr="Jamie Do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mie Dow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20">
        <w:t>03 IHPA 2016–17</w:t>
      </w:r>
      <w:r w:rsidR="00343885">
        <w:t xml:space="preserve"> </w:t>
      </w:r>
      <w:r w:rsidR="00961020">
        <w:t>overview</w:t>
      </w:r>
      <w:bookmarkEnd w:id="56"/>
    </w:p>
    <w:p w:rsidR="00D840DF" w:rsidRDefault="00961020" w:rsidP="00343885">
      <w:pPr>
        <w:pStyle w:val="Heading2"/>
      </w:pPr>
      <w:bookmarkStart w:id="57" w:name="_Toc496088487"/>
      <w:r>
        <w:t>CEO’s year in review</w:t>
      </w:r>
      <w:bookmarkEnd w:id="57"/>
    </w:p>
    <w:p w:rsidR="00D840DF" w:rsidRPr="00343885" w:rsidRDefault="00961020" w:rsidP="00343885">
      <w:pPr>
        <w:pStyle w:val="BodyText"/>
      </w:pPr>
      <w:r w:rsidRPr="00343885">
        <w:t>I am pleased to report on the Independent Hospital Pricing Authority’s achievements in 2016–17.</w:t>
      </w:r>
    </w:p>
    <w:p w:rsidR="00D840DF" w:rsidRDefault="00961020" w:rsidP="00343885">
      <w:pPr>
        <w:pStyle w:val="BodyText"/>
      </w:pPr>
      <w:r w:rsidRPr="00343885">
        <w:t>This year saw IHP</w:t>
      </w:r>
      <w:r>
        <w:rPr>
          <w:color w:val="636466"/>
        </w:rPr>
        <w:t>A complete its sixth round of annual pricing functions, publishing the</w:t>
      </w:r>
    </w:p>
    <w:p w:rsidR="00D840DF" w:rsidRPr="00343885" w:rsidRDefault="00961020" w:rsidP="00343885">
      <w:pPr>
        <w:pStyle w:val="BodyText"/>
      </w:pPr>
      <w:r>
        <w:rPr>
          <w:i/>
          <w:color w:val="636466"/>
        </w:rPr>
        <w:t xml:space="preserve">Pricing Framework for Australian Public Hospital Services </w:t>
      </w:r>
      <w:r>
        <w:rPr>
          <w:i/>
          <w:color w:val="636466"/>
          <w:spacing w:val="-11"/>
        </w:rPr>
        <w:t xml:space="preserve">2017–18 </w:t>
      </w:r>
      <w:r>
        <w:rPr>
          <w:color w:val="636466"/>
        </w:rPr>
        <w:t>which continues to provide</w:t>
      </w:r>
      <w:r w:rsidR="00E314B6">
        <w:rPr>
          <w:color w:val="636466"/>
        </w:rPr>
        <w:t xml:space="preserve"> </w:t>
      </w:r>
      <w:r>
        <w:rPr>
          <w:color w:val="636466"/>
        </w:rPr>
        <w:t>a clear and stable methodology to guide our key purpose, which is to deliver the annual National</w:t>
      </w:r>
      <w:r>
        <w:rPr>
          <w:color w:val="636466"/>
          <w:spacing w:val="12"/>
        </w:rPr>
        <w:t xml:space="preserve"> </w:t>
      </w:r>
      <w:r>
        <w:rPr>
          <w:color w:val="636466"/>
        </w:rPr>
        <w:t>Efficient</w:t>
      </w:r>
      <w:r>
        <w:rPr>
          <w:color w:val="636466"/>
          <w:spacing w:val="12"/>
        </w:rPr>
        <w:t xml:space="preserve"> </w:t>
      </w:r>
      <w:r>
        <w:rPr>
          <w:color w:val="636466"/>
        </w:rPr>
        <w:t>Price</w:t>
      </w:r>
      <w:r>
        <w:rPr>
          <w:color w:val="636466"/>
          <w:spacing w:val="12"/>
        </w:rPr>
        <w:t xml:space="preserve"> </w:t>
      </w:r>
      <w:r>
        <w:rPr>
          <w:color w:val="636466"/>
        </w:rPr>
        <w:t>and</w:t>
      </w:r>
      <w:r>
        <w:rPr>
          <w:color w:val="636466"/>
          <w:spacing w:val="12"/>
        </w:rPr>
        <w:t xml:space="preserve"> </w:t>
      </w:r>
      <w:r>
        <w:rPr>
          <w:color w:val="636466"/>
        </w:rPr>
        <w:t>National</w:t>
      </w:r>
      <w:r>
        <w:rPr>
          <w:color w:val="636466"/>
          <w:spacing w:val="12"/>
        </w:rPr>
        <w:t xml:space="preserve"> </w:t>
      </w:r>
      <w:r>
        <w:rPr>
          <w:color w:val="636466"/>
        </w:rPr>
        <w:t>Efficient</w:t>
      </w:r>
      <w:r>
        <w:rPr>
          <w:color w:val="636466"/>
          <w:spacing w:val="12"/>
        </w:rPr>
        <w:t xml:space="preserve"> </w:t>
      </w:r>
      <w:r>
        <w:rPr>
          <w:color w:val="636466"/>
        </w:rPr>
        <w:t>Cost</w:t>
      </w:r>
      <w:r>
        <w:rPr>
          <w:color w:val="636466"/>
          <w:spacing w:val="12"/>
        </w:rPr>
        <w:t xml:space="preserve"> </w:t>
      </w:r>
      <w:r>
        <w:rPr>
          <w:color w:val="636466"/>
        </w:rPr>
        <w:t>Determinations.</w:t>
      </w:r>
    </w:p>
    <w:p w:rsidR="00D840DF" w:rsidRDefault="00961020" w:rsidP="00343885">
      <w:pPr>
        <w:pStyle w:val="BodyText"/>
      </w:pPr>
      <w:r>
        <w:rPr>
          <w:color w:val="636466"/>
        </w:rPr>
        <w:t>The stand out achievement of this year involved work to identify options for incorporating safety</w:t>
      </w:r>
      <w:r w:rsidR="00E314B6">
        <w:rPr>
          <w:color w:val="636466"/>
        </w:rPr>
        <w:t xml:space="preserve"> </w:t>
      </w:r>
      <w:r>
        <w:rPr>
          <w:color w:val="636466"/>
        </w:rPr>
        <w:t>and quality into the pricing and funding of public hospital services. IHPA led this complex and</w:t>
      </w:r>
      <w:r w:rsidR="00E314B6">
        <w:rPr>
          <w:color w:val="636466"/>
        </w:rPr>
        <w:t xml:space="preserve"> </w:t>
      </w:r>
      <w:r>
        <w:rPr>
          <w:color w:val="636466"/>
        </w:rPr>
        <w:t>highly technical piece of work in partnership with the Australian Commission on Safety and Quality</w:t>
      </w:r>
      <w:r w:rsidR="00E314B6">
        <w:rPr>
          <w:color w:val="636466"/>
        </w:rPr>
        <w:t xml:space="preserve"> </w:t>
      </w:r>
      <w:r>
        <w:rPr>
          <w:color w:val="636466"/>
        </w:rPr>
        <w:t xml:space="preserve">in Health Care and with advice from clinicians, jurisdictions and other key stakeholders, and was able to incorporate key elements of this work for inclusion in the </w:t>
      </w:r>
      <w:r>
        <w:rPr>
          <w:color w:val="636466"/>
          <w:spacing w:val="-11"/>
        </w:rPr>
        <w:t xml:space="preserve">2017–18 </w:t>
      </w:r>
      <w:r>
        <w:rPr>
          <w:color w:val="636466"/>
        </w:rPr>
        <w:t>National Efficient Price Determination.</w:t>
      </w:r>
    </w:p>
    <w:p w:rsidR="00D840DF" w:rsidRDefault="00961020" w:rsidP="00343885">
      <w:pPr>
        <w:pStyle w:val="BodyText"/>
      </w:pPr>
      <w:r>
        <w:rPr>
          <w:color w:val="636466"/>
          <w:spacing w:val="-3"/>
        </w:rPr>
        <w:t xml:space="preserve">I’m </w:t>
      </w:r>
      <w:r>
        <w:rPr>
          <w:color w:val="636466"/>
        </w:rPr>
        <w:t xml:space="preserve">looking forward to progressing work on pricing and funding for safety and quality in </w:t>
      </w:r>
      <w:r>
        <w:rPr>
          <w:color w:val="636466"/>
          <w:spacing w:val="-11"/>
        </w:rPr>
        <w:t xml:space="preserve">2017–18 </w:t>
      </w:r>
      <w:r>
        <w:rPr>
          <w:color w:val="636466"/>
        </w:rPr>
        <w:t>including work to reduce the funding for hospital episodes where the patient incurs a hospital</w:t>
      </w:r>
      <w:r w:rsidR="00E314B6">
        <w:rPr>
          <w:color w:val="636466"/>
        </w:rPr>
        <w:t xml:space="preserve"> </w:t>
      </w:r>
      <w:r>
        <w:rPr>
          <w:color w:val="636466"/>
        </w:rPr>
        <w:t>acquired complication, such as a hospital associated infection or a fall resulting in a fracture, as well as</w:t>
      </w:r>
      <w:r>
        <w:rPr>
          <w:color w:val="636466"/>
          <w:spacing w:val="7"/>
        </w:rPr>
        <w:t xml:space="preserve"> </w:t>
      </w:r>
      <w:r>
        <w:rPr>
          <w:color w:val="636466"/>
        </w:rPr>
        <w:t>consultation</w:t>
      </w:r>
      <w:r>
        <w:rPr>
          <w:color w:val="636466"/>
          <w:spacing w:val="7"/>
        </w:rPr>
        <w:t xml:space="preserve"> </w:t>
      </w:r>
      <w:r>
        <w:rPr>
          <w:color w:val="636466"/>
        </w:rPr>
        <w:t>regarding</w:t>
      </w:r>
      <w:r>
        <w:rPr>
          <w:color w:val="636466"/>
          <w:spacing w:val="7"/>
        </w:rPr>
        <w:t xml:space="preserve"> </w:t>
      </w:r>
      <w:r>
        <w:rPr>
          <w:color w:val="636466"/>
        </w:rPr>
        <w:t>approaches</w:t>
      </w:r>
      <w:r>
        <w:rPr>
          <w:color w:val="636466"/>
          <w:spacing w:val="7"/>
        </w:rPr>
        <w:t xml:space="preserve"> </w:t>
      </w:r>
      <w:r>
        <w:rPr>
          <w:color w:val="636466"/>
        </w:rPr>
        <w:t>to</w:t>
      </w:r>
      <w:r>
        <w:rPr>
          <w:color w:val="636466"/>
          <w:spacing w:val="7"/>
        </w:rPr>
        <w:t xml:space="preserve"> </w:t>
      </w:r>
      <w:r>
        <w:rPr>
          <w:color w:val="636466"/>
        </w:rPr>
        <w:t>pricing</w:t>
      </w:r>
      <w:r>
        <w:rPr>
          <w:color w:val="636466"/>
          <w:spacing w:val="7"/>
        </w:rPr>
        <w:t xml:space="preserve"> </w:t>
      </w:r>
      <w:r>
        <w:rPr>
          <w:color w:val="636466"/>
        </w:rPr>
        <w:t>and</w:t>
      </w:r>
      <w:r>
        <w:rPr>
          <w:color w:val="636466"/>
          <w:spacing w:val="7"/>
        </w:rPr>
        <w:t xml:space="preserve"> </w:t>
      </w:r>
      <w:r>
        <w:rPr>
          <w:color w:val="636466"/>
        </w:rPr>
        <w:t>funding</w:t>
      </w:r>
      <w:r>
        <w:rPr>
          <w:color w:val="636466"/>
          <w:spacing w:val="7"/>
        </w:rPr>
        <w:t xml:space="preserve"> </w:t>
      </w:r>
      <w:r>
        <w:rPr>
          <w:color w:val="636466"/>
        </w:rPr>
        <w:t>avoidable</w:t>
      </w:r>
      <w:r>
        <w:rPr>
          <w:color w:val="636466"/>
          <w:spacing w:val="7"/>
        </w:rPr>
        <w:t xml:space="preserve"> </w:t>
      </w:r>
      <w:r>
        <w:rPr>
          <w:color w:val="636466"/>
        </w:rPr>
        <w:t>hospital</w:t>
      </w:r>
      <w:r>
        <w:rPr>
          <w:color w:val="636466"/>
          <w:spacing w:val="7"/>
        </w:rPr>
        <w:t xml:space="preserve"> </w:t>
      </w:r>
      <w:r>
        <w:rPr>
          <w:color w:val="636466"/>
        </w:rPr>
        <w:t>readmissions.</w:t>
      </w:r>
    </w:p>
    <w:p w:rsidR="00D840DF" w:rsidRPr="00343885" w:rsidRDefault="00961020" w:rsidP="00343885">
      <w:pPr>
        <w:pStyle w:val="BodyText"/>
      </w:pPr>
      <w:r>
        <w:rPr>
          <w:color w:val="636466"/>
        </w:rPr>
        <w:t>In 2016 IHPA launched the national benchmarking portal enabling staff throughout the public hospital system to compare hospital-level cost and activity data across the country. This will also provide an important way to benchmark safety and quality measures going forward.</w:t>
      </w:r>
    </w:p>
    <w:p w:rsidR="00D840DF" w:rsidRDefault="00961020" w:rsidP="00343885">
      <w:pPr>
        <w:pStyle w:val="BodyText"/>
      </w:pPr>
      <w:r>
        <w:rPr>
          <w:color w:val="636466"/>
        </w:rPr>
        <w:t>Work to develop and refine health care classification systems has continued to make significant progress in 2016–17 with the development of a new emergency care classification, refinements to the Australian Mental Health Care Classification and development of the first version of the</w:t>
      </w:r>
    </w:p>
    <w:p w:rsidR="00D840DF" w:rsidRDefault="00961020" w:rsidP="00343885">
      <w:pPr>
        <w:pStyle w:val="BodyText"/>
      </w:pPr>
      <w:r>
        <w:rPr>
          <w:color w:val="636466"/>
        </w:rPr>
        <w:t>Australian teaching and training classification which will be made available for public consultation</w:t>
      </w:r>
      <w:r w:rsidR="00E314B6">
        <w:rPr>
          <w:color w:val="636466"/>
        </w:rPr>
        <w:t xml:space="preserve"> </w:t>
      </w:r>
      <w:r>
        <w:rPr>
          <w:color w:val="636466"/>
        </w:rPr>
        <w:t xml:space="preserve">in August </w:t>
      </w:r>
      <w:r>
        <w:rPr>
          <w:color w:val="636466"/>
          <w:spacing w:val="-12"/>
        </w:rPr>
        <w:t xml:space="preserve">2017. </w:t>
      </w:r>
      <w:r>
        <w:rPr>
          <w:color w:val="636466"/>
        </w:rPr>
        <w:t xml:space="preserve">Demonstrating our growing capability and maturity as an </w:t>
      </w:r>
      <w:proofErr w:type="spellStart"/>
      <w:r>
        <w:rPr>
          <w:color w:val="636466"/>
        </w:rPr>
        <w:t>organisation</w:t>
      </w:r>
      <w:proofErr w:type="spellEnd"/>
      <w:r>
        <w:rPr>
          <w:color w:val="636466"/>
        </w:rPr>
        <w:t>, IHPA began work to bring the Australian Refined-Diagnosis Related Groups (AR-DRGs) classification work in- house this year.</w:t>
      </w:r>
    </w:p>
    <w:p w:rsidR="00D840DF" w:rsidRDefault="00D840DF" w:rsidP="00343885">
      <w:pPr>
        <w:pStyle w:val="BodyText"/>
        <w:sectPr w:rsidR="00D840DF">
          <w:pgSz w:w="9980" w:h="14180"/>
          <w:pgMar w:top="1320" w:right="580" w:bottom="280" w:left="1040" w:header="720" w:footer="720" w:gutter="0"/>
          <w:cols w:space="720"/>
        </w:sectPr>
      </w:pPr>
    </w:p>
    <w:p w:rsidR="00D840DF" w:rsidRPr="00343885" w:rsidRDefault="00961020" w:rsidP="00343885">
      <w:pPr>
        <w:pStyle w:val="BodyText"/>
      </w:pPr>
      <w:proofErr w:type="spellStart"/>
      <w:r>
        <w:rPr>
          <w:color w:val="636466"/>
        </w:rPr>
        <w:lastRenderedPageBreak/>
        <w:t>Recognising</w:t>
      </w:r>
      <w:proofErr w:type="spellEnd"/>
      <w:r>
        <w:rPr>
          <w:color w:val="636466"/>
        </w:rPr>
        <w:t xml:space="preserve"> the critical importance that data plays in </w:t>
      </w:r>
      <w:r>
        <w:rPr>
          <w:color w:val="636466"/>
          <w:spacing w:val="-5"/>
        </w:rPr>
        <w:t xml:space="preserve">IHPA’s </w:t>
      </w:r>
      <w:r>
        <w:rPr>
          <w:color w:val="636466"/>
        </w:rPr>
        <w:t>work, this year saw the successful design and implementation of a new highly secure, cloud-based data facility that will ensure IHPA remains</w:t>
      </w:r>
      <w:r w:rsidR="00E314B6">
        <w:rPr>
          <w:color w:val="636466"/>
        </w:rPr>
        <w:t xml:space="preserve"> </w:t>
      </w:r>
      <w:r>
        <w:rPr>
          <w:color w:val="636466"/>
        </w:rPr>
        <w:t>at</w:t>
      </w:r>
      <w:r>
        <w:rPr>
          <w:color w:val="636466"/>
          <w:spacing w:val="5"/>
        </w:rPr>
        <w:t xml:space="preserve"> </w:t>
      </w:r>
      <w:r>
        <w:rPr>
          <w:color w:val="636466"/>
        </w:rPr>
        <w:t>the</w:t>
      </w:r>
      <w:r>
        <w:rPr>
          <w:color w:val="636466"/>
          <w:spacing w:val="5"/>
        </w:rPr>
        <w:t xml:space="preserve"> </w:t>
      </w:r>
      <w:r>
        <w:rPr>
          <w:color w:val="636466"/>
        </w:rPr>
        <w:t>forefront</w:t>
      </w:r>
      <w:r>
        <w:rPr>
          <w:color w:val="636466"/>
          <w:spacing w:val="5"/>
        </w:rPr>
        <w:t xml:space="preserve"> </w:t>
      </w:r>
      <w:r>
        <w:rPr>
          <w:color w:val="636466"/>
        </w:rPr>
        <w:t>of</w:t>
      </w:r>
      <w:r>
        <w:rPr>
          <w:color w:val="636466"/>
          <w:spacing w:val="5"/>
        </w:rPr>
        <w:t xml:space="preserve"> </w:t>
      </w:r>
      <w:r>
        <w:rPr>
          <w:color w:val="636466"/>
        </w:rPr>
        <w:t>data</w:t>
      </w:r>
      <w:r>
        <w:rPr>
          <w:color w:val="636466"/>
          <w:spacing w:val="5"/>
        </w:rPr>
        <w:t xml:space="preserve"> </w:t>
      </w:r>
      <w:r>
        <w:rPr>
          <w:color w:val="636466"/>
        </w:rPr>
        <w:t>security</w:t>
      </w:r>
      <w:r>
        <w:rPr>
          <w:color w:val="636466"/>
          <w:spacing w:val="5"/>
        </w:rPr>
        <w:t xml:space="preserve"> </w:t>
      </w:r>
      <w:r>
        <w:rPr>
          <w:color w:val="636466"/>
        </w:rPr>
        <w:t>and</w:t>
      </w:r>
      <w:r>
        <w:rPr>
          <w:color w:val="636466"/>
          <w:spacing w:val="5"/>
        </w:rPr>
        <w:t xml:space="preserve"> </w:t>
      </w:r>
      <w:r>
        <w:rPr>
          <w:color w:val="636466"/>
        </w:rPr>
        <w:t>capability</w:t>
      </w:r>
      <w:r>
        <w:rPr>
          <w:color w:val="636466"/>
          <w:spacing w:val="5"/>
        </w:rPr>
        <w:t xml:space="preserve"> </w:t>
      </w:r>
      <w:r>
        <w:rPr>
          <w:color w:val="636466"/>
        </w:rPr>
        <w:t>for</w:t>
      </w:r>
      <w:r>
        <w:rPr>
          <w:color w:val="636466"/>
          <w:spacing w:val="5"/>
        </w:rPr>
        <w:t xml:space="preserve"> </w:t>
      </w:r>
      <w:r>
        <w:rPr>
          <w:color w:val="636466"/>
        </w:rPr>
        <w:t>many</w:t>
      </w:r>
      <w:r>
        <w:rPr>
          <w:color w:val="636466"/>
          <w:spacing w:val="5"/>
        </w:rPr>
        <w:t xml:space="preserve"> </w:t>
      </w:r>
      <w:r>
        <w:rPr>
          <w:color w:val="636466"/>
        </w:rPr>
        <w:t>years</w:t>
      </w:r>
      <w:r>
        <w:rPr>
          <w:color w:val="636466"/>
          <w:spacing w:val="5"/>
        </w:rPr>
        <w:t xml:space="preserve"> </w:t>
      </w:r>
      <w:r>
        <w:rPr>
          <w:color w:val="636466"/>
        </w:rPr>
        <w:t>to</w:t>
      </w:r>
      <w:r>
        <w:rPr>
          <w:color w:val="636466"/>
          <w:spacing w:val="5"/>
        </w:rPr>
        <w:t xml:space="preserve"> </w:t>
      </w:r>
      <w:r>
        <w:rPr>
          <w:color w:val="636466"/>
        </w:rPr>
        <w:t>come.</w:t>
      </w:r>
    </w:p>
    <w:p w:rsidR="00D840DF" w:rsidRPr="00343885" w:rsidRDefault="00961020" w:rsidP="00343885">
      <w:pPr>
        <w:pStyle w:val="BodyText"/>
      </w:pPr>
      <w:r>
        <w:rPr>
          <w:color w:val="636466"/>
        </w:rPr>
        <w:t>I am looking forward to October 2017 which will see the culmination of much hard work to bring together our annual conference which this year will take on an international component. The five-day event will be held in collaboration with Patient Classification Systems International in Sydney with a focus on ‘value based health care’.</w:t>
      </w:r>
    </w:p>
    <w:p w:rsidR="00D840DF" w:rsidRPr="00343885" w:rsidRDefault="00961020" w:rsidP="00343885">
      <w:pPr>
        <w:pStyle w:val="BodyText"/>
      </w:pPr>
      <w:r>
        <w:rPr>
          <w:color w:val="636466"/>
        </w:rPr>
        <w:t xml:space="preserve">I would like to express my gratitude to the Pricing Authority and the Clinical Advisory Committee for their expert guidance through some new and exciting challenges this year. In particular, I would like to thank both Alan Morris and Alan </w:t>
      </w:r>
      <w:proofErr w:type="spellStart"/>
      <w:r>
        <w:rPr>
          <w:color w:val="636466"/>
        </w:rPr>
        <w:t>Bansemer</w:t>
      </w:r>
      <w:proofErr w:type="spellEnd"/>
      <w:r>
        <w:rPr>
          <w:color w:val="636466"/>
        </w:rPr>
        <w:t xml:space="preserve"> for the significant contribution they have made to the Pricing Authority in its first five years, and wish them well for the future.</w:t>
      </w:r>
    </w:p>
    <w:p w:rsidR="00D840DF" w:rsidRDefault="00961020" w:rsidP="00343885">
      <w:pPr>
        <w:pStyle w:val="BodyText"/>
      </w:pPr>
      <w:r>
        <w:rPr>
          <w:color w:val="636466"/>
        </w:rPr>
        <w:t>Finally, I’d like to thank the IHPA staff who continue to produce outstanding work. Our achievements this year are a testament to staff across all levels of IHPA and demonstrate our ongoing commitment to improving health care services across</w:t>
      </w:r>
      <w:r w:rsidR="00E314B6">
        <w:rPr>
          <w:color w:val="636466"/>
        </w:rPr>
        <w:t xml:space="preserve"> </w:t>
      </w:r>
      <w:r>
        <w:rPr>
          <w:color w:val="636466"/>
        </w:rPr>
        <w:t>Australia.</w:t>
      </w:r>
    </w:p>
    <w:p w:rsidR="00D840DF" w:rsidRDefault="00E14BA1">
      <w:pPr>
        <w:pStyle w:val="BodyText"/>
        <w:spacing w:before="3"/>
        <w:rPr>
          <w:sz w:val="18"/>
        </w:rPr>
      </w:pPr>
      <w:r>
        <w:rPr>
          <w:noProof/>
        </w:rPr>
        <mc:AlternateContent>
          <mc:Choice Requires="wps">
            <w:drawing>
              <wp:anchor distT="0" distB="0" distL="0" distR="0" simplePos="0" relativeHeight="2488" behindDoc="0" locked="0" layoutInCell="1" allowOverlap="1">
                <wp:simplePos x="0" y="0"/>
                <wp:positionH relativeFrom="page">
                  <wp:posOffset>813435</wp:posOffset>
                </wp:positionH>
                <wp:positionV relativeFrom="paragraph">
                  <wp:posOffset>173355</wp:posOffset>
                </wp:positionV>
                <wp:extent cx="978535" cy="374650"/>
                <wp:effectExtent l="3810" t="5080" r="8255" b="1270"/>
                <wp:wrapTopAndBottom/>
                <wp:docPr id="7" name="AutoShape 43" descr="Signatu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8535" cy="374650"/>
                        </a:xfrm>
                        <a:custGeom>
                          <a:avLst/>
                          <a:gdLst>
                            <a:gd name="T0" fmla="+- 0 1418 1284"/>
                            <a:gd name="T1" fmla="*/ T0 w 1541"/>
                            <a:gd name="T2" fmla="+- 0 619 273"/>
                            <a:gd name="T3" fmla="*/ 619 h 590"/>
                            <a:gd name="T4" fmla="+- 0 1322 1284"/>
                            <a:gd name="T5" fmla="*/ T4 w 1541"/>
                            <a:gd name="T6" fmla="+- 0 674 273"/>
                            <a:gd name="T7" fmla="*/ 674 h 590"/>
                            <a:gd name="T8" fmla="+- 0 1288 1284"/>
                            <a:gd name="T9" fmla="*/ T8 w 1541"/>
                            <a:gd name="T10" fmla="+- 0 789 273"/>
                            <a:gd name="T11" fmla="*/ 789 h 590"/>
                            <a:gd name="T12" fmla="+- 0 1379 1284"/>
                            <a:gd name="T13" fmla="*/ T12 w 1541"/>
                            <a:gd name="T14" fmla="+- 0 862 273"/>
                            <a:gd name="T15" fmla="*/ 862 h 590"/>
                            <a:gd name="T16" fmla="+- 0 1403 1284"/>
                            <a:gd name="T17" fmla="*/ T16 w 1541"/>
                            <a:gd name="T18" fmla="+- 0 854 273"/>
                            <a:gd name="T19" fmla="*/ 854 h 590"/>
                            <a:gd name="T20" fmla="+- 0 1307 1284"/>
                            <a:gd name="T21" fmla="*/ T20 w 1541"/>
                            <a:gd name="T22" fmla="+- 0 807 273"/>
                            <a:gd name="T23" fmla="*/ 807 h 590"/>
                            <a:gd name="T24" fmla="+- 0 1318 1284"/>
                            <a:gd name="T25" fmla="*/ T24 w 1541"/>
                            <a:gd name="T26" fmla="+- 0 701 273"/>
                            <a:gd name="T27" fmla="*/ 701 h 590"/>
                            <a:gd name="T28" fmla="+- 0 1412 1284"/>
                            <a:gd name="T29" fmla="*/ T28 w 1541"/>
                            <a:gd name="T30" fmla="+- 0 641 273"/>
                            <a:gd name="T31" fmla="*/ 641 h 590"/>
                            <a:gd name="T32" fmla="+- 0 1492 1284"/>
                            <a:gd name="T33" fmla="*/ T32 w 1541"/>
                            <a:gd name="T34" fmla="+- 0 614 273"/>
                            <a:gd name="T35" fmla="*/ 614 h 590"/>
                            <a:gd name="T36" fmla="+- 0 1639 1284"/>
                            <a:gd name="T37" fmla="*/ T36 w 1541"/>
                            <a:gd name="T38" fmla="+- 0 717 273"/>
                            <a:gd name="T39" fmla="*/ 717 h 590"/>
                            <a:gd name="T40" fmla="+- 0 1555 1284"/>
                            <a:gd name="T41" fmla="*/ T40 w 1541"/>
                            <a:gd name="T42" fmla="+- 0 798 273"/>
                            <a:gd name="T43" fmla="*/ 798 h 590"/>
                            <a:gd name="T44" fmla="+- 0 1449 1284"/>
                            <a:gd name="T45" fmla="*/ T44 w 1541"/>
                            <a:gd name="T46" fmla="+- 0 847 273"/>
                            <a:gd name="T47" fmla="*/ 847 h 590"/>
                            <a:gd name="T48" fmla="+- 0 1497 1284"/>
                            <a:gd name="T49" fmla="*/ T48 w 1541"/>
                            <a:gd name="T50" fmla="+- 0 840 273"/>
                            <a:gd name="T51" fmla="*/ 840 h 590"/>
                            <a:gd name="T52" fmla="+- 0 1666 1284"/>
                            <a:gd name="T53" fmla="*/ T52 w 1541"/>
                            <a:gd name="T54" fmla="+- 0 708 273"/>
                            <a:gd name="T55" fmla="*/ 708 h 590"/>
                            <a:gd name="T56" fmla="+- 0 1500 1284"/>
                            <a:gd name="T57" fmla="*/ T56 w 1541"/>
                            <a:gd name="T58" fmla="+- 0 636 273"/>
                            <a:gd name="T59" fmla="*/ 636 h 590"/>
                            <a:gd name="T60" fmla="+- 0 1501 1284"/>
                            <a:gd name="T61" fmla="*/ T60 w 1541"/>
                            <a:gd name="T62" fmla="+- 0 699 273"/>
                            <a:gd name="T63" fmla="*/ 699 h 590"/>
                            <a:gd name="T64" fmla="+- 0 1505 1284"/>
                            <a:gd name="T65" fmla="*/ T64 w 1541"/>
                            <a:gd name="T66" fmla="+- 0 650 273"/>
                            <a:gd name="T67" fmla="*/ 650 h 590"/>
                            <a:gd name="T68" fmla="+- 0 1697 1284"/>
                            <a:gd name="T69" fmla="*/ T68 w 1541"/>
                            <a:gd name="T70" fmla="+- 0 662 273"/>
                            <a:gd name="T71" fmla="*/ 662 h 590"/>
                            <a:gd name="T72" fmla="+- 0 1930 1284"/>
                            <a:gd name="T73" fmla="*/ T72 w 1541"/>
                            <a:gd name="T74" fmla="+- 0 666 273"/>
                            <a:gd name="T75" fmla="*/ 666 h 590"/>
                            <a:gd name="T76" fmla="+- 0 2138 1284"/>
                            <a:gd name="T77" fmla="*/ T76 w 1541"/>
                            <a:gd name="T78" fmla="+- 0 640 273"/>
                            <a:gd name="T79" fmla="*/ 640 h 590"/>
                            <a:gd name="T80" fmla="+- 0 1691 1284"/>
                            <a:gd name="T81" fmla="*/ T80 w 1541"/>
                            <a:gd name="T82" fmla="+- 0 635 273"/>
                            <a:gd name="T83" fmla="*/ 635 h 590"/>
                            <a:gd name="T84" fmla="+- 0 1712 1284"/>
                            <a:gd name="T85" fmla="*/ T84 w 1541"/>
                            <a:gd name="T86" fmla="+- 0 636 273"/>
                            <a:gd name="T87" fmla="*/ 636 h 590"/>
                            <a:gd name="T88" fmla="+- 0 1525 1284"/>
                            <a:gd name="T89" fmla="*/ T88 w 1541"/>
                            <a:gd name="T90" fmla="+- 0 639 273"/>
                            <a:gd name="T91" fmla="*/ 639 h 590"/>
                            <a:gd name="T92" fmla="+- 0 1667 1284"/>
                            <a:gd name="T93" fmla="*/ T92 w 1541"/>
                            <a:gd name="T94" fmla="+- 0 659 273"/>
                            <a:gd name="T95" fmla="*/ 659 h 590"/>
                            <a:gd name="T96" fmla="+- 0 1646 1284"/>
                            <a:gd name="T97" fmla="*/ T96 w 1541"/>
                            <a:gd name="T98" fmla="+- 0 631 273"/>
                            <a:gd name="T99" fmla="*/ 631 h 590"/>
                            <a:gd name="T100" fmla="+- 0 1511 1284"/>
                            <a:gd name="T101" fmla="*/ T100 w 1541"/>
                            <a:gd name="T102" fmla="+- 0 615 273"/>
                            <a:gd name="T103" fmla="*/ 615 h 590"/>
                            <a:gd name="T104" fmla="+- 0 2282 1284"/>
                            <a:gd name="T105" fmla="*/ T104 w 1541"/>
                            <a:gd name="T106" fmla="+- 0 583 273"/>
                            <a:gd name="T107" fmla="*/ 583 h 590"/>
                            <a:gd name="T108" fmla="+- 0 1928 1284"/>
                            <a:gd name="T109" fmla="*/ T108 w 1541"/>
                            <a:gd name="T110" fmla="+- 0 637 273"/>
                            <a:gd name="T111" fmla="*/ 637 h 590"/>
                            <a:gd name="T112" fmla="+- 0 2191 1284"/>
                            <a:gd name="T113" fmla="*/ T112 w 1541"/>
                            <a:gd name="T114" fmla="+- 0 629 273"/>
                            <a:gd name="T115" fmla="*/ 629 h 590"/>
                            <a:gd name="T116" fmla="+- 0 2521 1284"/>
                            <a:gd name="T117" fmla="*/ T116 w 1541"/>
                            <a:gd name="T118" fmla="+- 0 578 273"/>
                            <a:gd name="T119" fmla="*/ 578 h 590"/>
                            <a:gd name="T120" fmla="+- 0 1502 1284"/>
                            <a:gd name="T121" fmla="*/ T120 w 1541"/>
                            <a:gd name="T122" fmla="+- 0 614 273"/>
                            <a:gd name="T123" fmla="*/ 614 h 590"/>
                            <a:gd name="T124" fmla="+- 0 1504 1284"/>
                            <a:gd name="T125" fmla="*/ T124 w 1541"/>
                            <a:gd name="T126" fmla="+- 0 614 273"/>
                            <a:gd name="T127" fmla="*/ 614 h 590"/>
                            <a:gd name="T128" fmla="+- 0 1713 1284"/>
                            <a:gd name="T129" fmla="*/ T128 w 1541"/>
                            <a:gd name="T130" fmla="+- 0 300 273"/>
                            <a:gd name="T131" fmla="*/ 300 h 590"/>
                            <a:gd name="T132" fmla="+- 0 1735 1284"/>
                            <a:gd name="T133" fmla="*/ T132 w 1541"/>
                            <a:gd name="T134" fmla="+- 0 328 273"/>
                            <a:gd name="T135" fmla="*/ 328 h 590"/>
                            <a:gd name="T136" fmla="+- 0 1748 1284"/>
                            <a:gd name="T137" fmla="*/ T136 w 1541"/>
                            <a:gd name="T138" fmla="+- 0 441 273"/>
                            <a:gd name="T139" fmla="*/ 441 h 590"/>
                            <a:gd name="T140" fmla="+- 0 1691 1284"/>
                            <a:gd name="T141" fmla="*/ T140 w 1541"/>
                            <a:gd name="T142" fmla="+- 0 635 273"/>
                            <a:gd name="T143" fmla="*/ 635 h 590"/>
                            <a:gd name="T144" fmla="+- 0 1755 1284"/>
                            <a:gd name="T145" fmla="*/ T144 w 1541"/>
                            <a:gd name="T146" fmla="+- 0 537 273"/>
                            <a:gd name="T147" fmla="*/ 537 h 590"/>
                            <a:gd name="T148" fmla="+- 0 1763 1284"/>
                            <a:gd name="T149" fmla="*/ T148 w 1541"/>
                            <a:gd name="T150" fmla="+- 0 335 273"/>
                            <a:gd name="T151" fmla="*/ 335 h 590"/>
                            <a:gd name="T152" fmla="+- 0 1747 1284"/>
                            <a:gd name="T153" fmla="*/ T152 w 1541"/>
                            <a:gd name="T154" fmla="+- 0 297 273"/>
                            <a:gd name="T155" fmla="*/ 297 h 590"/>
                            <a:gd name="T156" fmla="+- 0 1500 1284"/>
                            <a:gd name="T157" fmla="*/ T156 w 1541"/>
                            <a:gd name="T158" fmla="+- 0 634 273"/>
                            <a:gd name="T159" fmla="*/ 634 h 590"/>
                            <a:gd name="T160" fmla="+- 0 1655 1284"/>
                            <a:gd name="T161" fmla="*/ T160 w 1541"/>
                            <a:gd name="T162" fmla="+- 0 293 273"/>
                            <a:gd name="T163" fmla="*/ 293 h 590"/>
                            <a:gd name="T164" fmla="+- 0 1612 1284"/>
                            <a:gd name="T165" fmla="*/ T164 w 1541"/>
                            <a:gd name="T166" fmla="+- 0 337 273"/>
                            <a:gd name="T167" fmla="*/ 337 h 590"/>
                            <a:gd name="T168" fmla="+- 0 1551 1284"/>
                            <a:gd name="T169" fmla="*/ T168 w 1541"/>
                            <a:gd name="T170" fmla="+- 0 442 273"/>
                            <a:gd name="T171" fmla="*/ 442 h 590"/>
                            <a:gd name="T172" fmla="+- 0 1503 1284"/>
                            <a:gd name="T173" fmla="*/ T172 w 1541"/>
                            <a:gd name="T174" fmla="+- 0 602 273"/>
                            <a:gd name="T175" fmla="*/ 602 h 590"/>
                            <a:gd name="T176" fmla="+- 0 1523 1284"/>
                            <a:gd name="T177" fmla="*/ T176 w 1541"/>
                            <a:gd name="T178" fmla="+- 0 558 273"/>
                            <a:gd name="T179" fmla="*/ 558 h 590"/>
                            <a:gd name="T180" fmla="+- 0 1628 1284"/>
                            <a:gd name="T181" fmla="*/ T180 w 1541"/>
                            <a:gd name="T182" fmla="+- 0 351 273"/>
                            <a:gd name="T183" fmla="*/ 351 h 590"/>
                            <a:gd name="T184" fmla="+- 0 1668 1284"/>
                            <a:gd name="T185" fmla="*/ T184 w 1541"/>
                            <a:gd name="T186" fmla="+- 0 311 273"/>
                            <a:gd name="T187" fmla="*/ 311 h 590"/>
                            <a:gd name="T188" fmla="+- 0 1747 1284"/>
                            <a:gd name="T189" fmla="*/ T188 w 1541"/>
                            <a:gd name="T190" fmla="+- 0 297 273"/>
                            <a:gd name="T191" fmla="*/ 297 h 590"/>
                            <a:gd name="T192" fmla="+- 0 1701 1284"/>
                            <a:gd name="T193" fmla="*/ T192 w 1541"/>
                            <a:gd name="T194" fmla="+- 0 273 273"/>
                            <a:gd name="T195" fmla="*/ 273 h 590"/>
                            <a:gd name="T196" fmla="+- 0 2748 1284"/>
                            <a:gd name="T197" fmla="*/ T196 w 1541"/>
                            <a:gd name="T198" fmla="+- 0 592 273"/>
                            <a:gd name="T199" fmla="*/ 592 h 590"/>
                            <a:gd name="T200" fmla="+- 0 2749 1284"/>
                            <a:gd name="T201" fmla="*/ T200 w 1541"/>
                            <a:gd name="T202" fmla="+- 0 584 273"/>
                            <a:gd name="T203" fmla="*/ 584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41" h="590">
                              <a:moveTo>
                                <a:pt x="183" y="340"/>
                              </a:moveTo>
                              <a:lnTo>
                                <a:pt x="171" y="340"/>
                              </a:lnTo>
                              <a:lnTo>
                                <a:pt x="159" y="342"/>
                              </a:lnTo>
                              <a:lnTo>
                                <a:pt x="146" y="344"/>
                              </a:lnTo>
                              <a:lnTo>
                                <a:pt x="134" y="346"/>
                              </a:lnTo>
                              <a:lnTo>
                                <a:pt x="122" y="350"/>
                              </a:lnTo>
                              <a:lnTo>
                                <a:pt x="99" y="359"/>
                              </a:lnTo>
                              <a:lnTo>
                                <a:pt x="77" y="370"/>
                              </a:lnTo>
                              <a:lnTo>
                                <a:pt x="57" y="384"/>
                              </a:lnTo>
                              <a:lnTo>
                                <a:pt x="38" y="401"/>
                              </a:lnTo>
                              <a:lnTo>
                                <a:pt x="22" y="420"/>
                              </a:lnTo>
                              <a:lnTo>
                                <a:pt x="10" y="442"/>
                              </a:lnTo>
                              <a:lnTo>
                                <a:pt x="3" y="466"/>
                              </a:lnTo>
                              <a:lnTo>
                                <a:pt x="0" y="491"/>
                              </a:lnTo>
                              <a:lnTo>
                                <a:pt x="4" y="516"/>
                              </a:lnTo>
                              <a:lnTo>
                                <a:pt x="13" y="539"/>
                              </a:lnTo>
                              <a:lnTo>
                                <a:pt x="28" y="559"/>
                              </a:lnTo>
                              <a:lnTo>
                                <a:pt x="48" y="574"/>
                              </a:lnTo>
                              <a:lnTo>
                                <a:pt x="71" y="584"/>
                              </a:lnTo>
                              <a:lnTo>
                                <a:pt x="95" y="589"/>
                              </a:lnTo>
                              <a:lnTo>
                                <a:pt x="119" y="590"/>
                              </a:lnTo>
                              <a:lnTo>
                                <a:pt x="143" y="587"/>
                              </a:lnTo>
                              <a:lnTo>
                                <a:pt x="167" y="582"/>
                              </a:lnTo>
                              <a:lnTo>
                                <a:pt x="172" y="581"/>
                              </a:lnTo>
                              <a:lnTo>
                                <a:pt x="119" y="581"/>
                              </a:lnTo>
                              <a:lnTo>
                                <a:pt x="96" y="580"/>
                              </a:lnTo>
                              <a:lnTo>
                                <a:pt x="74" y="575"/>
                              </a:lnTo>
                              <a:lnTo>
                                <a:pt x="53" y="566"/>
                              </a:lnTo>
                              <a:lnTo>
                                <a:pt x="36" y="552"/>
                              </a:lnTo>
                              <a:lnTo>
                                <a:pt x="23" y="534"/>
                              </a:lnTo>
                              <a:lnTo>
                                <a:pt x="14" y="513"/>
                              </a:lnTo>
                              <a:lnTo>
                                <a:pt x="12" y="491"/>
                              </a:lnTo>
                              <a:lnTo>
                                <a:pt x="15" y="469"/>
                              </a:lnTo>
                              <a:lnTo>
                                <a:pt x="23" y="448"/>
                              </a:lnTo>
                              <a:lnTo>
                                <a:pt x="34" y="428"/>
                              </a:lnTo>
                              <a:lnTo>
                                <a:pt x="49" y="411"/>
                              </a:lnTo>
                              <a:lnTo>
                                <a:pt x="66" y="397"/>
                              </a:lnTo>
                              <a:lnTo>
                                <a:pt x="85" y="385"/>
                              </a:lnTo>
                              <a:lnTo>
                                <a:pt x="106" y="375"/>
                              </a:lnTo>
                              <a:lnTo>
                                <a:pt x="128" y="368"/>
                              </a:lnTo>
                              <a:lnTo>
                                <a:pt x="150" y="363"/>
                              </a:lnTo>
                              <a:lnTo>
                                <a:pt x="172" y="361"/>
                              </a:lnTo>
                              <a:lnTo>
                                <a:pt x="216" y="361"/>
                              </a:lnTo>
                              <a:lnTo>
                                <a:pt x="218" y="341"/>
                              </a:lnTo>
                              <a:lnTo>
                                <a:pt x="208" y="341"/>
                              </a:lnTo>
                              <a:lnTo>
                                <a:pt x="196" y="340"/>
                              </a:lnTo>
                              <a:lnTo>
                                <a:pt x="183" y="340"/>
                              </a:lnTo>
                              <a:close/>
                              <a:moveTo>
                                <a:pt x="394" y="387"/>
                              </a:moveTo>
                              <a:lnTo>
                                <a:pt x="369" y="426"/>
                              </a:lnTo>
                              <a:lnTo>
                                <a:pt x="355" y="444"/>
                              </a:lnTo>
                              <a:lnTo>
                                <a:pt x="340" y="462"/>
                              </a:lnTo>
                              <a:lnTo>
                                <a:pt x="324" y="479"/>
                              </a:lnTo>
                              <a:lnTo>
                                <a:pt x="308" y="496"/>
                              </a:lnTo>
                              <a:lnTo>
                                <a:pt x="290" y="511"/>
                              </a:lnTo>
                              <a:lnTo>
                                <a:pt x="271" y="525"/>
                              </a:lnTo>
                              <a:lnTo>
                                <a:pt x="251" y="537"/>
                              </a:lnTo>
                              <a:lnTo>
                                <a:pt x="231" y="549"/>
                              </a:lnTo>
                              <a:lnTo>
                                <a:pt x="209" y="559"/>
                              </a:lnTo>
                              <a:lnTo>
                                <a:pt x="187" y="567"/>
                              </a:lnTo>
                              <a:lnTo>
                                <a:pt x="165" y="574"/>
                              </a:lnTo>
                              <a:lnTo>
                                <a:pt x="142" y="579"/>
                              </a:lnTo>
                              <a:lnTo>
                                <a:pt x="119" y="581"/>
                              </a:lnTo>
                              <a:lnTo>
                                <a:pt x="172" y="581"/>
                              </a:lnTo>
                              <a:lnTo>
                                <a:pt x="190" y="575"/>
                              </a:lnTo>
                              <a:lnTo>
                                <a:pt x="213" y="567"/>
                              </a:lnTo>
                              <a:lnTo>
                                <a:pt x="235" y="557"/>
                              </a:lnTo>
                              <a:lnTo>
                                <a:pt x="276" y="533"/>
                              </a:lnTo>
                              <a:lnTo>
                                <a:pt x="315" y="504"/>
                              </a:lnTo>
                              <a:lnTo>
                                <a:pt x="350" y="471"/>
                              </a:lnTo>
                              <a:lnTo>
                                <a:pt x="382" y="435"/>
                              </a:lnTo>
                              <a:lnTo>
                                <a:pt x="410" y="395"/>
                              </a:lnTo>
                              <a:lnTo>
                                <a:pt x="413" y="389"/>
                              </a:lnTo>
                              <a:lnTo>
                                <a:pt x="407" y="388"/>
                              </a:lnTo>
                              <a:lnTo>
                                <a:pt x="394" y="387"/>
                              </a:lnTo>
                              <a:close/>
                              <a:moveTo>
                                <a:pt x="216" y="363"/>
                              </a:moveTo>
                              <a:lnTo>
                                <a:pt x="215" y="375"/>
                              </a:lnTo>
                              <a:lnTo>
                                <a:pt x="215" y="377"/>
                              </a:lnTo>
                              <a:lnTo>
                                <a:pt x="217" y="425"/>
                              </a:lnTo>
                              <a:lnTo>
                                <a:pt x="217" y="426"/>
                              </a:lnTo>
                              <a:lnTo>
                                <a:pt x="219" y="426"/>
                              </a:lnTo>
                              <a:lnTo>
                                <a:pt x="219" y="425"/>
                              </a:lnTo>
                              <a:lnTo>
                                <a:pt x="221" y="381"/>
                              </a:lnTo>
                              <a:lnTo>
                                <a:pt x="221" y="377"/>
                              </a:lnTo>
                              <a:lnTo>
                                <a:pt x="223" y="364"/>
                              </a:lnTo>
                              <a:lnTo>
                                <a:pt x="218" y="363"/>
                              </a:lnTo>
                              <a:lnTo>
                                <a:pt x="216" y="363"/>
                              </a:lnTo>
                              <a:close/>
                              <a:moveTo>
                                <a:pt x="428" y="363"/>
                              </a:moveTo>
                              <a:lnTo>
                                <a:pt x="413" y="389"/>
                              </a:lnTo>
                              <a:lnTo>
                                <a:pt x="454" y="392"/>
                              </a:lnTo>
                              <a:lnTo>
                                <a:pt x="502" y="394"/>
                              </a:lnTo>
                              <a:lnTo>
                                <a:pt x="550" y="395"/>
                              </a:lnTo>
                              <a:lnTo>
                                <a:pt x="598" y="395"/>
                              </a:lnTo>
                              <a:lnTo>
                                <a:pt x="646" y="393"/>
                              </a:lnTo>
                              <a:lnTo>
                                <a:pt x="694" y="390"/>
                              </a:lnTo>
                              <a:lnTo>
                                <a:pt x="742" y="385"/>
                              </a:lnTo>
                              <a:lnTo>
                                <a:pt x="789" y="379"/>
                              </a:lnTo>
                              <a:lnTo>
                                <a:pt x="836" y="370"/>
                              </a:lnTo>
                              <a:lnTo>
                                <a:pt x="854" y="367"/>
                              </a:lnTo>
                              <a:lnTo>
                                <a:pt x="550" y="367"/>
                              </a:lnTo>
                              <a:lnTo>
                                <a:pt x="503" y="367"/>
                              </a:lnTo>
                              <a:lnTo>
                                <a:pt x="456" y="365"/>
                              </a:lnTo>
                              <a:lnTo>
                                <a:pt x="428" y="363"/>
                              </a:lnTo>
                              <a:close/>
                              <a:moveTo>
                                <a:pt x="407" y="362"/>
                              </a:moveTo>
                              <a:lnTo>
                                <a:pt x="395" y="386"/>
                              </a:lnTo>
                              <a:lnTo>
                                <a:pt x="394" y="387"/>
                              </a:lnTo>
                              <a:lnTo>
                                <a:pt x="407" y="388"/>
                              </a:lnTo>
                              <a:lnTo>
                                <a:pt x="413" y="389"/>
                              </a:lnTo>
                              <a:lnTo>
                                <a:pt x="428" y="363"/>
                              </a:lnTo>
                              <a:lnTo>
                                <a:pt x="409" y="362"/>
                              </a:lnTo>
                              <a:lnTo>
                                <a:pt x="407" y="362"/>
                              </a:lnTo>
                              <a:close/>
                              <a:moveTo>
                                <a:pt x="227" y="342"/>
                              </a:moveTo>
                              <a:lnTo>
                                <a:pt x="223" y="364"/>
                              </a:lnTo>
                              <a:lnTo>
                                <a:pt x="241" y="366"/>
                              </a:lnTo>
                              <a:lnTo>
                                <a:pt x="288" y="374"/>
                              </a:lnTo>
                              <a:lnTo>
                                <a:pt x="312" y="377"/>
                              </a:lnTo>
                              <a:lnTo>
                                <a:pt x="335" y="381"/>
                              </a:lnTo>
                              <a:lnTo>
                                <a:pt x="359" y="384"/>
                              </a:lnTo>
                              <a:lnTo>
                                <a:pt x="383" y="386"/>
                              </a:lnTo>
                              <a:lnTo>
                                <a:pt x="394" y="387"/>
                              </a:lnTo>
                              <a:lnTo>
                                <a:pt x="395" y="386"/>
                              </a:lnTo>
                              <a:lnTo>
                                <a:pt x="407" y="362"/>
                              </a:lnTo>
                              <a:lnTo>
                                <a:pt x="385" y="361"/>
                              </a:lnTo>
                              <a:lnTo>
                                <a:pt x="362" y="358"/>
                              </a:lnTo>
                              <a:lnTo>
                                <a:pt x="338" y="356"/>
                              </a:lnTo>
                              <a:lnTo>
                                <a:pt x="315" y="353"/>
                              </a:lnTo>
                              <a:lnTo>
                                <a:pt x="291" y="350"/>
                              </a:lnTo>
                              <a:lnTo>
                                <a:pt x="244" y="344"/>
                              </a:lnTo>
                              <a:lnTo>
                                <a:pt x="227" y="342"/>
                              </a:lnTo>
                              <a:close/>
                              <a:moveTo>
                                <a:pt x="1237" y="286"/>
                              </a:moveTo>
                              <a:lnTo>
                                <a:pt x="1160" y="288"/>
                              </a:lnTo>
                              <a:lnTo>
                                <a:pt x="1084" y="296"/>
                              </a:lnTo>
                              <a:lnTo>
                                <a:pt x="1008" y="308"/>
                              </a:lnTo>
                              <a:lnTo>
                                <a:pt x="998" y="310"/>
                              </a:lnTo>
                              <a:lnTo>
                                <a:pt x="859" y="337"/>
                              </a:lnTo>
                              <a:lnTo>
                                <a:pt x="785" y="349"/>
                              </a:lnTo>
                              <a:lnTo>
                                <a:pt x="738" y="356"/>
                              </a:lnTo>
                              <a:lnTo>
                                <a:pt x="691" y="361"/>
                              </a:lnTo>
                              <a:lnTo>
                                <a:pt x="644" y="364"/>
                              </a:lnTo>
                              <a:lnTo>
                                <a:pt x="597" y="366"/>
                              </a:lnTo>
                              <a:lnTo>
                                <a:pt x="550" y="367"/>
                              </a:lnTo>
                              <a:lnTo>
                                <a:pt x="854" y="367"/>
                              </a:lnTo>
                              <a:lnTo>
                                <a:pt x="883" y="361"/>
                              </a:lnTo>
                              <a:lnTo>
                                <a:pt x="907" y="356"/>
                              </a:lnTo>
                              <a:lnTo>
                                <a:pt x="1023" y="331"/>
                              </a:lnTo>
                              <a:lnTo>
                                <a:pt x="1069" y="322"/>
                              </a:lnTo>
                              <a:lnTo>
                                <a:pt x="1115" y="315"/>
                              </a:lnTo>
                              <a:lnTo>
                                <a:pt x="1162" y="310"/>
                              </a:lnTo>
                              <a:lnTo>
                                <a:pt x="1237" y="305"/>
                              </a:lnTo>
                              <a:lnTo>
                                <a:pt x="1432" y="305"/>
                              </a:lnTo>
                              <a:lnTo>
                                <a:pt x="1390" y="298"/>
                              </a:lnTo>
                              <a:lnTo>
                                <a:pt x="1314" y="289"/>
                              </a:lnTo>
                              <a:lnTo>
                                <a:pt x="1237" y="286"/>
                              </a:lnTo>
                              <a:close/>
                              <a:moveTo>
                                <a:pt x="218" y="341"/>
                              </a:moveTo>
                              <a:lnTo>
                                <a:pt x="216" y="363"/>
                              </a:lnTo>
                              <a:lnTo>
                                <a:pt x="218" y="363"/>
                              </a:lnTo>
                              <a:lnTo>
                                <a:pt x="223" y="364"/>
                              </a:lnTo>
                              <a:lnTo>
                                <a:pt x="227" y="342"/>
                              </a:lnTo>
                              <a:lnTo>
                                <a:pt x="220" y="341"/>
                              </a:lnTo>
                              <a:lnTo>
                                <a:pt x="218" y="341"/>
                              </a:lnTo>
                              <a:close/>
                              <a:moveTo>
                                <a:pt x="463" y="24"/>
                              </a:moveTo>
                              <a:lnTo>
                                <a:pt x="417" y="24"/>
                              </a:lnTo>
                              <a:lnTo>
                                <a:pt x="423" y="25"/>
                              </a:lnTo>
                              <a:lnTo>
                                <a:pt x="429" y="27"/>
                              </a:lnTo>
                              <a:lnTo>
                                <a:pt x="434" y="28"/>
                              </a:lnTo>
                              <a:lnTo>
                                <a:pt x="438" y="32"/>
                              </a:lnTo>
                              <a:lnTo>
                                <a:pt x="446" y="42"/>
                              </a:lnTo>
                              <a:lnTo>
                                <a:pt x="449" y="48"/>
                              </a:lnTo>
                              <a:lnTo>
                                <a:pt x="451" y="55"/>
                              </a:lnTo>
                              <a:lnTo>
                                <a:pt x="454" y="61"/>
                              </a:lnTo>
                              <a:lnTo>
                                <a:pt x="456" y="69"/>
                              </a:lnTo>
                              <a:lnTo>
                                <a:pt x="457" y="76"/>
                              </a:lnTo>
                              <a:lnTo>
                                <a:pt x="464" y="121"/>
                              </a:lnTo>
                              <a:lnTo>
                                <a:pt x="464" y="168"/>
                              </a:lnTo>
                              <a:lnTo>
                                <a:pt x="459" y="213"/>
                              </a:lnTo>
                              <a:lnTo>
                                <a:pt x="449" y="258"/>
                              </a:lnTo>
                              <a:lnTo>
                                <a:pt x="435" y="302"/>
                              </a:lnTo>
                              <a:lnTo>
                                <a:pt x="417" y="345"/>
                              </a:lnTo>
                              <a:lnTo>
                                <a:pt x="407" y="362"/>
                              </a:lnTo>
                              <a:lnTo>
                                <a:pt x="409" y="362"/>
                              </a:lnTo>
                              <a:lnTo>
                                <a:pt x="428" y="363"/>
                              </a:lnTo>
                              <a:lnTo>
                                <a:pt x="434" y="354"/>
                              </a:lnTo>
                              <a:lnTo>
                                <a:pt x="455" y="310"/>
                              </a:lnTo>
                              <a:lnTo>
                                <a:pt x="471" y="264"/>
                              </a:lnTo>
                              <a:lnTo>
                                <a:pt x="483" y="217"/>
                              </a:lnTo>
                              <a:lnTo>
                                <a:pt x="489" y="169"/>
                              </a:lnTo>
                              <a:lnTo>
                                <a:pt x="489" y="119"/>
                              </a:lnTo>
                              <a:lnTo>
                                <a:pt x="481" y="70"/>
                              </a:lnTo>
                              <a:lnTo>
                                <a:pt x="479" y="62"/>
                              </a:lnTo>
                              <a:lnTo>
                                <a:pt x="477" y="54"/>
                              </a:lnTo>
                              <a:lnTo>
                                <a:pt x="474" y="46"/>
                              </a:lnTo>
                              <a:lnTo>
                                <a:pt x="471" y="38"/>
                              </a:lnTo>
                              <a:lnTo>
                                <a:pt x="467" y="29"/>
                              </a:lnTo>
                              <a:lnTo>
                                <a:pt x="463" y="24"/>
                              </a:lnTo>
                              <a:close/>
                              <a:moveTo>
                                <a:pt x="216" y="361"/>
                              </a:moveTo>
                              <a:lnTo>
                                <a:pt x="172" y="361"/>
                              </a:lnTo>
                              <a:lnTo>
                                <a:pt x="195" y="361"/>
                              </a:lnTo>
                              <a:lnTo>
                                <a:pt x="216" y="363"/>
                              </a:lnTo>
                              <a:lnTo>
                                <a:pt x="216" y="361"/>
                              </a:lnTo>
                              <a:close/>
                              <a:moveTo>
                                <a:pt x="417" y="0"/>
                              </a:moveTo>
                              <a:lnTo>
                                <a:pt x="407" y="2"/>
                              </a:lnTo>
                              <a:lnTo>
                                <a:pt x="394" y="6"/>
                              </a:lnTo>
                              <a:lnTo>
                                <a:pt x="381" y="12"/>
                              </a:lnTo>
                              <a:lnTo>
                                <a:pt x="371" y="20"/>
                              </a:lnTo>
                              <a:lnTo>
                                <a:pt x="361" y="28"/>
                              </a:lnTo>
                              <a:lnTo>
                                <a:pt x="352" y="36"/>
                              </a:lnTo>
                              <a:lnTo>
                                <a:pt x="343" y="45"/>
                              </a:lnTo>
                              <a:lnTo>
                                <a:pt x="335" y="55"/>
                              </a:lnTo>
                              <a:lnTo>
                                <a:pt x="328" y="64"/>
                              </a:lnTo>
                              <a:lnTo>
                                <a:pt x="313" y="84"/>
                              </a:lnTo>
                              <a:lnTo>
                                <a:pt x="300" y="104"/>
                              </a:lnTo>
                              <a:lnTo>
                                <a:pt x="288" y="125"/>
                              </a:lnTo>
                              <a:lnTo>
                                <a:pt x="277" y="147"/>
                              </a:lnTo>
                              <a:lnTo>
                                <a:pt x="267" y="169"/>
                              </a:lnTo>
                              <a:lnTo>
                                <a:pt x="257" y="191"/>
                              </a:lnTo>
                              <a:lnTo>
                                <a:pt x="248" y="213"/>
                              </a:lnTo>
                              <a:lnTo>
                                <a:pt x="240" y="236"/>
                              </a:lnTo>
                              <a:lnTo>
                                <a:pt x="227" y="282"/>
                              </a:lnTo>
                              <a:lnTo>
                                <a:pt x="219" y="329"/>
                              </a:lnTo>
                              <a:lnTo>
                                <a:pt x="218" y="341"/>
                              </a:lnTo>
                              <a:lnTo>
                                <a:pt x="220" y="341"/>
                              </a:lnTo>
                              <a:lnTo>
                                <a:pt x="227" y="342"/>
                              </a:lnTo>
                              <a:lnTo>
                                <a:pt x="228" y="331"/>
                              </a:lnTo>
                              <a:lnTo>
                                <a:pt x="239" y="285"/>
                              </a:lnTo>
                              <a:lnTo>
                                <a:pt x="254" y="241"/>
                              </a:lnTo>
                              <a:lnTo>
                                <a:pt x="272" y="197"/>
                              </a:lnTo>
                              <a:lnTo>
                                <a:pt x="293" y="155"/>
                              </a:lnTo>
                              <a:lnTo>
                                <a:pt x="317" y="115"/>
                              </a:lnTo>
                              <a:lnTo>
                                <a:pt x="344" y="78"/>
                              </a:lnTo>
                              <a:lnTo>
                                <a:pt x="352" y="69"/>
                              </a:lnTo>
                              <a:lnTo>
                                <a:pt x="359" y="60"/>
                              </a:lnTo>
                              <a:lnTo>
                                <a:pt x="367" y="52"/>
                              </a:lnTo>
                              <a:lnTo>
                                <a:pt x="376" y="45"/>
                              </a:lnTo>
                              <a:lnTo>
                                <a:pt x="384" y="38"/>
                              </a:lnTo>
                              <a:lnTo>
                                <a:pt x="393" y="32"/>
                              </a:lnTo>
                              <a:lnTo>
                                <a:pt x="402" y="28"/>
                              </a:lnTo>
                              <a:lnTo>
                                <a:pt x="411" y="25"/>
                              </a:lnTo>
                              <a:lnTo>
                                <a:pt x="417" y="24"/>
                              </a:lnTo>
                              <a:lnTo>
                                <a:pt x="463" y="24"/>
                              </a:lnTo>
                              <a:lnTo>
                                <a:pt x="455" y="14"/>
                              </a:lnTo>
                              <a:lnTo>
                                <a:pt x="447" y="8"/>
                              </a:lnTo>
                              <a:lnTo>
                                <a:pt x="437" y="4"/>
                              </a:lnTo>
                              <a:lnTo>
                                <a:pt x="427" y="1"/>
                              </a:lnTo>
                              <a:lnTo>
                                <a:pt x="417" y="0"/>
                              </a:lnTo>
                              <a:close/>
                              <a:moveTo>
                                <a:pt x="1432" y="305"/>
                              </a:moveTo>
                              <a:lnTo>
                                <a:pt x="1237" y="305"/>
                              </a:lnTo>
                              <a:lnTo>
                                <a:pt x="1313" y="305"/>
                              </a:lnTo>
                              <a:lnTo>
                                <a:pt x="1388" y="310"/>
                              </a:lnTo>
                              <a:lnTo>
                                <a:pt x="1464" y="319"/>
                              </a:lnTo>
                              <a:lnTo>
                                <a:pt x="1539" y="332"/>
                              </a:lnTo>
                              <a:lnTo>
                                <a:pt x="1540" y="332"/>
                              </a:lnTo>
                              <a:lnTo>
                                <a:pt x="1540" y="330"/>
                              </a:lnTo>
                              <a:lnTo>
                                <a:pt x="1540" y="329"/>
                              </a:lnTo>
                              <a:lnTo>
                                <a:pt x="1465" y="311"/>
                              </a:lnTo>
                              <a:lnTo>
                                <a:pt x="1432"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EB656" id="AutoShape 43" o:spid="_x0000_s1026" alt="Signature" style="position:absolute;margin-left:64.05pt;margin-top:13.65pt;width:77.05pt;height:29.5pt;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4HBEAAGhWAAAOAAAAZHJzL2Uyb0RvYy54bWysXNtuI7kRfQ+Qf2joMcGsxUvfjPUsstlM&#10;EGCTLLCdD9BIsi1ElhRJHs8myL/nFJvVJlu8Idh5cNvTp8liHVaxqsjub7/7+rKvvmzPl93x8LAQ&#10;3ywX1fawPm52h6eHxT+GTx+6RXW5rg6b1f542D4sftleFt99/O1vvn073W/l8fm432zPFRo5XO7f&#10;Tg+L5+v1dH93d1k/b19Wl2+Op+0BNx+P55fVFX+en+4259UbWn/Z38nlsrl7O543p/Nxvb1c8L8/&#10;jDcXH037j4/b9fXvj4+X7bXaPywg29X8PJufn+nn3cdvV/dP59Xpebe2Yqz+DyleVrsDOp2a+mF1&#10;XVWv591NUy+79fl4OT5ev1kfX+6Oj4+79daMAaMRy9lofn5enbZmLFDO5TSp6fLrNbv+25efztVu&#10;87BoF9Vh9QKK/vB6PZqeK60W1WZ7WUNfP++eDqvr63lLGns7Xe7x4M+nn8405svpx+P6nxfcuPPu&#10;0B8XYKrPb389btDyCi0bLX19PL/Qkxh/9dWQ8ctExvbrtVrjP/u2q1W9qNa4pVrd1Iasu9U9P7x+&#10;vVz/vD2ahlZffrxcRy43+M0wsbHjGcD748setP7+Q7WshBZdJWSnLfcTTDDsd3fVsKzeKlFrMQdJ&#10;Bpm2GtFXslVzENQ2doiWCPJc1T1Ptak7zaBRKiVlUCpoYGpr0BGpGgaNUrU6JBUInlpqAAlKBXN1&#10;dSW7sK56hpGuuohUwld82wWVJVy9EyYol/AVL1TbB9UlXN0PQsZE87XfNTKkMeEqnzBh0XztC71U&#10;YdFcAgbRxETzKejqIJnCZYAwQdGkz4BQyzYomnQ5GGR08vskdGgtMPulSwFhwqL5DAgVsUrpcjDI&#10;mAVIn4R2KYKiuRQQJiyazwAcRtg0pcvBIGNmoHwSGh0UTbkUECYomvIZELoPi6ZcDgYVMwPlk9CI&#10;4FwjL/zuOYAJi+YzIBoVtlDlcjComBkon4RWBOeacikgTFA07TMg6roOmgHc/ftABx0zA+2T0PZd&#10;aK7R4jlpjTBh0XwGhNZhrWmXg0HHzED7JHQ6qDXtUkCYsGg+A5hrYeehXQ4GHTMDrN/u0tJBvQHn&#10;UbsUECYoWu0zIJqmCRJauxwMdcwMap+EdhkktHYpIExYNJ8BUS8RcgSijdrlYKhjZlD7JDSwl5DW&#10;XAoIExSt8RmAaCIoWuNyMDQxM2h8Epo+uLw3LgWECYvmMwDRwhbauBwMTcwMGp8ExI4hrTUuBYQJ&#10;i+YzIJqIGTQuB0MTM4PWJ6EJRx6tSwFhgqK1PgOiV+G5hgj13RUNbcwMWp8EMqrAXGtdCggTFs1n&#10;QAoVDiRbl4OhjZlB65PQhJ1H61JAmKBonc8ACA2bQedyMHQxM+h8EhpVh7TWuRQQJiyaz4BoI5FH&#10;53IwdDEz6HwSIs6jcymIOo/OZ0DUMmyhncvBgPQhnEchH3JXAwoWAnOtdykgTFBrvc8AVoPwQtW7&#10;HAyInCKi+SQ0dVg0lwLChEXzGRCNDi9UvcvB0MfMoPdJaFQwlOxdCggTFE0sfQpELcJ2IJYuCwOe&#10;iyhOLH0iGhE0BbF0eSBQRD6fBym7cKwrli4VkC9mDmLps1F3KjTpxNIlg0AR+XwyRI8MILTSi6XL&#10;B+SL2YSYJcyNCkZvwsuYCRSWb5YySxHxc2KWM8eTZuEz0sigZQgvbSZQRD6fDVnLyPwTLh+DiGfO&#10;wmekboNxnPByZwKF5Zsnz/UyMv/87FlE02ch5/YRTLeEl0BTThaRz2cDMZMOzz8/hRbRHFrMkuhI&#10;Oiiky0dCPp8NLGaRuoifR8OEYv5llkkreKLAooFSAq8tqE4RKKy/eS7dYlUO2q+fTItoNi1m6bTC&#10;SILyuf6KQBH5fPsQLVKrsHwuH4OIptSIwVgxpk6ow5UI4SXVBArLN8+qY3EU6ifcLVULUR+L8TtL&#10;rCOhlPAy62gshVSaux0rrG0k6xd+bo3novL5jNQR/+yl1wSK6M9nQ7RNxD78BFtEM2x4AG/EKhyK&#10;YqFnGNlHLBZFhMcwqz8UCoLzz8+y8VxMf7M8WyKTCtmHl2gTKKy/2mcDow9nP8JPtUU01xY3yXbY&#10;P9fuet6omH+ep9tNbP75+baIJtxilnHLPhy/eCk3gcL6a2b20USSDeEn3YhhY/zO0m4VsQ8v7yZQ&#10;RL6ZfdR1JD7wM28RTb3FLPfWOlz195JvAoXlm2ffdbTu78a7g4jm3/DwnsU1CDhC9uFn4ABF5Jvb&#10;h4z4Fz8Hhx+K8TvLwus6vL55aTiBwvLd5OGx+NlPxEU0ExezVFxhwoT05+XiBIrI57OBtDKy/vrZ&#10;uIim42KWjyskXEH53PWcQBH5ZvbRxvyzn5KLaE4uZkl5zD97WXncP8/TctpvCa4ffl6OPCo2/3qf&#10;EeguqL/eja8IFNZf79uHjMZXfnIuotm5mKXnNUYS4tfLzwkUlA+nGzxvAPnCWwM4OMBAiq/wXER/&#10;cpaf15ipAfmkl58TaJIPu+9PvL++euYt9/XXg91zx2/Vik5+LM02/+l4oe39AfJhE38w++RoAija&#10;oI+AQR6BW9pUz4KxEhMYGXEJmhJdA6/L4LBDA++L4JQGEhzpW4kwlJUZeNlIKUkiOJKbktYpZzHw&#10;sqHSppyBlw2VInqCIxIvEYYCbAMvGyrFuwRHnFrSOoWfBl42VIoGDbxsqBScERxBVYkwFCsZeNlQ&#10;KXQhOEKOktapkG/gZUOlhd3Ay4ZK6yzBsT6WCEPLnoGXDZVWIYJj9ShpnRYFAy8bKvloAy8bqqlp&#10;Ep6KkSXimCLj+EDZcE3VzzxQ6pwm74T6WZFIVBcbeygcNHsoqjAV9cA+iko+ZQ9YkqkGU/QA+ymB&#10;QwZlD/CgUaUoeoB9FZUNyh6w81ogjy97gAdd6LAEeywcRCjrgX2WQOpZJBJ7LZzCKHyAB43krKwH&#10;HnSh6xLsuwTSl6Ie2HsJ5BNFD7D/EoUOTLAHE9gCK+uBB13oxLAja00UMWlRD+zHBILEkgdM8EdO&#10;gKI254ExcrJh2RnHYOcHYM+LCgdgP9Mzq/vT6krRHP9aveEoLx1+rJ4fFnR0kW68HL9sh6OBXCmq&#10;Iy2T+1GoA44dvyP2Bw9JCbWH5Pt8PY0tUmHF4KRtke/z1eLolIvBmTOcGCrf56vFUT3W4Jp0e1SX&#10;J9x0xJTb4evYHsXtBsbU8G2+jjA7bxWqDaNe+DZfR5i1aTUeRI0Ogmq26FQjyE+1ZoegsWmRgtEO&#10;E7WGSmsKNjKrUc9JoWxbky3w+Pg6jnPkoBbptuziV09enRvh69iYHLVRT36Qb/PV9mlhKKikBmDn&#10;JVKcJIzySSitRgSTas3sKxFuPOsbZdTUr0177HVYeL6OgxBUJzO4NFkoKFlceopM8sFPpsZBebHp&#10;Nj2VqFhFsMmds/R8HUdh17o6M5eU7RRF55RstDVGncKyUzDaqCQYZlUSNipOZ2Yw7WeiNY1gPdWa&#10;lU3rLgmzTkljKqdas0mQnqJHVitfR/VSyRWyKawbqdbsSqdwTcHMDjk1lyEVZZyx2yY9CLMjQe1N&#10;YQhLz1c71e0UVohbUvJJeBEz3CzOyoc1LNnesgyHms/Y77TWsfx8teO4WRP5/np/vGwhyu06qqiq&#10;RTqagpDYOqpstqixT5salaINFLSosQOWxNEOHuGwr5DEyVFCPQViPCq+jqNXVpsa2kq1J6nOiH5x&#10;4CSNY/+MNCTZHm1oUXuoYiRxtDFMONhWEkcHNgiXWWUobDS4KWZmffDVzgpbFKgzy5Gg/U/qN6Pn&#10;UkdevDAwHxmrxyG+ovFKOjBu9Jfho7VOH0lgig9lHTAOOKRxtP+JfvWUkjAPfLXzlPYJCDflnHyf&#10;ryNO22hJTcE73+cr42wknAkQNB0sQr8KZ+mS473xCNxf3Iu8e0bWZcyLSKvNnI9/x2VYtGUInbPS&#10;CZfxDnQ8h9jJeDmcZ7K4jHewVQ+VCXsk4xC/p9iRdp1X2D9N4ug0ErGdWftumcuzTcGD33aMbW1t&#10;VuXmJu3Nk7TYtUmNCoegLC49+traYs52atozMf2mWcTBSYvj+c1a4utoiw3bTiYIb62vzUVEeCFt&#10;7DfjkzsbwOayPryqNbaXWTMm/eVwtFljZll61mo6LWFwaT3fzizWb9z3TH5tiiNis5Fmg5ECO6Gp&#10;WXYbE7EUfLWet9CjFlvBjV1xf3zlfu2smEbM9/nKOOvxb3BxbUo6XkdMTTl6TJvFnsiWQFUmB8PL&#10;nmPPmThF0clSkjDjKXG0yLKdjvMU130yebji6PpXmj2ls/F2fjPLfB3ZJl8y2lhmvJgNBofzRkkr&#10;sLUfBdtN4nhFR66dwknkuWO/6cxe0sk5MwPTPv52prI+4rMbWw/j9JYTibHpjYO+YzxH8zI1Lpyo&#10;HgWWmcQDR9ftDMc11WLPqxIiwBSu45mbyTzwKrvVaDrzaAsZx1HLsb1MHtwwk5lYpbZl55yHKF2V&#10;Sle5ji06M46e/XzGEvAGgl0Op/0nnpJ8HU0VhQ7rwVE4TTGMw/aWOlzTQLbqzJyZLEDhvYVki5pO&#10;KJMd5oDKJnAS0zbZorKFMZmJBicZ362U9Rc3bckB71R0iVl2POTlXkaWphZzITSznpnmcYc165eO&#10;/hsHmHbkk3zTiLmduJY0xkJto6YyUhVTkrb50gTktvlqQww79kz2pe35kWkjl1vhq23NVidzxUn2&#10;U2nj0TZonyIZ7oyvtlOudaZnr+YyT9pstI2wMy6FA+JMUVfbbRqUKlKWpekwLVgVSCKLcJnCqbYL&#10;C5Vcku1Z1clMKEGljtGVZBizk07hyE6yX3bIN4HtjFpbSlM5XGngzVt6IDkpny2BqowzplKRscaM&#10;59B2oZLQT7Jfmy7ipdIyHIoY6fZG+TJ7iVSZpWHktGy3JnPKs1s7sN6kbFZ38AVJmN3GggNKw2Z+&#10;kSdS3JW+LyNsdDFfypXQ3P6C4Pw04zzee06b5zuOJcyPiv0+R56xMXFWkjZozqTTVFJtbHRfSY4U&#10;WwvLxqPh6+jPScvGqNITQ9ELJrTKZmSj130Ay3gkTjanIzUsE1+tbNbRZOxd2bJZLiOlM7rk9jOV&#10;ac6sRWaVltZA348esfR8HUchrU3l3Iy0qxde/UwSK7FnaRjLLDfS7hjJDGccaOGV3XS/toarMs4h&#10;HmjN9FIauN3UWLgdvlo987KUSSckvTKHeSAz+6vSxibyJmCc9Wv3Q0VmWxcv94zzLzfr7bJOyUzK&#10;CSubL+JFjyTMWm5mkeO6DtL4ZGt2Mme2/pXdLcr5AVsLyKxKymoOKVZKNm3L3bl4GDuZhv+0etm1&#10;50L6eYrAk4Ov4+TUNsZBTpccAr2OiLmZplTbskymLWs3aW/Cw5zTHl/JcSRmnurGlr0pNc1nxbz1&#10;kU2fue6ZCRYFR/kqE7XhgKetLmSmFw7Z2UyzHDjXqj8p3lvMuFQMhgsbaTYD3HCXTCiOOtEJQvO+&#10;xnSUEP/pfqHxctzvNp92+z2dgbicnz7/cX+uvqzos5zmn53DHmxv3hM5HOkxnuL0OD4RaU8r0sci&#10;zWc2/9Pjvfbl97L/8Knp2g/6k64/9PhI04el6L/vm6Xu9Q+f/ksHGYW+f95tNtvDj7vDlj/5KXTZ&#10;JzXtx0fHj3Waj37SWckeH0MxZyQ96QsHeT6+HjYY3er+ebva/Mn+fl3t9uPvd77ERskYNl+NIsx3&#10;N+lTm+O3OT8fN7/gs5vn4/i5U3yeFb88H8//XlRv+NTpw+Lyr9cVPuVZ7f9ywLdEe7zyjGl4NX8g&#10;4aVF9Oze+ezeWR3WaOphcV3gVR/69Y9X/IVHXk/n3dMzehJGF4cjfUj0cUef5TTyjVLZP/A5UzMC&#10;++lV+l6q+7dBvX8g9uP/BAAAAP//AwBQSwMEFAAGAAgAAAAhAAFWSb3fAAAACQEAAA8AAABkcnMv&#10;ZG93bnJldi54bWxMj0FOwzAQRfdI3MEaJDYVdepKJU3jVFURYoVQWw7gxm4SYY+D7SaB0zOsYPk1&#10;T/+/KbeTs2wwIXYeJSzmGTCDtdcdNhLeT88PObCYFGplPRoJXybCtrq9KVWh/YgHMxxTw6gEY6Ek&#10;tCn1Beexbo1Tce57g3S7+OBUohgaroMaqdxZLrJsxZ3qkBZa1Zt9a+qP49VJwN3L6/ryZGdj2J80&#10;zj6H7+zwJuX93bTbAEtmSn8w/OqTOlTkdPZX1JFZyiJfECpBPC6BESByIYCdJeSrJfCq5P8/qH4A&#10;AAD//wMAUEsBAi0AFAAGAAgAAAAhALaDOJL+AAAA4QEAABMAAAAAAAAAAAAAAAAAAAAAAFtDb250&#10;ZW50X1R5cGVzXS54bWxQSwECLQAUAAYACAAAACEAOP0h/9YAAACUAQAACwAAAAAAAAAAAAAAAAAv&#10;AQAAX3JlbHMvLnJlbHNQSwECLQAUAAYACAAAACEAiofjeBwRAABoVgAADgAAAAAAAAAAAAAAAAAu&#10;AgAAZHJzL2Uyb0RvYy54bWxQSwECLQAUAAYACAAAACEAAVZJvd8AAAAJAQAADwAAAAAAAAAAAAAA&#10;AAB2EwAAZHJzL2Rvd25yZXYueG1sUEsFBgAAAAAEAAQA8wAAAIIUAAAAAA==&#10;" path="m183,340r-12,l159,342r-13,2l134,346r-12,4l99,359,77,370,57,384,38,401,22,420,10,442,3,466,,491r4,25l13,539r15,20l48,574r23,10l95,589r24,1l143,587r24,-5l172,581r-53,l96,580,74,575,53,566,36,552,23,534,14,513,12,491r3,-22l23,448,34,428,49,411,66,397,85,385r21,-10l128,368r22,-5l172,361r44,l218,341r-10,l196,340r-13,xm394,387r-25,39l355,444r-15,18l324,479r-16,17l290,511r-19,14l251,537r-20,12l209,559r-22,8l165,574r-23,5l119,581r53,l190,575r23,-8l235,557r41,-24l315,504r35,-33l382,435r28,-40l413,389r-6,-1l394,387xm216,363r-1,12l215,377r2,48l217,426r2,l219,425r2,-44l221,377r2,-13l218,363r-2,xm428,363r-15,26l454,392r48,2l550,395r48,l646,393r48,-3l742,385r47,-6l836,370r18,-3l550,367r-47,l456,365r-28,-2xm407,362r-12,24l394,387r13,1l413,389r15,-26l409,362r-2,xm227,342r-4,22l241,366r47,8l312,377r23,4l359,384r24,2l394,387r1,-1l407,362r-22,-1l362,358r-24,-2l315,353r-24,-3l244,344r-17,-2xm1237,286r-77,2l1084,296r-76,12l998,310,859,337r-74,12l738,356r-47,5l644,364r-47,2l550,367r304,l883,361r24,-5l1023,331r46,-9l1115,315r47,-5l1237,305r195,l1390,298r-76,-9l1237,286xm218,341r-2,22l218,363r5,1l227,342r-7,-1l218,341xm463,24r-46,l423,25r6,2l434,28r4,4l446,42r3,6l451,55r3,6l456,69r1,7l464,121r,47l459,213r-10,45l435,302r-18,43l407,362r2,l428,363r6,-9l455,310r16,-46l483,217r6,-48l489,119,481,70r-2,-8l477,54r-3,-8l471,38r-4,-9l463,24xm216,361r-44,l195,361r21,2l216,361xm417,l407,2,394,6r-13,6l371,20r-10,8l352,36r-9,9l335,55r-7,9l313,84r-13,20l288,125r-11,22l267,169r-10,22l248,213r-8,23l227,282r-8,47l218,341r2,l227,342r1,-11l239,285r15,-44l272,197r21,-42l317,115,344,78r8,-9l359,60r8,-8l376,45r8,-7l393,32r9,-4l411,25r6,-1l463,24,455,14,447,8,437,4,427,1,417,xm1432,305r-195,l1313,305r75,5l1464,319r75,13l1540,332r,-2l1540,329r-75,-18l1432,305xe" fillcolor="black" stroked="f">
                <v:path arrowok="t" o:connecttype="custom" o:connectlocs="85090,393065;24130,427990;2540,501015;60325,547370;75565,542290;14605,512445;21590,445135;81280,407035;132080,389890;225425,455295;172085,506730;104775,537845;135255,533400;242570,449580;137160,403860;137795,443865;140335,412750;262255,420370;410210,422910;542290,406400;258445,403225;271780,403860;153035,405765;243205,418465;229870,400685;144145,390525;633730,370205;408940,404495;575945,399415;785495,367030;138430,389890;139700,389890;272415,190500;286385,208280;294640,280035;258445,403225;299085,340995;304165,212725;294005,188595;137160,402590;235585,186055;208280,213995;169545,280670;139065,382270;151765,354330;218440,222885;243840,197485;294005,188595;264795,173355;929640,375920;930275,370840" o:connectangles="0,0,0,0,0,0,0,0,0,0,0,0,0,0,0,0,0,0,0,0,0,0,0,0,0,0,0,0,0,0,0,0,0,0,0,0,0,0,0,0,0,0,0,0,0,0,0,0,0,0,0"/>
                <w10:wrap type="topAndBottom" anchorx="page"/>
              </v:shape>
            </w:pict>
          </mc:Fallback>
        </mc:AlternateContent>
      </w:r>
    </w:p>
    <w:p w:rsidR="00D840DF" w:rsidRDefault="00961020" w:rsidP="00343885">
      <w:pPr>
        <w:pStyle w:val="BodyText"/>
      </w:pPr>
      <w:r w:rsidRPr="00343885">
        <w:rPr>
          <w:b/>
          <w:color w:val="008F54"/>
        </w:rPr>
        <w:t xml:space="preserve">James </w:t>
      </w:r>
      <w:proofErr w:type="spellStart"/>
      <w:r w:rsidRPr="00343885">
        <w:rPr>
          <w:b/>
          <w:color w:val="008F54"/>
        </w:rPr>
        <w:t>Downie</w:t>
      </w:r>
      <w:proofErr w:type="spellEnd"/>
      <w:r w:rsidR="00343885">
        <w:br/>
      </w:r>
      <w:r>
        <w:rPr>
          <w:color w:val="636466"/>
        </w:rPr>
        <w:t xml:space="preserve">Chief </w:t>
      </w:r>
      <w:r w:rsidRPr="00343885">
        <w:t xml:space="preserve">Executive Officer, </w:t>
      </w:r>
      <w:r w:rsidR="00343885">
        <w:br/>
      </w:r>
      <w:r w:rsidRPr="00343885">
        <w:t>IHPA 2 October</w:t>
      </w:r>
      <w:r>
        <w:rPr>
          <w:color w:val="636466"/>
        </w:rPr>
        <w:t xml:space="preserve"> 2017</w:t>
      </w:r>
    </w:p>
    <w:p w:rsidR="00D840DF" w:rsidRDefault="00D840DF">
      <w:pPr>
        <w:spacing w:line="256" w:lineRule="auto"/>
        <w:sectPr w:rsidR="00D840DF">
          <w:pgSz w:w="9980" w:h="14180"/>
          <w:pgMar w:top="1320" w:right="1020" w:bottom="280" w:left="1180" w:header="720" w:footer="720" w:gutter="0"/>
          <w:cols w:space="720"/>
        </w:sectPr>
      </w:pPr>
    </w:p>
    <w:p w:rsidR="00D840DF" w:rsidRDefault="00961020" w:rsidP="00343885">
      <w:pPr>
        <w:pStyle w:val="Heading3"/>
      </w:pPr>
      <w:r>
        <w:lastRenderedPageBreak/>
        <w:t>2016–17 snapshot</w:t>
      </w:r>
    </w:p>
    <w:p w:rsidR="00D840DF" w:rsidRDefault="00961020" w:rsidP="00343885">
      <w:pPr>
        <w:pStyle w:val="Heading4"/>
      </w:pPr>
      <w:r>
        <w:t>July</w:t>
      </w:r>
    </w:p>
    <w:p w:rsidR="00D840DF" w:rsidRPr="00343885" w:rsidRDefault="00961020" w:rsidP="00343885">
      <w:pPr>
        <w:pStyle w:val="BodyText"/>
        <w:rPr>
          <w:sz w:val="17"/>
        </w:rPr>
      </w:pPr>
      <w:r>
        <w:rPr>
          <w:color w:val="636466"/>
          <w:sz w:val="17"/>
        </w:rPr>
        <w:t>National</w:t>
      </w:r>
      <w:r w:rsidR="00E314B6">
        <w:rPr>
          <w:color w:val="636466"/>
          <w:sz w:val="17"/>
        </w:rPr>
        <w:t xml:space="preserve"> </w:t>
      </w:r>
      <w:r>
        <w:rPr>
          <w:color w:val="636466"/>
          <w:sz w:val="17"/>
        </w:rPr>
        <w:t>benchmarking</w:t>
      </w:r>
      <w:r w:rsidR="00E314B6">
        <w:rPr>
          <w:color w:val="636466"/>
          <w:sz w:val="17"/>
        </w:rPr>
        <w:t xml:space="preserve"> </w:t>
      </w:r>
      <w:r>
        <w:rPr>
          <w:color w:val="636466"/>
          <w:sz w:val="17"/>
        </w:rPr>
        <w:t>portal launched</w:t>
      </w:r>
    </w:p>
    <w:p w:rsidR="00D840DF" w:rsidRDefault="00961020" w:rsidP="00343885">
      <w:pPr>
        <w:pStyle w:val="Heading4"/>
      </w:pPr>
      <w:r>
        <w:t>August</w:t>
      </w:r>
    </w:p>
    <w:p w:rsidR="00D840DF" w:rsidRPr="00343885" w:rsidRDefault="00961020" w:rsidP="00343885">
      <w:pPr>
        <w:pStyle w:val="BodyText"/>
        <w:rPr>
          <w:sz w:val="17"/>
        </w:rPr>
      </w:pPr>
      <w:r>
        <w:rPr>
          <w:color w:val="636466"/>
          <w:sz w:val="17"/>
        </w:rPr>
        <w:t>Direction from Minister for Health to provide COAG Health Council with advice on options for pricing and funding for safety and</w:t>
      </w:r>
      <w:r w:rsidR="00E314B6">
        <w:rPr>
          <w:color w:val="636466"/>
          <w:sz w:val="17"/>
        </w:rPr>
        <w:t xml:space="preserve"> </w:t>
      </w:r>
      <w:r>
        <w:rPr>
          <w:color w:val="636466"/>
          <w:sz w:val="17"/>
        </w:rPr>
        <w:t>quality</w:t>
      </w:r>
    </w:p>
    <w:p w:rsidR="00D840DF" w:rsidRDefault="00961020" w:rsidP="00343885">
      <w:pPr>
        <w:pStyle w:val="Heading4"/>
      </w:pPr>
      <w:r>
        <w:t>September</w:t>
      </w:r>
    </w:p>
    <w:p w:rsidR="00D840DF" w:rsidRDefault="00961020" w:rsidP="00343885">
      <w:pPr>
        <w:pStyle w:val="BodyText"/>
        <w:rPr>
          <w:sz w:val="17"/>
        </w:rPr>
      </w:pPr>
      <w:r>
        <w:rPr>
          <w:color w:val="636466"/>
          <w:sz w:val="17"/>
        </w:rPr>
        <w:t xml:space="preserve">James </w:t>
      </w:r>
      <w:proofErr w:type="spellStart"/>
      <w:r>
        <w:rPr>
          <w:color w:val="636466"/>
          <w:sz w:val="17"/>
        </w:rPr>
        <w:t>Downie</w:t>
      </w:r>
      <w:proofErr w:type="spellEnd"/>
      <w:r>
        <w:rPr>
          <w:color w:val="636466"/>
          <w:sz w:val="17"/>
        </w:rPr>
        <w:t xml:space="preserve"> appointed IHPA Chief Executive Officer</w:t>
      </w:r>
    </w:p>
    <w:p w:rsidR="00D840DF" w:rsidRDefault="00961020" w:rsidP="00343885">
      <w:pPr>
        <w:pStyle w:val="BodyText"/>
        <w:rPr>
          <w:sz w:val="17"/>
        </w:rPr>
      </w:pPr>
      <w:r>
        <w:rPr>
          <w:color w:val="636466"/>
          <w:sz w:val="17"/>
        </w:rPr>
        <w:t xml:space="preserve">Consultation on </w:t>
      </w:r>
      <w:r>
        <w:rPr>
          <w:i/>
          <w:color w:val="636466"/>
          <w:sz w:val="17"/>
        </w:rPr>
        <w:t xml:space="preserve">Pricing Framework for Australian Public Hospital Services 2017–18 </w:t>
      </w:r>
      <w:r>
        <w:rPr>
          <w:color w:val="636466"/>
          <w:sz w:val="17"/>
        </w:rPr>
        <w:t>released Teaching, training and research costing study published</w:t>
      </w:r>
    </w:p>
    <w:p w:rsidR="00D840DF" w:rsidRDefault="00961020" w:rsidP="00343885">
      <w:pPr>
        <w:pStyle w:val="Heading4"/>
      </w:pPr>
      <w:r>
        <w:t>November</w:t>
      </w:r>
    </w:p>
    <w:p w:rsidR="00D840DF" w:rsidRDefault="00961020" w:rsidP="00343885">
      <w:pPr>
        <w:pStyle w:val="BodyText"/>
        <w:rPr>
          <w:sz w:val="17"/>
        </w:rPr>
      </w:pPr>
      <w:r>
        <w:rPr>
          <w:color w:val="636466"/>
          <w:sz w:val="17"/>
        </w:rPr>
        <w:t>Advice provided to COAG Health Council on options for pricing and funding for safety and quality National Hospital Cost Data Collection, Round</w:t>
      </w:r>
      <w:r w:rsidR="00E314B6">
        <w:rPr>
          <w:color w:val="636466"/>
          <w:sz w:val="17"/>
        </w:rPr>
        <w:t xml:space="preserve"> </w:t>
      </w:r>
      <w:r>
        <w:rPr>
          <w:color w:val="636466"/>
          <w:sz w:val="17"/>
        </w:rPr>
        <w:t>19</w:t>
      </w:r>
      <w:r w:rsidR="00E314B6">
        <w:rPr>
          <w:color w:val="636466"/>
          <w:sz w:val="17"/>
        </w:rPr>
        <w:t xml:space="preserve"> </w:t>
      </w:r>
      <w:proofErr w:type="spellStart"/>
      <w:r>
        <w:rPr>
          <w:color w:val="636466"/>
          <w:sz w:val="17"/>
        </w:rPr>
        <w:t>finalised</w:t>
      </w:r>
      <w:proofErr w:type="spellEnd"/>
    </w:p>
    <w:p w:rsidR="00D840DF" w:rsidRPr="00343885" w:rsidRDefault="00961020" w:rsidP="00343885">
      <w:pPr>
        <w:pStyle w:val="BodyText"/>
        <w:rPr>
          <w:sz w:val="17"/>
        </w:rPr>
      </w:pPr>
      <w:r>
        <w:rPr>
          <w:color w:val="636466"/>
          <w:sz w:val="17"/>
        </w:rPr>
        <w:t>Version 9.0 of the Australian Refined-Diagnosis Related Groups (AR-DRGs) released</w:t>
      </w:r>
    </w:p>
    <w:p w:rsidR="00D840DF" w:rsidRDefault="00961020" w:rsidP="00343885">
      <w:pPr>
        <w:pStyle w:val="Heading4"/>
      </w:pPr>
      <w:r>
        <w:t>February</w:t>
      </w:r>
    </w:p>
    <w:p w:rsidR="00D840DF" w:rsidRPr="00343885" w:rsidRDefault="00961020" w:rsidP="00343885">
      <w:pPr>
        <w:pStyle w:val="BodyText"/>
        <w:rPr>
          <w:sz w:val="17"/>
        </w:rPr>
      </w:pPr>
      <w:r>
        <w:rPr>
          <w:color w:val="636466"/>
          <w:sz w:val="17"/>
        </w:rPr>
        <w:t>Direction from Minister for Health to implement recommendations agreed by COAG Health Council for pricing and funding for safety and</w:t>
      </w:r>
      <w:r w:rsidR="00E314B6">
        <w:rPr>
          <w:color w:val="636466"/>
          <w:sz w:val="17"/>
        </w:rPr>
        <w:t xml:space="preserve"> </w:t>
      </w:r>
      <w:r>
        <w:rPr>
          <w:color w:val="636466"/>
          <w:sz w:val="17"/>
        </w:rPr>
        <w:t>quality</w:t>
      </w:r>
    </w:p>
    <w:p w:rsidR="00D840DF" w:rsidRDefault="00961020" w:rsidP="00343885">
      <w:pPr>
        <w:pStyle w:val="Heading4"/>
      </w:pPr>
      <w:r>
        <w:t>March</w:t>
      </w:r>
    </w:p>
    <w:p w:rsidR="00D840DF" w:rsidRDefault="00961020" w:rsidP="00343885">
      <w:pPr>
        <w:pStyle w:val="BodyText"/>
        <w:rPr>
          <w:sz w:val="17"/>
        </w:rPr>
      </w:pPr>
      <w:r>
        <w:rPr>
          <w:i/>
          <w:color w:val="636466"/>
          <w:sz w:val="17"/>
        </w:rPr>
        <w:t xml:space="preserve">Pricing Framework for Australian Public Hospitals 2017–18 </w:t>
      </w:r>
      <w:r>
        <w:rPr>
          <w:color w:val="636466"/>
          <w:sz w:val="17"/>
        </w:rPr>
        <w:t>published</w:t>
      </w:r>
    </w:p>
    <w:p w:rsidR="00D840DF" w:rsidRPr="00343885" w:rsidRDefault="00961020" w:rsidP="00343885">
      <w:pPr>
        <w:pStyle w:val="BodyText"/>
        <w:rPr>
          <w:sz w:val="17"/>
        </w:rPr>
      </w:pPr>
      <w:r>
        <w:rPr>
          <w:color w:val="636466"/>
          <w:sz w:val="17"/>
        </w:rPr>
        <w:t>National Efficient Price and National Efficient Cost Determinations for 2017–18 published</w:t>
      </w:r>
    </w:p>
    <w:p w:rsidR="00D840DF" w:rsidRDefault="00961020" w:rsidP="00343885">
      <w:pPr>
        <w:pStyle w:val="Heading4"/>
      </w:pPr>
      <w:r>
        <w:t>May</w:t>
      </w:r>
    </w:p>
    <w:p w:rsidR="00D840DF" w:rsidRPr="00343885" w:rsidRDefault="00961020" w:rsidP="00343885">
      <w:pPr>
        <w:pStyle w:val="BodyText"/>
        <w:rPr>
          <w:sz w:val="17"/>
        </w:rPr>
      </w:pPr>
      <w:r>
        <w:rPr>
          <w:color w:val="636466"/>
          <w:sz w:val="17"/>
        </w:rPr>
        <w:t>Consultation on Work Program 2017–18</w:t>
      </w:r>
    </w:p>
    <w:p w:rsidR="00D840DF" w:rsidRDefault="00961020" w:rsidP="00343885">
      <w:pPr>
        <w:pStyle w:val="Heading4"/>
      </w:pPr>
      <w:r>
        <w:t>June</w:t>
      </w:r>
    </w:p>
    <w:p w:rsidR="00D840DF" w:rsidRDefault="00961020" w:rsidP="00343885">
      <w:pPr>
        <w:pStyle w:val="BodyText"/>
        <w:rPr>
          <w:sz w:val="17"/>
        </w:rPr>
      </w:pPr>
      <w:r>
        <w:rPr>
          <w:color w:val="636466"/>
          <w:sz w:val="17"/>
        </w:rPr>
        <w:t>Three year data plan updated</w:t>
      </w:r>
    </w:p>
    <w:p w:rsidR="00D840DF" w:rsidRDefault="00961020" w:rsidP="00343885">
      <w:pPr>
        <w:pStyle w:val="BodyText"/>
        <w:rPr>
          <w:i/>
          <w:sz w:val="17"/>
        </w:rPr>
      </w:pPr>
      <w:r>
        <w:rPr>
          <w:color w:val="636466"/>
          <w:sz w:val="17"/>
        </w:rPr>
        <w:t xml:space="preserve">Publication of </w:t>
      </w:r>
      <w:r>
        <w:rPr>
          <w:i/>
          <w:color w:val="636466"/>
          <w:sz w:val="17"/>
        </w:rPr>
        <w:t>IHPA Work Program 2017–18</w:t>
      </w:r>
    </w:p>
    <w:p w:rsidR="00D840DF" w:rsidRDefault="00D840DF">
      <w:pPr>
        <w:rPr>
          <w:sz w:val="17"/>
        </w:rPr>
        <w:sectPr w:rsidR="00D840DF">
          <w:pgSz w:w="9980" w:h="14180"/>
          <w:pgMar w:top="1320" w:right="1320" w:bottom="280" w:left="1000" w:header="720" w:footer="720" w:gutter="0"/>
          <w:cols w:space="720"/>
        </w:sectPr>
      </w:pPr>
    </w:p>
    <w:p w:rsidR="00D840DF" w:rsidRDefault="00E14BA1" w:rsidP="00343885">
      <w:pPr>
        <w:pStyle w:val="Heading1"/>
      </w:pPr>
      <w:bookmarkStart w:id="58" w:name="_TOC_250000"/>
      <w:bookmarkStart w:id="59" w:name="_Toc496088488"/>
      <w:bookmarkEnd w:id="58"/>
      <w:r>
        <w:rPr>
          <w:noProof/>
        </w:rPr>
        <w:lastRenderedPageBreak/>
        <w:drawing>
          <wp:anchor distT="0" distB="0" distL="114300" distR="114300" simplePos="0" relativeHeight="251677184" behindDoc="1" locked="0" layoutInCell="1" allowOverlap="1">
            <wp:simplePos x="0" y="0"/>
            <wp:positionH relativeFrom="column">
              <wp:posOffset>66675</wp:posOffset>
            </wp:positionH>
            <wp:positionV relativeFrom="paragraph">
              <wp:posOffset>1366520</wp:posOffset>
            </wp:positionV>
            <wp:extent cx="492125" cy="436245"/>
            <wp:effectExtent l="0" t="0" r="3175" b="1905"/>
            <wp:wrapTight wrapText="bothSides">
              <wp:wrapPolygon edited="0">
                <wp:start x="0" y="0"/>
                <wp:lineTo x="0" y="20751"/>
                <wp:lineTo x="20903" y="20751"/>
                <wp:lineTo x="20903" y="0"/>
                <wp:lineTo x="0" y="0"/>
              </wp:wrapPolygon>
            </wp:wrapTight>
            <wp:docPr id="184" name="Picture 6" descr="Associate Professor Alasdair Ma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sociate Professor Alasdair MacDona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12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20">
        <w:t>04 Clinical Advisory Committee - Annual Report</w:t>
      </w:r>
      <w:bookmarkEnd w:id="59"/>
    </w:p>
    <w:p w:rsidR="00D840DF" w:rsidRDefault="00961020" w:rsidP="00343885">
      <w:pPr>
        <w:pStyle w:val="Heading2"/>
      </w:pPr>
      <w:bookmarkStart w:id="60" w:name="_Toc496088489"/>
      <w:r>
        <w:t xml:space="preserve">Letter </w:t>
      </w:r>
      <w:r>
        <w:rPr>
          <w:spacing w:val="-7"/>
        </w:rPr>
        <w:t>from</w:t>
      </w:r>
      <w:r>
        <w:rPr>
          <w:spacing w:val="-34"/>
        </w:rPr>
        <w:t xml:space="preserve"> </w:t>
      </w:r>
      <w:r>
        <w:rPr>
          <w:spacing w:val="-5"/>
        </w:rPr>
        <w:t>the</w:t>
      </w:r>
      <w:r>
        <w:rPr>
          <w:spacing w:val="-20"/>
        </w:rPr>
        <w:t xml:space="preserve"> </w:t>
      </w:r>
      <w:r>
        <w:t>Chair</w:t>
      </w:r>
      <w:bookmarkEnd w:id="60"/>
      <w:r>
        <w:tab/>
      </w:r>
    </w:p>
    <w:p w:rsidR="00D840DF" w:rsidRPr="00343885" w:rsidRDefault="00961020" w:rsidP="00343885">
      <w:pPr>
        <w:pStyle w:val="BodyText"/>
      </w:pPr>
      <w:r>
        <w:t>I am delighted to present the Clinical Advisory Committee’s (CAC) Annual Report for 2016– 17.</w:t>
      </w:r>
    </w:p>
    <w:p w:rsidR="00D840DF" w:rsidRPr="00343885" w:rsidRDefault="00961020" w:rsidP="00343885">
      <w:pPr>
        <w:pStyle w:val="BodyText"/>
      </w:pPr>
      <w:r>
        <w:rPr>
          <w:color w:val="636466"/>
        </w:rPr>
        <w:t xml:space="preserve">This year the CAC has continued to provide input into the </w:t>
      </w:r>
      <w:r>
        <w:rPr>
          <w:i/>
          <w:color w:val="636466"/>
        </w:rPr>
        <w:t xml:space="preserve">Pricing Framework for Australian Public Hospital Services </w:t>
      </w:r>
      <w:r>
        <w:rPr>
          <w:color w:val="636466"/>
        </w:rPr>
        <w:t>ensuring that IHPA continued to deliver a clinically relevant National Efficient Price and National Efficient Cost Determination for</w:t>
      </w:r>
      <w:r w:rsidR="00E314B6">
        <w:rPr>
          <w:color w:val="636466"/>
        </w:rPr>
        <w:t xml:space="preserve"> </w:t>
      </w:r>
      <w:r>
        <w:rPr>
          <w:color w:val="636466"/>
        </w:rPr>
        <w:t>2016–17.</w:t>
      </w:r>
    </w:p>
    <w:p w:rsidR="00D840DF" w:rsidRPr="00343885" w:rsidRDefault="00961020" w:rsidP="00343885">
      <w:pPr>
        <w:pStyle w:val="BodyText"/>
      </w:pPr>
      <w:r>
        <w:rPr>
          <w:color w:val="636466"/>
        </w:rPr>
        <w:t xml:space="preserve">The CAC played an important role in providing clinical input into the options for pricing and funding for safety and quality that IHPA presented to the COAG Health Council in November </w:t>
      </w:r>
      <w:r>
        <w:rPr>
          <w:color w:val="636466"/>
          <w:spacing w:val="-6"/>
        </w:rPr>
        <w:t xml:space="preserve">2016. </w:t>
      </w:r>
      <w:r>
        <w:rPr>
          <w:color w:val="636466"/>
        </w:rPr>
        <w:t>This</w:t>
      </w:r>
      <w:r w:rsidR="00E314B6">
        <w:rPr>
          <w:color w:val="636466"/>
        </w:rPr>
        <w:t xml:space="preserve"> </w:t>
      </w:r>
      <w:r>
        <w:rPr>
          <w:color w:val="636466"/>
        </w:rPr>
        <w:t xml:space="preserve">work included continued </w:t>
      </w:r>
      <w:r>
        <w:rPr>
          <w:color w:val="636466"/>
          <w:spacing w:val="2"/>
        </w:rPr>
        <w:t xml:space="preserve">participation </w:t>
      </w:r>
      <w:r>
        <w:rPr>
          <w:color w:val="636466"/>
        </w:rPr>
        <w:t xml:space="preserve">on </w:t>
      </w:r>
      <w:r>
        <w:rPr>
          <w:color w:val="636466"/>
          <w:spacing w:val="1"/>
        </w:rPr>
        <w:t xml:space="preserve">the </w:t>
      </w:r>
      <w:r>
        <w:rPr>
          <w:color w:val="636466"/>
        </w:rPr>
        <w:t xml:space="preserve">joint </w:t>
      </w:r>
      <w:r>
        <w:rPr>
          <w:color w:val="636466"/>
          <w:spacing w:val="1"/>
        </w:rPr>
        <w:t xml:space="preserve">working </w:t>
      </w:r>
      <w:r>
        <w:rPr>
          <w:color w:val="636466"/>
          <w:spacing w:val="3"/>
        </w:rPr>
        <w:t xml:space="preserve">party </w:t>
      </w:r>
      <w:r>
        <w:rPr>
          <w:color w:val="636466"/>
          <w:spacing w:val="2"/>
        </w:rPr>
        <w:t xml:space="preserve">with </w:t>
      </w:r>
      <w:r>
        <w:rPr>
          <w:color w:val="636466"/>
          <w:spacing w:val="1"/>
        </w:rPr>
        <w:t xml:space="preserve">the </w:t>
      </w:r>
      <w:r>
        <w:rPr>
          <w:color w:val="636466"/>
        </w:rPr>
        <w:t xml:space="preserve">Australian </w:t>
      </w:r>
      <w:r>
        <w:rPr>
          <w:color w:val="636466"/>
          <w:spacing w:val="1"/>
        </w:rPr>
        <w:t>Commission</w:t>
      </w:r>
      <w:r w:rsidR="00E314B6">
        <w:rPr>
          <w:color w:val="636466"/>
          <w:spacing w:val="1"/>
        </w:rPr>
        <w:t xml:space="preserve"> </w:t>
      </w:r>
      <w:r>
        <w:rPr>
          <w:color w:val="636466"/>
        </w:rPr>
        <w:t>for Safety and Quality in Health Care to refine work on hospital acquired complications and to look at ways in which data routinely generated in Australian public hospitals can be provided to clinical teams in hospitals to promote improvements to safety and</w:t>
      </w:r>
      <w:r w:rsidR="00E314B6">
        <w:rPr>
          <w:color w:val="636466"/>
        </w:rPr>
        <w:t xml:space="preserve"> </w:t>
      </w:r>
      <w:r>
        <w:rPr>
          <w:color w:val="636466"/>
        </w:rPr>
        <w:t>quality.</w:t>
      </w:r>
    </w:p>
    <w:p w:rsidR="00D840DF" w:rsidRPr="00343885" w:rsidRDefault="00961020" w:rsidP="00343885">
      <w:pPr>
        <w:pStyle w:val="BodyText"/>
      </w:pPr>
      <w:r>
        <w:rPr>
          <w:color w:val="636466"/>
        </w:rPr>
        <w:t>We continued to advise on the development of national classification systems for emergency care, teaching and training and mental health care as well as continued refinements to the classifications for acute admitted care with development of the Tenth Edition of the International Statistical Classification of Diseases and Related Health Problems, Tenth Revision, Australian Modification (ICD-10-AM) and the release of Version 9.0 of the Australian Refined-Diagnosis Related Groups (AR-DRGs).</w:t>
      </w:r>
    </w:p>
    <w:p w:rsidR="00D840DF" w:rsidRPr="00343885" w:rsidRDefault="00961020" w:rsidP="00343885">
      <w:pPr>
        <w:pStyle w:val="BodyText"/>
      </w:pPr>
      <w:r>
        <w:rPr>
          <w:color w:val="636466"/>
        </w:rPr>
        <w:t>The CAC also provided significant input into options for bundled pricing across different care settings for future years.</w:t>
      </w:r>
    </w:p>
    <w:p w:rsidR="00343885" w:rsidRDefault="00961020" w:rsidP="00343885">
      <w:pPr>
        <w:pStyle w:val="BodyText"/>
      </w:pPr>
      <w:r>
        <w:rPr>
          <w:color w:val="636466"/>
        </w:rPr>
        <w:t>I would like to thank my fellow CAC members for their contribution to the work outlined within this chapter. The CAC is a multidisciplinary group comprising experts in their areas that bring a great deal of high-level knowledge not only in relation to clinical practice, but also to funding.</w:t>
      </w:r>
      <w:bookmarkStart w:id="61" w:name="Letter_from_the_Chair_"/>
      <w:bookmarkStart w:id="62" w:name="_bookmark16"/>
      <w:bookmarkEnd w:id="61"/>
      <w:bookmarkEnd w:id="62"/>
    </w:p>
    <w:p w:rsidR="00D840DF" w:rsidRPr="00343885" w:rsidRDefault="00E14BA1" w:rsidP="00343885">
      <w:pPr>
        <w:pStyle w:val="BodyText"/>
      </w:pPr>
      <w:r>
        <w:rPr>
          <w:noProof/>
        </w:rPr>
        <w:drawing>
          <wp:anchor distT="0" distB="0" distL="0" distR="0" simplePos="0" relativeHeight="251628032" behindDoc="0" locked="0" layoutInCell="1" allowOverlap="1">
            <wp:simplePos x="0" y="0"/>
            <wp:positionH relativeFrom="page">
              <wp:posOffset>755015</wp:posOffset>
            </wp:positionH>
            <wp:positionV relativeFrom="paragraph">
              <wp:posOffset>622935</wp:posOffset>
            </wp:positionV>
            <wp:extent cx="1388110" cy="506095"/>
            <wp:effectExtent l="0" t="0" r="0" b="8255"/>
            <wp:wrapTopAndBottom/>
            <wp:docPr id="183" name="image20.png"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Signa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811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020">
        <w:rPr>
          <w:color w:val="636466"/>
        </w:rPr>
        <w:t>I would also like to acknowledge the Pricing Authority and the IHPA CEO and staff for successfully delivering its Work Program for 2016–17. I look forward to continuing to lead the work of the CAC for the coming year.</w:t>
      </w:r>
    </w:p>
    <w:p w:rsidR="00D840DF" w:rsidRPr="00343885" w:rsidRDefault="00961020">
      <w:pPr>
        <w:pStyle w:val="BodyText"/>
        <w:rPr>
          <w:b/>
          <w:color w:val="008F54"/>
        </w:rPr>
      </w:pPr>
      <w:r w:rsidRPr="00343885">
        <w:rPr>
          <w:b/>
          <w:color w:val="008F54"/>
        </w:rPr>
        <w:t>Associate</w:t>
      </w:r>
      <w:r w:rsidR="00E314B6">
        <w:rPr>
          <w:b/>
          <w:color w:val="008F54"/>
        </w:rPr>
        <w:t xml:space="preserve"> </w:t>
      </w:r>
      <w:r w:rsidRPr="00343885">
        <w:rPr>
          <w:b/>
          <w:color w:val="008F54"/>
        </w:rPr>
        <w:t>Professor</w:t>
      </w:r>
      <w:r w:rsidR="00E314B6">
        <w:rPr>
          <w:b/>
          <w:color w:val="008F54"/>
        </w:rPr>
        <w:t xml:space="preserve"> </w:t>
      </w:r>
      <w:r w:rsidRPr="00343885">
        <w:rPr>
          <w:b/>
          <w:color w:val="008F54"/>
        </w:rPr>
        <w:t>Alasdair MacDonald</w:t>
      </w:r>
      <w:r w:rsidR="00343885">
        <w:rPr>
          <w:b/>
          <w:color w:val="008F54"/>
        </w:rPr>
        <w:br/>
      </w:r>
      <w:r>
        <w:rPr>
          <w:color w:val="636466"/>
        </w:rPr>
        <w:t>Chair, Clinical Advisory Committee 2 October 2017</w:t>
      </w:r>
    </w:p>
    <w:p w:rsidR="00343885" w:rsidRDefault="00343885">
      <w:pPr>
        <w:rPr>
          <w:rFonts w:ascii="Futura PT Bold" w:eastAsia="Futura PT Bold" w:hAnsi="Futura PT Bold" w:cs="Futura PT Bold"/>
          <w:b/>
          <w:bCs/>
          <w:color w:val="008F54"/>
          <w:sz w:val="44"/>
          <w:szCs w:val="44"/>
        </w:rPr>
      </w:pPr>
      <w:r>
        <w:br w:type="page"/>
      </w:r>
    </w:p>
    <w:p w:rsidR="00D840DF" w:rsidRDefault="00961020" w:rsidP="00343885">
      <w:pPr>
        <w:pStyle w:val="Heading2"/>
      </w:pPr>
      <w:bookmarkStart w:id="63" w:name="_Toc496088490"/>
      <w:r>
        <w:lastRenderedPageBreak/>
        <w:t xml:space="preserve">About </w:t>
      </w:r>
      <w:r>
        <w:rPr>
          <w:spacing w:val="-5"/>
        </w:rPr>
        <w:t xml:space="preserve">the </w:t>
      </w:r>
      <w:r>
        <w:rPr>
          <w:spacing w:val="-7"/>
        </w:rPr>
        <w:t xml:space="preserve">Clinical </w:t>
      </w:r>
      <w:r>
        <w:t>Advisory Committee</w:t>
      </w:r>
      <w:bookmarkEnd w:id="63"/>
    </w:p>
    <w:p w:rsidR="00D840DF" w:rsidRPr="00343885" w:rsidRDefault="00961020" w:rsidP="00343885">
      <w:pPr>
        <w:pStyle w:val="BodyText"/>
      </w:pPr>
      <w:r>
        <w:t>The Clinical Advisory Committee (CAC) members provide high-level technical and clinical advice to the Pricing Authority on a range of issues such as Activity Based Funding and classification development and revision to guide IHPA policy development and inform the National Efficient Price and National Efficient Cost.</w:t>
      </w:r>
    </w:p>
    <w:p w:rsidR="00D840DF" w:rsidRPr="00343885" w:rsidRDefault="00961020" w:rsidP="00343885">
      <w:pPr>
        <w:pStyle w:val="BodyText"/>
      </w:pPr>
      <w:r>
        <w:rPr>
          <w:color w:val="636466"/>
        </w:rPr>
        <w:t xml:space="preserve">The CAC is a statutory committee established under Part 4.10 of the </w:t>
      </w:r>
      <w:r>
        <w:rPr>
          <w:i/>
          <w:color w:val="636466"/>
        </w:rPr>
        <w:t>National Health Reform Act 2011</w:t>
      </w:r>
      <w:r>
        <w:rPr>
          <w:color w:val="636466"/>
        </w:rPr>
        <w:t>.</w:t>
      </w:r>
    </w:p>
    <w:p w:rsidR="00D840DF" w:rsidRPr="00343885" w:rsidRDefault="00961020" w:rsidP="00343885">
      <w:pPr>
        <w:pStyle w:val="BodyText"/>
      </w:pPr>
      <w:r>
        <w:rPr>
          <w:color w:val="636466"/>
        </w:rPr>
        <w:t>The functions of the CAC are described in s 177:</w:t>
      </w:r>
    </w:p>
    <w:p w:rsidR="00D840DF" w:rsidRDefault="00961020">
      <w:pPr>
        <w:pStyle w:val="ListParagraph"/>
        <w:numPr>
          <w:ilvl w:val="0"/>
          <w:numId w:val="21"/>
        </w:numPr>
        <w:tabs>
          <w:tab w:val="left" w:pos="381"/>
        </w:tabs>
        <w:spacing w:line="256" w:lineRule="auto"/>
        <w:ind w:right="213"/>
        <w:rPr>
          <w:sz w:val="19"/>
        </w:rPr>
      </w:pPr>
      <w:r>
        <w:rPr>
          <w:color w:val="636466"/>
          <w:sz w:val="19"/>
        </w:rPr>
        <w:t>to advise the Pricing Authority in relation to developing and specifying classification systems for health care and other services provided by public</w:t>
      </w:r>
      <w:r w:rsidR="00E314B6">
        <w:rPr>
          <w:color w:val="636466"/>
          <w:sz w:val="19"/>
        </w:rPr>
        <w:t xml:space="preserve"> </w:t>
      </w:r>
      <w:r>
        <w:rPr>
          <w:color w:val="636466"/>
          <w:sz w:val="19"/>
        </w:rPr>
        <w:t>hospitals;</w:t>
      </w:r>
    </w:p>
    <w:p w:rsidR="00D840DF" w:rsidRDefault="00961020">
      <w:pPr>
        <w:pStyle w:val="ListParagraph"/>
        <w:numPr>
          <w:ilvl w:val="0"/>
          <w:numId w:val="21"/>
        </w:numPr>
        <w:tabs>
          <w:tab w:val="left" w:pos="381"/>
        </w:tabs>
        <w:spacing w:before="112"/>
        <w:rPr>
          <w:sz w:val="19"/>
        </w:rPr>
      </w:pPr>
      <w:r>
        <w:rPr>
          <w:color w:val="636466"/>
          <w:sz w:val="19"/>
        </w:rPr>
        <w:t>to</w:t>
      </w:r>
      <w:r>
        <w:rPr>
          <w:color w:val="636466"/>
          <w:spacing w:val="7"/>
          <w:sz w:val="19"/>
        </w:rPr>
        <w:t xml:space="preserve"> </w:t>
      </w:r>
      <w:r>
        <w:rPr>
          <w:color w:val="636466"/>
          <w:sz w:val="19"/>
        </w:rPr>
        <w:t>advise</w:t>
      </w:r>
      <w:r>
        <w:rPr>
          <w:color w:val="636466"/>
          <w:spacing w:val="7"/>
          <w:sz w:val="19"/>
        </w:rPr>
        <w:t xml:space="preserve"> </w:t>
      </w:r>
      <w:r>
        <w:rPr>
          <w:color w:val="636466"/>
          <w:sz w:val="19"/>
        </w:rPr>
        <w:t>the</w:t>
      </w:r>
      <w:r>
        <w:rPr>
          <w:color w:val="636466"/>
          <w:spacing w:val="7"/>
          <w:sz w:val="19"/>
        </w:rPr>
        <w:t xml:space="preserve"> </w:t>
      </w:r>
      <w:r>
        <w:rPr>
          <w:color w:val="636466"/>
          <w:sz w:val="19"/>
        </w:rPr>
        <w:t>Pricing</w:t>
      </w:r>
      <w:r>
        <w:rPr>
          <w:color w:val="636466"/>
          <w:spacing w:val="7"/>
          <w:sz w:val="19"/>
        </w:rPr>
        <w:t xml:space="preserve"> </w:t>
      </w:r>
      <w:r>
        <w:rPr>
          <w:color w:val="636466"/>
          <w:sz w:val="19"/>
        </w:rPr>
        <w:t>Authority</w:t>
      </w:r>
      <w:r>
        <w:rPr>
          <w:color w:val="636466"/>
          <w:spacing w:val="7"/>
          <w:sz w:val="19"/>
        </w:rPr>
        <w:t xml:space="preserve"> </w:t>
      </w:r>
      <w:r>
        <w:rPr>
          <w:color w:val="636466"/>
          <w:sz w:val="19"/>
        </w:rPr>
        <w:t>in</w:t>
      </w:r>
      <w:r>
        <w:rPr>
          <w:color w:val="636466"/>
          <w:spacing w:val="7"/>
          <w:sz w:val="19"/>
        </w:rPr>
        <w:t xml:space="preserve"> </w:t>
      </w:r>
      <w:r>
        <w:rPr>
          <w:color w:val="636466"/>
          <w:sz w:val="19"/>
        </w:rPr>
        <w:t>relation</w:t>
      </w:r>
      <w:r>
        <w:rPr>
          <w:color w:val="636466"/>
          <w:spacing w:val="7"/>
          <w:sz w:val="19"/>
        </w:rPr>
        <w:t xml:space="preserve"> </w:t>
      </w:r>
      <w:r>
        <w:rPr>
          <w:color w:val="636466"/>
          <w:sz w:val="19"/>
        </w:rPr>
        <w:t>to</w:t>
      </w:r>
      <w:r>
        <w:rPr>
          <w:color w:val="636466"/>
          <w:spacing w:val="7"/>
          <w:sz w:val="19"/>
        </w:rPr>
        <w:t xml:space="preserve"> </w:t>
      </w:r>
      <w:r>
        <w:rPr>
          <w:color w:val="636466"/>
          <w:sz w:val="19"/>
        </w:rPr>
        <w:t>matters</w:t>
      </w:r>
      <w:r>
        <w:rPr>
          <w:color w:val="636466"/>
          <w:spacing w:val="7"/>
          <w:sz w:val="19"/>
        </w:rPr>
        <w:t xml:space="preserve"> </w:t>
      </w:r>
      <w:r>
        <w:rPr>
          <w:color w:val="636466"/>
          <w:sz w:val="19"/>
        </w:rPr>
        <w:t>that:</w:t>
      </w:r>
    </w:p>
    <w:p w:rsidR="00D840DF" w:rsidRDefault="00961020">
      <w:pPr>
        <w:pStyle w:val="ListParagraph"/>
        <w:numPr>
          <w:ilvl w:val="1"/>
          <w:numId w:val="21"/>
        </w:numPr>
        <w:tabs>
          <w:tab w:val="left" w:pos="607"/>
        </w:tabs>
        <w:ind w:hanging="226"/>
        <w:rPr>
          <w:sz w:val="19"/>
        </w:rPr>
      </w:pPr>
      <w:r>
        <w:rPr>
          <w:color w:val="636466"/>
          <w:sz w:val="19"/>
        </w:rPr>
        <w:t>relate</w:t>
      </w:r>
      <w:r>
        <w:rPr>
          <w:color w:val="636466"/>
          <w:spacing w:val="7"/>
          <w:sz w:val="19"/>
        </w:rPr>
        <w:t xml:space="preserve"> </w:t>
      </w:r>
      <w:r>
        <w:rPr>
          <w:color w:val="636466"/>
          <w:sz w:val="19"/>
        </w:rPr>
        <w:t>to</w:t>
      </w:r>
      <w:r>
        <w:rPr>
          <w:color w:val="636466"/>
          <w:spacing w:val="7"/>
          <w:sz w:val="19"/>
        </w:rPr>
        <w:t xml:space="preserve"> </w:t>
      </w:r>
      <w:r>
        <w:rPr>
          <w:color w:val="636466"/>
          <w:sz w:val="19"/>
        </w:rPr>
        <w:t>the</w:t>
      </w:r>
      <w:r>
        <w:rPr>
          <w:color w:val="636466"/>
          <w:spacing w:val="7"/>
          <w:sz w:val="19"/>
        </w:rPr>
        <w:t xml:space="preserve"> </w:t>
      </w:r>
      <w:r>
        <w:rPr>
          <w:color w:val="636466"/>
          <w:sz w:val="19"/>
        </w:rPr>
        <w:t>functions</w:t>
      </w:r>
      <w:r>
        <w:rPr>
          <w:color w:val="636466"/>
          <w:spacing w:val="7"/>
          <w:sz w:val="19"/>
        </w:rPr>
        <w:t xml:space="preserve"> </w:t>
      </w:r>
      <w:r>
        <w:rPr>
          <w:color w:val="636466"/>
          <w:sz w:val="19"/>
        </w:rPr>
        <w:t>of</w:t>
      </w:r>
      <w:r>
        <w:rPr>
          <w:color w:val="636466"/>
          <w:spacing w:val="7"/>
          <w:sz w:val="19"/>
        </w:rPr>
        <w:t xml:space="preserve"> </w:t>
      </w:r>
      <w:r>
        <w:rPr>
          <w:color w:val="636466"/>
          <w:sz w:val="19"/>
        </w:rPr>
        <w:t>the</w:t>
      </w:r>
      <w:r>
        <w:rPr>
          <w:color w:val="636466"/>
          <w:spacing w:val="7"/>
          <w:sz w:val="19"/>
        </w:rPr>
        <w:t xml:space="preserve"> </w:t>
      </w:r>
      <w:r>
        <w:rPr>
          <w:color w:val="636466"/>
          <w:sz w:val="19"/>
        </w:rPr>
        <w:t>Pricing</w:t>
      </w:r>
      <w:r>
        <w:rPr>
          <w:color w:val="636466"/>
          <w:spacing w:val="7"/>
          <w:sz w:val="19"/>
        </w:rPr>
        <w:t xml:space="preserve"> </w:t>
      </w:r>
      <w:r>
        <w:rPr>
          <w:color w:val="636466"/>
          <w:sz w:val="19"/>
        </w:rPr>
        <w:t>Authority;</w:t>
      </w:r>
      <w:r>
        <w:rPr>
          <w:color w:val="636466"/>
          <w:spacing w:val="7"/>
          <w:sz w:val="19"/>
        </w:rPr>
        <w:t xml:space="preserve"> </w:t>
      </w:r>
      <w:r>
        <w:rPr>
          <w:color w:val="636466"/>
          <w:sz w:val="19"/>
        </w:rPr>
        <w:t>and</w:t>
      </w:r>
    </w:p>
    <w:p w:rsidR="00D840DF" w:rsidRDefault="00961020">
      <w:pPr>
        <w:pStyle w:val="ListParagraph"/>
        <w:numPr>
          <w:ilvl w:val="1"/>
          <w:numId w:val="21"/>
        </w:numPr>
        <w:tabs>
          <w:tab w:val="left" w:pos="607"/>
        </w:tabs>
        <w:ind w:hanging="226"/>
        <w:rPr>
          <w:sz w:val="19"/>
        </w:rPr>
      </w:pPr>
      <w:r>
        <w:rPr>
          <w:color w:val="636466"/>
          <w:sz w:val="19"/>
        </w:rPr>
        <w:t>are</w:t>
      </w:r>
      <w:r>
        <w:rPr>
          <w:color w:val="636466"/>
          <w:spacing w:val="8"/>
          <w:sz w:val="19"/>
        </w:rPr>
        <w:t xml:space="preserve"> </w:t>
      </w:r>
      <w:r>
        <w:rPr>
          <w:color w:val="636466"/>
          <w:sz w:val="19"/>
        </w:rPr>
        <w:t>referred</w:t>
      </w:r>
      <w:r>
        <w:rPr>
          <w:color w:val="636466"/>
          <w:spacing w:val="8"/>
          <w:sz w:val="19"/>
        </w:rPr>
        <w:t xml:space="preserve"> </w:t>
      </w:r>
      <w:r>
        <w:rPr>
          <w:color w:val="636466"/>
          <w:sz w:val="19"/>
        </w:rPr>
        <w:t>to</w:t>
      </w:r>
      <w:r>
        <w:rPr>
          <w:color w:val="636466"/>
          <w:spacing w:val="8"/>
          <w:sz w:val="19"/>
        </w:rPr>
        <w:t xml:space="preserve"> </w:t>
      </w:r>
      <w:r>
        <w:rPr>
          <w:color w:val="636466"/>
          <w:sz w:val="19"/>
        </w:rPr>
        <w:t>the</w:t>
      </w:r>
      <w:r>
        <w:rPr>
          <w:color w:val="636466"/>
          <w:spacing w:val="8"/>
          <w:sz w:val="19"/>
        </w:rPr>
        <w:t xml:space="preserve"> </w:t>
      </w:r>
      <w:r>
        <w:rPr>
          <w:color w:val="636466"/>
          <w:sz w:val="19"/>
        </w:rPr>
        <w:t>Clinical</w:t>
      </w:r>
      <w:r>
        <w:rPr>
          <w:color w:val="636466"/>
          <w:spacing w:val="8"/>
          <w:sz w:val="19"/>
        </w:rPr>
        <w:t xml:space="preserve"> </w:t>
      </w:r>
      <w:r>
        <w:rPr>
          <w:color w:val="636466"/>
          <w:sz w:val="19"/>
        </w:rPr>
        <w:t>Advisory</w:t>
      </w:r>
      <w:r>
        <w:rPr>
          <w:color w:val="636466"/>
          <w:spacing w:val="8"/>
          <w:sz w:val="19"/>
        </w:rPr>
        <w:t xml:space="preserve"> </w:t>
      </w:r>
      <w:r>
        <w:rPr>
          <w:color w:val="636466"/>
          <w:sz w:val="19"/>
        </w:rPr>
        <w:t>Committee</w:t>
      </w:r>
      <w:r>
        <w:rPr>
          <w:color w:val="636466"/>
          <w:spacing w:val="8"/>
          <w:sz w:val="19"/>
        </w:rPr>
        <w:t xml:space="preserve"> </w:t>
      </w:r>
      <w:r>
        <w:rPr>
          <w:color w:val="636466"/>
          <w:sz w:val="19"/>
        </w:rPr>
        <w:t>by</w:t>
      </w:r>
      <w:r>
        <w:rPr>
          <w:color w:val="636466"/>
          <w:spacing w:val="8"/>
          <w:sz w:val="19"/>
        </w:rPr>
        <w:t xml:space="preserve"> </w:t>
      </w:r>
      <w:r>
        <w:rPr>
          <w:color w:val="636466"/>
          <w:sz w:val="19"/>
        </w:rPr>
        <w:t>the</w:t>
      </w:r>
      <w:r>
        <w:rPr>
          <w:color w:val="636466"/>
          <w:spacing w:val="8"/>
          <w:sz w:val="19"/>
        </w:rPr>
        <w:t xml:space="preserve"> </w:t>
      </w:r>
      <w:r>
        <w:rPr>
          <w:color w:val="636466"/>
          <w:sz w:val="19"/>
        </w:rPr>
        <w:t>Pricing</w:t>
      </w:r>
      <w:r>
        <w:rPr>
          <w:color w:val="636466"/>
          <w:spacing w:val="8"/>
          <w:sz w:val="19"/>
        </w:rPr>
        <w:t xml:space="preserve"> </w:t>
      </w:r>
      <w:r>
        <w:rPr>
          <w:color w:val="636466"/>
          <w:sz w:val="19"/>
        </w:rPr>
        <w:t>Authority;</w:t>
      </w:r>
    </w:p>
    <w:p w:rsidR="00D840DF" w:rsidRDefault="00961020">
      <w:pPr>
        <w:pStyle w:val="ListParagraph"/>
        <w:numPr>
          <w:ilvl w:val="0"/>
          <w:numId w:val="21"/>
        </w:numPr>
        <w:tabs>
          <w:tab w:val="left" w:pos="381"/>
        </w:tabs>
        <w:rPr>
          <w:sz w:val="19"/>
        </w:rPr>
      </w:pPr>
      <w:proofErr w:type="gramStart"/>
      <w:r>
        <w:rPr>
          <w:color w:val="636466"/>
          <w:sz w:val="19"/>
        </w:rPr>
        <w:t>to</w:t>
      </w:r>
      <w:proofErr w:type="gramEnd"/>
      <w:r>
        <w:rPr>
          <w:color w:val="636466"/>
          <w:spacing w:val="5"/>
          <w:sz w:val="19"/>
        </w:rPr>
        <w:t xml:space="preserve"> </w:t>
      </w:r>
      <w:r>
        <w:rPr>
          <w:color w:val="636466"/>
          <w:sz w:val="19"/>
        </w:rPr>
        <w:t>do</w:t>
      </w:r>
      <w:r>
        <w:rPr>
          <w:color w:val="636466"/>
          <w:spacing w:val="5"/>
          <w:sz w:val="19"/>
        </w:rPr>
        <w:t xml:space="preserve"> </w:t>
      </w:r>
      <w:r>
        <w:rPr>
          <w:color w:val="636466"/>
          <w:sz w:val="19"/>
        </w:rPr>
        <w:t>anything</w:t>
      </w:r>
      <w:r>
        <w:rPr>
          <w:color w:val="636466"/>
          <w:spacing w:val="5"/>
          <w:sz w:val="19"/>
        </w:rPr>
        <w:t xml:space="preserve"> </w:t>
      </w:r>
      <w:r>
        <w:rPr>
          <w:color w:val="636466"/>
          <w:sz w:val="19"/>
        </w:rPr>
        <w:t>incidental</w:t>
      </w:r>
      <w:r>
        <w:rPr>
          <w:color w:val="636466"/>
          <w:spacing w:val="5"/>
          <w:sz w:val="19"/>
        </w:rPr>
        <w:t xml:space="preserve"> </w:t>
      </w:r>
      <w:r>
        <w:rPr>
          <w:color w:val="636466"/>
          <w:sz w:val="19"/>
        </w:rPr>
        <w:t>to</w:t>
      </w:r>
      <w:r>
        <w:rPr>
          <w:color w:val="636466"/>
          <w:spacing w:val="5"/>
          <w:sz w:val="19"/>
        </w:rPr>
        <w:t xml:space="preserve"> </w:t>
      </w:r>
      <w:r>
        <w:rPr>
          <w:color w:val="636466"/>
          <w:sz w:val="19"/>
        </w:rPr>
        <w:t>or</w:t>
      </w:r>
      <w:r>
        <w:rPr>
          <w:color w:val="636466"/>
          <w:spacing w:val="5"/>
          <w:sz w:val="19"/>
        </w:rPr>
        <w:t xml:space="preserve"> </w:t>
      </w:r>
      <w:r>
        <w:rPr>
          <w:color w:val="636466"/>
          <w:sz w:val="19"/>
        </w:rPr>
        <w:t>conducive</w:t>
      </w:r>
      <w:r>
        <w:rPr>
          <w:color w:val="636466"/>
          <w:spacing w:val="5"/>
          <w:sz w:val="19"/>
        </w:rPr>
        <w:t xml:space="preserve"> </w:t>
      </w:r>
      <w:r>
        <w:rPr>
          <w:color w:val="636466"/>
          <w:sz w:val="19"/>
        </w:rPr>
        <w:t>to</w:t>
      </w:r>
      <w:r>
        <w:rPr>
          <w:color w:val="636466"/>
          <w:spacing w:val="5"/>
          <w:sz w:val="19"/>
        </w:rPr>
        <w:t xml:space="preserve"> </w:t>
      </w:r>
      <w:r>
        <w:rPr>
          <w:color w:val="636466"/>
          <w:sz w:val="19"/>
        </w:rPr>
        <w:t>the</w:t>
      </w:r>
      <w:r>
        <w:rPr>
          <w:color w:val="636466"/>
          <w:spacing w:val="5"/>
          <w:sz w:val="19"/>
        </w:rPr>
        <w:t xml:space="preserve"> </w:t>
      </w:r>
      <w:r>
        <w:rPr>
          <w:color w:val="636466"/>
          <w:sz w:val="19"/>
        </w:rPr>
        <w:t>performance</w:t>
      </w:r>
      <w:r>
        <w:rPr>
          <w:color w:val="636466"/>
          <w:spacing w:val="5"/>
          <w:sz w:val="19"/>
        </w:rPr>
        <w:t xml:space="preserve"> </w:t>
      </w:r>
      <w:r>
        <w:rPr>
          <w:color w:val="636466"/>
          <w:sz w:val="19"/>
        </w:rPr>
        <w:t>of</w:t>
      </w:r>
      <w:r>
        <w:rPr>
          <w:color w:val="636466"/>
          <w:spacing w:val="5"/>
          <w:sz w:val="19"/>
        </w:rPr>
        <w:t xml:space="preserve"> </w:t>
      </w:r>
      <w:r>
        <w:rPr>
          <w:color w:val="636466"/>
          <w:sz w:val="19"/>
        </w:rPr>
        <w:t>the</w:t>
      </w:r>
      <w:r>
        <w:rPr>
          <w:color w:val="636466"/>
          <w:spacing w:val="5"/>
          <w:sz w:val="19"/>
        </w:rPr>
        <w:t xml:space="preserve"> </w:t>
      </w:r>
      <w:r>
        <w:rPr>
          <w:color w:val="636466"/>
          <w:sz w:val="19"/>
        </w:rPr>
        <w:t>above</w:t>
      </w:r>
      <w:r>
        <w:rPr>
          <w:color w:val="636466"/>
          <w:spacing w:val="5"/>
          <w:sz w:val="19"/>
        </w:rPr>
        <w:t xml:space="preserve"> </w:t>
      </w:r>
      <w:r>
        <w:rPr>
          <w:color w:val="636466"/>
          <w:sz w:val="19"/>
        </w:rPr>
        <w:t>functions.</w:t>
      </w:r>
    </w:p>
    <w:p w:rsidR="00D840DF" w:rsidRPr="00343885" w:rsidRDefault="00961020" w:rsidP="00343885">
      <w:pPr>
        <w:pStyle w:val="BodyText"/>
      </w:pPr>
      <w:r>
        <w:t xml:space="preserve">The members of the CAC were appointed by the Australian Government Minister for Health and are drawn from </w:t>
      </w:r>
      <w:r w:rsidRPr="00343885">
        <w:t>a range of clinical specialties and backgrounds to ensure the CAC represents a wide range of clinical expertise.</w:t>
      </w:r>
    </w:p>
    <w:p w:rsidR="00D840DF" w:rsidRPr="00343885" w:rsidRDefault="00961020" w:rsidP="00343885">
      <w:pPr>
        <w:pStyle w:val="BodyText"/>
      </w:pPr>
      <w:r w:rsidRPr="00343885">
        <w:t xml:space="preserve">Appointments are based on individual expertise rather than as a representative of an </w:t>
      </w:r>
      <w:proofErr w:type="spellStart"/>
      <w:r w:rsidRPr="00343885">
        <w:t>organisation</w:t>
      </w:r>
      <w:proofErr w:type="spellEnd"/>
      <w:r w:rsidRPr="00343885">
        <w:t>, peak body or jurisdiction. Remuneration is determined by the Remuneration Tribunal.</w:t>
      </w:r>
    </w:p>
    <w:p w:rsidR="00D840DF" w:rsidRPr="00343885" w:rsidRDefault="00961020">
      <w:pPr>
        <w:pStyle w:val="BodyText"/>
      </w:pPr>
      <w:bookmarkStart w:id="64" w:name="About_the_Clinical_Advisory_Committee"/>
      <w:bookmarkStart w:id="65" w:name="Membership"/>
      <w:bookmarkStart w:id="66" w:name="_bookmark17"/>
      <w:bookmarkEnd w:id="64"/>
      <w:bookmarkEnd w:id="65"/>
      <w:bookmarkEnd w:id="66"/>
      <w:r w:rsidRPr="00343885">
        <w:t>The Chair of the CAC, Associate Professor Alasdair MacDonald, reports to the Australian Government</w:t>
      </w:r>
      <w:r>
        <w:rPr>
          <w:color w:val="636466"/>
        </w:rPr>
        <w:t xml:space="preserve"> Minister for Health and is supported by IHPA staff.</w:t>
      </w:r>
    </w:p>
    <w:p w:rsidR="00D840DF" w:rsidRDefault="00961020" w:rsidP="00343885">
      <w:pPr>
        <w:pStyle w:val="Heading3"/>
      </w:pPr>
      <w:r>
        <w:t>Membership</w:t>
      </w:r>
    </w:p>
    <w:p w:rsidR="00D840DF" w:rsidRDefault="00961020" w:rsidP="00343885">
      <w:pPr>
        <w:pStyle w:val="BodyText"/>
      </w:pPr>
      <w:r>
        <w:t>Members are appointed by the Australian Government Minister for Health and are drawn from a range of clinical specialties and backgrounds to ensure the CAC represents a wide range of clinical expertise.</w:t>
      </w:r>
    </w:p>
    <w:p w:rsidR="00D840DF" w:rsidRDefault="00D840DF">
      <w:pPr>
        <w:spacing w:line="256" w:lineRule="auto"/>
        <w:sectPr w:rsidR="00D840DF">
          <w:pgSz w:w="9980" w:h="14180"/>
          <w:pgMar w:top="1320" w:right="1320" w:bottom="280" w:left="1200" w:header="720" w:footer="720" w:gutter="0"/>
          <w:cols w:space="720"/>
        </w:sectPr>
      </w:pPr>
    </w:p>
    <w:p w:rsidR="00D840DF" w:rsidRPr="00343885" w:rsidRDefault="00961020" w:rsidP="00343885">
      <w:pPr>
        <w:pStyle w:val="Heading4"/>
      </w:pPr>
      <w:bookmarkStart w:id="67" w:name="_bookmark18"/>
      <w:bookmarkStart w:id="68" w:name="_Table_2:_Membership"/>
      <w:bookmarkEnd w:id="67"/>
      <w:bookmarkEnd w:id="68"/>
      <w:r>
        <w:lastRenderedPageBreak/>
        <w:t>Table 2: Membership and meetings of the CAC in</w:t>
      </w:r>
      <w:r w:rsidR="00E314B6">
        <w:t xml:space="preserve"> </w:t>
      </w:r>
      <w:r>
        <w:t>2016–17</w:t>
      </w:r>
    </w:p>
    <w:tbl>
      <w:tblPr>
        <w:tblW w:w="0" w:type="auto"/>
        <w:tblInd w:w="113" w:type="dxa"/>
        <w:tblLayout w:type="fixed"/>
        <w:tblCellMar>
          <w:left w:w="0" w:type="dxa"/>
          <w:right w:w="0" w:type="dxa"/>
        </w:tblCellMar>
        <w:tblLook w:val="01E0" w:firstRow="1" w:lastRow="1" w:firstColumn="1" w:lastColumn="1" w:noHBand="0" w:noVBand="0"/>
      </w:tblPr>
      <w:tblGrid>
        <w:gridCol w:w="2375"/>
        <w:gridCol w:w="858"/>
        <w:gridCol w:w="2522"/>
        <w:gridCol w:w="923"/>
        <w:gridCol w:w="935"/>
      </w:tblGrid>
      <w:tr w:rsidR="00D840DF">
        <w:trPr>
          <w:trHeight w:val="480"/>
        </w:trPr>
        <w:tc>
          <w:tcPr>
            <w:tcW w:w="2375" w:type="dxa"/>
            <w:shd w:val="clear" w:color="auto" w:fill="008F54"/>
          </w:tcPr>
          <w:p w:rsidR="00D840DF" w:rsidRDefault="00961020">
            <w:pPr>
              <w:pStyle w:val="TableParagraph"/>
              <w:spacing w:before="131"/>
              <w:ind w:left="113"/>
              <w:rPr>
                <w:rFonts w:ascii="Futura PT Demi"/>
                <w:sz w:val="17"/>
              </w:rPr>
            </w:pPr>
            <w:r>
              <w:rPr>
                <w:rFonts w:ascii="Futura PT Demi"/>
                <w:color w:val="FFFFFF"/>
                <w:sz w:val="17"/>
              </w:rPr>
              <w:t>Name</w:t>
            </w:r>
          </w:p>
        </w:tc>
        <w:tc>
          <w:tcPr>
            <w:tcW w:w="858" w:type="dxa"/>
            <w:shd w:val="clear" w:color="auto" w:fill="008F54"/>
          </w:tcPr>
          <w:p w:rsidR="00D840DF" w:rsidRDefault="00961020">
            <w:pPr>
              <w:pStyle w:val="TableParagraph"/>
              <w:spacing w:before="131"/>
              <w:ind w:left="121"/>
              <w:rPr>
                <w:rFonts w:ascii="Futura PT Demi"/>
                <w:sz w:val="17"/>
              </w:rPr>
            </w:pPr>
            <w:r>
              <w:rPr>
                <w:rFonts w:ascii="Futura PT Demi"/>
                <w:color w:val="FFFFFF"/>
                <w:sz w:val="17"/>
              </w:rPr>
              <w:t>Position</w:t>
            </w:r>
          </w:p>
        </w:tc>
        <w:tc>
          <w:tcPr>
            <w:tcW w:w="2522" w:type="dxa"/>
            <w:shd w:val="clear" w:color="auto" w:fill="008F54"/>
          </w:tcPr>
          <w:p w:rsidR="00D840DF" w:rsidRDefault="00961020">
            <w:pPr>
              <w:pStyle w:val="TableParagraph"/>
              <w:spacing w:before="131"/>
              <w:ind w:left="136"/>
              <w:rPr>
                <w:rFonts w:ascii="Futura PT Demi"/>
                <w:sz w:val="17"/>
              </w:rPr>
            </w:pPr>
            <w:r>
              <w:rPr>
                <w:rFonts w:ascii="Futura PT Demi"/>
                <w:color w:val="FFFFFF"/>
                <w:sz w:val="17"/>
              </w:rPr>
              <w:t>Specialty</w:t>
            </w:r>
          </w:p>
        </w:tc>
        <w:tc>
          <w:tcPr>
            <w:tcW w:w="923" w:type="dxa"/>
            <w:shd w:val="clear" w:color="auto" w:fill="008F54"/>
          </w:tcPr>
          <w:p w:rsidR="00D840DF" w:rsidRDefault="00961020">
            <w:pPr>
              <w:pStyle w:val="TableParagraph"/>
              <w:spacing w:before="48" w:line="220" w:lineRule="auto"/>
              <w:ind w:left="178" w:hanging="68"/>
              <w:rPr>
                <w:rFonts w:ascii="Futura PT Demi"/>
                <w:sz w:val="17"/>
              </w:rPr>
            </w:pPr>
            <w:r>
              <w:rPr>
                <w:rFonts w:ascii="Futura PT Demi"/>
                <w:color w:val="FFFFFF"/>
                <w:sz w:val="17"/>
              </w:rPr>
              <w:t>Meetings eligible</w:t>
            </w:r>
          </w:p>
        </w:tc>
        <w:tc>
          <w:tcPr>
            <w:tcW w:w="935" w:type="dxa"/>
            <w:shd w:val="clear" w:color="auto" w:fill="008F54"/>
          </w:tcPr>
          <w:p w:rsidR="00D840DF" w:rsidRDefault="00961020">
            <w:pPr>
              <w:pStyle w:val="TableParagraph"/>
              <w:spacing w:before="48" w:line="220" w:lineRule="auto"/>
              <w:ind w:left="129" w:hanging="6"/>
              <w:rPr>
                <w:rFonts w:ascii="Futura PT Demi"/>
                <w:sz w:val="17"/>
              </w:rPr>
            </w:pPr>
            <w:r>
              <w:rPr>
                <w:rFonts w:ascii="Futura PT Demi"/>
                <w:color w:val="FFFFFF"/>
                <w:sz w:val="17"/>
              </w:rPr>
              <w:t>Meetings attended</w:t>
            </w:r>
          </w:p>
        </w:tc>
      </w:tr>
      <w:tr w:rsidR="00D840DF">
        <w:trPr>
          <w:trHeight w:val="320"/>
        </w:trPr>
        <w:tc>
          <w:tcPr>
            <w:tcW w:w="2375" w:type="dxa"/>
            <w:tcBorders>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A/Prof.</w:t>
            </w:r>
            <w:r w:rsidR="00E314B6">
              <w:rPr>
                <w:rFonts w:ascii="Futura PT Heavy"/>
                <w:b/>
                <w:color w:val="636466"/>
                <w:sz w:val="16"/>
              </w:rPr>
              <w:t xml:space="preserve"> </w:t>
            </w:r>
            <w:r>
              <w:rPr>
                <w:rFonts w:ascii="Futura PT Heavy"/>
                <w:b/>
                <w:color w:val="636466"/>
                <w:sz w:val="16"/>
              </w:rPr>
              <w:t>Alasdair MacDonald</w:t>
            </w:r>
          </w:p>
        </w:tc>
        <w:tc>
          <w:tcPr>
            <w:tcW w:w="858" w:type="dxa"/>
            <w:tcBorders>
              <w:bottom w:val="single" w:sz="4" w:space="0" w:color="C7C8CA"/>
            </w:tcBorders>
          </w:tcPr>
          <w:p w:rsidR="00D840DF" w:rsidRDefault="00961020">
            <w:pPr>
              <w:pStyle w:val="TableParagraph"/>
              <w:ind w:left="121"/>
              <w:rPr>
                <w:sz w:val="16"/>
              </w:rPr>
            </w:pPr>
            <w:r>
              <w:rPr>
                <w:color w:val="636466"/>
                <w:sz w:val="16"/>
              </w:rPr>
              <w:t>Chair</w:t>
            </w:r>
          </w:p>
        </w:tc>
        <w:tc>
          <w:tcPr>
            <w:tcW w:w="2522" w:type="dxa"/>
            <w:tcBorders>
              <w:bottom w:val="single" w:sz="4" w:space="0" w:color="C7C8CA"/>
            </w:tcBorders>
          </w:tcPr>
          <w:p w:rsidR="00D840DF" w:rsidRDefault="00961020">
            <w:pPr>
              <w:pStyle w:val="TableParagraph"/>
              <w:ind w:left="136"/>
              <w:rPr>
                <w:sz w:val="16"/>
              </w:rPr>
            </w:pPr>
            <w:r>
              <w:rPr>
                <w:color w:val="636466"/>
                <w:sz w:val="16"/>
              </w:rPr>
              <w:t>Internal Medicine</w:t>
            </w:r>
          </w:p>
        </w:tc>
        <w:tc>
          <w:tcPr>
            <w:tcW w:w="923" w:type="dxa"/>
            <w:tcBorders>
              <w:bottom w:val="single" w:sz="4" w:space="0" w:color="C7C8CA"/>
            </w:tcBorders>
          </w:tcPr>
          <w:p w:rsidR="00D840DF" w:rsidRDefault="00961020">
            <w:pPr>
              <w:pStyle w:val="TableParagraph"/>
              <w:ind w:left="409"/>
              <w:rPr>
                <w:sz w:val="16"/>
              </w:rPr>
            </w:pPr>
            <w:r>
              <w:rPr>
                <w:color w:val="636466"/>
                <w:sz w:val="16"/>
              </w:rPr>
              <w:t>5</w:t>
            </w:r>
          </w:p>
        </w:tc>
        <w:tc>
          <w:tcPr>
            <w:tcW w:w="935" w:type="dxa"/>
            <w:tcBorders>
              <w:bottom w:val="single" w:sz="4" w:space="0" w:color="C7C8CA"/>
            </w:tcBorders>
          </w:tcPr>
          <w:p w:rsidR="00D840DF" w:rsidRDefault="00961020">
            <w:pPr>
              <w:pStyle w:val="TableParagraph"/>
              <w:jc w:val="center"/>
              <w:rPr>
                <w:sz w:val="16"/>
              </w:rPr>
            </w:pPr>
            <w:r>
              <w:rPr>
                <w:color w:val="636466"/>
                <w:sz w:val="16"/>
              </w:rPr>
              <w:t>5</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Prof.</w:t>
            </w:r>
            <w:r w:rsidR="00E314B6">
              <w:rPr>
                <w:rFonts w:ascii="Futura PT Heavy"/>
                <w:b/>
                <w:color w:val="636466"/>
                <w:sz w:val="16"/>
              </w:rPr>
              <w:t xml:space="preserve"> </w:t>
            </w:r>
            <w:r>
              <w:rPr>
                <w:rFonts w:ascii="Futura PT Heavy"/>
                <w:b/>
                <w:color w:val="636466"/>
                <w:sz w:val="16"/>
              </w:rPr>
              <w:t>Gerard Carroll</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Cardiology/Rural</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2</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Prof.</w:t>
            </w:r>
            <w:r w:rsidR="00E314B6">
              <w:rPr>
                <w:rFonts w:ascii="Futura PT Heavy"/>
                <w:b/>
                <w:color w:val="636466"/>
                <w:sz w:val="16"/>
              </w:rPr>
              <w:t xml:space="preserve"> </w:t>
            </w:r>
            <w:r>
              <w:rPr>
                <w:rFonts w:ascii="Futura PT Heavy"/>
                <w:b/>
                <w:color w:val="636466"/>
                <w:sz w:val="16"/>
              </w:rPr>
              <w:t>Peter Macdonald</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Transplantation</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0</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A/Prof. Paul Varghese</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Geriatrics/Rehabilitation</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4</w:t>
            </w:r>
          </w:p>
        </w:tc>
      </w:tr>
      <w:tr w:rsidR="00D840DF">
        <w:trPr>
          <w:trHeight w:val="4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proofErr w:type="spellStart"/>
            <w:r>
              <w:rPr>
                <w:rFonts w:ascii="Futura PT Heavy"/>
                <w:b/>
                <w:color w:val="636466"/>
                <w:sz w:val="16"/>
              </w:rPr>
              <w:t>Dr</w:t>
            </w:r>
            <w:proofErr w:type="spellEnd"/>
            <w:r w:rsidR="00E314B6">
              <w:rPr>
                <w:rFonts w:ascii="Futura PT Heavy"/>
                <w:b/>
                <w:color w:val="636466"/>
                <w:sz w:val="16"/>
              </w:rPr>
              <w:t xml:space="preserve"> </w:t>
            </w:r>
            <w:r>
              <w:rPr>
                <w:rFonts w:ascii="Futura PT Heavy"/>
                <w:b/>
                <w:color w:val="636466"/>
                <w:sz w:val="16"/>
              </w:rPr>
              <w:t>Bernard Whitfield</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spacing w:before="21" w:line="190" w:lineRule="exact"/>
              <w:ind w:left="136"/>
              <w:rPr>
                <w:sz w:val="16"/>
              </w:rPr>
            </w:pPr>
            <w:r>
              <w:rPr>
                <w:color w:val="636466"/>
                <w:sz w:val="16"/>
              </w:rPr>
              <w:t>Ear Nose and Throat Surgery/ Injuries/Trauma</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4</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 xml:space="preserve">Prof. John </w:t>
            </w:r>
            <w:proofErr w:type="spellStart"/>
            <w:r>
              <w:rPr>
                <w:rFonts w:ascii="Futura PT Heavy"/>
                <w:b/>
                <w:color w:val="636466"/>
                <w:sz w:val="16"/>
              </w:rPr>
              <w:t>Turnidge</w:t>
            </w:r>
            <w:proofErr w:type="spellEnd"/>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Infectious Disease</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0</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proofErr w:type="spellStart"/>
            <w:r>
              <w:rPr>
                <w:rFonts w:ascii="Futura PT Heavy"/>
                <w:b/>
                <w:color w:val="636466"/>
                <w:sz w:val="16"/>
              </w:rPr>
              <w:t>Dr</w:t>
            </w:r>
            <w:proofErr w:type="spellEnd"/>
            <w:r>
              <w:rPr>
                <w:rFonts w:ascii="Futura PT Heavy"/>
                <w:b/>
                <w:color w:val="636466"/>
                <w:sz w:val="16"/>
              </w:rPr>
              <w:t xml:space="preserve"> Philip Hoyle</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Administration</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3</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A/Prof.</w:t>
            </w:r>
            <w:r w:rsidR="00E314B6">
              <w:rPr>
                <w:rFonts w:ascii="Futura PT Heavy"/>
                <w:b/>
                <w:color w:val="636466"/>
                <w:sz w:val="16"/>
              </w:rPr>
              <w:t xml:space="preserve"> </w:t>
            </w:r>
            <w:r>
              <w:rPr>
                <w:rFonts w:ascii="Futura PT Heavy"/>
                <w:b/>
                <w:color w:val="636466"/>
                <w:sz w:val="16"/>
              </w:rPr>
              <w:t>Louis Irving</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Respiratory/</w:t>
            </w:r>
            <w:r w:rsidR="00E314B6">
              <w:rPr>
                <w:color w:val="636466"/>
                <w:sz w:val="16"/>
              </w:rPr>
              <w:t xml:space="preserve"> </w:t>
            </w:r>
            <w:r>
              <w:rPr>
                <w:color w:val="636466"/>
                <w:sz w:val="16"/>
              </w:rPr>
              <w:t>Indigenous Health</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3</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A/Prof.</w:t>
            </w:r>
            <w:r w:rsidR="00E314B6">
              <w:rPr>
                <w:rFonts w:ascii="Futura PT Heavy"/>
                <w:b/>
                <w:color w:val="636466"/>
                <w:sz w:val="16"/>
              </w:rPr>
              <w:t xml:space="preserve"> </w:t>
            </w:r>
            <w:r>
              <w:rPr>
                <w:rFonts w:ascii="Futura PT Heavy"/>
                <w:b/>
                <w:color w:val="636466"/>
                <w:sz w:val="16"/>
              </w:rPr>
              <w:t>Daryl Williams</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proofErr w:type="spellStart"/>
            <w:r>
              <w:rPr>
                <w:color w:val="636466"/>
                <w:sz w:val="16"/>
              </w:rPr>
              <w:t>Anaesthesia</w:t>
            </w:r>
            <w:proofErr w:type="spellEnd"/>
            <w:r>
              <w:rPr>
                <w:color w:val="636466"/>
                <w:sz w:val="16"/>
              </w:rPr>
              <w:t xml:space="preserve"> and Pain</w:t>
            </w:r>
            <w:r w:rsidR="00E314B6">
              <w:rPr>
                <w:color w:val="636466"/>
                <w:sz w:val="16"/>
              </w:rPr>
              <w:t xml:space="preserve"> </w:t>
            </w:r>
            <w:r>
              <w:rPr>
                <w:color w:val="636466"/>
                <w:sz w:val="16"/>
              </w:rPr>
              <w:t>Management</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4</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Prof. Leon Flicker</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Geriatrics/Indigenous</w:t>
            </w:r>
            <w:r w:rsidR="00E314B6">
              <w:rPr>
                <w:color w:val="636466"/>
                <w:sz w:val="16"/>
              </w:rPr>
              <w:t xml:space="preserve"> </w:t>
            </w:r>
            <w:r>
              <w:rPr>
                <w:color w:val="636466"/>
                <w:sz w:val="16"/>
              </w:rPr>
              <w:t>Health</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4</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W/Prof.</w:t>
            </w:r>
            <w:r w:rsidR="00E314B6">
              <w:rPr>
                <w:rFonts w:ascii="Futura PT Heavy"/>
                <w:b/>
                <w:color w:val="636466"/>
                <w:sz w:val="16"/>
              </w:rPr>
              <w:t xml:space="preserve"> </w:t>
            </w:r>
            <w:r>
              <w:rPr>
                <w:rFonts w:ascii="Futura PT Heavy"/>
                <w:b/>
                <w:color w:val="636466"/>
                <w:sz w:val="16"/>
              </w:rPr>
              <w:t>Fiona Wood</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Burns</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3</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proofErr w:type="spellStart"/>
            <w:r>
              <w:rPr>
                <w:rFonts w:ascii="Futura PT Heavy"/>
                <w:b/>
                <w:color w:val="636466"/>
                <w:sz w:val="16"/>
              </w:rPr>
              <w:t>Dr</w:t>
            </w:r>
            <w:proofErr w:type="spellEnd"/>
            <w:r w:rsidR="00E314B6">
              <w:rPr>
                <w:rFonts w:ascii="Futura PT Heavy"/>
                <w:b/>
                <w:color w:val="636466"/>
                <w:sz w:val="16"/>
              </w:rPr>
              <w:t xml:space="preserve"> </w:t>
            </w:r>
            <w:r>
              <w:rPr>
                <w:rFonts w:ascii="Futura PT Heavy"/>
                <w:b/>
                <w:color w:val="636466"/>
                <w:sz w:val="16"/>
              </w:rPr>
              <w:t>Amanda Ling</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Administration</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3</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 xml:space="preserve">A/Prof. Liza </w:t>
            </w:r>
            <w:proofErr w:type="spellStart"/>
            <w:r>
              <w:rPr>
                <w:rFonts w:ascii="Futura PT Heavy"/>
                <w:b/>
                <w:color w:val="636466"/>
                <w:sz w:val="16"/>
              </w:rPr>
              <w:t>Heslop</w:t>
            </w:r>
            <w:proofErr w:type="spellEnd"/>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Nursing/Pregnancy</w:t>
            </w:r>
            <w:r w:rsidR="00E314B6">
              <w:rPr>
                <w:color w:val="636466"/>
                <w:sz w:val="16"/>
              </w:rPr>
              <w:t xml:space="preserve"> </w:t>
            </w:r>
            <w:r>
              <w:rPr>
                <w:color w:val="636466"/>
                <w:sz w:val="16"/>
              </w:rPr>
              <w:t>and Childbirth</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4</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Prof. Graham J Reynolds</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proofErr w:type="spellStart"/>
            <w:r>
              <w:rPr>
                <w:color w:val="636466"/>
                <w:sz w:val="16"/>
              </w:rPr>
              <w:t>Paediatrics</w:t>
            </w:r>
            <w:proofErr w:type="spellEnd"/>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5</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Prof.</w:t>
            </w:r>
            <w:r w:rsidR="00E314B6">
              <w:rPr>
                <w:rFonts w:ascii="Futura PT Heavy"/>
                <w:b/>
                <w:color w:val="636466"/>
                <w:sz w:val="16"/>
              </w:rPr>
              <w:t xml:space="preserve"> </w:t>
            </w:r>
            <w:r>
              <w:rPr>
                <w:rFonts w:ascii="Futura PT Heavy"/>
                <w:b/>
                <w:color w:val="636466"/>
                <w:sz w:val="16"/>
              </w:rPr>
              <w:t xml:space="preserve">Geoff </w:t>
            </w:r>
            <w:proofErr w:type="spellStart"/>
            <w:r>
              <w:rPr>
                <w:rFonts w:ascii="Futura PT Heavy"/>
                <w:b/>
                <w:color w:val="636466"/>
                <w:sz w:val="16"/>
              </w:rPr>
              <w:t>Donnan</w:t>
            </w:r>
            <w:proofErr w:type="spellEnd"/>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Neurology</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1</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Jan Erven</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Occupational</w:t>
            </w:r>
            <w:r w:rsidR="00E314B6">
              <w:rPr>
                <w:color w:val="636466"/>
                <w:sz w:val="16"/>
              </w:rPr>
              <w:t xml:space="preserve"> </w:t>
            </w:r>
            <w:r>
              <w:rPr>
                <w:color w:val="636466"/>
                <w:sz w:val="16"/>
              </w:rPr>
              <w:t>Therapist</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4</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Prof. Sally Tracy</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Midwife</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0</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 xml:space="preserve">Amber </w:t>
            </w:r>
            <w:proofErr w:type="spellStart"/>
            <w:r>
              <w:rPr>
                <w:rFonts w:ascii="Futura PT Heavy"/>
                <w:b/>
                <w:color w:val="636466"/>
                <w:sz w:val="16"/>
              </w:rPr>
              <w:t>Polles</w:t>
            </w:r>
            <w:proofErr w:type="spellEnd"/>
            <w:r>
              <w:rPr>
                <w:rFonts w:ascii="Futura PT Heavy"/>
                <w:b/>
                <w:color w:val="636466"/>
                <w:sz w:val="16"/>
              </w:rPr>
              <w:t xml:space="preserve"> (nee Roberts)</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Pharmacist</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5</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proofErr w:type="spellStart"/>
            <w:r>
              <w:rPr>
                <w:rFonts w:ascii="Futura PT Heavy"/>
                <w:b/>
                <w:color w:val="636466"/>
                <w:sz w:val="16"/>
              </w:rPr>
              <w:t>Dr</w:t>
            </w:r>
            <w:proofErr w:type="spellEnd"/>
            <w:r>
              <w:rPr>
                <w:rFonts w:ascii="Futura PT Heavy"/>
                <w:b/>
                <w:color w:val="636466"/>
                <w:sz w:val="16"/>
              </w:rPr>
              <w:t xml:space="preserve"> Ruth Vine</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Psychiatrist</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0</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Sue Davis</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Nurse</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3</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proofErr w:type="spellStart"/>
            <w:r>
              <w:rPr>
                <w:rFonts w:ascii="Futura PT Heavy"/>
                <w:b/>
                <w:color w:val="636466"/>
                <w:sz w:val="16"/>
              </w:rPr>
              <w:t>Dr</w:t>
            </w:r>
            <w:proofErr w:type="spellEnd"/>
            <w:r>
              <w:rPr>
                <w:rFonts w:ascii="Futura PT Heavy"/>
                <w:b/>
                <w:color w:val="636466"/>
                <w:sz w:val="16"/>
              </w:rPr>
              <w:t xml:space="preserve"> Jo Wright</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Rural</w:t>
            </w:r>
            <w:r w:rsidR="00E314B6">
              <w:rPr>
                <w:color w:val="636466"/>
                <w:sz w:val="16"/>
              </w:rPr>
              <w:t xml:space="preserve"> </w:t>
            </w:r>
            <w:r>
              <w:rPr>
                <w:color w:val="636466"/>
                <w:sz w:val="16"/>
              </w:rPr>
              <w:t>Medical Practice</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1</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A/Prof.</w:t>
            </w:r>
            <w:r w:rsidR="00E314B6">
              <w:rPr>
                <w:rFonts w:ascii="Futura PT Heavy"/>
                <w:b/>
                <w:color w:val="636466"/>
                <w:sz w:val="16"/>
              </w:rPr>
              <w:t xml:space="preserve"> </w:t>
            </w:r>
            <w:r>
              <w:rPr>
                <w:rFonts w:ascii="Futura PT Heavy"/>
                <w:b/>
                <w:color w:val="636466"/>
                <w:sz w:val="16"/>
              </w:rPr>
              <w:t xml:space="preserve">Melinda </w:t>
            </w:r>
            <w:proofErr w:type="spellStart"/>
            <w:r>
              <w:rPr>
                <w:rFonts w:ascii="Futura PT Heavy"/>
                <w:b/>
                <w:color w:val="636466"/>
                <w:sz w:val="16"/>
              </w:rPr>
              <w:t>Truesdale</w:t>
            </w:r>
            <w:proofErr w:type="spellEnd"/>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Emergency Medicine</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4</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proofErr w:type="spellStart"/>
            <w:r>
              <w:rPr>
                <w:rFonts w:ascii="Futura PT Heavy"/>
                <w:b/>
                <w:color w:val="636466"/>
                <w:sz w:val="16"/>
              </w:rPr>
              <w:t>Dr</w:t>
            </w:r>
            <w:proofErr w:type="spellEnd"/>
            <w:r>
              <w:rPr>
                <w:rFonts w:ascii="Futura PT Heavy"/>
                <w:b/>
                <w:color w:val="636466"/>
                <w:sz w:val="16"/>
              </w:rPr>
              <w:t xml:space="preserve"> </w:t>
            </w:r>
            <w:proofErr w:type="spellStart"/>
            <w:r>
              <w:rPr>
                <w:rFonts w:ascii="Futura PT Heavy"/>
                <w:b/>
                <w:color w:val="636466"/>
                <w:sz w:val="16"/>
              </w:rPr>
              <w:t>Amod</w:t>
            </w:r>
            <w:proofErr w:type="spellEnd"/>
            <w:r>
              <w:rPr>
                <w:rFonts w:ascii="Futura PT Heavy"/>
                <w:b/>
                <w:color w:val="636466"/>
                <w:sz w:val="16"/>
              </w:rPr>
              <w:t xml:space="preserve"> </w:t>
            </w:r>
            <w:proofErr w:type="spellStart"/>
            <w:r>
              <w:rPr>
                <w:rFonts w:ascii="Futura PT Heavy"/>
                <w:b/>
                <w:color w:val="636466"/>
                <w:sz w:val="16"/>
              </w:rPr>
              <w:t>Karnik</w:t>
            </w:r>
            <w:proofErr w:type="spellEnd"/>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Intensive</w:t>
            </w:r>
            <w:r w:rsidR="00E314B6">
              <w:rPr>
                <w:color w:val="636466"/>
                <w:sz w:val="16"/>
              </w:rPr>
              <w:t xml:space="preserve"> </w:t>
            </w:r>
            <w:r>
              <w:rPr>
                <w:color w:val="636466"/>
                <w:sz w:val="16"/>
              </w:rPr>
              <w:t>Care Medicine</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2</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A/Prof. Andrew Wei</w:t>
            </w:r>
          </w:p>
        </w:tc>
        <w:tc>
          <w:tcPr>
            <w:tcW w:w="858" w:type="dxa"/>
            <w:tcBorders>
              <w:top w:val="single" w:sz="4" w:space="0" w:color="C7C8CA"/>
              <w:bottom w:val="single" w:sz="4" w:space="0" w:color="C7C8CA"/>
            </w:tcBorders>
          </w:tcPr>
          <w:p w:rsidR="00D840DF" w:rsidRDefault="00961020">
            <w:pPr>
              <w:pStyle w:val="TableParagraph"/>
              <w:ind w:left="121"/>
              <w:rPr>
                <w:sz w:val="16"/>
              </w:rPr>
            </w:pPr>
            <w:r>
              <w:rPr>
                <w:color w:val="636466"/>
                <w:sz w:val="16"/>
              </w:rPr>
              <w:t>Member</w:t>
            </w:r>
          </w:p>
        </w:tc>
        <w:tc>
          <w:tcPr>
            <w:tcW w:w="2522" w:type="dxa"/>
            <w:tcBorders>
              <w:top w:val="single" w:sz="4" w:space="0" w:color="C7C8CA"/>
              <w:bottom w:val="single" w:sz="4" w:space="0" w:color="C7C8CA"/>
            </w:tcBorders>
          </w:tcPr>
          <w:p w:rsidR="00D840DF" w:rsidRDefault="00961020">
            <w:pPr>
              <w:pStyle w:val="TableParagraph"/>
              <w:ind w:left="136"/>
              <w:rPr>
                <w:sz w:val="16"/>
              </w:rPr>
            </w:pPr>
            <w:proofErr w:type="spellStart"/>
            <w:r>
              <w:rPr>
                <w:color w:val="636466"/>
                <w:sz w:val="16"/>
              </w:rPr>
              <w:t>Haematology</w:t>
            </w:r>
            <w:proofErr w:type="spellEnd"/>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5</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4</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r>
              <w:rPr>
                <w:rFonts w:ascii="Futura PT Heavy"/>
                <w:b/>
                <w:color w:val="636466"/>
                <w:sz w:val="16"/>
              </w:rPr>
              <w:t>Anthony</w:t>
            </w:r>
            <w:r w:rsidR="00E314B6">
              <w:rPr>
                <w:rFonts w:ascii="Futura PT Heavy"/>
                <w:b/>
                <w:color w:val="636466"/>
                <w:sz w:val="16"/>
              </w:rPr>
              <w:t xml:space="preserve"> </w:t>
            </w:r>
            <w:r>
              <w:rPr>
                <w:rFonts w:ascii="Futura PT Heavy"/>
                <w:b/>
                <w:color w:val="636466"/>
                <w:sz w:val="16"/>
              </w:rPr>
              <w:t>Graham Fish</w:t>
            </w:r>
          </w:p>
        </w:tc>
        <w:tc>
          <w:tcPr>
            <w:tcW w:w="858" w:type="dxa"/>
            <w:tcBorders>
              <w:top w:val="single" w:sz="4" w:space="0" w:color="C7C8CA"/>
              <w:bottom w:val="single" w:sz="4" w:space="0" w:color="C7C8CA"/>
            </w:tcBorders>
          </w:tcPr>
          <w:p w:rsidR="00D840DF" w:rsidRDefault="00961020">
            <w:pPr>
              <w:pStyle w:val="TableParagraph"/>
              <w:ind w:left="121"/>
              <w:rPr>
                <w:sz w:val="9"/>
              </w:rPr>
            </w:pPr>
            <w:r>
              <w:rPr>
                <w:color w:val="636466"/>
                <w:sz w:val="16"/>
              </w:rPr>
              <w:t>Member</w:t>
            </w:r>
            <w:r>
              <w:rPr>
                <w:color w:val="636466"/>
                <w:position w:val="5"/>
                <w:sz w:val="9"/>
              </w:rPr>
              <w:t>1</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Allied Health</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1</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0</w:t>
            </w:r>
          </w:p>
        </w:tc>
      </w:tr>
      <w:tr w:rsidR="00D840DF">
        <w:trPr>
          <w:trHeight w:val="320"/>
        </w:trPr>
        <w:tc>
          <w:tcPr>
            <w:tcW w:w="2375" w:type="dxa"/>
            <w:tcBorders>
              <w:top w:val="single" w:sz="4" w:space="0" w:color="C7C8CA"/>
              <w:bottom w:val="single" w:sz="4" w:space="0" w:color="C7C8CA"/>
            </w:tcBorders>
          </w:tcPr>
          <w:p w:rsidR="00D840DF" w:rsidRDefault="00961020">
            <w:pPr>
              <w:pStyle w:val="TableParagraph"/>
              <w:ind w:left="113"/>
              <w:rPr>
                <w:rFonts w:ascii="Futura PT Heavy"/>
                <w:b/>
                <w:sz w:val="16"/>
              </w:rPr>
            </w:pPr>
            <w:proofErr w:type="spellStart"/>
            <w:r>
              <w:rPr>
                <w:rFonts w:ascii="Futura PT Heavy"/>
                <w:b/>
                <w:color w:val="636466"/>
                <w:sz w:val="16"/>
              </w:rPr>
              <w:t>Dr</w:t>
            </w:r>
            <w:proofErr w:type="spellEnd"/>
            <w:r w:rsidR="00E314B6">
              <w:rPr>
                <w:rFonts w:ascii="Futura PT Heavy"/>
                <w:b/>
                <w:color w:val="636466"/>
                <w:sz w:val="16"/>
              </w:rPr>
              <w:t xml:space="preserve"> </w:t>
            </w:r>
            <w:r>
              <w:rPr>
                <w:rFonts w:ascii="Futura PT Heavy"/>
                <w:b/>
                <w:color w:val="636466"/>
                <w:sz w:val="16"/>
              </w:rPr>
              <w:t xml:space="preserve">Kathryn </w:t>
            </w:r>
            <w:proofErr w:type="spellStart"/>
            <w:r>
              <w:rPr>
                <w:rFonts w:ascii="Futura PT Heavy"/>
                <w:b/>
                <w:color w:val="636466"/>
                <w:sz w:val="16"/>
              </w:rPr>
              <w:t>Zeitz</w:t>
            </w:r>
            <w:proofErr w:type="spellEnd"/>
          </w:p>
        </w:tc>
        <w:tc>
          <w:tcPr>
            <w:tcW w:w="858" w:type="dxa"/>
            <w:tcBorders>
              <w:top w:val="single" w:sz="4" w:space="0" w:color="C7C8CA"/>
              <w:bottom w:val="single" w:sz="4" w:space="0" w:color="C7C8CA"/>
            </w:tcBorders>
          </w:tcPr>
          <w:p w:rsidR="00D840DF" w:rsidRDefault="00961020">
            <w:pPr>
              <w:pStyle w:val="TableParagraph"/>
              <w:ind w:left="121"/>
              <w:rPr>
                <w:sz w:val="9"/>
              </w:rPr>
            </w:pPr>
            <w:r>
              <w:rPr>
                <w:color w:val="636466"/>
                <w:sz w:val="16"/>
              </w:rPr>
              <w:t>Member</w:t>
            </w:r>
            <w:r>
              <w:rPr>
                <w:color w:val="636466"/>
                <w:position w:val="5"/>
                <w:sz w:val="9"/>
              </w:rPr>
              <w:t>2</w:t>
            </w:r>
          </w:p>
        </w:tc>
        <w:tc>
          <w:tcPr>
            <w:tcW w:w="2522" w:type="dxa"/>
            <w:tcBorders>
              <w:top w:val="single" w:sz="4" w:space="0" w:color="C7C8CA"/>
              <w:bottom w:val="single" w:sz="4" w:space="0" w:color="C7C8CA"/>
            </w:tcBorders>
          </w:tcPr>
          <w:p w:rsidR="00D840DF" w:rsidRDefault="00961020">
            <w:pPr>
              <w:pStyle w:val="TableParagraph"/>
              <w:ind w:left="136"/>
              <w:rPr>
                <w:sz w:val="16"/>
              </w:rPr>
            </w:pPr>
            <w:r>
              <w:rPr>
                <w:color w:val="636466"/>
                <w:sz w:val="16"/>
              </w:rPr>
              <w:t>Nurse</w:t>
            </w:r>
          </w:p>
        </w:tc>
        <w:tc>
          <w:tcPr>
            <w:tcW w:w="923" w:type="dxa"/>
            <w:tcBorders>
              <w:top w:val="single" w:sz="4" w:space="0" w:color="C7C8CA"/>
              <w:bottom w:val="single" w:sz="4" w:space="0" w:color="C7C8CA"/>
            </w:tcBorders>
          </w:tcPr>
          <w:p w:rsidR="00D840DF" w:rsidRDefault="00961020">
            <w:pPr>
              <w:pStyle w:val="TableParagraph"/>
              <w:ind w:left="409"/>
              <w:rPr>
                <w:sz w:val="16"/>
              </w:rPr>
            </w:pPr>
            <w:r>
              <w:rPr>
                <w:color w:val="636466"/>
                <w:sz w:val="16"/>
              </w:rPr>
              <w:t>1</w:t>
            </w:r>
          </w:p>
        </w:tc>
        <w:tc>
          <w:tcPr>
            <w:tcW w:w="935" w:type="dxa"/>
            <w:tcBorders>
              <w:top w:val="single" w:sz="4" w:space="0" w:color="C7C8CA"/>
              <w:bottom w:val="single" w:sz="4" w:space="0" w:color="C7C8CA"/>
            </w:tcBorders>
          </w:tcPr>
          <w:p w:rsidR="00D840DF" w:rsidRDefault="00961020">
            <w:pPr>
              <w:pStyle w:val="TableParagraph"/>
              <w:jc w:val="center"/>
              <w:rPr>
                <w:sz w:val="16"/>
              </w:rPr>
            </w:pPr>
            <w:r>
              <w:rPr>
                <w:color w:val="636466"/>
                <w:sz w:val="16"/>
              </w:rPr>
              <w:t>0</w:t>
            </w:r>
          </w:p>
        </w:tc>
      </w:tr>
    </w:tbl>
    <w:p w:rsidR="00D840DF" w:rsidRDefault="00961020">
      <w:pPr>
        <w:spacing w:before="193"/>
        <w:ind w:left="113"/>
        <w:rPr>
          <w:sz w:val="16"/>
        </w:rPr>
      </w:pPr>
      <w:r>
        <w:rPr>
          <w:color w:val="636466"/>
          <w:position w:val="5"/>
          <w:sz w:val="9"/>
        </w:rPr>
        <w:t>1</w:t>
      </w:r>
      <w:r w:rsidR="00E314B6">
        <w:rPr>
          <w:color w:val="636466"/>
          <w:position w:val="5"/>
          <w:sz w:val="9"/>
        </w:rPr>
        <w:t xml:space="preserve"> </w:t>
      </w:r>
      <w:proofErr w:type="spellStart"/>
      <w:r>
        <w:rPr>
          <w:color w:val="636466"/>
          <w:sz w:val="16"/>
        </w:rPr>
        <w:t>Dr</w:t>
      </w:r>
      <w:proofErr w:type="spellEnd"/>
      <w:r>
        <w:rPr>
          <w:color w:val="636466"/>
          <w:sz w:val="16"/>
        </w:rPr>
        <w:t xml:space="preserve"> Kathryn </w:t>
      </w:r>
      <w:proofErr w:type="spellStart"/>
      <w:r>
        <w:rPr>
          <w:color w:val="636466"/>
          <w:sz w:val="16"/>
        </w:rPr>
        <w:t>Zeitz</w:t>
      </w:r>
      <w:proofErr w:type="spellEnd"/>
      <w:r>
        <w:rPr>
          <w:color w:val="636466"/>
          <w:sz w:val="16"/>
        </w:rPr>
        <w:t xml:space="preserve"> was appointed to the IHPA Clinical Advisory Committee effective 21 February 2017.</w:t>
      </w:r>
    </w:p>
    <w:p w:rsidR="00D840DF" w:rsidRDefault="00961020">
      <w:pPr>
        <w:spacing w:before="5"/>
        <w:ind w:left="113"/>
        <w:rPr>
          <w:sz w:val="16"/>
        </w:rPr>
      </w:pPr>
      <w:r>
        <w:rPr>
          <w:color w:val="636466"/>
          <w:position w:val="5"/>
          <w:sz w:val="9"/>
        </w:rPr>
        <w:t>2</w:t>
      </w:r>
      <w:r w:rsidR="00E314B6">
        <w:rPr>
          <w:color w:val="636466"/>
          <w:position w:val="5"/>
          <w:sz w:val="9"/>
        </w:rPr>
        <w:t xml:space="preserve"> </w:t>
      </w:r>
      <w:r>
        <w:rPr>
          <w:color w:val="636466"/>
          <w:sz w:val="16"/>
        </w:rPr>
        <w:t>Anthony Graham Fish was appointed to the IHPA Clinical Advisory Committee effective 6 March 2017.</w:t>
      </w:r>
    </w:p>
    <w:p w:rsidR="00D840DF" w:rsidRDefault="00D840DF">
      <w:pPr>
        <w:rPr>
          <w:sz w:val="16"/>
        </w:rPr>
        <w:sectPr w:rsidR="00D840DF">
          <w:pgSz w:w="9980" w:h="14180"/>
          <w:pgMar w:top="1320" w:right="1120" w:bottom="280" w:left="1020" w:header="720" w:footer="720" w:gutter="0"/>
          <w:cols w:space="720"/>
        </w:sectPr>
      </w:pPr>
    </w:p>
    <w:p w:rsidR="00D840DF" w:rsidRDefault="00961020" w:rsidP="005A527A">
      <w:pPr>
        <w:pStyle w:val="Heading3"/>
      </w:pPr>
      <w:bookmarkStart w:id="69" w:name="2016–17_snapshot"/>
      <w:bookmarkStart w:id="70" w:name="_bookmark19"/>
      <w:bookmarkEnd w:id="69"/>
      <w:bookmarkEnd w:id="70"/>
      <w:r>
        <w:lastRenderedPageBreak/>
        <w:t>CAC meetings 2016–17</w:t>
      </w:r>
    </w:p>
    <w:p w:rsidR="00D840DF" w:rsidRPr="005A527A" w:rsidRDefault="00961020" w:rsidP="005A527A">
      <w:pPr>
        <w:pStyle w:val="BodyText"/>
      </w:pPr>
      <w:r>
        <w:t>15 August 2016</w:t>
      </w:r>
      <w:r w:rsidR="005A527A">
        <w:br/>
        <w:t xml:space="preserve">21 </w:t>
      </w:r>
      <w:r>
        <w:t>September</w:t>
      </w:r>
      <w:r>
        <w:rPr>
          <w:spacing w:val="11"/>
        </w:rPr>
        <w:t xml:space="preserve"> </w:t>
      </w:r>
      <w:r>
        <w:rPr>
          <w:spacing w:val="-7"/>
        </w:rPr>
        <w:t>2016</w:t>
      </w:r>
      <w:r w:rsidR="005A527A">
        <w:br/>
        <w:t xml:space="preserve">22 </w:t>
      </w:r>
      <w:r>
        <w:t>November</w:t>
      </w:r>
      <w:r>
        <w:rPr>
          <w:spacing w:val="3"/>
        </w:rPr>
        <w:t xml:space="preserve"> </w:t>
      </w:r>
      <w:r>
        <w:rPr>
          <w:spacing w:val="-7"/>
        </w:rPr>
        <w:t>2016</w:t>
      </w:r>
      <w:r w:rsidR="005A527A">
        <w:br/>
      </w:r>
      <w:r>
        <w:t>13</w:t>
      </w:r>
      <w:r w:rsidR="00E314B6">
        <w:t xml:space="preserve"> </w:t>
      </w:r>
      <w:r>
        <w:t>February 2017</w:t>
      </w:r>
      <w:r w:rsidR="005A527A">
        <w:br/>
      </w:r>
      <w:r>
        <w:t>8 May 2017</w:t>
      </w:r>
    </w:p>
    <w:p w:rsidR="00D840DF" w:rsidRDefault="00961020" w:rsidP="005A527A">
      <w:pPr>
        <w:pStyle w:val="Heading2"/>
      </w:pPr>
      <w:bookmarkStart w:id="71" w:name="_Toc496088491"/>
      <w:r>
        <w:t>2016–17 snapshot</w:t>
      </w:r>
      <w:bookmarkEnd w:id="71"/>
    </w:p>
    <w:p w:rsidR="00D840DF" w:rsidRPr="005A527A" w:rsidRDefault="00961020" w:rsidP="005A527A">
      <w:pPr>
        <w:pStyle w:val="BodyText"/>
      </w:pPr>
      <w:r>
        <w:t>In 2016–17 the Clinical Advisory Committee supported IHPA’s Work Program to deliver the following key achievements:</w:t>
      </w:r>
    </w:p>
    <w:p w:rsidR="00D840DF" w:rsidRDefault="00961020">
      <w:pPr>
        <w:pStyle w:val="ListParagraph"/>
        <w:numPr>
          <w:ilvl w:val="0"/>
          <w:numId w:val="23"/>
        </w:numPr>
        <w:tabs>
          <w:tab w:val="left" w:pos="329"/>
        </w:tabs>
        <w:ind w:left="328"/>
        <w:rPr>
          <w:sz w:val="19"/>
        </w:rPr>
      </w:pPr>
      <w:r>
        <w:rPr>
          <w:color w:val="636466"/>
          <w:sz w:val="19"/>
        </w:rPr>
        <w:t>Advice</w:t>
      </w:r>
      <w:r>
        <w:rPr>
          <w:color w:val="636466"/>
          <w:spacing w:val="5"/>
          <w:sz w:val="19"/>
        </w:rPr>
        <w:t xml:space="preserve"> </w:t>
      </w:r>
      <w:r>
        <w:rPr>
          <w:color w:val="636466"/>
          <w:sz w:val="19"/>
        </w:rPr>
        <w:t>and</w:t>
      </w:r>
      <w:r>
        <w:rPr>
          <w:color w:val="636466"/>
          <w:spacing w:val="5"/>
          <w:sz w:val="19"/>
        </w:rPr>
        <w:t xml:space="preserve"> </w:t>
      </w:r>
      <w:r>
        <w:rPr>
          <w:color w:val="636466"/>
          <w:sz w:val="19"/>
        </w:rPr>
        <w:t>input</w:t>
      </w:r>
      <w:r>
        <w:rPr>
          <w:color w:val="636466"/>
          <w:spacing w:val="5"/>
          <w:sz w:val="19"/>
        </w:rPr>
        <w:t xml:space="preserve"> </w:t>
      </w:r>
      <w:r>
        <w:rPr>
          <w:color w:val="636466"/>
          <w:sz w:val="19"/>
        </w:rPr>
        <w:t>into</w:t>
      </w:r>
      <w:r>
        <w:rPr>
          <w:color w:val="636466"/>
          <w:spacing w:val="5"/>
          <w:sz w:val="19"/>
        </w:rPr>
        <w:t xml:space="preserve"> </w:t>
      </w:r>
      <w:r>
        <w:rPr>
          <w:color w:val="636466"/>
          <w:sz w:val="19"/>
        </w:rPr>
        <w:t>options</w:t>
      </w:r>
      <w:r>
        <w:rPr>
          <w:color w:val="636466"/>
          <w:spacing w:val="5"/>
          <w:sz w:val="19"/>
        </w:rPr>
        <w:t xml:space="preserve"> </w:t>
      </w:r>
      <w:r>
        <w:rPr>
          <w:color w:val="636466"/>
          <w:sz w:val="19"/>
        </w:rPr>
        <w:t>for</w:t>
      </w:r>
      <w:r>
        <w:rPr>
          <w:color w:val="636466"/>
          <w:spacing w:val="5"/>
          <w:sz w:val="19"/>
        </w:rPr>
        <w:t xml:space="preserve"> </w:t>
      </w:r>
      <w:r>
        <w:rPr>
          <w:color w:val="636466"/>
          <w:sz w:val="19"/>
        </w:rPr>
        <w:t>pricing</w:t>
      </w:r>
      <w:r>
        <w:rPr>
          <w:color w:val="636466"/>
          <w:spacing w:val="5"/>
          <w:sz w:val="19"/>
        </w:rPr>
        <w:t xml:space="preserve"> </w:t>
      </w:r>
      <w:r>
        <w:rPr>
          <w:color w:val="636466"/>
          <w:sz w:val="19"/>
        </w:rPr>
        <w:t>and</w:t>
      </w:r>
      <w:r>
        <w:rPr>
          <w:color w:val="636466"/>
          <w:spacing w:val="3"/>
          <w:sz w:val="19"/>
        </w:rPr>
        <w:t xml:space="preserve"> </w:t>
      </w:r>
      <w:r>
        <w:rPr>
          <w:color w:val="636466"/>
          <w:sz w:val="19"/>
        </w:rPr>
        <w:t>funding</w:t>
      </w:r>
      <w:r>
        <w:rPr>
          <w:color w:val="636466"/>
          <w:spacing w:val="5"/>
          <w:sz w:val="19"/>
        </w:rPr>
        <w:t xml:space="preserve"> </w:t>
      </w:r>
      <w:r>
        <w:rPr>
          <w:color w:val="636466"/>
          <w:sz w:val="19"/>
        </w:rPr>
        <w:t>for</w:t>
      </w:r>
      <w:r>
        <w:rPr>
          <w:color w:val="636466"/>
          <w:spacing w:val="5"/>
          <w:sz w:val="19"/>
        </w:rPr>
        <w:t xml:space="preserve"> </w:t>
      </w:r>
      <w:r>
        <w:rPr>
          <w:color w:val="636466"/>
          <w:sz w:val="19"/>
        </w:rPr>
        <w:t>safety</w:t>
      </w:r>
      <w:r>
        <w:rPr>
          <w:color w:val="636466"/>
          <w:spacing w:val="5"/>
          <w:sz w:val="19"/>
        </w:rPr>
        <w:t xml:space="preserve"> </w:t>
      </w:r>
      <w:r>
        <w:rPr>
          <w:color w:val="636466"/>
          <w:sz w:val="19"/>
        </w:rPr>
        <w:t>and</w:t>
      </w:r>
      <w:r>
        <w:rPr>
          <w:color w:val="636466"/>
          <w:spacing w:val="5"/>
          <w:sz w:val="19"/>
        </w:rPr>
        <w:t xml:space="preserve"> </w:t>
      </w:r>
      <w:r>
        <w:rPr>
          <w:color w:val="636466"/>
          <w:sz w:val="19"/>
        </w:rPr>
        <w:t>quality.</w:t>
      </w:r>
    </w:p>
    <w:p w:rsidR="00D840DF" w:rsidRDefault="00961020">
      <w:pPr>
        <w:pStyle w:val="ListParagraph"/>
        <w:numPr>
          <w:ilvl w:val="0"/>
          <w:numId w:val="23"/>
        </w:numPr>
        <w:tabs>
          <w:tab w:val="left" w:pos="329"/>
        </w:tabs>
        <w:ind w:left="328"/>
        <w:rPr>
          <w:i/>
          <w:sz w:val="19"/>
        </w:rPr>
      </w:pPr>
      <w:r>
        <w:rPr>
          <w:color w:val="636466"/>
          <w:sz w:val="19"/>
        </w:rPr>
        <w:t>The</w:t>
      </w:r>
      <w:r>
        <w:rPr>
          <w:color w:val="636466"/>
          <w:spacing w:val="6"/>
          <w:sz w:val="19"/>
        </w:rPr>
        <w:t xml:space="preserve"> </w:t>
      </w:r>
      <w:r>
        <w:rPr>
          <w:i/>
          <w:color w:val="636466"/>
          <w:sz w:val="19"/>
        </w:rPr>
        <w:t>Pricing</w:t>
      </w:r>
      <w:r>
        <w:rPr>
          <w:i/>
          <w:color w:val="636466"/>
          <w:spacing w:val="7"/>
          <w:sz w:val="19"/>
        </w:rPr>
        <w:t xml:space="preserve"> </w:t>
      </w:r>
      <w:r>
        <w:rPr>
          <w:i/>
          <w:color w:val="636466"/>
          <w:sz w:val="19"/>
        </w:rPr>
        <w:t>Framework</w:t>
      </w:r>
      <w:r>
        <w:rPr>
          <w:i/>
          <w:color w:val="636466"/>
          <w:spacing w:val="7"/>
          <w:sz w:val="19"/>
        </w:rPr>
        <w:t xml:space="preserve"> </w:t>
      </w:r>
      <w:r>
        <w:rPr>
          <w:i/>
          <w:color w:val="636466"/>
          <w:sz w:val="19"/>
        </w:rPr>
        <w:t>for</w:t>
      </w:r>
      <w:r>
        <w:rPr>
          <w:i/>
          <w:color w:val="636466"/>
          <w:spacing w:val="7"/>
          <w:sz w:val="19"/>
        </w:rPr>
        <w:t xml:space="preserve"> </w:t>
      </w:r>
      <w:r>
        <w:rPr>
          <w:i/>
          <w:color w:val="636466"/>
          <w:sz w:val="19"/>
        </w:rPr>
        <w:t>Australian</w:t>
      </w:r>
      <w:r>
        <w:rPr>
          <w:i/>
          <w:color w:val="636466"/>
          <w:spacing w:val="7"/>
          <w:sz w:val="19"/>
        </w:rPr>
        <w:t xml:space="preserve"> </w:t>
      </w:r>
      <w:r>
        <w:rPr>
          <w:i/>
          <w:color w:val="636466"/>
          <w:sz w:val="19"/>
        </w:rPr>
        <w:t>Public</w:t>
      </w:r>
      <w:r>
        <w:rPr>
          <w:i/>
          <w:color w:val="636466"/>
          <w:spacing w:val="7"/>
          <w:sz w:val="19"/>
        </w:rPr>
        <w:t xml:space="preserve"> </w:t>
      </w:r>
      <w:r>
        <w:rPr>
          <w:i/>
          <w:color w:val="636466"/>
          <w:sz w:val="19"/>
        </w:rPr>
        <w:t>Hospital</w:t>
      </w:r>
      <w:r>
        <w:rPr>
          <w:i/>
          <w:color w:val="636466"/>
          <w:spacing w:val="7"/>
          <w:sz w:val="19"/>
        </w:rPr>
        <w:t xml:space="preserve"> </w:t>
      </w:r>
      <w:r>
        <w:rPr>
          <w:i/>
          <w:color w:val="636466"/>
          <w:sz w:val="19"/>
        </w:rPr>
        <w:t>Services</w:t>
      </w:r>
      <w:r>
        <w:rPr>
          <w:i/>
          <w:color w:val="636466"/>
          <w:spacing w:val="7"/>
          <w:sz w:val="19"/>
        </w:rPr>
        <w:t xml:space="preserve"> </w:t>
      </w:r>
      <w:r>
        <w:rPr>
          <w:i/>
          <w:color w:val="636466"/>
          <w:spacing w:val="-9"/>
          <w:sz w:val="19"/>
        </w:rPr>
        <w:t>2017–18.</w:t>
      </w:r>
    </w:p>
    <w:p w:rsidR="00D840DF" w:rsidRDefault="00961020">
      <w:pPr>
        <w:pStyle w:val="ListParagraph"/>
        <w:numPr>
          <w:ilvl w:val="0"/>
          <w:numId w:val="23"/>
        </w:numPr>
        <w:tabs>
          <w:tab w:val="left" w:pos="329"/>
        </w:tabs>
        <w:ind w:left="328"/>
        <w:rPr>
          <w:sz w:val="19"/>
        </w:rPr>
      </w:pPr>
      <w:r>
        <w:rPr>
          <w:color w:val="636466"/>
          <w:spacing w:val="-5"/>
          <w:sz w:val="19"/>
        </w:rPr>
        <w:t xml:space="preserve">IHPA’s </w:t>
      </w:r>
      <w:r>
        <w:rPr>
          <w:color w:val="636466"/>
          <w:sz w:val="19"/>
        </w:rPr>
        <w:t>determination of the NEP and NEC for</w:t>
      </w:r>
      <w:r w:rsidR="00E314B6">
        <w:rPr>
          <w:color w:val="636466"/>
          <w:sz w:val="19"/>
        </w:rPr>
        <w:t xml:space="preserve"> </w:t>
      </w:r>
      <w:r>
        <w:rPr>
          <w:color w:val="636466"/>
          <w:spacing w:val="-10"/>
          <w:sz w:val="19"/>
        </w:rPr>
        <w:t>2017–18.</w:t>
      </w:r>
    </w:p>
    <w:p w:rsidR="00D840DF" w:rsidRDefault="00961020">
      <w:pPr>
        <w:pStyle w:val="ListParagraph"/>
        <w:numPr>
          <w:ilvl w:val="0"/>
          <w:numId w:val="23"/>
        </w:numPr>
        <w:tabs>
          <w:tab w:val="left" w:pos="329"/>
        </w:tabs>
        <w:ind w:left="328"/>
        <w:rPr>
          <w:sz w:val="19"/>
        </w:rPr>
      </w:pPr>
      <w:r>
        <w:rPr>
          <w:color w:val="636466"/>
          <w:sz w:val="19"/>
        </w:rPr>
        <w:t>Development</w:t>
      </w:r>
      <w:r>
        <w:rPr>
          <w:color w:val="636466"/>
          <w:spacing w:val="6"/>
          <w:sz w:val="19"/>
        </w:rPr>
        <w:t xml:space="preserve"> </w:t>
      </w:r>
      <w:r>
        <w:rPr>
          <w:color w:val="636466"/>
          <w:sz w:val="19"/>
        </w:rPr>
        <w:t>of</w:t>
      </w:r>
      <w:r>
        <w:rPr>
          <w:color w:val="636466"/>
          <w:spacing w:val="6"/>
          <w:sz w:val="19"/>
        </w:rPr>
        <w:t xml:space="preserve"> </w:t>
      </w:r>
      <w:r>
        <w:rPr>
          <w:color w:val="636466"/>
          <w:sz w:val="19"/>
        </w:rPr>
        <w:t>a</w:t>
      </w:r>
      <w:r>
        <w:rPr>
          <w:color w:val="636466"/>
          <w:spacing w:val="6"/>
          <w:sz w:val="19"/>
        </w:rPr>
        <w:t xml:space="preserve"> </w:t>
      </w:r>
      <w:r>
        <w:rPr>
          <w:color w:val="636466"/>
          <w:sz w:val="19"/>
        </w:rPr>
        <w:t>new</w:t>
      </w:r>
      <w:r>
        <w:rPr>
          <w:color w:val="636466"/>
          <w:spacing w:val="6"/>
          <w:sz w:val="19"/>
        </w:rPr>
        <w:t xml:space="preserve"> </w:t>
      </w:r>
      <w:r>
        <w:rPr>
          <w:color w:val="636466"/>
          <w:sz w:val="19"/>
        </w:rPr>
        <w:t>classification</w:t>
      </w:r>
      <w:r>
        <w:rPr>
          <w:color w:val="636466"/>
          <w:spacing w:val="6"/>
          <w:sz w:val="19"/>
        </w:rPr>
        <w:t xml:space="preserve"> </w:t>
      </w:r>
      <w:r>
        <w:rPr>
          <w:color w:val="636466"/>
          <w:sz w:val="19"/>
        </w:rPr>
        <w:t>system</w:t>
      </w:r>
      <w:r>
        <w:rPr>
          <w:color w:val="636466"/>
          <w:spacing w:val="6"/>
          <w:sz w:val="19"/>
        </w:rPr>
        <w:t xml:space="preserve"> </w:t>
      </w:r>
      <w:r>
        <w:rPr>
          <w:color w:val="636466"/>
          <w:sz w:val="19"/>
        </w:rPr>
        <w:t>for</w:t>
      </w:r>
      <w:r>
        <w:rPr>
          <w:color w:val="636466"/>
          <w:spacing w:val="6"/>
          <w:sz w:val="19"/>
        </w:rPr>
        <w:t xml:space="preserve"> </w:t>
      </w:r>
      <w:r>
        <w:rPr>
          <w:color w:val="636466"/>
          <w:sz w:val="19"/>
        </w:rPr>
        <w:t>teaching</w:t>
      </w:r>
      <w:r>
        <w:rPr>
          <w:color w:val="636466"/>
          <w:spacing w:val="5"/>
          <w:sz w:val="19"/>
        </w:rPr>
        <w:t xml:space="preserve"> </w:t>
      </w:r>
      <w:r>
        <w:rPr>
          <w:color w:val="636466"/>
          <w:sz w:val="19"/>
        </w:rPr>
        <w:t>and</w:t>
      </w:r>
      <w:r>
        <w:rPr>
          <w:color w:val="636466"/>
          <w:spacing w:val="6"/>
          <w:sz w:val="19"/>
        </w:rPr>
        <w:t xml:space="preserve"> </w:t>
      </w:r>
      <w:r>
        <w:rPr>
          <w:color w:val="636466"/>
          <w:sz w:val="19"/>
        </w:rPr>
        <w:t>training.</w:t>
      </w:r>
    </w:p>
    <w:p w:rsidR="00D840DF" w:rsidRDefault="00961020">
      <w:pPr>
        <w:pStyle w:val="ListParagraph"/>
        <w:numPr>
          <w:ilvl w:val="0"/>
          <w:numId w:val="23"/>
        </w:numPr>
        <w:tabs>
          <w:tab w:val="left" w:pos="329"/>
        </w:tabs>
        <w:ind w:left="328"/>
        <w:rPr>
          <w:sz w:val="19"/>
        </w:rPr>
      </w:pPr>
      <w:r>
        <w:rPr>
          <w:color w:val="636466"/>
          <w:sz w:val="19"/>
        </w:rPr>
        <w:t>Work</w:t>
      </w:r>
      <w:r>
        <w:rPr>
          <w:color w:val="636466"/>
          <w:spacing w:val="5"/>
          <w:sz w:val="19"/>
        </w:rPr>
        <w:t xml:space="preserve"> </w:t>
      </w:r>
      <w:r>
        <w:rPr>
          <w:color w:val="636466"/>
          <w:sz w:val="19"/>
        </w:rPr>
        <w:t>to</w:t>
      </w:r>
      <w:r>
        <w:rPr>
          <w:color w:val="636466"/>
          <w:spacing w:val="5"/>
          <w:sz w:val="19"/>
        </w:rPr>
        <w:t xml:space="preserve"> </w:t>
      </w:r>
      <w:r>
        <w:rPr>
          <w:color w:val="636466"/>
          <w:sz w:val="19"/>
        </w:rPr>
        <w:t>develop</w:t>
      </w:r>
      <w:r>
        <w:rPr>
          <w:color w:val="636466"/>
          <w:spacing w:val="5"/>
          <w:sz w:val="19"/>
        </w:rPr>
        <w:t xml:space="preserve"> </w:t>
      </w:r>
      <w:r>
        <w:rPr>
          <w:color w:val="636466"/>
          <w:sz w:val="19"/>
        </w:rPr>
        <w:t>a</w:t>
      </w:r>
      <w:r>
        <w:rPr>
          <w:color w:val="636466"/>
          <w:spacing w:val="5"/>
          <w:sz w:val="19"/>
        </w:rPr>
        <w:t xml:space="preserve"> </w:t>
      </w:r>
      <w:r>
        <w:rPr>
          <w:color w:val="636466"/>
          <w:sz w:val="19"/>
        </w:rPr>
        <w:t>new</w:t>
      </w:r>
      <w:r>
        <w:rPr>
          <w:color w:val="636466"/>
          <w:spacing w:val="5"/>
          <w:sz w:val="19"/>
        </w:rPr>
        <w:t xml:space="preserve"> </w:t>
      </w:r>
      <w:r>
        <w:rPr>
          <w:color w:val="636466"/>
          <w:sz w:val="19"/>
        </w:rPr>
        <w:t>classification</w:t>
      </w:r>
      <w:r>
        <w:rPr>
          <w:color w:val="636466"/>
          <w:spacing w:val="5"/>
          <w:sz w:val="19"/>
        </w:rPr>
        <w:t xml:space="preserve"> </w:t>
      </w:r>
      <w:r>
        <w:rPr>
          <w:color w:val="636466"/>
          <w:sz w:val="19"/>
        </w:rPr>
        <w:t>system</w:t>
      </w:r>
      <w:r>
        <w:rPr>
          <w:color w:val="636466"/>
          <w:spacing w:val="5"/>
          <w:sz w:val="19"/>
        </w:rPr>
        <w:t xml:space="preserve"> </w:t>
      </w:r>
      <w:r>
        <w:rPr>
          <w:color w:val="636466"/>
          <w:sz w:val="19"/>
        </w:rPr>
        <w:t>for</w:t>
      </w:r>
      <w:r>
        <w:rPr>
          <w:color w:val="636466"/>
          <w:spacing w:val="5"/>
          <w:sz w:val="19"/>
        </w:rPr>
        <w:t xml:space="preserve"> </w:t>
      </w:r>
      <w:r>
        <w:rPr>
          <w:color w:val="636466"/>
          <w:sz w:val="19"/>
        </w:rPr>
        <w:t>emergency</w:t>
      </w:r>
      <w:r>
        <w:rPr>
          <w:color w:val="636466"/>
          <w:spacing w:val="5"/>
          <w:sz w:val="19"/>
        </w:rPr>
        <w:t xml:space="preserve"> </w:t>
      </w:r>
      <w:r>
        <w:rPr>
          <w:color w:val="636466"/>
          <w:sz w:val="19"/>
        </w:rPr>
        <w:t>care</w:t>
      </w:r>
      <w:r>
        <w:rPr>
          <w:color w:val="636466"/>
          <w:spacing w:val="5"/>
          <w:sz w:val="19"/>
        </w:rPr>
        <w:t xml:space="preserve"> </w:t>
      </w:r>
      <w:r>
        <w:rPr>
          <w:color w:val="636466"/>
          <w:sz w:val="19"/>
        </w:rPr>
        <w:t>services.</w:t>
      </w:r>
    </w:p>
    <w:p w:rsidR="00D840DF" w:rsidRDefault="00961020">
      <w:pPr>
        <w:pStyle w:val="ListParagraph"/>
        <w:numPr>
          <w:ilvl w:val="0"/>
          <w:numId w:val="23"/>
        </w:numPr>
        <w:tabs>
          <w:tab w:val="left" w:pos="329"/>
        </w:tabs>
        <w:ind w:left="328"/>
        <w:rPr>
          <w:sz w:val="19"/>
        </w:rPr>
      </w:pPr>
      <w:r>
        <w:rPr>
          <w:color w:val="636466"/>
          <w:sz w:val="19"/>
        </w:rPr>
        <w:t xml:space="preserve">Released version </w:t>
      </w:r>
      <w:r>
        <w:rPr>
          <w:color w:val="636466"/>
          <w:spacing w:val="-5"/>
          <w:sz w:val="19"/>
        </w:rPr>
        <w:t>9.0</w:t>
      </w:r>
      <w:r w:rsidR="00E314B6">
        <w:rPr>
          <w:color w:val="636466"/>
          <w:spacing w:val="-5"/>
          <w:sz w:val="19"/>
        </w:rPr>
        <w:t xml:space="preserve"> </w:t>
      </w:r>
      <w:r>
        <w:rPr>
          <w:color w:val="636466"/>
          <w:sz w:val="19"/>
        </w:rPr>
        <w:t>of the Australian Refined-Diagnosis Related Groups</w:t>
      </w:r>
      <w:r>
        <w:rPr>
          <w:color w:val="636466"/>
          <w:spacing w:val="31"/>
          <w:sz w:val="19"/>
        </w:rPr>
        <w:t xml:space="preserve"> </w:t>
      </w:r>
      <w:r>
        <w:rPr>
          <w:color w:val="636466"/>
          <w:sz w:val="19"/>
        </w:rPr>
        <w:t>(AR-DRGs).</w:t>
      </w:r>
    </w:p>
    <w:p w:rsidR="00D840DF" w:rsidRDefault="00961020">
      <w:pPr>
        <w:pStyle w:val="ListParagraph"/>
        <w:numPr>
          <w:ilvl w:val="0"/>
          <w:numId w:val="23"/>
        </w:numPr>
        <w:tabs>
          <w:tab w:val="left" w:pos="329"/>
        </w:tabs>
        <w:spacing w:line="256" w:lineRule="auto"/>
        <w:ind w:left="328" w:right="501"/>
        <w:rPr>
          <w:sz w:val="19"/>
        </w:rPr>
      </w:pPr>
      <w:r>
        <w:rPr>
          <w:color w:val="636466"/>
          <w:sz w:val="19"/>
        </w:rPr>
        <w:t>Creation of educational animation to assist clinicians in understanding the importance of diagnoses information in medical</w:t>
      </w:r>
      <w:r>
        <w:rPr>
          <w:color w:val="636466"/>
          <w:spacing w:val="38"/>
          <w:sz w:val="19"/>
        </w:rPr>
        <w:t xml:space="preserve"> </w:t>
      </w:r>
      <w:r>
        <w:rPr>
          <w:color w:val="636466"/>
          <w:sz w:val="19"/>
        </w:rPr>
        <w:t>records.</w:t>
      </w:r>
    </w:p>
    <w:p w:rsidR="00D840DF" w:rsidRDefault="00D840DF">
      <w:pPr>
        <w:spacing w:line="256" w:lineRule="auto"/>
        <w:rPr>
          <w:sz w:val="19"/>
        </w:rPr>
        <w:sectPr w:rsidR="00D840DF">
          <w:pgSz w:w="9980" w:h="14180"/>
          <w:pgMar w:top="1320" w:right="1380" w:bottom="280" w:left="1200" w:header="720" w:footer="720" w:gutter="0"/>
          <w:cols w:space="720"/>
        </w:sectPr>
      </w:pPr>
    </w:p>
    <w:p w:rsidR="00D840DF" w:rsidRDefault="005A527A" w:rsidP="005A527A">
      <w:pPr>
        <w:pStyle w:val="Heading1"/>
      </w:pPr>
      <w:bookmarkStart w:id="72" w:name="Key_corporate_governance_practices_"/>
      <w:bookmarkStart w:id="73" w:name="Risk_management"/>
      <w:bookmarkStart w:id="74" w:name="Compliance"/>
      <w:bookmarkStart w:id="75" w:name="_bookmark20"/>
      <w:bookmarkStart w:id="76" w:name="_Toc496088492"/>
      <w:bookmarkEnd w:id="72"/>
      <w:bookmarkEnd w:id="73"/>
      <w:bookmarkEnd w:id="74"/>
      <w:bookmarkEnd w:id="75"/>
      <w:r>
        <w:rPr>
          <w:spacing w:val="-14"/>
        </w:rPr>
        <w:lastRenderedPageBreak/>
        <w:t xml:space="preserve">05 </w:t>
      </w:r>
      <w:r w:rsidR="00961020">
        <w:rPr>
          <w:spacing w:val="-14"/>
        </w:rPr>
        <w:t xml:space="preserve">Management </w:t>
      </w:r>
      <w:r w:rsidR="00961020">
        <w:rPr>
          <w:spacing w:val="-10"/>
        </w:rPr>
        <w:t xml:space="preserve">and </w:t>
      </w:r>
      <w:r w:rsidR="00961020">
        <w:t>accountability</w:t>
      </w:r>
      <w:bookmarkEnd w:id="76"/>
    </w:p>
    <w:p w:rsidR="00D840DF" w:rsidRDefault="00961020" w:rsidP="005A527A">
      <w:pPr>
        <w:pStyle w:val="Heading2"/>
      </w:pPr>
      <w:bookmarkStart w:id="77" w:name="_Toc496088493"/>
      <w:r>
        <w:rPr>
          <w:spacing w:val="-17"/>
        </w:rPr>
        <w:t xml:space="preserve">Key </w:t>
      </w:r>
      <w:r>
        <w:t xml:space="preserve">corporate </w:t>
      </w:r>
      <w:r>
        <w:rPr>
          <w:spacing w:val="-12"/>
        </w:rPr>
        <w:t xml:space="preserve">governance </w:t>
      </w:r>
      <w:r>
        <w:t>practices</w:t>
      </w:r>
      <w:bookmarkEnd w:id="77"/>
    </w:p>
    <w:p w:rsidR="00D840DF" w:rsidRPr="005A527A" w:rsidRDefault="00961020" w:rsidP="005A527A">
      <w:pPr>
        <w:pStyle w:val="BodyText"/>
      </w:pPr>
      <w:r>
        <w:t>Since formation of the agency in 2011, IHPA’s Accountable Authority has established a robust system of risk management and controls to assist in the governance of the agency.</w:t>
      </w:r>
    </w:p>
    <w:p w:rsidR="00D840DF" w:rsidRPr="005A527A" w:rsidRDefault="00961020">
      <w:pPr>
        <w:pStyle w:val="BodyText"/>
      </w:pPr>
      <w:r>
        <w:rPr>
          <w:color w:val="636466"/>
        </w:rPr>
        <w:t xml:space="preserve">The obligations defined in the </w:t>
      </w:r>
      <w:r>
        <w:rPr>
          <w:i/>
          <w:color w:val="636466"/>
        </w:rPr>
        <w:t xml:space="preserve">National Health Reform Act 2011 </w:t>
      </w:r>
      <w:r>
        <w:rPr>
          <w:color w:val="636466"/>
        </w:rPr>
        <w:t>are overseen by the Pricing Authority. The Pricing Authority provides guidance and approval on IHPA’s core business activities—ABF classification development and pricing products.</w:t>
      </w:r>
    </w:p>
    <w:p w:rsidR="00D840DF" w:rsidRDefault="00961020" w:rsidP="005A527A">
      <w:pPr>
        <w:pStyle w:val="Heading3"/>
      </w:pPr>
      <w:r>
        <w:t>Risk management</w:t>
      </w:r>
    </w:p>
    <w:p w:rsidR="00D840DF" w:rsidRPr="005A527A" w:rsidRDefault="00961020" w:rsidP="005A527A">
      <w:pPr>
        <w:pStyle w:val="BodyText"/>
      </w:pPr>
      <w:r>
        <w:t xml:space="preserve">IHPA’s enterprise approach to risk management is administered using tools that deal with strategic </w:t>
      </w:r>
      <w:r w:rsidRPr="005A527A">
        <w:t>and tactical risks.</w:t>
      </w:r>
    </w:p>
    <w:p w:rsidR="00D840DF" w:rsidRPr="005A527A" w:rsidRDefault="00961020" w:rsidP="005A527A">
      <w:pPr>
        <w:pStyle w:val="BodyText"/>
      </w:pPr>
      <w:r w:rsidRPr="005A527A">
        <w:t>Strategic risks are developed with reference to current business and environmental issues facing</w:t>
      </w:r>
      <w:r w:rsidR="00E314B6">
        <w:t xml:space="preserve"> </w:t>
      </w:r>
      <w:r w:rsidRPr="005A527A">
        <w:t>IHPA. At 30 June 2017, there were nine strategic risks under active management. These risks include: data management, maintenance of independence, classification development, compliance and corporate risks. These strategic risks are actively managed through audits, assurance and control processes. Where new risks emerge, resources are assigned to understand and manage the risks.</w:t>
      </w:r>
    </w:p>
    <w:p w:rsidR="00D840DF" w:rsidRPr="005A527A" w:rsidRDefault="00961020" w:rsidP="005A527A">
      <w:pPr>
        <w:pStyle w:val="BodyText"/>
      </w:pPr>
      <w:r w:rsidRPr="005A527A">
        <w:t>Tactical risks are managed through a decision based risk management tool. This is a particularly</w:t>
      </w:r>
      <w:r w:rsidR="00E314B6">
        <w:t xml:space="preserve"> </w:t>
      </w:r>
      <w:r w:rsidRPr="005A527A">
        <w:t>useful process in regards to procurement and information and communication technology (ICT) risks, as it enables them to be quickly documented and a position determined on the managed risk</w:t>
      </w:r>
      <w:r w:rsidR="00E314B6">
        <w:t xml:space="preserve"> </w:t>
      </w:r>
      <w:r w:rsidRPr="005A527A">
        <w:t xml:space="preserve">likelihood and consequence. Through this approach, management is fully </w:t>
      </w:r>
      <w:proofErr w:type="spellStart"/>
      <w:r w:rsidRPr="005A527A">
        <w:t>cognisant</w:t>
      </w:r>
      <w:proofErr w:type="spellEnd"/>
      <w:r w:rsidRPr="005A527A">
        <w:t xml:space="preserve"> of managed risk outcomes during its decision making.</w:t>
      </w:r>
    </w:p>
    <w:p w:rsidR="00D840DF" w:rsidRDefault="00961020" w:rsidP="005A527A">
      <w:pPr>
        <w:pStyle w:val="BodyText"/>
      </w:pPr>
      <w:r w:rsidRPr="005A527A">
        <w:t>IHPA has a mature enterprise risk management framework in place and risk management is considered</w:t>
      </w:r>
      <w:r>
        <w:t xml:space="preserve"> a business-as-usual activity for all IHPA staff.</w:t>
      </w:r>
    </w:p>
    <w:p w:rsidR="00D840DF" w:rsidRDefault="00D840DF">
      <w:pPr>
        <w:spacing w:line="256" w:lineRule="auto"/>
        <w:sectPr w:rsidR="00D840DF">
          <w:pgSz w:w="9980" w:h="14180"/>
          <w:pgMar w:top="1320" w:right="1200" w:bottom="280" w:left="1020" w:header="720" w:footer="720" w:gutter="0"/>
          <w:cols w:space="720"/>
        </w:sectPr>
      </w:pPr>
    </w:p>
    <w:p w:rsidR="00D840DF" w:rsidRDefault="00961020" w:rsidP="005A527A">
      <w:pPr>
        <w:pStyle w:val="Heading3"/>
      </w:pPr>
      <w:bookmarkStart w:id="78" w:name="Financial_authorisation"/>
      <w:bookmarkStart w:id="79" w:name="Audit,_Risk_and_Compliance_Committee_"/>
      <w:bookmarkStart w:id="80" w:name="Fraud_control_plan"/>
      <w:bookmarkStart w:id="81" w:name="_bookmark21"/>
      <w:bookmarkEnd w:id="78"/>
      <w:bookmarkEnd w:id="79"/>
      <w:bookmarkEnd w:id="80"/>
      <w:bookmarkEnd w:id="81"/>
      <w:r>
        <w:lastRenderedPageBreak/>
        <w:t>Compliance</w:t>
      </w:r>
    </w:p>
    <w:p w:rsidR="00D840DF" w:rsidRPr="008F7C36" w:rsidRDefault="00961020" w:rsidP="005A527A">
      <w:pPr>
        <w:pStyle w:val="BodyText"/>
        <w:rPr>
          <w:i/>
        </w:rPr>
      </w:pPr>
      <w:r>
        <w:t>IHPA has a broad range of compliance obligations including key statutory obligations set out</w:t>
      </w:r>
      <w:r w:rsidR="00E314B6">
        <w:t xml:space="preserve"> </w:t>
      </w:r>
      <w:r>
        <w:t xml:space="preserve">in the </w:t>
      </w:r>
      <w:r>
        <w:rPr>
          <w:i/>
        </w:rPr>
        <w:t xml:space="preserve">National Health Reform Act </w:t>
      </w:r>
      <w:r>
        <w:rPr>
          <w:i/>
          <w:spacing w:val="-11"/>
        </w:rPr>
        <w:t>2011</w:t>
      </w:r>
      <w:r w:rsidR="00E314B6">
        <w:rPr>
          <w:i/>
          <w:spacing w:val="-11"/>
        </w:rPr>
        <w:t xml:space="preserve"> </w:t>
      </w:r>
      <w:r>
        <w:t>and the National Health Reform Agreement, the</w:t>
      </w:r>
      <w:r>
        <w:rPr>
          <w:spacing w:val="-2"/>
        </w:rPr>
        <w:t xml:space="preserve"> </w:t>
      </w:r>
      <w:r>
        <w:rPr>
          <w:i/>
        </w:rPr>
        <w:t>Public</w:t>
      </w:r>
      <w:r w:rsidR="008F7C36">
        <w:rPr>
          <w:i/>
        </w:rPr>
        <w:t xml:space="preserve"> </w:t>
      </w:r>
      <w:r>
        <w:rPr>
          <w:i/>
        </w:rPr>
        <w:t xml:space="preserve">Governance Performance and Accountability Act 2013 </w:t>
      </w:r>
      <w:r>
        <w:t>(the PGPA Act) and the Public Governance Performance and Accountability Rule 2014. Other legal and compliance obligations include those relating to employees, work health and safety, privacy, freedom of information, intellectual property, the Protective Security Policy Framework, website accessibility and records management.</w:t>
      </w:r>
    </w:p>
    <w:p w:rsidR="00D840DF" w:rsidRPr="005A527A" w:rsidRDefault="00961020" w:rsidP="005A527A">
      <w:pPr>
        <w:pStyle w:val="BodyText"/>
      </w:pPr>
      <w:r>
        <w:t xml:space="preserve">The Accountable Authority received management assurances on IHPA’s compliance obligations through an </w:t>
      </w:r>
      <w:proofErr w:type="spellStart"/>
      <w:r>
        <w:t>organised</w:t>
      </w:r>
      <w:proofErr w:type="spellEnd"/>
      <w:r>
        <w:t xml:space="preserve"> system of controls and special exercises, including substantive testing, monthly reports, exception notifications and compliance audits undertaken by Crowe Horwath, the independent internal auditor.</w:t>
      </w:r>
    </w:p>
    <w:p w:rsidR="00D840DF" w:rsidRDefault="00961020" w:rsidP="005A527A">
      <w:pPr>
        <w:pStyle w:val="Heading4"/>
      </w:pPr>
      <w:r>
        <w:t>Compliance achievements during the year</w:t>
      </w:r>
      <w:r w:rsidR="00E314B6">
        <w:t xml:space="preserve"> </w:t>
      </w:r>
      <w:r>
        <w:t>include:</w:t>
      </w:r>
    </w:p>
    <w:p w:rsidR="00D840DF" w:rsidRDefault="00961020">
      <w:pPr>
        <w:pStyle w:val="ListParagraph"/>
        <w:numPr>
          <w:ilvl w:val="0"/>
          <w:numId w:val="23"/>
        </w:numPr>
        <w:tabs>
          <w:tab w:val="left" w:pos="331"/>
        </w:tabs>
        <w:spacing w:before="186"/>
        <w:ind w:left="330"/>
        <w:rPr>
          <w:sz w:val="19"/>
        </w:rPr>
      </w:pPr>
      <w:r>
        <w:rPr>
          <w:color w:val="636466"/>
          <w:spacing w:val="2"/>
          <w:sz w:val="19"/>
        </w:rPr>
        <w:t>ICT</w:t>
      </w:r>
      <w:r>
        <w:rPr>
          <w:color w:val="636466"/>
          <w:spacing w:val="13"/>
          <w:sz w:val="19"/>
        </w:rPr>
        <w:t xml:space="preserve"> </w:t>
      </w:r>
      <w:r>
        <w:rPr>
          <w:color w:val="636466"/>
          <w:sz w:val="19"/>
        </w:rPr>
        <w:t>systems</w:t>
      </w:r>
      <w:r>
        <w:rPr>
          <w:color w:val="636466"/>
          <w:spacing w:val="13"/>
          <w:sz w:val="19"/>
        </w:rPr>
        <w:t xml:space="preserve"> </w:t>
      </w:r>
      <w:r>
        <w:rPr>
          <w:color w:val="636466"/>
          <w:spacing w:val="2"/>
          <w:sz w:val="19"/>
        </w:rPr>
        <w:t>assessed</w:t>
      </w:r>
      <w:r>
        <w:rPr>
          <w:color w:val="636466"/>
          <w:spacing w:val="13"/>
          <w:sz w:val="19"/>
        </w:rPr>
        <w:t xml:space="preserve"> </w:t>
      </w:r>
      <w:r>
        <w:rPr>
          <w:color w:val="636466"/>
          <w:sz w:val="19"/>
        </w:rPr>
        <w:t>as</w:t>
      </w:r>
      <w:r>
        <w:rPr>
          <w:color w:val="636466"/>
          <w:spacing w:val="13"/>
          <w:sz w:val="19"/>
        </w:rPr>
        <w:t xml:space="preserve"> </w:t>
      </w:r>
      <w:r>
        <w:rPr>
          <w:color w:val="636466"/>
          <w:sz w:val="19"/>
        </w:rPr>
        <w:t>compliant</w:t>
      </w:r>
      <w:r>
        <w:rPr>
          <w:color w:val="636466"/>
          <w:spacing w:val="13"/>
          <w:sz w:val="19"/>
        </w:rPr>
        <w:t xml:space="preserve"> </w:t>
      </w:r>
      <w:r>
        <w:rPr>
          <w:color w:val="636466"/>
          <w:spacing w:val="1"/>
          <w:sz w:val="19"/>
        </w:rPr>
        <w:t>with</w:t>
      </w:r>
      <w:r>
        <w:rPr>
          <w:color w:val="636466"/>
          <w:spacing w:val="13"/>
          <w:sz w:val="19"/>
        </w:rPr>
        <w:t xml:space="preserve"> </w:t>
      </w:r>
      <w:r>
        <w:rPr>
          <w:color w:val="636466"/>
          <w:spacing w:val="1"/>
          <w:sz w:val="19"/>
        </w:rPr>
        <w:t>the</w:t>
      </w:r>
      <w:r>
        <w:rPr>
          <w:color w:val="636466"/>
          <w:spacing w:val="13"/>
          <w:sz w:val="19"/>
        </w:rPr>
        <w:t xml:space="preserve"> </w:t>
      </w:r>
      <w:r>
        <w:rPr>
          <w:color w:val="636466"/>
          <w:sz w:val="19"/>
        </w:rPr>
        <w:t>top</w:t>
      </w:r>
      <w:r>
        <w:rPr>
          <w:color w:val="636466"/>
          <w:spacing w:val="13"/>
          <w:sz w:val="19"/>
        </w:rPr>
        <w:t xml:space="preserve"> </w:t>
      </w:r>
      <w:r>
        <w:rPr>
          <w:color w:val="636466"/>
          <w:spacing w:val="1"/>
          <w:sz w:val="19"/>
        </w:rPr>
        <w:t>risks</w:t>
      </w:r>
      <w:r>
        <w:rPr>
          <w:color w:val="636466"/>
          <w:spacing w:val="13"/>
          <w:sz w:val="19"/>
        </w:rPr>
        <w:t xml:space="preserve"> </w:t>
      </w:r>
      <w:r>
        <w:rPr>
          <w:color w:val="636466"/>
          <w:sz w:val="19"/>
        </w:rPr>
        <w:t>defined</w:t>
      </w:r>
      <w:r>
        <w:rPr>
          <w:color w:val="636466"/>
          <w:spacing w:val="13"/>
          <w:sz w:val="19"/>
        </w:rPr>
        <w:t xml:space="preserve"> </w:t>
      </w:r>
      <w:r>
        <w:rPr>
          <w:color w:val="636466"/>
          <w:sz w:val="19"/>
        </w:rPr>
        <w:t>by</w:t>
      </w:r>
      <w:r>
        <w:rPr>
          <w:color w:val="636466"/>
          <w:spacing w:val="13"/>
          <w:sz w:val="19"/>
        </w:rPr>
        <w:t xml:space="preserve"> </w:t>
      </w:r>
      <w:r>
        <w:rPr>
          <w:color w:val="636466"/>
          <w:sz w:val="19"/>
        </w:rPr>
        <w:t>Australian</w:t>
      </w:r>
      <w:r>
        <w:rPr>
          <w:color w:val="636466"/>
          <w:spacing w:val="13"/>
          <w:sz w:val="19"/>
        </w:rPr>
        <w:t xml:space="preserve"> </w:t>
      </w:r>
      <w:r>
        <w:rPr>
          <w:color w:val="636466"/>
          <w:sz w:val="19"/>
        </w:rPr>
        <w:t>Signals</w:t>
      </w:r>
      <w:r>
        <w:rPr>
          <w:color w:val="636466"/>
          <w:spacing w:val="13"/>
          <w:sz w:val="19"/>
        </w:rPr>
        <w:t xml:space="preserve"> </w:t>
      </w:r>
      <w:r>
        <w:rPr>
          <w:color w:val="636466"/>
          <w:spacing w:val="1"/>
          <w:sz w:val="19"/>
        </w:rPr>
        <w:t>Directorate</w:t>
      </w:r>
    </w:p>
    <w:p w:rsidR="00D840DF" w:rsidRDefault="00961020">
      <w:pPr>
        <w:pStyle w:val="ListParagraph"/>
        <w:numPr>
          <w:ilvl w:val="0"/>
          <w:numId w:val="23"/>
        </w:numPr>
        <w:tabs>
          <w:tab w:val="left" w:pos="331"/>
        </w:tabs>
        <w:spacing w:line="256" w:lineRule="auto"/>
        <w:ind w:left="330" w:right="634"/>
        <w:rPr>
          <w:sz w:val="19"/>
        </w:rPr>
      </w:pPr>
      <w:r>
        <w:rPr>
          <w:color w:val="636466"/>
          <w:spacing w:val="-3"/>
          <w:sz w:val="19"/>
        </w:rPr>
        <w:t>IHPA</w:t>
      </w:r>
      <w:r>
        <w:rPr>
          <w:color w:val="636466"/>
          <w:spacing w:val="-6"/>
          <w:sz w:val="19"/>
        </w:rPr>
        <w:t xml:space="preserve"> </w:t>
      </w:r>
      <w:r>
        <w:rPr>
          <w:color w:val="636466"/>
          <w:sz w:val="19"/>
        </w:rPr>
        <w:t>confirmed</w:t>
      </w:r>
      <w:r>
        <w:rPr>
          <w:color w:val="636466"/>
          <w:spacing w:val="-6"/>
          <w:sz w:val="19"/>
        </w:rPr>
        <w:t xml:space="preserve"> </w:t>
      </w:r>
      <w:r>
        <w:rPr>
          <w:color w:val="636466"/>
          <w:sz w:val="19"/>
        </w:rPr>
        <w:t>to</w:t>
      </w:r>
      <w:r>
        <w:rPr>
          <w:color w:val="636466"/>
          <w:spacing w:val="-6"/>
          <w:sz w:val="19"/>
        </w:rPr>
        <w:t xml:space="preserve"> </w:t>
      </w:r>
      <w:r>
        <w:rPr>
          <w:color w:val="636466"/>
          <w:sz w:val="19"/>
        </w:rPr>
        <w:t>the</w:t>
      </w:r>
      <w:r>
        <w:rPr>
          <w:color w:val="636466"/>
          <w:spacing w:val="-6"/>
          <w:sz w:val="19"/>
        </w:rPr>
        <w:t xml:space="preserve"> </w:t>
      </w:r>
      <w:r>
        <w:rPr>
          <w:color w:val="636466"/>
          <w:sz w:val="19"/>
        </w:rPr>
        <w:t>relevant</w:t>
      </w:r>
      <w:r>
        <w:rPr>
          <w:color w:val="636466"/>
          <w:spacing w:val="-6"/>
          <w:sz w:val="19"/>
        </w:rPr>
        <w:t xml:space="preserve"> </w:t>
      </w:r>
      <w:r>
        <w:rPr>
          <w:color w:val="636466"/>
          <w:sz w:val="19"/>
        </w:rPr>
        <w:t>Ministers</w:t>
      </w:r>
      <w:r>
        <w:rPr>
          <w:color w:val="636466"/>
          <w:spacing w:val="-6"/>
          <w:sz w:val="19"/>
        </w:rPr>
        <w:t xml:space="preserve"> </w:t>
      </w:r>
      <w:r>
        <w:rPr>
          <w:color w:val="636466"/>
          <w:sz w:val="19"/>
        </w:rPr>
        <w:t>its</w:t>
      </w:r>
      <w:r>
        <w:rPr>
          <w:color w:val="636466"/>
          <w:spacing w:val="-6"/>
          <w:sz w:val="19"/>
        </w:rPr>
        <w:t xml:space="preserve"> </w:t>
      </w:r>
      <w:r>
        <w:rPr>
          <w:color w:val="636466"/>
          <w:sz w:val="19"/>
        </w:rPr>
        <w:t>full</w:t>
      </w:r>
      <w:r>
        <w:rPr>
          <w:color w:val="636466"/>
          <w:spacing w:val="-6"/>
          <w:sz w:val="19"/>
        </w:rPr>
        <w:t xml:space="preserve"> </w:t>
      </w:r>
      <w:r>
        <w:rPr>
          <w:color w:val="636466"/>
          <w:sz w:val="19"/>
        </w:rPr>
        <w:t>compliance</w:t>
      </w:r>
      <w:r>
        <w:rPr>
          <w:color w:val="636466"/>
          <w:spacing w:val="-6"/>
          <w:sz w:val="19"/>
        </w:rPr>
        <w:t xml:space="preserve"> </w:t>
      </w:r>
      <w:r>
        <w:rPr>
          <w:color w:val="636466"/>
          <w:sz w:val="19"/>
        </w:rPr>
        <w:t>with</w:t>
      </w:r>
      <w:r>
        <w:rPr>
          <w:color w:val="636466"/>
          <w:spacing w:val="-6"/>
          <w:sz w:val="19"/>
        </w:rPr>
        <w:t xml:space="preserve"> </w:t>
      </w:r>
      <w:r>
        <w:rPr>
          <w:color w:val="636466"/>
          <w:sz w:val="19"/>
        </w:rPr>
        <w:t>the</w:t>
      </w:r>
      <w:r>
        <w:rPr>
          <w:color w:val="636466"/>
          <w:spacing w:val="-6"/>
          <w:sz w:val="19"/>
        </w:rPr>
        <w:t xml:space="preserve"> </w:t>
      </w:r>
      <w:r>
        <w:rPr>
          <w:color w:val="636466"/>
          <w:sz w:val="19"/>
        </w:rPr>
        <w:t>Protective</w:t>
      </w:r>
      <w:r>
        <w:rPr>
          <w:color w:val="636466"/>
          <w:spacing w:val="-6"/>
          <w:sz w:val="19"/>
        </w:rPr>
        <w:t xml:space="preserve"> </w:t>
      </w:r>
      <w:r>
        <w:rPr>
          <w:color w:val="636466"/>
          <w:sz w:val="19"/>
        </w:rPr>
        <w:t>Security</w:t>
      </w:r>
      <w:r>
        <w:rPr>
          <w:color w:val="636466"/>
          <w:spacing w:val="-6"/>
          <w:sz w:val="19"/>
        </w:rPr>
        <w:t xml:space="preserve"> </w:t>
      </w:r>
      <w:r>
        <w:rPr>
          <w:color w:val="636466"/>
          <w:sz w:val="19"/>
        </w:rPr>
        <w:t>Policy Framework of the</w:t>
      </w:r>
      <w:r>
        <w:rPr>
          <w:color w:val="636466"/>
          <w:spacing w:val="-32"/>
          <w:sz w:val="19"/>
        </w:rPr>
        <w:t xml:space="preserve"> </w:t>
      </w:r>
      <w:r>
        <w:rPr>
          <w:color w:val="636466"/>
          <w:sz w:val="19"/>
        </w:rPr>
        <w:t>Commonwealth</w:t>
      </w:r>
    </w:p>
    <w:p w:rsidR="00D840DF" w:rsidRPr="008F7C36" w:rsidRDefault="00961020" w:rsidP="008F7C36">
      <w:pPr>
        <w:pStyle w:val="ListParagraph"/>
        <w:numPr>
          <w:ilvl w:val="0"/>
          <w:numId w:val="23"/>
        </w:numPr>
        <w:tabs>
          <w:tab w:val="left" w:pos="331"/>
        </w:tabs>
        <w:spacing w:before="112"/>
        <w:ind w:left="330"/>
        <w:rPr>
          <w:sz w:val="19"/>
        </w:rPr>
      </w:pPr>
      <w:r>
        <w:rPr>
          <w:color w:val="636466"/>
          <w:sz w:val="19"/>
        </w:rPr>
        <w:t>There</w:t>
      </w:r>
      <w:r>
        <w:rPr>
          <w:color w:val="636466"/>
          <w:spacing w:val="5"/>
          <w:sz w:val="19"/>
        </w:rPr>
        <w:t xml:space="preserve"> </w:t>
      </w:r>
      <w:r>
        <w:rPr>
          <w:color w:val="636466"/>
          <w:sz w:val="19"/>
        </w:rPr>
        <w:t>were</w:t>
      </w:r>
      <w:r>
        <w:rPr>
          <w:color w:val="636466"/>
          <w:spacing w:val="5"/>
          <w:sz w:val="19"/>
        </w:rPr>
        <w:t xml:space="preserve"> </w:t>
      </w:r>
      <w:r>
        <w:rPr>
          <w:color w:val="636466"/>
          <w:sz w:val="19"/>
        </w:rPr>
        <w:t>no</w:t>
      </w:r>
      <w:r>
        <w:rPr>
          <w:color w:val="636466"/>
          <w:spacing w:val="5"/>
          <w:sz w:val="19"/>
        </w:rPr>
        <w:t xml:space="preserve"> </w:t>
      </w:r>
      <w:r>
        <w:rPr>
          <w:color w:val="636466"/>
          <w:sz w:val="19"/>
        </w:rPr>
        <w:t>compliance</w:t>
      </w:r>
      <w:r>
        <w:rPr>
          <w:color w:val="636466"/>
          <w:spacing w:val="5"/>
          <w:sz w:val="19"/>
        </w:rPr>
        <w:t xml:space="preserve"> </w:t>
      </w:r>
      <w:r>
        <w:rPr>
          <w:color w:val="636466"/>
          <w:sz w:val="19"/>
        </w:rPr>
        <w:t>issues</w:t>
      </w:r>
      <w:r>
        <w:rPr>
          <w:color w:val="636466"/>
          <w:spacing w:val="5"/>
          <w:sz w:val="19"/>
        </w:rPr>
        <w:t xml:space="preserve"> </w:t>
      </w:r>
      <w:r>
        <w:rPr>
          <w:color w:val="636466"/>
          <w:sz w:val="19"/>
        </w:rPr>
        <w:t>arising</w:t>
      </w:r>
      <w:r>
        <w:rPr>
          <w:color w:val="636466"/>
          <w:spacing w:val="5"/>
          <w:sz w:val="19"/>
        </w:rPr>
        <w:t xml:space="preserve"> </w:t>
      </w:r>
      <w:r>
        <w:rPr>
          <w:color w:val="636466"/>
          <w:sz w:val="19"/>
        </w:rPr>
        <w:t>from</w:t>
      </w:r>
      <w:r>
        <w:rPr>
          <w:color w:val="636466"/>
          <w:spacing w:val="5"/>
          <w:sz w:val="19"/>
        </w:rPr>
        <w:t xml:space="preserve"> </w:t>
      </w:r>
      <w:r>
        <w:rPr>
          <w:color w:val="636466"/>
          <w:spacing w:val="-5"/>
          <w:sz w:val="19"/>
        </w:rPr>
        <w:t>IHPA’s</w:t>
      </w:r>
      <w:r>
        <w:rPr>
          <w:color w:val="636466"/>
          <w:spacing w:val="5"/>
          <w:sz w:val="19"/>
        </w:rPr>
        <w:t xml:space="preserve"> </w:t>
      </w:r>
      <w:r>
        <w:rPr>
          <w:color w:val="636466"/>
          <w:sz w:val="19"/>
        </w:rPr>
        <w:t>administration</w:t>
      </w:r>
      <w:r>
        <w:rPr>
          <w:color w:val="636466"/>
          <w:spacing w:val="5"/>
          <w:sz w:val="19"/>
        </w:rPr>
        <w:t xml:space="preserve"> </w:t>
      </w:r>
      <w:r>
        <w:rPr>
          <w:color w:val="636466"/>
          <w:sz w:val="19"/>
        </w:rPr>
        <w:t>of</w:t>
      </w:r>
      <w:r>
        <w:rPr>
          <w:color w:val="636466"/>
          <w:spacing w:val="5"/>
          <w:sz w:val="19"/>
        </w:rPr>
        <w:t xml:space="preserve"> </w:t>
      </w:r>
      <w:r>
        <w:rPr>
          <w:color w:val="636466"/>
          <w:sz w:val="19"/>
        </w:rPr>
        <w:t>relevant</w:t>
      </w:r>
      <w:r>
        <w:rPr>
          <w:color w:val="636466"/>
          <w:spacing w:val="5"/>
          <w:sz w:val="19"/>
        </w:rPr>
        <w:t xml:space="preserve"> </w:t>
      </w:r>
      <w:r>
        <w:rPr>
          <w:color w:val="636466"/>
          <w:sz w:val="19"/>
        </w:rPr>
        <w:t>sections</w:t>
      </w:r>
      <w:r>
        <w:rPr>
          <w:color w:val="636466"/>
          <w:spacing w:val="5"/>
          <w:sz w:val="19"/>
        </w:rPr>
        <w:t xml:space="preserve"> </w:t>
      </w:r>
      <w:r>
        <w:rPr>
          <w:color w:val="636466"/>
          <w:sz w:val="19"/>
        </w:rPr>
        <w:t>of</w:t>
      </w:r>
      <w:r>
        <w:rPr>
          <w:color w:val="636466"/>
          <w:spacing w:val="5"/>
          <w:sz w:val="19"/>
        </w:rPr>
        <w:t xml:space="preserve"> </w:t>
      </w:r>
      <w:r>
        <w:rPr>
          <w:color w:val="636466"/>
          <w:sz w:val="19"/>
        </w:rPr>
        <w:t>the</w:t>
      </w:r>
      <w:r w:rsidR="008F7C36">
        <w:rPr>
          <w:color w:val="636466"/>
          <w:sz w:val="19"/>
        </w:rPr>
        <w:t xml:space="preserve"> </w:t>
      </w:r>
      <w:r w:rsidRPr="008F7C36">
        <w:rPr>
          <w:i/>
          <w:color w:val="636466"/>
          <w:sz w:val="19"/>
        </w:rPr>
        <w:t>National Health Reform Act 2011</w:t>
      </w:r>
    </w:p>
    <w:p w:rsidR="00D840DF" w:rsidRDefault="00961020">
      <w:pPr>
        <w:pStyle w:val="ListParagraph"/>
        <w:numPr>
          <w:ilvl w:val="0"/>
          <w:numId w:val="23"/>
        </w:numPr>
        <w:tabs>
          <w:tab w:val="left" w:pos="331"/>
        </w:tabs>
        <w:spacing w:before="130" w:line="256" w:lineRule="auto"/>
        <w:ind w:left="330" w:right="564"/>
        <w:rPr>
          <w:i/>
          <w:sz w:val="19"/>
        </w:rPr>
      </w:pPr>
      <w:r>
        <w:rPr>
          <w:color w:val="636466"/>
          <w:sz w:val="19"/>
        </w:rPr>
        <w:t xml:space="preserve">IHPA did not report any material compliance issues emanating from the </w:t>
      </w:r>
      <w:r>
        <w:rPr>
          <w:i/>
          <w:color w:val="636466"/>
          <w:sz w:val="19"/>
        </w:rPr>
        <w:t>Public Governance Performance and Accountability Act</w:t>
      </w:r>
      <w:r w:rsidR="00E314B6">
        <w:rPr>
          <w:i/>
          <w:color w:val="636466"/>
          <w:sz w:val="19"/>
        </w:rPr>
        <w:t xml:space="preserve"> </w:t>
      </w:r>
      <w:r>
        <w:rPr>
          <w:i/>
          <w:color w:val="636466"/>
          <w:spacing w:val="-7"/>
          <w:sz w:val="19"/>
        </w:rPr>
        <w:t>2013</w:t>
      </w:r>
    </w:p>
    <w:p w:rsidR="00D840DF" w:rsidRPr="005A527A" w:rsidRDefault="00961020" w:rsidP="005A527A">
      <w:pPr>
        <w:pStyle w:val="ListParagraph"/>
        <w:numPr>
          <w:ilvl w:val="0"/>
          <w:numId w:val="23"/>
        </w:numPr>
        <w:tabs>
          <w:tab w:val="left" w:pos="331"/>
        </w:tabs>
        <w:spacing w:before="113" w:line="256" w:lineRule="auto"/>
        <w:ind w:left="330" w:right="720"/>
        <w:rPr>
          <w:sz w:val="19"/>
        </w:rPr>
      </w:pPr>
      <w:r>
        <w:rPr>
          <w:color w:val="636466"/>
          <w:sz w:val="19"/>
        </w:rPr>
        <w:t>Third-party audit by Crowe Horwath on internal governance and management of Pricing Authority protected data, with a positive</w:t>
      </w:r>
      <w:r w:rsidR="00E314B6">
        <w:rPr>
          <w:color w:val="636466"/>
          <w:sz w:val="19"/>
        </w:rPr>
        <w:t xml:space="preserve"> </w:t>
      </w:r>
      <w:r>
        <w:rPr>
          <w:color w:val="636466"/>
          <w:sz w:val="19"/>
        </w:rPr>
        <w:t>result.</w:t>
      </w:r>
    </w:p>
    <w:p w:rsidR="00D840DF" w:rsidRDefault="00961020" w:rsidP="005A527A">
      <w:pPr>
        <w:pStyle w:val="Heading3"/>
      </w:pPr>
      <w:r>
        <w:t xml:space="preserve">Financial </w:t>
      </w:r>
      <w:proofErr w:type="spellStart"/>
      <w:r>
        <w:t>authorisation</w:t>
      </w:r>
      <w:proofErr w:type="spellEnd"/>
    </w:p>
    <w:p w:rsidR="00D840DF" w:rsidRDefault="00961020" w:rsidP="005A527A">
      <w:pPr>
        <w:pStyle w:val="BodyText"/>
      </w:pPr>
      <w:r>
        <w:t>IHPA makes procurement decisions in accordance with the Commonwealth Procurement rules.</w:t>
      </w:r>
      <w:r w:rsidR="00E314B6">
        <w:t xml:space="preserve"> </w:t>
      </w:r>
      <w:r>
        <w:t xml:space="preserve">Line managers </w:t>
      </w:r>
      <w:r w:rsidRPr="005A527A">
        <w:t>have</w:t>
      </w:r>
      <w:r>
        <w:t xml:space="preserve"> value and purchase class limits in accordance with a delegation of financial authorities that is approved by the Accountable</w:t>
      </w:r>
      <w:r w:rsidR="00E314B6">
        <w:t xml:space="preserve"> </w:t>
      </w:r>
      <w:r>
        <w:t>Authority.</w:t>
      </w:r>
    </w:p>
    <w:p w:rsidR="00D840DF" w:rsidRDefault="00D840DF">
      <w:pPr>
        <w:spacing w:line="256" w:lineRule="auto"/>
        <w:sectPr w:rsidR="00D840DF">
          <w:pgSz w:w="9980" w:h="14180"/>
          <w:pgMar w:top="1320" w:right="1100" w:bottom="280" w:left="1200" w:header="720" w:footer="720" w:gutter="0"/>
          <w:cols w:space="720"/>
        </w:sectPr>
      </w:pPr>
    </w:p>
    <w:p w:rsidR="00D840DF" w:rsidRDefault="00961020" w:rsidP="005A527A">
      <w:pPr>
        <w:pStyle w:val="Heading3"/>
      </w:pPr>
      <w:bookmarkStart w:id="82" w:name="Management_of_human_resources"/>
      <w:bookmarkStart w:id="83" w:name="Inter-agency_financial_activity"/>
      <w:bookmarkStart w:id="84" w:name="Ecologically_sustainable_development_and"/>
      <w:bookmarkStart w:id="85" w:name="_bookmark22"/>
      <w:bookmarkEnd w:id="82"/>
      <w:bookmarkEnd w:id="83"/>
      <w:bookmarkEnd w:id="84"/>
      <w:bookmarkEnd w:id="85"/>
      <w:r>
        <w:lastRenderedPageBreak/>
        <w:t>Audit, Risk and Compliance Committee</w:t>
      </w:r>
    </w:p>
    <w:p w:rsidR="00D840DF" w:rsidRPr="005A527A" w:rsidRDefault="00961020">
      <w:pPr>
        <w:pStyle w:val="BodyText"/>
      </w:pPr>
      <w:r>
        <w:t xml:space="preserve">The IHPA </w:t>
      </w:r>
      <w:r w:rsidRPr="005A527A">
        <w:t>Audit, Risk and Compliance (ARC) Committee provides independent advice</w:t>
      </w:r>
      <w:r w:rsidR="008F7C36">
        <w:t xml:space="preserve"> </w:t>
      </w:r>
      <w:r w:rsidRPr="005A527A">
        <w:t>to assist th</w:t>
      </w:r>
      <w:r>
        <w:t>e Chief Executive Officer, the Executive Committee and the Pricing Authority manage IHPA’s financial and business risk.</w:t>
      </w:r>
    </w:p>
    <w:p w:rsidR="00D840DF" w:rsidRDefault="00961020" w:rsidP="005A527A">
      <w:pPr>
        <w:pStyle w:val="Heading4"/>
      </w:pPr>
      <w:r>
        <w:t>At 30 June 2017</w:t>
      </w:r>
      <w:r w:rsidR="00E314B6">
        <w:t xml:space="preserve"> </w:t>
      </w:r>
      <w:r>
        <w:t>members of the ARC Committee comprised:</w:t>
      </w:r>
    </w:p>
    <w:p w:rsidR="00D840DF" w:rsidRDefault="00961020">
      <w:pPr>
        <w:pStyle w:val="ListParagraph"/>
        <w:numPr>
          <w:ilvl w:val="0"/>
          <w:numId w:val="23"/>
        </w:numPr>
        <w:tabs>
          <w:tab w:val="left" w:pos="341"/>
        </w:tabs>
        <w:spacing w:before="186"/>
        <w:rPr>
          <w:sz w:val="19"/>
        </w:rPr>
      </w:pPr>
      <w:r>
        <w:rPr>
          <w:color w:val="636466"/>
          <w:sz w:val="19"/>
        </w:rPr>
        <w:t>Robert Butterworth, Chair and Independent</w:t>
      </w:r>
      <w:r w:rsidR="00E314B6">
        <w:rPr>
          <w:color w:val="636466"/>
          <w:sz w:val="19"/>
        </w:rPr>
        <w:t xml:space="preserve"> </w:t>
      </w:r>
      <w:r>
        <w:rPr>
          <w:color w:val="636466"/>
          <w:sz w:val="19"/>
        </w:rPr>
        <w:t>member</w:t>
      </w:r>
    </w:p>
    <w:p w:rsidR="00D840DF" w:rsidRDefault="00961020">
      <w:pPr>
        <w:pStyle w:val="ListParagraph"/>
        <w:numPr>
          <w:ilvl w:val="0"/>
          <w:numId w:val="23"/>
        </w:numPr>
        <w:tabs>
          <w:tab w:val="left" w:pos="341"/>
        </w:tabs>
        <w:rPr>
          <w:sz w:val="19"/>
        </w:rPr>
      </w:pPr>
      <w:r>
        <w:rPr>
          <w:color w:val="636466"/>
          <w:sz w:val="19"/>
        </w:rPr>
        <w:t>Angela Diamond, Independent</w:t>
      </w:r>
      <w:r>
        <w:rPr>
          <w:color w:val="636466"/>
          <w:spacing w:val="37"/>
          <w:sz w:val="19"/>
        </w:rPr>
        <w:t xml:space="preserve"> </w:t>
      </w:r>
      <w:r>
        <w:rPr>
          <w:color w:val="636466"/>
          <w:sz w:val="19"/>
        </w:rPr>
        <w:t>member</w:t>
      </w:r>
    </w:p>
    <w:p w:rsidR="00D840DF" w:rsidRPr="005A527A" w:rsidRDefault="00961020" w:rsidP="005A527A">
      <w:pPr>
        <w:pStyle w:val="ListParagraph"/>
        <w:numPr>
          <w:ilvl w:val="0"/>
          <w:numId w:val="23"/>
        </w:numPr>
        <w:tabs>
          <w:tab w:val="left" w:pos="341"/>
        </w:tabs>
        <w:rPr>
          <w:sz w:val="19"/>
        </w:rPr>
      </w:pPr>
      <w:r>
        <w:rPr>
          <w:color w:val="636466"/>
          <w:sz w:val="19"/>
        </w:rPr>
        <w:t xml:space="preserve">Alan </w:t>
      </w:r>
      <w:proofErr w:type="spellStart"/>
      <w:r>
        <w:rPr>
          <w:color w:val="636466"/>
          <w:sz w:val="19"/>
        </w:rPr>
        <w:t>Bansemer</w:t>
      </w:r>
      <w:proofErr w:type="spellEnd"/>
      <w:r>
        <w:rPr>
          <w:color w:val="636466"/>
          <w:sz w:val="19"/>
        </w:rPr>
        <w:t>, Independent</w:t>
      </w:r>
      <w:r>
        <w:rPr>
          <w:color w:val="636466"/>
          <w:spacing w:val="18"/>
          <w:sz w:val="19"/>
        </w:rPr>
        <w:t xml:space="preserve"> </w:t>
      </w:r>
      <w:r>
        <w:rPr>
          <w:color w:val="636466"/>
          <w:sz w:val="19"/>
        </w:rPr>
        <w:t>member.</w:t>
      </w:r>
    </w:p>
    <w:p w:rsidR="00D840DF" w:rsidRDefault="00961020" w:rsidP="005A527A">
      <w:pPr>
        <w:pStyle w:val="Heading3"/>
      </w:pPr>
      <w:r>
        <w:t>Fraud control plan</w:t>
      </w:r>
    </w:p>
    <w:p w:rsidR="00D840DF" w:rsidRPr="005A527A" w:rsidRDefault="00961020">
      <w:pPr>
        <w:pStyle w:val="BodyText"/>
      </w:pPr>
      <w:r>
        <w:t xml:space="preserve">IHPA’s </w:t>
      </w:r>
      <w:r w:rsidRPr="005A527A">
        <w:t xml:space="preserve">fraud control plan is </w:t>
      </w:r>
      <w:proofErr w:type="spellStart"/>
      <w:r w:rsidRPr="005A527A">
        <w:t>recognised</w:t>
      </w:r>
      <w:proofErr w:type="spellEnd"/>
      <w:r w:rsidRPr="005A527A">
        <w:t xml:space="preserve"> as a critical internal tool used to mitigate the act</w:t>
      </w:r>
      <w:r w:rsidR="005A527A">
        <w:t xml:space="preserve"> </w:t>
      </w:r>
      <w:r w:rsidRPr="005A527A">
        <w:t xml:space="preserve">and consequences of </w:t>
      </w:r>
      <w:proofErr w:type="spellStart"/>
      <w:r w:rsidRPr="005A527A">
        <w:t>unauthorised</w:t>
      </w:r>
      <w:proofErr w:type="spellEnd"/>
      <w:r w:rsidRPr="005A527A">
        <w:t xml:space="preserve"> use of IHPA data and financial resources. The plan encourages ethical </w:t>
      </w:r>
      <w:proofErr w:type="spellStart"/>
      <w:r w:rsidRPr="005A527A">
        <w:t>behaviour</w:t>
      </w:r>
      <w:proofErr w:type="spellEnd"/>
      <w:r w:rsidRPr="005A527A">
        <w:t xml:space="preserve"> through use of business processes designed to prevent deceptive activities, supported by monitoring controls to detect fraud and</w:t>
      </w:r>
      <w:r w:rsidR="00E314B6">
        <w:t xml:space="preserve"> </w:t>
      </w:r>
      <w:r w:rsidRPr="005A527A">
        <w:t>deter</w:t>
      </w:r>
      <w:r w:rsidR="005A527A">
        <w:t xml:space="preserve"> </w:t>
      </w:r>
      <w:r w:rsidRPr="005A527A">
        <w:t xml:space="preserve">offending </w:t>
      </w:r>
      <w:proofErr w:type="spellStart"/>
      <w:r w:rsidRPr="005A527A">
        <w:t>behaviour</w:t>
      </w:r>
      <w:proofErr w:type="spellEnd"/>
      <w:r>
        <w:t>.</w:t>
      </w:r>
    </w:p>
    <w:p w:rsidR="00D840DF" w:rsidRDefault="00961020" w:rsidP="005A527A">
      <w:pPr>
        <w:pStyle w:val="Heading3"/>
      </w:pPr>
      <w:r>
        <w:t>Inter-agency financial activity</w:t>
      </w:r>
    </w:p>
    <w:p w:rsidR="00D840DF" w:rsidRPr="005A527A" w:rsidRDefault="00961020">
      <w:pPr>
        <w:pStyle w:val="BodyText"/>
      </w:pPr>
      <w:r>
        <w:t>During the 2016–17</w:t>
      </w:r>
      <w:r w:rsidR="00E314B6">
        <w:t xml:space="preserve"> </w:t>
      </w:r>
      <w:r>
        <w:t>financial</w:t>
      </w:r>
      <w:r w:rsidR="00E314B6">
        <w:t xml:space="preserve"> </w:t>
      </w:r>
      <w:r>
        <w:t>year</w:t>
      </w:r>
      <w:r w:rsidR="00E314B6">
        <w:t xml:space="preserve"> </w:t>
      </w:r>
      <w:r>
        <w:t>IHPA received shared services resourcing from</w:t>
      </w:r>
      <w:r w:rsidR="00E314B6">
        <w:t xml:space="preserve"> </w:t>
      </w:r>
      <w:r>
        <w:t>the Department of Health. The Department of Health charged IHPA $0.414 million to provide these services covering treasury, processing of financial transactions, information and communication desktop services and parliamentary support.</w:t>
      </w:r>
    </w:p>
    <w:p w:rsidR="00D840DF" w:rsidRDefault="00961020" w:rsidP="005A527A">
      <w:pPr>
        <w:pStyle w:val="Heading3"/>
      </w:pPr>
      <w:r>
        <w:t xml:space="preserve">Ecologically sustainable </w:t>
      </w:r>
      <w:r>
        <w:rPr>
          <w:spacing w:val="-5"/>
        </w:rPr>
        <w:t xml:space="preserve">development </w:t>
      </w:r>
      <w:r>
        <w:t xml:space="preserve">and </w:t>
      </w:r>
      <w:r>
        <w:rPr>
          <w:spacing w:val="-4"/>
        </w:rPr>
        <w:t xml:space="preserve">environmental </w:t>
      </w:r>
      <w:r>
        <w:t>performance</w:t>
      </w:r>
    </w:p>
    <w:p w:rsidR="00D840DF" w:rsidRDefault="00961020" w:rsidP="005A527A">
      <w:pPr>
        <w:pStyle w:val="BodyText"/>
      </w:pPr>
      <w:r>
        <w:t xml:space="preserve">IHPA does not undertake any substantive work that is covered by s 516A of the </w:t>
      </w:r>
      <w:r>
        <w:rPr>
          <w:i/>
        </w:rPr>
        <w:t>Environment Protection Act 1999</w:t>
      </w:r>
      <w:r>
        <w:t>.</w:t>
      </w:r>
    </w:p>
    <w:p w:rsidR="00D840DF" w:rsidRDefault="00D840DF">
      <w:pPr>
        <w:spacing w:line="256" w:lineRule="auto"/>
        <w:rPr>
          <w:sz w:val="19"/>
        </w:rPr>
        <w:sectPr w:rsidR="00D840DF">
          <w:pgSz w:w="9980" w:h="14180"/>
          <w:pgMar w:top="1320" w:right="1200" w:bottom="280" w:left="1020" w:header="720" w:footer="720" w:gutter="0"/>
          <w:cols w:space="720"/>
        </w:sectPr>
      </w:pPr>
    </w:p>
    <w:p w:rsidR="00D840DF" w:rsidRDefault="00961020" w:rsidP="005A527A">
      <w:pPr>
        <w:pStyle w:val="Heading2"/>
      </w:pPr>
      <w:bookmarkStart w:id="86" w:name="Staff_training"/>
      <w:bookmarkStart w:id="87" w:name="The_Accountable_Authority—education_and_"/>
      <w:bookmarkStart w:id="88" w:name="Work,_Health_and_Safety_(WHS)"/>
      <w:bookmarkStart w:id="89" w:name="Advertising_and_market_research"/>
      <w:bookmarkStart w:id="90" w:name="_bookmark23"/>
      <w:bookmarkStart w:id="91" w:name="_Toc496088494"/>
      <w:bookmarkEnd w:id="86"/>
      <w:bookmarkEnd w:id="87"/>
      <w:bookmarkEnd w:id="88"/>
      <w:bookmarkEnd w:id="89"/>
      <w:bookmarkEnd w:id="90"/>
      <w:r>
        <w:lastRenderedPageBreak/>
        <w:t xml:space="preserve">Management </w:t>
      </w:r>
      <w:r>
        <w:rPr>
          <w:spacing w:val="-5"/>
        </w:rPr>
        <w:t xml:space="preserve">of </w:t>
      </w:r>
      <w:r>
        <w:rPr>
          <w:spacing w:val="-8"/>
        </w:rPr>
        <w:t xml:space="preserve">human </w:t>
      </w:r>
      <w:r>
        <w:rPr>
          <w:spacing w:val="-10"/>
        </w:rPr>
        <w:t>resources</w:t>
      </w:r>
      <w:bookmarkEnd w:id="91"/>
    </w:p>
    <w:p w:rsidR="00D840DF" w:rsidRPr="005A527A" w:rsidRDefault="00961020" w:rsidP="005A527A">
      <w:pPr>
        <w:pStyle w:val="BodyText"/>
      </w:pPr>
      <w:r>
        <w:t xml:space="preserve">In 2016–17, </w:t>
      </w:r>
      <w:r w:rsidRPr="005A527A">
        <w:t>IHPA’s staff transferred to the Department of Health and seconded back to IHPA as part of machinery of government</w:t>
      </w:r>
      <w:r w:rsidR="00E314B6">
        <w:t xml:space="preserve"> </w:t>
      </w:r>
      <w:r w:rsidRPr="005A527A">
        <w:t>changes.</w:t>
      </w:r>
    </w:p>
    <w:p w:rsidR="00D840DF" w:rsidRPr="005A527A" w:rsidRDefault="00961020" w:rsidP="005A527A">
      <w:pPr>
        <w:pStyle w:val="BodyText"/>
      </w:pPr>
      <w:r w:rsidRPr="005A527A">
        <w:t>The Department of Health will report on IHPA staff as part of its staffing numbers, however to ensure transparency IHPA</w:t>
      </w:r>
      <w:r>
        <w:rPr>
          <w:color w:val="636466"/>
        </w:rPr>
        <w:t xml:space="preserve"> will report separately on those staff who have been seconded to IHPA and report to the IHPA Chief Executive Officer.</w:t>
      </w:r>
    </w:p>
    <w:p w:rsidR="00D840DF" w:rsidRPr="005A527A" w:rsidRDefault="00961020" w:rsidP="005A527A">
      <w:pPr>
        <w:pStyle w:val="Heading4"/>
      </w:pPr>
      <w:bookmarkStart w:id="92" w:name="_Table_3:_Staff"/>
      <w:bookmarkEnd w:id="92"/>
      <w:r>
        <w:t>Table 3: Staff numbers by classification, gender and full-time/part-time status at 30 June 2017</w:t>
      </w:r>
    </w:p>
    <w:tbl>
      <w:tblPr>
        <w:tblW w:w="0" w:type="auto"/>
        <w:tblInd w:w="103" w:type="dxa"/>
        <w:tblBorders>
          <w:top w:val="single" w:sz="2" w:space="0" w:color="C7C8CA"/>
          <w:left w:val="single" w:sz="2" w:space="0" w:color="C7C8CA"/>
          <w:bottom w:val="single" w:sz="2" w:space="0" w:color="C7C8CA"/>
          <w:right w:val="single" w:sz="2" w:space="0" w:color="C7C8CA"/>
          <w:insideH w:val="single" w:sz="2" w:space="0" w:color="C7C8CA"/>
          <w:insideV w:val="single" w:sz="2" w:space="0" w:color="C7C8CA"/>
        </w:tblBorders>
        <w:tblLayout w:type="fixed"/>
        <w:tblCellMar>
          <w:left w:w="0" w:type="dxa"/>
          <w:right w:w="0" w:type="dxa"/>
        </w:tblCellMar>
        <w:tblLook w:val="01E0" w:firstRow="1" w:lastRow="1" w:firstColumn="1" w:lastColumn="1" w:noHBand="0" w:noVBand="0"/>
      </w:tblPr>
      <w:tblGrid>
        <w:gridCol w:w="1746"/>
        <w:gridCol w:w="764"/>
        <w:gridCol w:w="716"/>
        <w:gridCol w:w="1003"/>
        <w:gridCol w:w="764"/>
        <w:gridCol w:w="716"/>
        <w:gridCol w:w="1003"/>
        <w:gridCol w:w="828"/>
      </w:tblGrid>
      <w:tr w:rsidR="00D840DF">
        <w:trPr>
          <w:trHeight w:val="280"/>
        </w:trPr>
        <w:tc>
          <w:tcPr>
            <w:tcW w:w="1746" w:type="dxa"/>
            <w:tcBorders>
              <w:top w:val="nil"/>
              <w:left w:val="nil"/>
              <w:bottom w:val="nil"/>
            </w:tcBorders>
          </w:tcPr>
          <w:p w:rsidR="00D840DF" w:rsidRDefault="00D840DF">
            <w:pPr>
              <w:pStyle w:val="TableParagraph"/>
              <w:spacing w:before="0"/>
              <w:rPr>
                <w:rFonts w:ascii="Times New Roman"/>
                <w:sz w:val="18"/>
              </w:rPr>
            </w:pPr>
          </w:p>
        </w:tc>
        <w:tc>
          <w:tcPr>
            <w:tcW w:w="2483" w:type="dxa"/>
            <w:gridSpan w:val="3"/>
            <w:tcBorders>
              <w:top w:val="nil"/>
              <w:bottom w:val="nil"/>
            </w:tcBorders>
            <w:shd w:val="clear" w:color="auto" w:fill="008F54"/>
          </w:tcPr>
          <w:p w:rsidR="00D840DF" w:rsidRDefault="00961020">
            <w:pPr>
              <w:pStyle w:val="TableParagraph"/>
              <w:spacing w:before="30"/>
              <w:ind w:left="110"/>
              <w:rPr>
                <w:rFonts w:ascii="Futura PT Heavy"/>
                <w:b/>
                <w:sz w:val="17"/>
              </w:rPr>
            </w:pPr>
            <w:r>
              <w:rPr>
                <w:rFonts w:ascii="Futura PT Heavy"/>
                <w:b/>
                <w:color w:val="FFFFFF"/>
                <w:sz w:val="17"/>
              </w:rPr>
              <w:t>FEMALE</w:t>
            </w:r>
          </w:p>
        </w:tc>
        <w:tc>
          <w:tcPr>
            <w:tcW w:w="2483" w:type="dxa"/>
            <w:gridSpan w:val="3"/>
            <w:tcBorders>
              <w:top w:val="nil"/>
              <w:bottom w:val="nil"/>
            </w:tcBorders>
            <w:shd w:val="clear" w:color="auto" w:fill="008F54"/>
          </w:tcPr>
          <w:p w:rsidR="00D840DF" w:rsidRDefault="00961020">
            <w:pPr>
              <w:pStyle w:val="TableParagraph"/>
              <w:spacing w:before="30"/>
              <w:ind w:left="110"/>
              <w:rPr>
                <w:rFonts w:ascii="Futura PT Heavy"/>
                <w:b/>
                <w:sz w:val="17"/>
              </w:rPr>
            </w:pPr>
            <w:r>
              <w:rPr>
                <w:rFonts w:ascii="Futura PT Heavy"/>
                <w:b/>
                <w:color w:val="FFFFFF"/>
                <w:sz w:val="17"/>
              </w:rPr>
              <w:t>MALE</w:t>
            </w:r>
          </w:p>
        </w:tc>
        <w:tc>
          <w:tcPr>
            <w:tcW w:w="828" w:type="dxa"/>
            <w:tcBorders>
              <w:top w:val="nil"/>
              <w:bottom w:val="nil"/>
              <w:right w:val="nil"/>
            </w:tcBorders>
          </w:tcPr>
          <w:p w:rsidR="00D840DF" w:rsidRDefault="00D840DF">
            <w:pPr>
              <w:pStyle w:val="TableParagraph"/>
              <w:spacing w:before="0"/>
              <w:rPr>
                <w:rFonts w:ascii="Times New Roman"/>
                <w:sz w:val="18"/>
              </w:rPr>
            </w:pPr>
          </w:p>
        </w:tc>
      </w:tr>
      <w:tr w:rsidR="00D840DF">
        <w:trPr>
          <w:trHeight w:val="260"/>
        </w:trPr>
        <w:tc>
          <w:tcPr>
            <w:tcW w:w="1746" w:type="dxa"/>
            <w:tcBorders>
              <w:top w:val="nil"/>
              <w:left w:val="nil"/>
              <w:bottom w:val="nil"/>
            </w:tcBorders>
            <w:shd w:val="clear" w:color="auto" w:fill="E2F0D8"/>
          </w:tcPr>
          <w:p w:rsidR="00D840DF" w:rsidRDefault="00961020">
            <w:pPr>
              <w:pStyle w:val="TableParagraph"/>
              <w:spacing w:before="33"/>
              <w:ind w:left="113"/>
              <w:rPr>
                <w:rFonts w:ascii="Futura PT Bold"/>
                <w:b/>
                <w:sz w:val="16"/>
              </w:rPr>
            </w:pPr>
            <w:r>
              <w:rPr>
                <w:rFonts w:ascii="Futura PT Bold"/>
                <w:b/>
                <w:color w:val="003E2D"/>
                <w:sz w:val="16"/>
              </w:rPr>
              <w:t>CLASSIFICATION</w:t>
            </w:r>
          </w:p>
        </w:tc>
        <w:tc>
          <w:tcPr>
            <w:tcW w:w="764" w:type="dxa"/>
            <w:tcBorders>
              <w:top w:val="nil"/>
              <w:bottom w:val="nil"/>
              <w:right w:val="nil"/>
            </w:tcBorders>
            <w:shd w:val="clear" w:color="auto" w:fill="E2F0D8"/>
          </w:tcPr>
          <w:p w:rsidR="00D840DF" w:rsidRDefault="00961020">
            <w:pPr>
              <w:pStyle w:val="TableParagraph"/>
              <w:spacing w:before="33"/>
              <w:ind w:left="110"/>
              <w:rPr>
                <w:rFonts w:ascii="Futura PT Bold"/>
                <w:b/>
                <w:sz w:val="16"/>
              </w:rPr>
            </w:pPr>
            <w:r>
              <w:rPr>
                <w:rFonts w:ascii="Futura PT Bold"/>
                <w:b/>
                <w:color w:val="003E2D"/>
                <w:sz w:val="16"/>
              </w:rPr>
              <w:t>TOTAL</w:t>
            </w:r>
          </w:p>
        </w:tc>
        <w:tc>
          <w:tcPr>
            <w:tcW w:w="716" w:type="dxa"/>
            <w:tcBorders>
              <w:top w:val="nil"/>
              <w:left w:val="nil"/>
              <w:bottom w:val="nil"/>
              <w:right w:val="nil"/>
            </w:tcBorders>
            <w:shd w:val="clear" w:color="auto" w:fill="E2F0D8"/>
          </w:tcPr>
          <w:p w:rsidR="00D840DF" w:rsidRDefault="00961020">
            <w:pPr>
              <w:pStyle w:val="TableParagraph"/>
              <w:spacing w:before="33"/>
              <w:ind w:left="177"/>
              <w:rPr>
                <w:rFonts w:ascii="Futura PT Bold"/>
                <w:b/>
                <w:sz w:val="16"/>
              </w:rPr>
            </w:pPr>
            <w:r>
              <w:rPr>
                <w:rFonts w:ascii="Futura PT Bold"/>
                <w:b/>
                <w:color w:val="003E2D"/>
                <w:sz w:val="16"/>
              </w:rPr>
              <w:t>F/T</w:t>
            </w:r>
          </w:p>
        </w:tc>
        <w:tc>
          <w:tcPr>
            <w:tcW w:w="1003" w:type="dxa"/>
            <w:tcBorders>
              <w:top w:val="nil"/>
              <w:left w:val="nil"/>
              <w:bottom w:val="nil"/>
            </w:tcBorders>
            <w:shd w:val="clear" w:color="auto" w:fill="E2F0D8"/>
          </w:tcPr>
          <w:p w:rsidR="00D840DF" w:rsidRDefault="00961020">
            <w:pPr>
              <w:pStyle w:val="TableParagraph"/>
              <w:spacing w:before="33"/>
              <w:ind w:left="288"/>
              <w:rPr>
                <w:rFonts w:ascii="Futura PT Bold"/>
                <w:b/>
                <w:sz w:val="16"/>
              </w:rPr>
            </w:pPr>
            <w:r>
              <w:rPr>
                <w:rFonts w:ascii="Futura PT Bold"/>
                <w:b/>
                <w:color w:val="003E2D"/>
                <w:sz w:val="16"/>
              </w:rPr>
              <w:t>P/T</w:t>
            </w:r>
          </w:p>
        </w:tc>
        <w:tc>
          <w:tcPr>
            <w:tcW w:w="764" w:type="dxa"/>
            <w:tcBorders>
              <w:top w:val="nil"/>
              <w:bottom w:val="nil"/>
              <w:right w:val="nil"/>
            </w:tcBorders>
            <w:shd w:val="clear" w:color="auto" w:fill="E2F0D8"/>
          </w:tcPr>
          <w:p w:rsidR="00D840DF" w:rsidRDefault="00961020">
            <w:pPr>
              <w:pStyle w:val="TableParagraph"/>
              <w:spacing w:before="33"/>
              <w:ind w:left="110"/>
              <w:rPr>
                <w:rFonts w:ascii="Futura PT Bold"/>
                <w:b/>
                <w:sz w:val="16"/>
              </w:rPr>
            </w:pPr>
            <w:r>
              <w:rPr>
                <w:rFonts w:ascii="Futura PT Bold"/>
                <w:b/>
                <w:color w:val="003E2D"/>
                <w:sz w:val="16"/>
              </w:rPr>
              <w:t>TOTAL</w:t>
            </w:r>
          </w:p>
        </w:tc>
        <w:tc>
          <w:tcPr>
            <w:tcW w:w="716" w:type="dxa"/>
            <w:tcBorders>
              <w:top w:val="nil"/>
              <w:left w:val="nil"/>
              <w:bottom w:val="nil"/>
              <w:right w:val="nil"/>
            </w:tcBorders>
            <w:shd w:val="clear" w:color="auto" w:fill="E2F0D8"/>
          </w:tcPr>
          <w:p w:rsidR="00D840DF" w:rsidRDefault="00961020">
            <w:pPr>
              <w:pStyle w:val="TableParagraph"/>
              <w:spacing w:before="33"/>
              <w:ind w:left="177"/>
              <w:rPr>
                <w:rFonts w:ascii="Futura PT Bold"/>
                <w:b/>
                <w:sz w:val="16"/>
              </w:rPr>
            </w:pPr>
            <w:r>
              <w:rPr>
                <w:rFonts w:ascii="Futura PT Bold"/>
                <w:b/>
                <w:color w:val="003E2D"/>
                <w:sz w:val="16"/>
              </w:rPr>
              <w:t>F/T</w:t>
            </w:r>
          </w:p>
        </w:tc>
        <w:tc>
          <w:tcPr>
            <w:tcW w:w="1003" w:type="dxa"/>
            <w:tcBorders>
              <w:top w:val="nil"/>
              <w:left w:val="nil"/>
              <w:bottom w:val="nil"/>
            </w:tcBorders>
            <w:shd w:val="clear" w:color="auto" w:fill="E2F0D8"/>
          </w:tcPr>
          <w:p w:rsidR="00D840DF" w:rsidRDefault="00961020">
            <w:pPr>
              <w:pStyle w:val="TableParagraph"/>
              <w:spacing w:before="33"/>
              <w:ind w:left="288"/>
              <w:rPr>
                <w:rFonts w:ascii="Futura PT Bold"/>
                <w:b/>
                <w:sz w:val="16"/>
              </w:rPr>
            </w:pPr>
            <w:r>
              <w:rPr>
                <w:rFonts w:ascii="Futura PT Bold"/>
                <w:b/>
                <w:color w:val="003E2D"/>
                <w:sz w:val="16"/>
              </w:rPr>
              <w:t>P/T</w:t>
            </w:r>
          </w:p>
        </w:tc>
        <w:tc>
          <w:tcPr>
            <w:tcW w:w="828" w:type="dxa"/>
            <w:tcBorders>
              <w:top w:val="nil"/>
              <w:bottom w:val="nil"/>
              <w:right w:val="nil"/>
            </w:tcBorders>
            <w:shd w:val="clear" w:color="auto" w:fill="E2F0D8"/>
          </w:tcPr>
          <w:p w:rsidR="00D840DF" w:rsidRDefault="00961020">
            <w:pPr>
              <w:pStyle w:val="TableParagraph"/>
              <w:spacing w:before="33"/>
              <w:ind w:left="110"/>
              <w:rPr>
                <w:rFonts w:ascii="Futura PT Bold"/>
                <w:b/>
                <w:sz w:val="16"/>
              </w:rPr>
            </w:pPr>
            <w:r>
              <w:rPr>
                <w:rFonts w:ascii="Futura PT Bold"/>
                <w:b/>
                <w:color w:val="003E2D"/>
                <w:sz w:val="16"/>
              </w:rPr>
              <w:t>TOTAL</w:t>
            </w:r>
          </w:p>
        </w:tc>
      </w:tr>
      <w:tr w:rsidR="00D840DF">
        <w:trPr>
          <w:trHeight w:val="220"/>
        </w:trPr>
        <w:tc>
          <w:tcPr>
            <w:tcW w:w="1746" w:type="dxa"/>
            <w:tcBorders>
              <w:top w:val="nil"/>
              <w:left w:val="nil"/>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HOPO</w:t>
            </w:r>
          </w:p>
        </w:tc>
        <w:tc>
          <w:tcPr>
            <w:tcW w:w="764" w:type="dxa"/>
            <w:tcBorders>
              <w:top w:val="nil"/>
              <w:bottom w:val="single" w:sz="4" w:space="0" w:color="C7C8CA"/>
              <w:right w:val="nil"/>
            </w:tcBorders>
          </w:tcPr>
          <w:p w:rsidR="00D840DF" w:rsidRDefault="00961020">
            <w:pPr>
              <w:pStyle w:val="TableParagraph"/>
              <w:spacing w:line="200" w:lineRule="exact"/>
              <w:ind w:left="110"/>
              <w:rPr>
                <w:sz w:val="16"/>
              </w:rPr>
            </w:pPr>
            <w:r>
              <w:rPr>
                <w:color w:val="636466"/>
                <w:sz w:val="16"/>
              </w:rPr>
              <w:t>0</w:t>
            </w:r>
          </w:p>
        </w:tc>
        <w:tc>
          <w:tcPr>
            <w:tcW w:w="716" w:type="dxa"/>
            <w:tcBorders>
              <w:top w:val="nil"/>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0</w:t>
            </w:r>
          </w:p>
        </w:tc>
        <w:tc>
          <w:tcPr>
            <w:tcW w:w="1003" w:type="dxa"/>
            <w:tcBorders>
              <w:top w:val="nil"/>
              <w:left w:val="nil"/>
              <w:bottom w:val="single" w:sz="4" w:space="0" w:color="C7C8CA"/>
            </w:tcBorders>
          </w:tcPr>
          <w:p w:rsidR="00D840DF" w:rsidRDefault="00961020">
            <w:pPr>
              <w:pStyle w:val="TableParagraph"/>
              <w:spacing w:line="200" w:lineRule="exact"/>
              <w:ind w:left="288"/>
              <w:rPr>
                <w:sz w:val="16"/>
              </w:rPr>
            </w:pPr>
            <w:r>
              <w:rPr>
                <w:color w:val="636466"/>
                <w:sz w:val="16"/>
              </w:rPr>
              <w:t>0</w:t>
            </w:r>
          </w:p>
        </w:tc>
        <w:tc>
          <w:tcPr>
            <w:tcW w:w="764" w:type="dxa"/>
            <w:tcBorders>
              <w:top w:val="nil"/>
              <w:bottom w:val="single" w:sz="4" w:space="0" w:color="C7C8CA"/>
              <w:right w:val="nil"/>
            </w:tcBorders>
          </w:tcPr>
          <w:p w:rsidR="00D840DF" w:rsidRDefault="00961020">
            <w:pPr>
              <w:pStyle w:val="TableParagraph"/>
              <w:spacing w:line="200" w:lineRule="exact"/>
              <w:ind w:left="110"/>
              <w:rPr>
                <w:sz w:val="16"/>
              </w:rPr>
            </w:pPr>
            <w:r>
              <w:rPr>
                <w:color w:val="636466"/>
                <w:sz w:val="16"/>
              </w:rPr>
              <w:t>1</w:t>
            </w:r>
          </w:p>
        </w:tc>
        <w:tc>
          <w:tcPr>
            <w:tcW w:w="716" w:type="dxa"/>
            <w:tcBorders>
              <w:top w:val="nil"/>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1</w:t>
            </w:r>
          </w:p>
        </w:tc>
        <w:tc>
          <w:tcPr>
            <w:tcW w:w="1003" w:type="dxa"/>
            <w:tcBorders>
              <w:top w:val="nil"/>
              <w:left w:val="nil"/>
              <w:bottom w:val="single" w:sz="4" w:space="0" w:color="C7C8CA"/>
            </w:tcBorders>
          </w:tcPr>
          <w:p w:rsidR="00D840DF" w:rsidRDefault="00961020">
            <w:pPr>
              <w:pStyle w:val="TableParagraph"/>
              <w:spacing w:line="200" w:lineRule="exact"/>
              <w:ind w:left="288"/>
              <w:rPr>
                <w:sz w:val="16"/>
              </w:rPr>
            </w:pPr>
            <w:r>
              <w:rPr>
                <w:color w:val="636466"/>
                <w:sz w:val="16"/>
              </w:rPr>
              <w:t>0</w:t>
            </w:r>
          </w:p>
        </w:tc>
        <w:tc>
          <w:tcPr>
            <w:tcW w:w="828" w:type="dxa"/>
            <w:tcBorders>
              <w:top w:val="nil"/>
              <w:bottom w:val="single" w:sz="4" w:space="0" w:color="C7C8CA"/>
              <w:right w:val="nil"/>
            </w:tcBorders>
          </w:tcPr>
          <w:p w:rsidR="00D840DF" w:rsidRDefault="00961020">
            <w:pPr>
              <w:pStyle w:val="TableParagraph"/>
              <w:spacing w:line="200" w:lineRule="exact"/>
              <w:ind w:left="110"/>
              <w:rPr>
                <w:sz w:val="16"/>
              </w:rPr>
            </w:pPr>
            <w:r>
              <w:rPr>
                <w:color w:val="636466"/>
                <w:sz w:val="16"/>
              </w:rPr>
              <w:t>1</w:t>
            </w:r>
          </w:p>
        </w:tc>
      </w:tr>
      <w:tr w:rsidR="00D840DF">
        <w:trPr>
          <w:trHeight w:val="220"/>
        </w:trPr>
        <w:tc>
          <w:tcPr>
            <w:tcW w:w="1746" w:type="dxa"/>
            <w:tcBorders>
              <w:top w:val="single" w:sz="4" w:space="0" w:color="C7C8CA"/>
              <w:left w:val="nil"/>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SES</w:t>
            </w:r>
          </w:p>
        </w:tc>
        <w:tc>
          <w:tcPr>
            <w:tcW w:w="764"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1</w:t>
            </w:r>
          </w:p>
        </w:tc>
        <w:tc>
          <w:tcPr>
            <w:tcW w:w="716" w:type="dxa"/>
            <w:tcBorders>
              <w:top w:val="single" w:sz="4" w:space="0" w:color="C7C8CA"/>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1</w:t>
            </w:r>
          </w:p>
        </w:tc>
        <w:tc>
          <w:tcPr>
            <w:tcW w:w="1003" w:type="dxa"/>
            <w:tcBorders>
              <w:top w:val="single" w:sz="4" w:space="0" w:color="C7C8CA"/>
              <w:left w:val="nil"/>
              <w:bottom w:val="single" w:sz="4" w:space="0" w:color="C7C8CA"/>
            </w:tcBorders>
          </w:tcPr>
          <w:p w:rsidR="00D840DF" w:rsidRDefault="00961020">
            <w:pPr>
              <w:pStyle w:val="TableParagraph"/>
              <w:spacing w:line="200" w:lineRule="exact"/>
              <w:ind w:left="288"/>
              <w:rPr>
                <w:sz w:val="16"/>
              </w:rPr>
            </w:pPr>
            <w:r>
              <w:rPr>
                <w:color w:val="636466"/>
                <w:sz w:val="16"/>
              </w:rPr>
              <w:t>0</w:t>
            </w:r>
          </w:p>
        </w:tc>
        <w:tc>
          <w:tcPr>
            <w:tcW w:w="764"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0</w:t>
            </w:r>
          </w:p>
        </w:tc>
        <w:tc>
          <w:tcPr>
            <w:tcW w:w="716" w:type="dxa"/>
            <w:tcBorders>
              <w:top w:val="single" w:sz="4" w:space="0" w:color="C7C8CA"/>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0</w:t>
            </w:r>
          </w:p>
        </w:tc>
        <w:tc>
          <w:tcPr>
            <w:tcW w:w="1003" w:type="dxa"/>
            <w:tcBorders>
              <w:top w:val="single" w:sz="4" w:space="0" w:color="C7C8CA"/>
              <w:left w:val="nil"/>
              <w:bottom w:val="single" w:sz="4" w:space="0" w:color="C7C8CA"/>
            </w:tcBorders>
          </w:tcPr>
          <w:p w:rsidR="00D840DF" w:rsidRDefault="00961020">
            <w:pPr>
              <w:pStyle w:val="TableParagraph"/>
              <w:spacing w:line="200" w:lineRule="exact"/>
              <w:ind w:left="288"/>
              <w:rPr>
                <w:sz w:val="16"/>
              </w:rPr>
            </w:pPr>
            <w:r>
              <w:rPr>
                <w:color w:val="636466"/>
                <w:sz w:val="16"/>
              </w:rPr>
              <w:t>0</w:t>
            </w:r>
          </w:p>
        </w:tc>
        <w:tc>
          <w:tcPr>
            <w:tcW w:w="828"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1</w:t>
            </w:r>
          </w:p>
        </w:tc>
      </w:tr>
      <w:tr w:rsidR="00D840DF">
        <w:trPr>
          <w:trHeight w:val="220"/>
        </w:trPr>
        <w:tc>
          <w:tcPr>
            <w:tcW w:w="1746" w:type="dxa"/>
            <w:tcBorders>
              <w:top w:val="single" w:sz="4" w:space="0" w:color="C7C8CA"/>
              <w:left w:val="nil"/>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EL2</w:t>
            </w:r>
          </w:p>
        </w:tc>
        <w:tc>
          <w:tcPr>
            <w:tcW w:w="764"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3</w:t>
            </w:r>
          </w:p>
        </w:tc>
        <w:tc>
          <w:tcPr>
            <w:tcW w:w="716" w:type="dxa"/>
            <w:tcBorders>
              <w:top w:val="single" w:sz="4" w:space="0" w:color="C7C8CA"/>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3</w:t>
            </w:r>
          </w:p>
        </w:tc>
        <w:tc>
          <w:tcPr>
            <w:tcW w:w="1003" w:type="dxa"/>
            <w:tcBorders>
              <w:top w:val="single" w:sz="4" w:space="0" w:color="C7C8CA"/>
              <w:left w:val="nil"/>
              <w:bottom w:val="single" w:sz="4" w:space="0" w:color="C7C8CA"/>
            </w:tcBorders>
          </w:tcPr>
          <w:p w:rsidR="00D840DF" w:rsidRDefault="00961020">
            <w:pPr>
              <w:pStyle w:val="TableParagraph"/>
              <w:spacing w:line="200" w:lineRule="exact"/>
              <w:ind w:left="288"/>
              <w:rPr>
                <w:sz w:val="16"/>
              </w:rPr>
            </w:pPr>
            <w:r>
              <w:rPr>
                <w:color w:val="636466"/>
                <w:sz w:val="16"/>
              </w:rPr>
              <w:t>0</w:t>
            </w:r>
          </w:p>
        </w:tc>
        <w:tc>
          <w:tcPr>
            <w:tcW w:w="764"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4</w:t>
            </w:r>
          </w:p>
        </w:tc>
        <w:tc>
          <w:tcPr>
            <w:tcW w:w="716" w:type="dxa"/>
            <w:tcBorders>
              <w:top w:val="single" w:sz="4" w:space="0" w:color="C7C8CA"/>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4</w:t>
            </w:r>
          </w:p>
        </w:tc>
        <w:tc>
          <w:tcPr>
            <w:tcW w:w="1003" w:type="dxa"/>
            <w:tcBorders>
              <w:top w:val="single" w:sz="4" w:space="0" w:color="C7C8CA"/>
              <w:left w:val="nil"/>
              <w:bottom w:val="single" w:sz="4" w:space="0" w:color="C7C8CA"/>
            </w:tcBorders>
          </w:tcPr>
          <w:p w:rsidR="00D840DF" w:rsidRDefault="00961020">
            <w:pPr>
              <w:pStyle w:val="TableParagraph"/>
              <w:spacing w:line="200" w:lineRule="exact"/>
              <w:ind w:left="288"/>
              <w:rPr>
                <w:sz w:val="16"/>
              </w:rPr>
            </w:pPr>
            <w:r>
              <w:rPr>
                <w:color w:val="636466"/>
                <w:sz w:val="16"/>
              </w:rPr>
              <w:t>0</w:t>
            </w:r>
          </w:p>
        </w:tc>
        <w:tc>
          <w:tcPr>
            <w:tcW w:w="828"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7</w:t>
            </w:r>
          </w:p>
        </w:tc>
      </w:tr>
      <w:tr w:rsidR="00D840DF">
        <w:trPr>
          <w:trHeight w:val="220"/>
        </w:trPr>
        <w:tc>
          <w:tcPr>
            <w:tcW w:w="1746" w:type="dxa"/>
            <w:tcBorders>
              <w:top w:val="single" w:sz="4" w:space="0" w:color="C7C8CA"/>
              <w:left w:val="nil"/>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EL1</w:t>
            </w:r>
          </w:p>
        </w:tc>
        <w:tc>
          <w:tcPr>
            <w:tcW w:w="764"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8</w:t>
            </w:r>
          </w:p>
        </w:tc>
        <w:tc>
          <w:tcPr>
            <w:tcW w:w="716" w:type="dxa"/>
            <w:tcBorders>
              <w:top w:val="single" w:sz="4" w:space="0" w:color="C7C8CA"/>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6</w:t>
            </w:r>
          </w:p>
        </w:tc>
        <w:tc>
          <w:tcPr>
            <w:tcW w:w="1003" w:type="dxa"/>
            <w:tcBorders>
              <w:top w:val="single" w:sz="4" w:space="0" w:color="C7C8CA"/>
              <w:left w:val="nil"/>
              <w:bottom w:val="single" w:sz="4" w:space="0" w:color="C7C8CA"/>
            </w:tcBorders>
          </w:tcPr>
          <w:p w:rsidR="00D840DF" w:rsidRDefault="00961020">
            <w:pPr>
              <w:pStyle w:val="TableParagraph"/>
              <w:spacing w:line="200" w:lineRule="exact"/>
              <w:ind w:left="288"/>
              <w:rPr>
                <w:sz w:val="16"/>
              </w:rPr>
            </w:pPr>
            <w:r>
              <w:rPr>
                <w:color w:val="636466"/>
                <w:sz w:val="16"/>
              </w:rPr>
              <w:t>2</w:t>
            </w:r>
          </w:p>
        </w:tc>
        <w:tc>
          <w:tcPr>
            <w:tcW w:w="764"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9</w:t>
            </w:r>
          </w:p>
        </w:tc>
        <w:tc>
          <w:tcPr>
            <w:tcW w:w="716" w:type="dxa"/>
            <w:tcBorders>
              <w:top w:val="single" w:sz="4" w:space="0" w:color="C7C8CA"/>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9</w:t>
            </w:r>
          </w:p>
        </w:tc>
        <w:tc>
          <w:tcPr>
            <w:tcW w:w="1003" w:type="dxa"/>
            <w:tcBorders>
              <w:top w:val="single" w:sz="4" w:space="0" w:color="C7C8CA"/>
              <w:left w:val="nil"/>
              <w:bottom w:val="single" w:sz="4" w:space="0" w:color="C7C8CA"/>
            </w:tcBorders>
          </w:tcPr>
          <w:p w:rsidR="00D840DF" w:rsidRDefault="00961020">
            <w:pPr>
              <w:pStyle w:val="TableParagraph"/>
              <w:spacing w:line="200" w:lineRule="exact"/>
              <w:ind w:left="288"/>
              <w:rPr>
                <w:sz w:val="16"/>
              </w:rPr>
            </w:pPr>
            <w:r>
              <w:rPr>
                <w:color w:val="636466"/>
                <w:sz w:val="16"/>
              </w:rPr>
              <w:t>0</w:t>
            </w:r>
          </w:p>
        </w:tc>
        <w:tc>
          <w:tcPr>
            <w:tcW w:w="828"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17</w:t>
            </w:r>
          </w:p>
        </w:tc>
      </w:tr>
      <w:tr w:rsidR="00D840DF">
        <w:trPr>
          <w:trHeight w:val="220"/>
        </w:trPr>
        <w:tc>
          <w:tcPr>
            <w:tcW w:w="1746" w:type="dxa"/>
            <w:tcBorders>
              <w:top w:val="single" w:sz="4" w:space="0" w:color="C7C8CA"/>
              <w:left w:val="nil"/>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APS Level 6</w:t>
            </w:r>
          </w:p>
        </w:tc>
        <w:tc>
          <w:tcPr>
            <w:tcW w:w="764"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9</w:t>
            </w:r>
          </w:p>
        </w:tc>
        <w:tc>
          <w:tcPr>
            <w:tcW w:w="716" w:type="dxa"/>
            <w:tcBorders>
              <w:top w:val="single" w:sz="4" w:space="0" w:color="C7C8CA"/>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5</w:t>
            </w:r>
          </w:p>
        </w:tc>
        <w:tc>
          <w:tcPr>
            <w:tcW w:w="1003" w:type="dxa"/>
            <w:tcBorders>
              <w:top w:val="single" w:sz="4" w:space="0" w:color="C7C8CA"/>
              <w:left w:val="nil"/>
              <w:bottom w:val="single" w:sz="4" w:space="0" w:color="C7C8CA"/>
            </w:tcBorders>
          </w:tcPr>
          <w:p w:rsidR="00D840DF" w:rsidRDefault="00961020">
            <w:pPr>
              <w:pStyle w:val="TableParagraph"/>
              <w:spacing w:line="200" w:lineRule="exact"/>
              <w:ind w:left="288"/>
              <w:rPr>
                <w:sz w:val="16"/>
              </w:rPr>
            </w:pPr>
            <w:r>
              <w:rPr>
                <w:color w:val="636466"/>
                <w:sz w:val="16"/>
              </w:rPr>
              <w:t>4</w:t>
            </w:r>
          </w:p>
        </w:tc>
        <w:tc>
          <w:tcPr>
            <w:tcW w:w="764"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5</w:t>
            </w:r>
          </w:p>
        </w:tc>
        <w:tc>
          <w:tcPr>
            <w:tcW w:w="716" w:type="dxa"/>
            <w:tcBorders>
              <w:top w:val="single" w:sz="4" w:space="0" w:color="C7C8CA"/>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5</w:t>
            </w:r>
          </w:p>
        </w:tc>
        <w:tc>
          <w:tcPr>
            <w:tcW w:w="1003" w:type="dxa"/>
            <w:tcBorders>
              <w:top w:val="single" w:sz="4" w:space="0" w:color="C7C8CA"/>
              <w:left w:val="nil"/>
              <w:bottom w:val="single" w:sz="4" w:space="0" w:color="C7C8CA"/>
            </w:tcBorders>
          </w:tcPr>
          <w:p w:rsidR="00D840DF" w:rsidRDefault="00961020">
            <w:pPr>
              <w:pStyle w:val="TableParagraph"/>
              <w:spacing w:line="200" w:lineRule="exact"/>
              <w:ind w:left="288"/>
              <w:rPr>
                <w:sz w:val="16"/>
              </w:rPr>
            </w:pPr>
            <w:r>
              <w:rPr>
                <w:color w:val="636466"/>
                <w:sz w:val="16"/>
              </w:rPr>
              <w:t>0</w:t>
            </w:r>
          </w:p>
        </w:tc>
        <w:tc>
          <w:tcPr>
            <w:tcW w:w="828"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14</w:t>
            </w:r>
          </w:p>
        </w:tc>
      </w:tr>
      <w:tr w:rsidR="00D840DF">
        <w:trPr>
          <w:trHeight w:val="220"/>
        </w:trPr>
        <w:tc>
          <w:tcPr>
            <w:tcW w:w="1746" w:type="dxa"/>
            <w:tcBorders>
              <w:top w:val="single" w:sz="4" w:space="0" w:color="C7C8CA"/>
              <w:left w:val="nil"/>
              <w:bottom w:val="single" w:sz="4" w:space="0" w:color="C7C8CA"/>
            </w:tcBorders>
          </w:tcPr>
          <w:p w:rsidR="00D840DF" w:rsidRDefault="00961020">
            <w:pPr>
              <w:pStyle w:val="TableParagraph"/>
              <w:spacing w:line="200" w:lineRule="exact"/>
              <w:ind w:left="113"/>
              <w:rPr>
                <w:rFonts w:ascii="Futura PT Heavy"/>
                <w:b/>
                <w:sz w:val="16"/>
              </w:rPr>
            </w:pPr>
            <w:r>
              <w:rPr>
                <w:rFonts w:ascii="Futura PT Heavy"/>
                <w:b/>
                <w:color w:val="636466"/>
                <w:sz w:val="16"/>
              </w:rPr>
              <w:t>APS Level 5</w:t>
            </w:r>
          </w:p>
        </w:tc>
        <w:tc>
          <w:tcPr>
            <w:tcW w:w="764"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1</w:t>
            </w:r>
          </w:p>
        </w:tc>
        <w:tc>
          <w:tcPr>
            <w:tcW w:w="716" w:type="dxa"/>
            <w:tcBorders>
              <w:top w:val="single" w:sz="4" w:space="0" w:color="C7C8CA"/>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1</w:t>
            </w:r>
          </w:p>
        </w:tc>
        <w:tc>
          <w:tcPr>
            <w:tcW w:w="1003" w:type="dxa"/>
            <w:tcBorders>
              <w:top w:val="single" w:sz="4" w:space="0" w:color="C7C8CA"/>
              <w:left w:val="nil"/>
              <w:bottom w:val="single" w:sz="4" w:space="0" w:color="C7C8CA"/>
            </w:tcBorders>
          </w:tcPr>
          <w:p w:rsidR="00D840DF" w:rsidRDefault="00961020">
            <w:pPr>
              <w:pStyle w:val="TableParagraph"/>
              <w:spacing w:line="200" w:lineRule="exact"/>
              <w:ind w:left="288"/>
              <w:rPr>
                <w:sz w:val="16"/>
              </w:rPr>
            </w:pPr>
            <w:r>
              <w:rPr>
                <w:color w:val="636466"/>
                <w:sz w:val="16"/>
              </w:rPr>
              <w:t>0</w:t>
            </w:r>
          </w:p>
        </w:tc>
        <w:tc>
          <w:tcPr>
            <w:tcW w:w="764"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0</w:t>
            </w:r>
          </w:p>
        </w:tc>
        <w:tc>
          <w:tcPr>
            <w:tcW w:w="716" w:type="dxa"/>
            <w:tcBorders>
              <w:top w:val="single" w:sz="4" w:space="0" w:color="C7C8CA"/>
              <w:left w:val="nil"/>
              <w:bottom w:val="single" w:sz="4" w:space="0" w:color="C7C8CA"/>
              <w:right w:val="nil"/>
            </w:tcBorders>
          </w:tcPr>
          <w:p w:rsidR="00D840DF" w:rsidRDefault="00961020">
            <w:pPr>
              <w:pStyle w:val="TableParagraph"/>
              <w:spacing w:line="200" w:lineRule="exact"/>
              <w:ind w:left="177"/>
              <w:rPr>
                <w:sz w:val="16"/>
              </w:rPr>
            </w:pPr>
            <w:r>
              <w:rPr>
                <w:color w:val="636466"/>
                <w:sz w:val="16"/>
              </w:rPr>
              <w:t>0</w:t>
            </w:r>
          </w:p>
        </w:tc>
        <w:tc>
          <w:tcPr>
            <w:tcW w:w="1003" w:type="dxa"/>
            <w:tcBorders>
              <w:top w:val="single" w:sz="4" w:space="0" w:color="C7C8CA"/>
              <w:left w:val="nil"/>
              <w:bottom w:val="single" w:sz="4" w:space="0" w:color="C7C8CA"/>
            </w:tcBorders>
          </w:tcPr>
          <w:p w:rsidR="00D840DF" w:rsidRDefault="00961020">
            <w:pPr>
              <w:pStyle w:val="TableParagraph"/>
              <w:spacing w:line="200" w:lineRule="exact"/>
              <w:ind w:left="288"/>
              <w:rPr>
                <w:sz w:val="16"/>
              </w:rPr>
            </w:pPr>
            <w:r>
              <w:rPr>
                <w:color w:val="636466"/>
                <w:sz w:val="16"/>
              </w:rPr>
              <w:t>0</w:t>
            </w:r>
          </w:p>
        </w:tc>
        <w:tc>
          <w:tcPr>
            <w:tcW w:w="828" w:type="dxa"/>
            <w:tcBorders>
              <w:top w:val="single" w:sz="4" w:space="0" w:color="C7C8CA"/>
              <w:bottom w:val="single" w:sz="4" w:space="0" w:color="C7C8CA"/>
              <w:right w:val="nil"/>
            </w:tcBorders>
          </w:tcPr>
          <w:p w:rsidR="00D840DF" w:rsidRDefault="00961020">
            <w:pPr>
              <w:pStyle w:val="TableParagraph"/>
              <w:spacing w:line="200" w:lineRule="exact"/>
              <w:ind w:left="110"/>
              <w:rPr>
                <w:sz w:val="16"/>
              </w:rPr>
            </w:pPr>
            <w:r>
              <w:rPr>
                <w:color w:val="636466"/>
                <w:sz w:val="16"/>
              </w:rPr>
              <w:t>1</w:t>
            </w:r>
          </w:p>
        </w:tc>
      </w:tr>
      <w:tr w:rsidR="00D840DF">
        <w:trPr>
          <w:trHeight w:val="240"/>
        </w:trPr>
        <w:tc>
          <w:tcPr>
            <w:tcW w:w="1746" w:type="dxa"/>
            <w:tcBorders>
              <w:top w:val="single" w:sz="4" w:space="0" w:color="C7C8CA"/>
              <w:left w:val="nil"/>
              <w:bottom w:val="nil"/>
            </w:tcBorders>
          </w:tcPr>
          <w:p w:rsidR="00D840DF" w:rsidRDefault="00961020">
            <w:pPr>
              <w:pStyle w:val="TableParagraph"/>
              <w:ind w:left="113"/>
              <w:rPr>
                <w:rFonts w:ascii="Futura PT Heavy"/>
                <w:b/>
                <w:sz w:val="16"/>
              </w:rPr>
            </w:pPr>
            <w:r>
              <w:rPr>
                <w:rFonts w:ascii="Futura PT Heavy"/>
                <w:b/>
                <w:color w:val="636466"/>
                <w:sz w:val="16"/>
              </w:rPr>
              <w:t>APS Level 3</w:t>
            </w:r>
          </w:p>
        </w:tc>
        <w:tc>
          <w:tcPr>
            <w:tcW w:w="764" w:type="dxa"/>
            <w:tcBorders>
              <w:top w:val="single" w:sz="4" w:space="0" w:color="C7C8CA"/>
              <w:bottom w:val="nil"/>
              <w:right w:val="nil"/>
            </w:tcBorders>
          </w:tcPr>
          <w:p w:rsidR="00D840DF" w:rsidRDefault="00961020">
            <w:pPr>
              <w:pStyle w:val="TableParagraph"/>
              <w:ind w:left="110"/>
              <w:rPr>
                <w:sz w:val="16"/>
              </w:rPr>
            </w:pPr>
            <w:r>
              <w:rPr>
                <w:color w:val="636466"/>
                <w:sz w:val="16"/>
              </w:rPr>
              <w:t>0</w:t>
            </w:r>
          </w:p>
        </w:tc>
        <w:tc>
          <w:tcPr>
            <w:tcW w:w="716" w:type="dxa"/>
            <w:tcBorders>
              <w:top w:val="single" w:sz="4" w:space="0" w:color="C7C8CA"/>
              <w:left w:val="nil"/>
              <w:bottom w:val="nil"/>
              <w:right w:val="nil"/>
            </w:tcBorders>
          </w:tcPr>
          <w:p w:rsidR="00D840DF" w:rsidRDefault="00961020">
            <w:pPr>
              <w:pStyle w:val="TableParagraph"/>
              <w:ind w:left="177"/>
              <w:rPr>
                <w:sz w:val="16"/>
              </w:rPr>
            </w:pPr>
            <w:r>
              <w:rPr>
                <w:color w:val="636466"/>
                <w:sz w:val="16"/>
              </w:rPr>
              <w:t>0</w:t>
            </w:r>
          </w:p>
        </w:tc>
        <w:tc>
          <w:tcPr>
            <w:tcW w:w="1003" w:type="dxa"/>
            <w:tcBorders>
              <w:top w:val="single" w:sz="4" w:space="0" w:color="C7C8CA"/>
              <w:left w:val="nil"/>
              <w:bottom w:val="nil"/>
            </w:tcBorders>
          </w:tcPr>
          <w:p w:rsidR="00D840DF" w:rsidRDefault="00961020">
            <w:pPr>
              <w:pStyle w:val="TableParagraph"/>
              <w:ind w:left="288"/>
              <w:rPr>
                <w:sz w:val="16"/>
              </w:rPr>
            </w:pPr>
            <w:r>
              <w:rPr>
                <w:color w:val="636466"/>
                <w:sz w:val="16"/>
              </w:rPr>
              <w:t>0</w:t>
            </w:r>
          </w:p>
        </w:tc>
        <w:tc>
          <w:tcPr>
            <w:tcW w:w="764" w:type="dxa"/>
            <w:tcBorders>
              <w:top w:val="single" w:sz="4" w:space="0" w:color="C7C8CA"/>
              <w:bottom w:val="nil"/>
              <w:right w:val="nil"/>
            </w:tcBorders>
          </w:tcPr>
          <w:p w:rsidR="00D840DF" w:rsidRDefault="00961020">
            <w:pPr>
              <w:pStyle w:val="TableParagraph"/>
              <w:ind w:left="110"/>
              <w:rPr>
                <w:sz w:val="16"/>
              </w:rPr>
            </w:pPr>
            <w:r>
              <w:rPr>
                <w:color w:val="636466"/>
                <w:sz w:val="16"/>
              </w:rPr>
              <w:t>1</w:t>
            </w:r>
          </w:p>
        </w:tc>
        <w:tc>
          <w:tcPr>
            <w:tcW w:w="716" w:type="dxa"/>
            <w:tcBorders>
              <w:top w:val="single" w:sz="4" w:space="0" w:color="C7C8CA"/>
              <w:left w:val="nil"/>
              <w:bottom w:val="nil"/>
              <w:right w:val="nil"/>
            </w:tcBorders>
          </w:tcPr>
          <w:p w:rsidR="00D840DF" w:rsidRDefault="00961020">
            <w:pPr>
              <w:pStyle w:val="TableParagraph"/>
              <w:ind w:left="177"/>
              <w:rPr>
                <w:sz w:val="16"/>
              </w:rPr>
            </w:pPr>
            <w:r>
              <w:rPr>
                <w:color w:val="636466"/>
                <w:sz w:val="16"/>
              </w:rPr>
              <w:t>1</w:t>
            </w:r>
          </w:p>
        </w:tc>
        <w:tc>
          <w:tcPr>
            <w:tcW w:w="1003" w:type="dxa"/>
            <w:tcBorders>
              <w:top w:val="single" w:sz="4" w:space="0" w:color="C7C8CA"/>
              <w:left w:val="nil"/>
              <w:bottom w:val="nil"/>
            </w:tcBorders>
          </w:tcPr>
          <w:p w:rsidR="00D840DF" w:rsidRDefault="00961020">
            <w:pPr>
              <w:pStyle w:val="TableParagraph"/>
              <w:ind w:left="288"/>
              <w:rPr>
                <w:sz w:val="16"/>
              </w:rPr>
            </w:pPr>
            <w:r>
              <w:rPr>
                <w:color w:val="636466"/>
                <w:sz w:val="16"/>
              </w:rPr>
              <w:t>0</w:t>
            </w:r>
          </w:p>
        </w:tc>
        <w:tc>
          <w:tcPr>
            <w:tcW w:w="828" w:type="dxa"/>
            <w:tcBorders>
              <w:top w:val="single" w:sz="4" w:space="0" w:color="C7C8CA"/>
              <w:bottom w:val="nil"/>
              <w:right w:val="nil"/>
            </w:tcBorders>
          </w:tcPr>
          <w:p w:rsidR="00D840DF" w:rsidRDefault="00961020">
            <w:pPr>
              <w:pStyle w:val="TableParagraph"/>
              <w:ind w:left="110"/>
              <w:rPr>
                <w:sz w:val="16"/>
              </w:rPr>
            </w:pPr>
            <w:r>
              <w:rPr>
                <w:color w:val="636466"/>
                <w:sz w:val="16"/>
              </w:rPr>
              <w:t>1</w:t>
            </w:r>
          </w:p>
        </w:tc>
      </w:tr>
      <w:tr w:rsidR="00D840DF">
        <w:trPr>
          <w:trHeight w:val="240"/>
        </w:trPr>
        <w:tc>
          <w:tcPr>
            <w:tcW w:w="1746" w:type="dxa"/>
            <w:tcBorders>
              <w:top w:val="nil"/>
              <w:left w:val="nil"/>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w:t>
            </w:r>
          </w:p>
        </w:tc>
        <w:tc>
          <w:tcPr>
            <w:tcW w:w="764" w:type="dxa"/>
            <w:tcBorders>
              <w:top w:val="nil"/>
              <w:bottom w:val="single" w:sz="4" w:space="0" w:color="C7C8CA"/>
              <w:right w:val="nil"/>
            </w:tcBorders>
            <w:shd w:val="clear" w:color="auto" w:fill="E6E7E8"/>
          </w:tcPr>
          <w:p w:rsidR="00D840DF" w:rsidRDefault="00961020">
            <w:pPr>
              <w:pStyle w:val="TableParagraph"/>
              <w:spacing w:before="21" w:line="200" w:lineRule="exact"/>
              <w:ind w:left="110"/>
              <w:rPr>
                <w:rFonts w:ascii="Futura PT Medium"/>
                <w:sz w:val="16"/>
              </w:rPr>
            </w:pPr>
            <w:r>
              <w:rPr>
                <w:rFonts w:ascii="Futura PT Medium"/>
                <w:sz w:val="16"/>
              </w:rPr>
              <w:t>22</w:t>
            </w:r>
          </w:p>
        </w:tc>
        <w:tc>
          <w:tcPr>
            <w:tcW w:w="716" w:type="dxa"/>
            <w:tcBorders>
              <w:top w:val="nil"/>
              <w:left w:val="nil"/>
              <w:bottom w:val="single" w:sz="4" w:space="0" w:color="C7C8CA"/>
              <w:right w:val="nil"/>
            </w:tcBorders>
            <w:shd w:val="clear" w:color="auto" w:fill="E6E7E8"/>
          </w:tcPr>
          <w:p w:rsidR="00D840DF" w:rsidRDefault="00961020">
            <w:pPr>
              <w:pStyle w:val="TableParagraph"/>
              <w:spacing w:before="21" w:line="200" w:lineRule="exact"/>
              <w:ind w:left="177"/>
              <w:rPr>
                <w:rFonts w:ascii="Futura PT Medium"/>
                <w:sz w:val="16"/>
              </w:rPr>
            </w:pPr>
            <w:r>
              <w:rPr>
                <w:rFonts w:ascii="Futura PT Medium"/>
                <w:sz w:val="16"/>
              </w:rPr>
              <w:t>16</w:t>
            </w:r>
          </w:p>
        </w:tc>
        <w:tc>
          <w:tcPr>
            <w:tcW w:w="1003" w:type="dxa"/>
            <w:tcBorders>
              <w:top w:val="nil"/>
              <w:left w:val="nil"/>
              <w:bottom w:val="single" w:sz="4" w:space="0" w:color="C7C8CA"/>
            </w:tcBorders>
            <w:shd w:val="clear" w:color="auto" w:fill="E6E7E8"/>
          </w:tcPr>
          <w:p w:rsidR="00D840DF" w:rsidRDefault="00961020">
            <w:pPr>
              <w:pStyle w:val="TableParagraph"/>
              <w:spacing w:before="21" w:line="200" w:lineRule="exact"/>
              <w:ind w:left="288"/>
              <w:rPr>
                <w:rFonts w:ascii="Futura PT Medium"/>
                <w:sz w:val="16"/>
              </w:rPr>
            </w:pPr>
            <w:r>
              <w:rPr>
                <w:rFonts w:ascii="Futura PT Medium"/>
                <w:sz w:val="16"/>
              </w:rPr>
              <w:t>6</w:t>
            </w:r>
          </w:p>
        </w:tc>
        <w:tc>
          <w:tcPr>
            <w:tcW w:w="764" w:type="dxa"/>
            <w:tcBorders>
              <w:top w:val="nil"/>
              <w:bottom w:val="single" w:sz="4" w:space="0" w:color="C7C8CA"/>
              <w:right w:val="nil"/>
            </w:tcBorders>
            <w:shd w:val="clear" w:color="auto" w:fill="E6E7E8"/>
          </w:tcPr>
          <w:p w:rsidR="00D840DF" w:rsidRDefault="00961020">
            <w:pPr>
              <w:pStyle w:val="TableParagraph"/>
              <w:spacing w:before="21" w:line="200" w:lineRule="exact"/>
              <w:ind w:left="110"/>
              <w:rPr>
                <w:rFonts w:ascii="Futura PT Medium"/>
                <w:sz w:val="16"/>
              </w:rPr>
            </w:pPr>
            <w:r>
              <w:rPr>
                <w:rFonts w:ascii="Futura PT Medium"/>
                <w:sz w:val="16"/>
              </w:rPr>
              <w:t>20</w:t>
            </w:r>
          </w:p>
        </w:tc>
        <w:tc>
          <w:tcPr>
            <w:tcW w:w="716" w:type="dxa"/>
            <w:tcBorders>
              <w:top w:val="nil"/>
              <w:left w:val="nil"/>
              <w:bottom w:val="single" w:sz="4" w:space="0" w:color="C7C8CA"/>
              <w:right w:val="nil"/>
            </w:tcBorders>
            <w:shd w:val="clear" w:color="auto" w:fill="E6E7E8"/>
          </w:tcPr>
          <w:p w:rsidR="00D840DF" w:rsidRDefault="00961020">
            <w:pPr>
              <w:pStyle w:val="TableParagraph"/>
              <w:spacing w:before="21" w:line="200" w:lineRule="exact"/>
              <w:ind w:left="177"/>
              <w:rPr>
                <w:rFonts w:ascii="Futura PT Medium"/>
                <w:sz w:val="16"/>
              </w:rPr>
            </w:pPr>
            <w:r>
              <w:rPr>
                <w:rFonts w:ascii="Futura PT Medium"/>
                <w:sz w:val="16"/>
              </w:rPr>
              <w:t>20</w:t>
            </w:r>
          </w:p>
        </w:tc>
        <w:tc>
          <w:tcPr>
            <w:tcW w:w="1003" w:type="dxa"/>
            <w:tcBorders>
              <w:top w:val="nil"/>
              <w:left w:val="nil"/>
              <w:bottom w:val="single" w:sz="4" w:space="0" w:color="C7C8CA"/>
            </w:tcBorders>
            <w:shd w:val="clear" w:color="auto" w:fill="E6E7E8"/>
          </w:tcPr>
          <w:p w:rsidR="00D840DF" w:rsidRDefault="00961020">
            <w:pPr>
              <w:pStyle w:val="TableParagraph"/>
              <w:spacing w:before="21" w:line="200" w:lineRule="exact"/>
              <w:ind w:left="288"/>
              <w:rPr>
                <w:rFonts w:ascii="Futura PT Medium"/>
                <w:sz w:val="16"/>
              </w:rPr>
            </w:pPr>
            <w:r>
              <w:rPr>
                <w:rFonts w:ascii="Futura PT Medium"/>
                <w:sz w:val="16"/>
              </w:rPr>
              <w:t>0</w:t>
            </w:r>
          </w:p>
        </w:tc>
        <w:tc>
          <w:tcPr>
            <w:tcW w:w="828" w:type="dxa"/>
            <w:tcBorders>
              <w:top w:val="nil"/>
              <w:bottom w:val="single" w:sz="4" w:space="0" w:color="C7C8CA"/>
              <w:right w:val="nil"/>
            </w:tcBorders>
            <w:shd w:val="clear" w:color="auto" w:fill="E6E7E8"/>
          </w:tcPr>
          <w:p w:rsidR="00D840DF" w:rsidRDefault="00961020">
            <w:pPr>
              <w:pStyle w:val="TableParagraph"/>
              <w:spacing w:before="21" w:line="200" w:lineRule="exact"/>
              <w:ind w:left="110"/>
              <w:rPr>
                <w:rFonts w:ascii="Futura PT Medium"/>
                <w:sz w:val="16"/>
              </w:rPr>
            </w:pPr>
            <w:r>
              <w:rPr>
                <w:rFonts w:ascii="Futura PT Medium"/>
                <w:sz w:val="16"/>
              </w:rPr>
              <w:t>42</w:t>
            </w:r>
          </w:p>
        </w:tc>
      </w:tr>
    </w:tbl>
    <w:p w:rsidR="00D840DF" w:rsidRDefault="00961020">
      <w:pPr>
        <w:spacing w:before="166"/>
        <w:ind w:left="103"/>
        <w:rPr>
          <w:sz w:val="16"/>
        </w:rPr>
      </w:pPr>
      <w:r>
        <w:rPr>
          <w:rFonts w:ascii="Futura PT Heavy" w:hAnsi="Futura PT Heavy"/>
          <w:b/>
          <w:color w:val="636466"/>
          <w:sz w:val="16"/>
        </w:rPr>
        <w:t xml:space="preserve">Key: </w:t>
      </w:r>
      <w:r>
        <w:rPr>
          <w:color w:val="636466"/>
          <w:sz w:val="16"/>
        </w:rPr>
        <w:t>F/T = full time, P/T = part time, HOPO = Holder of Public Office (a statutory appointment—the CEO)</w:t>
      </w:r>
    </w:p>
    <w:p w:rsidR="00D840DF" w:rsidRPr="005A527A" w:rsidRDefault="00961020" w:rsidP="005A527A">
      <w:pPr>
        <w:spacing w:before="4"/>
        <w:ind w:left="103"/>
        <w:rPr>
          <w:sz w:val="16"/>
        </w:rPr>
      </w:pPr>
      <w:r>
        <w:rPr>
          <w:rFonts w:ascii="Futura PT Heavy"/>
          <w:b/>
          <w:color w:val="636466"/>
          <w:sz w:val="16"/>
        </w:rPr>
        <w:t xml:space="preserve">Note: </w:t>
      </w:r>
      <w:r>
        <w:rPr>
          <w:color w:val="636466"/>
          <w:sz w:val="16"/>
        </w:rPr>
        <w:t>Staff numbers by classification are based on actual not nominal classification.</w:t>
      </w:r>
    </w:p>
    <w:p w:rsidR="00D840DF" w:rsidRDefault="00961020" w:rsidP="005A527A">
      <w:pPr>
        <w:pStyle w:val="Heading3"/>
      </w:pPr>
      <w:r>
        <w:t>Staff training</w:t>
      </w:r>
    </w:p>
    <w:p w:rsidR="00D840DF" w:rsidRPr="005A527A" w:rsidRDefault="00961020" w:rsidP="005A527A">
      <w:pPr>
        <w:pStyle w:val="BodyText"/>
      </w:pPr>
      <w:r w:rsidRPr="005A527A">
        <w:t>Training was provided on a programmed basis to management and a needs basis to individual staff.</w:t>
      </w:r>
    </w:p>
    <w:p w:rsidR="00D840DF" w:rsidRPr="005A527A" w:rsidRDefault="00961020" w:rsidP="005A527A">
      <w:pPr>
        <w:pStyle w:val="BodyText"/>
      </w:pPr>
      <w:r w:rsidRPr="005A527A">
        <w:t>IHPA supported individuals to attend conferences and training events that assisted them to acquire and develop skills used in their work. In 2016–17, IHPA’s training investment averaged $3,600 per staff member.</w:t>
      </w:r>
    </w:p>
    <w:p w:rsidR="00D840DF" w:rsidRPr="005A527A" w:rsidRDefault="00961020">
      <w:pPr>
        <w:pStyle w:val="BodyText"/>
      </w:pPr>
      <w:r w:rsidRPr="005A527A">
        <w:t>With the</w:t>
      </w:r>
      <w:r>
        <w:t xml:space="preserve"> transfer of IHPA staff to the Department of Health, opportunities for staff training and development have increased with access to the Department of Health’s significant training resources.</w:t>
      </w:r>
    </w:p>
    <w:p w:rsidR="005A527A" w:rsidRDefault="005A527A">
      <w:pPr>
        <w:rPr>
          <w:rFonts w:ascii="Futura PT Bold" w:eastAsia="Futura PT Bold" w:hAnsi="Futura PT Bold" w:cs="Futura PT Bold"/>
          <w:b/>
          <w:bCs/>
          <w:color w:val="003E2D"/>
          <w:sz w:val="24"/>
          <w:szCs w:val="24"/>
        </w:rPr>
      </w:pPr>
      <w:r>
        <w:br w:type="page"/>
      </w:r>
    </w:p>
    <w:p w:rsidR="00D840DF" w:rsidRPr="005A527A" w:rsidRDefault="00961020" w:rsidP="005A527A">
      <w:pPr>
        <w:pStyle w:val="Heading3"/>
      </w:pPr>
      <w:r>
        <w:lastRenderedPageBreak/>
        <w:t>The Accountable Authority—education and review processes</w:t>
      </w:r>
    </w:p>
    <w:p w:rsidR="00D840DF" w:rsidRPr="005A527A" w:rsidRDefault="00961020" w:rsidP="005A527A">
      <w:pPr>
        <w:pStyle w:val="BodyText"/>
      </w:pPr>
      <w:r>
        <w:t xml:space="preserve">Under the </w:t>
      </w:r>
      <w:r>
        <w:rPr>
          <w:i/>
        </w:rPr>
        <w:t xml:space="preserve">National Health Reform Act </w:t>
      </w:r>
      <w:r>
        <w:rPr>
          <w:i/>
          <w:spacing w:val="-10"/>
        </w:rPr>
        <w:t>2011</w:t>
      </w:r>
      <w:r>
        <w:rPr>
          <w:spacing w:val="-10"/>
        </w:rPr>
        <w:t xml:space="preserve">, </w:t>
      </w:r>
      <w:r>
        <w:t xml:space="preserve">the Chief Executive Officer is the Accountable Authority. During the reporting period the CEO enhanced his skills through attendance at domestic and </w:t>
      </w:r>
      <w:r w:rsidRPr="005A527A">
        <w:t>international</w:t>
      </w:r>
      <w:r>
        <w:t xml:space="preserve"> Activity Based Funding events and attended </w:t>
      </w:r>
      <w:proofErr w:type="spellStart"/>
      <w:r>
        <w:t>specialised</w:t>
      </w:r>
      <w:proofErr w:type="spellEnd"/>
      <w:r>
        <w:t xml:space="preserve"> leadership training that was</w:t>
      </w:r>
      <w:r w:rsidR="00E314B6">
        <w:t xml:space="preserve"> </w:t>
      </w:r>
      <w:r>
        <w:t>also made available to IHPA mid-level and senior management staff. The CEO receives regular performance</w:t>
      </w:r>
      <w:r>
        <w:rPr>
          <w:spacing w:val="11"/>
        </w:rPr>
        <w:t xml:space="preserve"> </w:t>
      </w:r>
      <w:r>
        <w:t>feedback</w:t>
      </w:r>
      <w:r>
        <w:rPr>
          <w:spacing w:val="11"/>
        </w:rPr>
        <w:t xml:space="preserve"> </w:t>
      </w:r>
      <w:r>
        <w:t>via</w:t>
      </w:r>
      <w:r>
        <w:rPr>
          <w:spacing w:val="10"/>
        </w:rPr>
        <w:t xml:space="preserve"> </w:t>
      </w:r>
      <w:r>
        <w:t>the</w:t>
      </w:r>
      <w:r>
        <w:rPr>
          <w:spacing w:val="11"/>
        </w:rPr>
        <w:t xml:space="preserve"> </w:t>
      </w:r>
      <w:r>
        <w:t>monthly</w:t>
      </w:r>
      <w:r>
        <w:rPr>
          <w:spacing w:val="11"/>
        </w:rPr>
        <w:t xml:space="preserve"> </w:t>
      </w:r>
      <w:r>
        <w:t>Pricing</w:t>
      </w:r>
      <w:r>
        <w:rPr>
          <w:spacing w:val="11"/>
        </w:rPr>
        <w:t xml:space="preserve"> </w:t>
      </w:r>
      <w:r>
        <w:t>Authority</w:t>
      </w:r>
      <w:r>
        <w:rPr>
          <w:spacing w:val="11"/>
        </w:rPr>
        <w:t xml:space="preserve"> </w:t>
      </w:r>
      <w:r>
        <w:t>meetings.</w:t>
      </w:r>
    </w:p>
    <w:p w:rsidR="00D840DF" w:rsidRDefault="00961020" w:rsidP="005A527A">
      <w:pPr>
        <w:pStyle w:val="Heading3"/>
      </w:pPr>
      <w:r>
        <w:t>Work, Health and Safety (WHS)</w:t>
      </w:r>
    </w:p>
    <w:p w:rsidR="00D840DF" w:rsidRPr="005A527A" w:rsidRDefault="00961020" w:rsidP="005A527A">
      <w:pPr>
        <w:pStyle w:val="BodyText"/>
      </w:pPr>
      <w:r>
        <w:t xml:space="preserve">In 2016–17, IHPA’s Work, Health and Safety Committee continued to manage work health and </w:t>
      </w:r>
      <w:r w:rsidRPr="005A527A">
        <w:t>safety matters in accordance with the Work Health and Safety Act 2011. The committee met three times during the year and dealt with a range of WHS matters.</w:t>
      </w:r>
    </w:p>
    <w:p w:rsidR="00D840DF" w:rsidRPr="005A527A" w:rsidRDefault="00961020" w:rsidP="005A527A">
      <w:pPr>
        <w:pStyle w:val="BodyText"/>
      </w:pPr>
      <w:r w:rsidRPr="005A527A">
        <w:t>IHPA maintained its ongoing practice of providing workplace assessments for new staff, and as required.</w:t>
      </w:r>
    </w:p>
    <w:p w:rsidR="00D840DF" w:rsidRPr="005A527A" w:rsidRDefault="00961020">
      <w:pPr>
        <w:pStyle w:val="BodyText"/>
      </w:pPr>
      <w:r w:rsidRPr="005A527A">
        <w:t>In 2016–17 no notifiable incidents were identified in regards to WHS. No workers reported injuries and no worker</w:t>
      </w:r>
      <w:r>
        <w:t xml:space="preserve"> compensation claims were made. There were no investigations conducted during the year relating to businesses or undertakings conducted by the entity.</w:t>
      </w:r>
    </w:p>
    <w:p w:rsidR="00D840DF" w:rsidRDefault="00961020" w:rsidP="005A527A">
      <w:pPr>
        <w:pStyle w:val="Heading3"/>
      </w:pPr>
      <w:r>
        <w:t>Advertising and market research</w:t>
      </w:r>
    </w:p>
    <w:p w:rsidR="00D840DF" w:rsidRDefault="00961020" w:rsidP="005A527A">
      <w:pPr>
        <w:pStyle w:val="BodyText"/>
      </w:pPr>
      <w:r>
        <w:t>In 2016–17</w:t>
      </w:r>
      <w:r w:rsidR="00E314B6">
        <w:t xml:space="preserve"> </w:t>
      </w:r>
      <w:r>
        <w:t>IHPA commissioned the following advertising that must be reported under s 311A</w:t>
      </w:r>
      <w:r w:rsidR="00E314B6">
        <w:t xml:space="preserve"> </w:t>
      </w:r>
      <w:r>
        <w:t>of the</w:t>
      </w:r>
      <w:r w:rsidR="005A527A">
        <w:t xml:space="preserve"> </w:t>
      </w:r>
      <w:r>
        <w:rPr>
          <w:i/>
        </w:rPr>
        <w:t>Commonwealth Electoral Act 1918</w:t>
      </w:r>
      <w:r>
        <w:t>.</w:t>
      </w:r>
    </w:p>
    <w:p w:rsidR="00D840DF" w:rsidRPr="005A527A" w:rsidRDefault="00961020" w:rsidP="005A527A">
      <w:pPr>
        <w:pStyle w:val="BodyText"/>
        <w:rPr>
          <w:i/>
        </w:rPr>
      </w:pPr>
      <w:r>
        <w:rPr>
          <w:i/>
        </w:rPr>
        <w:t>Consultation Paper on Pricing Framework for Australian Public Hospital Services 2017–18</w:t>
      </w:r>
      <w:r w:rsidR="005A527A">
        <w:rPr>
          <w:i/>
        </w:rPr>
        <w:t xml:space="preserve"> </w:t>
      </w:r>
      <w:r>
        <w:t>—</w:t>
      </w:r>
      <w:proofErr w:type="spellStart"/>
      <w:r>
        <w:t>Dentsu</w:t>
      </w:r>
      <w:proofErr w:type="spellEnd"/>
      <w:r>
        <w:t xml:space="preserve"> Mitchell Media Australia Pty Ltd—$17,785.47</w:t>
      </w:r>
    </w:p>
    <w:p w:rsidR="00D840DF" w:rsidRDefault="00D840DF">
      <w:pPr>
        <w:sectPr w:rsidR="00D840DF">
          <w:pgSz w:w="9980" w:h="14180"/>
          <w:pgMar w:top="1320" w:right="1200" w:bottom="280" w:left="1020" w:header="720" w:footer="720" w:gutter="0"/>
          <w:cols w:space="720"/>
        </w:sectPr>
      </w:pPr>
    </w:p>
    <w:p w:rsidR="00D840DF" w:rsidRDefault="005A527A" w:rsidP="005A527A">
      <w:pPr>
        <w:pStyle w:val="Heading1"/>
      </w:pPr>
      <w:bookmarkStart w:id="93" w:name="Ihpa_purpose"/>
      <w:bookmarkStart w:id="94" w:name="Introductory_statement"/>
      <w:bookmarkStart w:id="95" w:name="_bookmark24"/>
      <w:bookmarkStart w:id="96" w:name="_Toc496088495"/>
      <w:bookmarkEnd w:id="93"/>
      <w:bookmarkEnd w:id="94"/>
      <w:bookmarkEnd w:id="95"/>
      <w:r>
        <w:lastRenderedPageBreak/>
        <w:t xml:space="preserve">06 </w:t>
      </w:r>
      <w:r w:rsidR="00961020">
        <w:t>Annual performance statements</w:t>
      </w:r>
      <w:bookmarkEnd w:id="96"/>
    </w:p>
    <w:p w:rsidR="00D840DF" w:rsidRDefault="00961020" w:rsidP="005A527A">
      <w:pPr>
        <w:pStyle w:val="Heading2"/>
      </w:pPr>
      <w:bookmarkStart w:id="97" w:name="_Toc496088496"/>
      <w:r>
        <w:t>Introductory statement</w:t>
      </w:r>
      <w:bookmarkEnd w:id="97"/>
    </w:p>
    <w:p w:rsidR="005A527A" w:rsidRDefault="00961020" w:rsidP="005A527A">
      <w:pPr>
        <w:pStyle w:val="BodyText"/>
      </w:pPr>
      <w:r>
        <w:t xml:space="preserve">I, James </w:t>
      </w:r>
      <w:proofErr w:type="spellStart"/>
      <w:r>
        <w:t>Downie</w:t>
      </w:r>
      <w:proofErr w:type="spellEnd"/>
      <w:r>
        <w:t xml:space="preserve">, as the Accountable Authority of the Independent Hospital Pricing Authority (IHPA), present the 2016–17 annual performance statements of IHPA, as required under paragraph 39(1)(a) of the </w:t>
      </w:r>
      <w:r>
        <w:rPr>
          <w:i/>
        </w:rPr>
        <w:t>Public Governance, Performance and Accountability Act 2013</w:t>
      </w:r>
      <w:r w:rsidR="00E314B6">
        <w:rPr>
          <w:i/>
        </w:rPr>
        <w:t xml:space="preserve"> </w:t>
      </w:r>
      <w:r>
        <w:t>(PGPA Act).</w:t>
      </w:r>
      <w:r w:rsidR="005A527A">
        <w:t xml:space="preserve"> </w:t>
      </w:r>
    </w:p>
    <w:p w:rsidR="00D840DF" w:rsidRPr="005A527A" w:rsidRDefault="00961020">
      <w:pPr>
        <w:pStyle w:val="BodyText"/>
      </w:pPr>
      <w:r>
        <w:t>In my opinion, these annual performance statements are based on properly maintained records, accurately reflect the performance of the entity, and comply with subsection 39(2) of the PGPA Act.</w:t>
      </w:r>
    </w:p>
    <w:p w:rsidR="00D840DF" w:rsidRDefault="00961020" w:rsidP="005A527A">
      <w:pPr>
        <w:pStyle w:val="Heading2"/>
      </w:pPr>
      <w:bookmarkStart w:id="98" w:name="_Toc496088497"/>
      <w:r>
        <w:t>IHPA purpose</w:t>
      </w:r>
      <w:bookmarkEnd w:id="98"/>
    </w:p>
    <w:p w:rsidR="00D840DF" w:rsidRPr="005A527A" w:rsidRDefault="00961020" w:rsidP="005A527A">
      <w:pPr>
        <w:pStyle w:val="BodyText"/>
      </w:pPr>
      <w:r>
        <w:t xml:space="preserve">Under the </w:t>
      </w:r>
      <w:r>
        <w:rPr>
          <w:i/>
        </w:rPr>
        <w:t>National Health Reform Act 2011</w:t>
      </w:r>
      <w:r>
        <w:t xml:space="preserve">, IHPA has one purpose: providing independent advice to </w:t>
      </w:r>
      <w:r w:rsidRPr="005A527A">
        <w:t>governments in relation to the efficient costs of public hospital services, and developing and implementing robust systems to support Activity Based Funding for such services.</w:t>
      </w:r>
    </w:p>
    <w:p w:rsidR="00D840DF" w:rsidRDefault="00961020" w:rsidP="005A527A">
      <w:pPr>
        <w:pStyle w:val="BodyText"/>
      </w:pPr>
      <w:r>
        <w:t>IHPA has one outcome: to promote improved efficiency in, and access to, public hospital services.</w:t>
      </w:r>
    </w:p>
    <w:p w:rsidR="00D840DF" w:rsidRDefault="00D840DF">
      <w:pPr>
        <w:sectPr w:rsidR="00D840DF">
          <w:pgSz w:w="9980" w:h="14180"/>
          <w:pgMar w:top="1320" w:right="1240" w:bottom="280" w:left="1020" w:header="720" w:footer="720" w:gutter="0"/>
          <w:cols w:space="720"/>
        </w:sectPr>
      </w:pPr>
    </w:p>
    <w:p w:rsidR="00D840DF" w:rsidRDefault="00961020" w:rsidP="005A527A">
      <w:pPr>
        <w:pStyle w:val="Heading2"/>
      </w:pPr>
      <w:bookmarkStart w:id="99" w:name="Activity_1:_Perform_IHPA_pricing_functio"/>
      <w:bookmarkStart w:id="100" w:name="_bookmark25"/>
      <w:bookmarkStart w:id="101" w:name="_Toc496088498"/>
      <w:bookmarkEnd w:id="99"/>
      <w:bookmarkEnd w:id="100"/>
      <w:r>
        <w:lastRenderedPageBreak/>
        <w:t>Results</w:t>
      </w:r>
      <w:bookmarkEnd w:id="101"/>
    </w:p>
    <w:p w:rsidR="00D840DF" w:rsidRDefault="00961020" w:rsidP="005A527A">
      <w:pPr>
        <w:pStyle w:val="Heading3"/>
      </w:pPr>
      <w:r>
        <w:rPr>
          <w:color w:val="008F54"/>
        </w:rPr>
        <w:t xml:space="preserve">Activity </w:t>
      </w:r>
      <w:r>
        <w:rPr>
          <w:color w:val="008F54"/>
          <w:spacing w:val="-7"/>
        </w:rPr>
        <w:t xml:space="preserve">1: </w:t>
      </w:r>
      <w:r>
        <w:t xml:space="preserve">Perform </w:t>
      </w:r>
      <w:r>
        <w:rPr>
          <w:spacing w:val="-3"/>
        </w:rPr>
        <w:t xml:space="preserve">IHPA </w:t>
      </w:r>
      <w:r>
        <w:t>pricing</w:t>
      </w:r>
      <w:r>
        <w:rPr>
          <w:spacing w:val="55"/>
        </w:rPr>
        <w:t xml:space="preserve"> </w:t>
      </w:r>
      <w:r>
        <w:t>functions</w:t>
      </w:r>
    </w:p>
    <w:p w:rsidR="00D840DF" w:rsidRPr="005A527A" w:rsidRDefault="00961020" w:rsidP="005A527A">
      <w:pPr>
        <w:pStyle w:val="BodyText"/>
      </w:pPr>
      <w:r>
        <w:rPr>
          <w:spacing w:val="-5"/>
        </w:rPr>
        <w:t xml:space="preserve">IHPA’s </w:t>
      </w:r>
      <w:r>
        <w:t>primary function is to produce the National Efficient Price (NEP) and the National Efficient Cost (NEC) each year. The National Pricing Framework outlines the principles, scope and methodology to be adopted by IHPA in the setting of the NEP and NEC for public hospital</w:t>
      </w:r>
      <w:r w:rsidR="00E314B6">
        <w:t xml:space="preserve"> </w:t>
      </w:r>
      <w:r>
        <w:t>services in next financial year. The Pricing Framework forms the policy basis for the NEP and</w:t>
      </w:r>
      <w:r w:rsidR="00E314B6">
        <w:t xml:space="preserve"> </w:t>
      </w:r>
      <w:r>
        <w:t>NEC</w:t>
      </w:r>
      <w:r>
        <w:rPr>
          <w:spacing w:val="25"/>
        </w:rPr>
        <w:t xml:space="preserve"> </w:t>
      </w:r>
      <w:r>
        <w:t>determinations.</w:t>
      </w:r>
    </w:p>
    <w:p w:rsidR="00D840DF" w:rsidRPr="005A527A" w:rsidRDefault="00961020">
      <w:pPr>
        <w:pStyle w:val="BodyText"/>
      </w:pPr>
      <w:r>
        <w:t>During 2016–17, IHPA was to undertake further technical development to improve the price setting process, and continue to refine the models used to determine the NEP and NEC.</w:t>
      </w:r>
    </w:p>
    <w:p w:rsidR="00D840DF" w:rsidRDefault="00961020" w:rsidP="005A527A">
      <w:pPr>
        <w:pStyle w:val="Heading4"/>
      </w:pPr>
      <w:r>
        <w:t>Criteria:</w:t>
      </w:r>
    </w:p>
    <w:p w:rsidR="00D840DF" w:rsidRDefault="00961020">
      <w:pPr>
        <w:pStyle w:val="ListParagraph"/>
        <w:numPr>
          <w:ilvl w:val="0"/>
          <w:numId w:val="18"/>
        </w:numPr>
        <w:tabs>
          <w:tab w:val="left" w:pos="331"/>
        </w:tabs>
        <w:spacing w:before="185" w:line="256" w:lineRule="auto"/>
        <w:ind w:right="1332"/>
        <w:rPr>
          <w:sz w:val="19"/>
        </w:rPr>
      </w:pPr>
      <w:r>
        <w:rPr>
          <w:color w:val="636466"/>
          <w:sz w:val="19"/>
        </w:rPr>
        <w:t xml:space="preserve">Publish the </w:t>
      </w:r>
      <w:r>
        <w:rPr>
          <w:i/>
          <w:color w:val="636466"/>
          <w:sz w:val="19"/>
        </w:rPr>
        <w:t xml:space="preserve">Pricing Framework for Australian Public </w:t>
      </w:r>
      <w:r>
        <w:rPr>
          <w:i/>
          <w:color w:val="636466"/>
          <w:spacing w:val="1"/>
          <w:sz w:val="19"/>
        </w:rPr>
        <w:t xml:space="preserve">Hospital </w:t>
      </w:r>
      <w:r>
        <w:rPr>
          <w:i/>
          <w:color w:val="636466"/>
          <w:spacing w:val="2"/>
          <w:sz w:val="19"/>
        </w:rPr>
        <w:t xml:space="preserve">Services </w:t>
      </w:r>
      <w:r>
        <w:rPr>
          <w:i/>
          <w:color w:val="636466"/>
          <w:spacing w:val="-9"/>
          <w:sz w:val="19"/>
        </w:rPr>
        <w:t xml:space="preserve">2017–18 </w:t>
      </w:r>
      <w:r>
        <w:rPr>
          <w:color w:val="636466"/>
          <w:sz w:val="19"/>
        </w:rPr>
        <w:t xml:space="preserve">by </w:t>
      </w:r>
      <w:r>
        <w:rPr>
          <w:color w:val="636466"/>
          <w:spacing w:val="-8"/>
          <w:sz w:val="19"/>
        </w:rPr>
        <w:t>31</w:t>
      </w:r>
      <w:r w:rsidR="00E314B6">
        <w:rPr>
          <w:color w:val="636466"/>
          <w:spacing w:val="-8"/>
          <w:sz w:val="19"/>
        </w:rPr>
        <w:t xml:space="preserve"> </w:t>
      </w:r>
      <w:r>
        <w:rPr>
          <w:color w:val="636466"/>
          <w:sz w:val="19"/>
        </w:rPr>
        <w:t>December</w:t>
      </w:r>
      <w:r>
        <w:rPr>
          <w:color w:val="636466"/>
          <w:spacing w:val="-15"/>
          <w:sz w:val="19"/>
        </w:rPr>
        <w:t xml:space="preserve"> </w:t>
      </w:r>
      <w:r>
        <w:rPr>
          <w:color w:val="636466"/>
          <w:spacing w:val="-6"/>
          <w:sz w:val="19"/>
        </w:rPr>
        <w:t>2016.</w:t>
      </w:r>
    </w:p>
    <w:p w:rsidR="00D840DF" w:rsidRDefault="00961020">
      <w:pPr>
        <w:pStyle w:val="ListParagraph"/>
        <w:numPr>
          <w:ilvl w:val="0"/>
          <w:numId w:val="18"/>
        </w:numPr>
        <w:tabs>
          <w:tab w:val="left" w:pos="331"/>
        </w:tabs>
        <w:spacing w:before="112"/>
        <w:rPr>
          <w:sz w:val="19"/>
        </w:rPr>
      </w:pPr>
      <w:r>
        <w:rPr>
          <w:color w:val="636466"/>
          <w:sz w:val="19"/>
        </w:rPr>
        <w:t xml:space="preserve">Publish the NEP and NEC Determinations by </w:t>
      </w:r>
      <w:r>
        <w:rPr>
          <w:color w:val="636466"/>
          <w:spacing w:val="-8"/>
          <w:sz w:val="19"/>
        </w:rPr>
        <w:t>31</w:t>
      </w:r>
      <w:r w:rsidR="00E314B6">
        <w:rPr>
          <w:color w:val="636466"/>
          <w:spacing w:val="-8"/>
          <w:sz w:val="19"/>
        </w:rPr>
        <w:t xml:space="preserve"> </w:t>
      </w:r>
      <w:r>
        <w:rPr>
          <w:color w:val="636466"/>
          <w:sz w:val="19"/>
        </w:rPr>
        <w:t>March</w:t>
      </w:r>
      <w:r>
        <w:rPr>
          <w:color w:val="636466"/>
          <w:spacing w:val="20"/>
          <w:sz w:val="19"/>
        </w:rPr>
        <w:t xml:space="preserve"> </w:t>
      </w:r>
      <w:r>
        <w:rPr>
          <w:color w:val="636466"/>
          <w:spacing w:val="-12"/>
          <w:sz w:val="19"/>
        </w:rPr>
        <w:t>2017.</w:t>
      </w:r>
    </w:p>
    <w:p w:rsidR="00D840DF" w:rsidRPr="005A527A" w:rsidRDefault="00961020" w:rsidP="005A527A">
      <w:pPr>
        <w:pStyle w:val="ListParagraph"/>
        <w:numPr>
          <w:ilvl w:val="0"/>
          <w:numId w:val="18"/>
        </w:numPr>
        <w:tabs>
          <w:tab w:val="left" w:pos="331"/>
        </w:tabs>
        <w:spacing w:line="256" w:lineRule="auto"/>
        <w:ind w:right="136"/>
        <w:rPr>
          <w:sz w:val="19"/>
        </w:rPr>
      </w:pPr>
      <w:r>
        <w:rPr>
          <w:color w:val="636466"/>
          <w:sz w:val="19"/>
        </w:rPr>
        <w:t xml:space="preserve">Reduction in the range between the 50th and 90th percentile cost per </w:t>
      </w:r>
      <w:r>
        <w:rPr>
          <w:color w:val="636466"/>
          <w:spacing w:val="-3"/>
          <w:sz w:val="19"/>
        </w:rPr>
        <w:t xml:space="preserve">NWAU </w:t>
      </w:r>
      <w:r>
        <w:rPr>
          <w:color w:val="636466"/>
          <w:sz w:val="19"/>
        </w:rPr>
        <w:t xml:space="preserve">when compared to </w:t>
      </w:r>
      <w:r>
        <w:rPr>
          <w:color w:val="636466"/>
          <w:spacing w:val="-8"/>
          <w:sz w:val="19"/>
        </w:rPr>
        <w:t>2014–15</w:t>
      </w:r>
      <w:r>
        <w:rPr>
          <w:color w:val="636466"/>
          <w:spacing w:val="10"/>
          <w:sz w:val="19"/>
        </w:rPr>
        <w:t xml:space="preserve"> </w:t>
      </w:r>
      <w:r>
        <w:rPr>
          <w:color w:val="636466"/>
          <w:sz w:val="19"/>
        </w:rPr>
        <w:t>data.</w:t>
      </w:r>
    </w:p>
    <w:p w:rsidR="00D840DF" w:rsidRDefault="00961020" w:rsidP="005A527A">
      <w:pPr>
        <w:pStyle w:val="Heading4"/>
      </w:pPr>
      <w:r>
        <w:t>Source:</w:t>
      </w:r>
    </w:p>
    <w:p w:rsidR="00D840DF" w:rsidRDefault="00961020">
      <w:pPr>
        <w:pStyle w:val="ListParagraph"/>
        <w:numPr>
          <w:ilvl w:val="0"/>
          <w:numId w:val="23"/>
        </w:numPr>
        <w:tabs>
          <w:tab w:val="left" w:pos="331"/>
        </w:tabs>
        <w:spacing w:before="186"/>
        <w:ind w:left="330"/>
        <w:rPr>
          <w:sz w:val="19"/>
        </w:rPr>
      </w:pPr>
      <w:r>
        <w:rPr>
          <w:color w:val="636466"/>
          <w:spacing w:val="-8"/>
          <w:sz w:val="19"/>
        </w:rPr>
        <w:t>2016–17</w:t>
      </w:r>
      <w:r w:rsidR="00E314B6">
        <w:rPr>
          <w:color w:val="636466"/>
          <w:spacing w:val="-8"/>
          <w:sz w:val="19"/>
        </w:rPr>
        <w:t xml:space="preserve"> </w:t>
      </w:r>
      <w:r>
        <w:rPr>
          <w:color w:val="636466"/>
          <w:sz w:val="19"/>
        </w:rPr>
        <w:t>Corporate Plan—Strategy</w:t>
      </w:r>
      <w:r>
        <w:rPr>
          <w:color w:val="636466"/>
          <w:spacing w:val="7"/>
          <w:sz w:val="19"/>
        </w:rPr>
        <w:t xml:space="preserve"> </w:t>
      </w:r>
      <w:r>
        <w:rPr>
          <w:color w:val="636466"/>
          <w:sz w:val="19"/>
        </w:rPr>
        <w:t>1</w:t>
      </w:r>
    </w:p>
    <w:p w:rsidR="00D840DF" w:rsidRPr="005A527A" w:rsidRDefault="00961020" w:rsidP="005A527A">
      <w:pPr>
        <w:pStyle w:val="ListParagraph"/>
        <w:numPr>
          <w:ilvl w:val="0"/>
          <w:numId w:val="23"/>
        </w:numPr>
        <w:tabs>
          <w:tab w:val="left" w:pos="331"/>
        </w:tabs>
        <w:ind w:left="330"/>
        <w:rPr>
          <w:sz w:val="19"/>
        </w:rPr>
      </w:pPr>
      <w:r>
        <w:rPr>
          <w:color w:val="636466"/>
          <w:spacing w:val="-8"/>
          <w:sz w:val="19"/>
        </w:rPr>
        <w:t>2016–17</w:t>
      </w:r>
      <w:r w:rsidR="00E314B6">
        <w:rPr>
          <w:color w:val="636466"/>
          <w:spacing w:val="-8"/>
          <w:sz w:val="19"/>
        </w:rPr>
        <w:t xml:space="preserve"> </w:t>
      </w:r>
      <w:r>
        <w:rPr>
          <w:color w:val="636466"/>
          <w:sz w:val="19"/>
        </w:rPr>
        <w:t>Portfolio Budget Statement Program</w:t>
      </w:r>
      <w:r>
        <w:rPr>
          <w:color w:val="636466"/>
          <w:spacing w:val="15"/>
          <w:sz w:val="19"/>
        </w:rPr>
        <w:t xml:space="preserve"> </w:t>
      </w:r>
      <w:r>
        <w:rPr>
          <w:color w:val="636466"/>
          <w:spacing w:val="-8"/>
          <w:sz w:val="19"/>
        </w:rPr>
        <w:t>1.1</w:t>
      </w:r>
    </w:p>
    <w:p w:rsidR="00D840DF" w:rsidRDefault="00961020" w:rsidP="005A527A">
      <w:pPr>
        <w:pStyle w:val="Heading4"/>
      </w:pPr>
      <w:r>
        <w:t>Result against performance</w:t>
      </w:r>
      <w:r w:rsidR="00E314B6">
        <w:t xml:space="preserve"> </w:t>
      </w:r>
      <w:r>
        <w:t>criteria:</w:t>
      </w:r>
    </w:p>
    <w:p w:rsidR="00D840DF" w:rsidRDefault="00961020">
      <w:pPr>
        <w:pStyle w:val="ListParagraph"/>
        <w:numPr>
          <w:ilvl w:val="0"/>
          <w:numId w:val="17"/>
        </w:numPr>
        <w:tabs>
          <w:tab w:val="left" w:pos="331"/>
        </w:tabs>
        <w:spacing w:before="186" w:line="256" w:lineRule="auto"/>
        <w:ind w:right="108"/>
        <w:rPr>
          <w:sz w:val="19"/>
        </w:rPr>
      </w:pPr>
      <w:r>
        <w:rPr>
          <w:color w:val="636466"/>
          <w:sz w:val="19"/>
        </w:rPr>
        <w:t xml:space="preserve">This year </w:t>
      </w:r>
      <w:r>
        <w:rPr>
          <w:color w:val="636466"/>
          <w:spacing w:val="1"/>
          <w:sz w:val="19"/>
        </w:rPr>
        <w:t xml:space="preserve">the </w:t>
      </w:r>
      <w:r>
        <w:rPr>
          <w:i/>
          <w:color w:val="636466"/>
          <w:spacing w:val="1"/>
          <w:sz w:val="19"/>
        </w:rPr>
        <w:t xml:space="preserve">Pricing </w:t>
      </w:r>
      <w:r>
        <w:rPr>
          <w:i/>
          <w:color w:val="636466"/>
          <w:sz w:val="19"/>
        </w:rPr>
        <w:t xml:space="preserve">Framework </w:t>
      </w:r>
      <w:r>
        <w:rPr>
          <w:i/>
          <w:color w:val="636466"/>
          <w:spacing w:val="1"/>
          <w:sz w:val="19"/>
        </w:rPr>
        <w:t xml:space="preserve">for Australian </w:t>
      </w:r>
      <w:r>
        <w:rPr>
          <w:i/>
          <w:color w:val="636466"/>
          <w:sz w:val="19"/>
        </w:rPr>
        <w:t xml:space="preserve">Public </w:t>
      </w:r>
      <w:r>
        <w:rPr>
          <w:i/>
          <w:color w:val="636466"/>
          <w:spacing w:val="1"/>
          <w:sz w:val="19"/>
        </w:rPr>
        <w:t xml:space="preserve">Hospital </w:t>
      </w:r>
      <w:r>
        <w:rPr>
          <w:i/>
          <w:color w:val="636466"/>
          <w:spacing w:val="2"/>
          <w:sz w:val="19"/>
        </w:rPr>
        <w:t xml:space="preserve">Services </w:t>
      </w:r>
      <w:r>
        <w:rPr>
          <w:i/>
          <w:color w:val="636466"/>
          <w:spacing w:val="-9"/>
          <w:sz w:val="19"/>
        </w:rPr>
        <w:t xml:space="preserve">2017–18 </w:t>
      </w:r>
      <w:r>
        <w:rPr>
          <w:color w:val="636466"/>
          <w:sz w:val="19"/>
        </w:rPr>
        <w:t xml:space="preserve">was published alongside </w:t>
      </w:r>
      <w:r>
        <w:rPr>
          <w:color w:val="636466"/>
          <w:spacing w:val="1"/>
          <w:sz w:val="19"/>
        </w:rPr>
        <w:t xml:space="preserve">the National Efficient Price </w:t>
      </w:r>
      <w:r>
        <w:rPr>
          <w:color w:val="636466"/>
          <w:sz w:val="19"/>
        </w:rPr>
        <w:t xml:space="preserve">and National Efficient Cost Determinations on 6 March </w:t>
      </w:r>
      <w:r>
        <w:rPr>
          <w:color w:val="636466"/>
          <w:spacing w:val="-13"/>
          <w:sz w:val="19"/>
        </w:rPr>
        <w:t xml:space="preserve">2017. </w:t>
      </w:r>
      <w:r>
        <w:rPr>
          <w:color w:val="636466"/>
          <w:sz w:val="19"/>
        </w:rPr>
        <w:t xml:space="preserve">This was a strategic decision reflecting the detailed work </w:t>
      </w:r>
      <w:r>
        <w:rPr>
          <w:color w:val="636466"/>
          <w:spacing w:val="-3"/>
          <w:sz w:val="19"/>
        </w:rPr>
        <w:t xml:space="preserve">IHPA </w:t>
      </w:r>
      <w:r>
        <w:rPr>
          <w:color w:val="636466"/>
          <w:sz w:val="19"/>
        </w:rPr>
        <w:t xml:space="preserve">undertook to </w:t>
      </w:r>
      <w:r>
        <w:rPr>
          <w:color w:val="636466"/>
          <w:spacing w:val="2"/>
          <w:sz w:val="19"/>
        </w:rPr>
        <w:t xml:space="preserve">identify </w:t>
      </w:r>
      <w:r>
        <w:rPr>
          <w:color w:val="636466"/>
          <w:sz w:val="19"/>
        </w:rPr>
        <w:t xml:space="preserve">and </w:t>
      </w:r>
      <w:r>
        <w:rPr>
          <w:color w:val="636466"/>
          <w:spacing w:val="1"/>
          <w:sz w:val="19"/>
        </w:rPr>
        <w:t xml:space="preserve">investigate </w:t>
      </w:r>
      <w:r>
        <w:rPr>
          <w:color w:val="636466"/>
          <w:sz w:val="19"/>
        </w:rPr>
        <w:t xml:space="preserve">a </w:t>
      </w:r>
      <w:r>
        <w:rPr>
          <w:color w:val="636466"/>
          <w:spacing w:val="2"/>
          <w:sz w:val="19"/>
        </w:rPr>
        <w:t xml:space="preserve">variety </w:t>
      </w:r>
      <w:r>
        <w:rPr>
          <w:color w:val="636466"/>
          <w:sz w:val="19"/>
        </w:rPr>
        <w:t xml:space="preserve">of </w:t>
      </w:r>
      <w:r>
        <w:rPr>
          <w:color w:val="636466"/>
          <w:spacing w:val="1"/>
          <w:sz w:val="19"/>
        </w:rPr>
        <w:t xml:space="preserve">options </w:t>
      </w:r>
      <w:r>
        <w:rPr>
          <w:color w:val="636466"/>
          <w:sz w:val="19"/>
        </w:rPr>
        <w:t xml:space="preserve">for </w:t>
      </w:r>
      <w:r>
        <w:rPr>
          <w:color w:val="636466"/>
          <w:spacing w:val="1"/>
          <w:sz w:val="19"/>
        </w:rPr>
        <w:t xml:space="preserve">incorporating </w:t>
      </w:r>
      <w:r>
        <w:rPr>
          <w:color w:val="636466"/>
          <w:spacing w:val="2"/>
          <w:sz w:val="19"/>
        </w:rPr>
        <w:t xml:space="preserve">safety </w:t>
      </w:r>
      <w:r>
        <w:rPr>
          <w:color w:val="636466"/>
          <w:sz w:val="19"/>
        </w:rPr>
        <w:t>and quality into the pricing and funding</w:t>
      </w:r>
      <w:r w:rsidR="00E314B6">
        <w:rPr>
          <w:color w:val="636466"/>
          <w:sz w:val="19"/>
        </w:rPr>
        <w:t xml:space="preserve"> </w:t>
      </w:r>
      <w:r>
        <w:rPr>
          <w:color w:val="636466"/>
          <w:sz w:val="19"/>
        </w:rPr>
        <w:t xml:space="preserve">of public hospital services for National Efficient Price for </w:t>
      </w:r>
      <w:r>
        <w:rPr>
          <w:color w:val="636466"/>
          <w:spacing w:val="-10"/>
          <w:sz w:val="19"/>
        </w:rPr>
        <w:t xml:space="preserve">2017–18. </w:t>
      </w:r>
      <w:r>
        <w:rPr>
          <w:color w:val="636466"/>
          <w:sz w:val="19"/>
        </w:rPr>
        <w:t>IHPA will return to releasing the Pricing Framework ahead of the Determinations in future</w:t>
      </w:r>
      <w:r>
        <w:rPr>
          <w:color w:val="636466"/>
          <w:spacing w:val="5"/>
          <w:sz w:val="19"/>
        </w:rPr>
        <w:t xml:space="preserve"> </w:t>
      </w:r>
      <w:r>
        <w:rPr>
          <w:color w:val="636466"/>
          <w:sz w:val="19"/>
        </w:rPr>
        <w:t>years.</w:t>
      </w:r>
    </w:p>
    <w:p w:rsidR="00D840DF" w:rsidRDefault="00961020">
      <w:pPr>
        <w:pStyle w:val="ListParagraph"/>
        <w:numPr>
          <w:ilvl w:val="0"/>
          <w:numId w:val="17"/>
        </w:numPr>
        <w:tabs>
          <w:tab w:val="left" w:pos="331"/>
        </w:tabs>
        <w:spacing w:before="113"/>
        <w:rPr>
          <w:sz w:val="19"/>
        </w:rPr>
      </w:pPr>
      <w:r>
        <w:rPr>
          <w:color w:val="636466"/>
          <w:sz w:val="19"/>
        </w:rPr>
        <w:t>The</w:t>
      </w:r>
      <w:r>
        <w:rPr>
          <w:color w:val="636466"/>
          <w:spacing w:val="5"/>
          <w:sz w:val="19"/>
        </w:rPr>
        <w:t xml:space="preserve"> </w:t>
      </w:r>
      <w:r>
        <w:rPr>
          <w:color w:val="636466"/>
          <w:sz w:val="19"/>
        </w:rPr>
        <w:t>NEP</w:t>
      </w:r>
      <w:r>
        <w:rPr>
          <w:color w:val="636466"/>
          <w:spacing w:val="5"/>
          <w:sz w:val="19"/>
        </w:rPr>
        <w:t xml:space="preserve"> </w:t>
      </w:r>
      <w:r>
        <w:rPr>
          <w:color w:val="636466"/>
          <w:sz w:val="19"/>
        </w:rPr>
        <w:t>and</w:t>
      </w:r>
      <w:r>
        <w:rPr>
          <w:color w:val="636466"/>
          <w:spacing w:val="5"/>
          <w:sz w:val="19"/>
        </w:rPr>
        <w:t xml:space="preserve"> </w:t>
      </w:r>
      <w:r>
        <w:rPr>
          <w:color w:val="636466"/>
          <w:sz w:val="19"/>
        </w:rPr>
        <w:t>NEC</w:t>
      </w:r>
      <w:r>
        <w:rPr>
          <w:color w:val="636466"/>
          <w:spacing w:val="5"/>
          <w:sz w:val="19"/>
        </w:rPr>
        <w:t xml:space="preserve"> </w:t>
      </w:r>
      <w:r>
        <w:rPr>
          <w:color w:val="636466"/>
          <w:sz w:val="19"/>
        </w:rPr>
        <w:t>Determinations</w:t>
      </w:r>
      <w:r>
        <w:rPr>
          <w:color w:val="636466"/>
          <w:spacing w:val="5"/>
          <w:sz w:val="19"/>
        </w:rPr>
        <w:t xml:space="preserve"> </w:t>
      </w:r>
      <w:r>
        <w:rPr>
          <w:color w:val="636466"/>
          <w:sz w:val="19"/>
        </w:rPr>
        <w:t>were</w:t>
      </w:r>
      <w:r>
        <w:rPr>
          <w:color w:val="636466"/>
          <w:spacing w:val="5"/>
          <w:sz w:val="19"/>
        </w:rPr>
        <w:t xml:space="preserve"> </w:t>
      </w:r>
      <w:r>
        <w:rPr>
          <w:color w:val="636466"/>
          <w:sz w:val="19"/>
        </w:rPr>
        <w:t>published</w:t>
      </w:r>
      <w:r>
        <w:rPr>
          <w:color w:val="636466"/>
          <w:spacing w:val="5"/>
          <w:sz w:val="19"/>
        </w:rPr>
        <w:t xml:space="preserve"> </w:t>
      </w:r>
      <w:r>
        <w:rPr>
          <w:color w:val="636466"/>
          <w:sz w:val="19"/>
        </w:rPr>
        <w:t>on</w:t>
      </w:r>
      <w:r>
        <w:rPr>
          <w:color w:val="636466"/>
          <w:spacing w:val="5"/>
          <w:sz w:val="19"/>
        </w:rPr>
        <w:t xml:space="preserve"> </w:t>
      </w:r>
      <w:r>
        <w:rPr>
          <w:color w:val="636466"/>
          <w:sz w:val="19"/>
        </w:rPr>
        <w:t>time,</w:t>
      </w:r>
      <w:r>
        <w:rPr>
          <w:color w:val="636466"/>
          <w:spacing w:val="5"/>
          <w:sz w:val="19"/>
        </w:rPr>
        <w:t xml:space="preserve"> </w:t>
      </w:r>
      <w:r>
        <w:rPr>
          <w:color w:val="636466"/>
          <w:sz w:val="19"/>
        </w:rPr>
        <w:t>in</w:t>
      </w:r>
      <w:r>
        <w:rPr>
          <w:color w:val="636466"/>
          <w:spacing w:val="5"/>
          <w:sz w:val="19"/>
        </w:rPr>
        <w:t xml:space="preserve"> </w:t>
      </w:r>
      <w:r>
        <w:rPr>
          <w:color w:val="636466"/>
          <w:sz w:val="19"/>
        </w:rPr>
        <w:t>March</w:t>
      </w:r>
      <w:r>
        <w:rPr>
          <w:color w:val="636466"/>
          <w:spacing w:val="5"/>
          <w:sz w:val="19"/>
        </w:rPr>
        <w:t xml:space="preserve"> </w:t>
      </w:r>
      <w:r>
        <w:rPr>
          <w:color w:val="636466"/>
          <w:spacing w:val="-12"/>
          <w:sz w:val="19"/>
        </w:rPr>
        <w:t>2017.</w:t>
      </w:r>
    </w:p>
    <w:p w:rsidR="00D840DF" w:rsidRDefault="00961020">
      <w:pPr>
        <w:pStyle w:val="ListParagraph"/>
        <w:numPr>
          <w:ilvl w:val="0"/>
          <w:numId w:val="17"/>
        </w:numPr>
        <w:tabs>
          <w:tab w:val="left" w:pos="331"/>
        </w:tabs>
        <w:spacing w:before="130" w:line="256" w:lineRule="auto"/>
        <w:ind w:right="1971"/>
        <w:rPr>
          <w:sz w:val="19"/>
        </w:rPr>
      </w:pPr>
      <w:r>
        <w:rPr>
          <w:color w:val="636466"/>
          <w:sz w:val="19"/>
        </w:rPr>
        <w:t>There has been no significant change in the range between the 50th and 90th percentile cost per</w:t>
      </w:r>
      <w:r>
        <w:rPr>
          <w:color w:val="636466"/>
          <w:spacing w:val="27"/>
          <w:sz w:val="19"/>
        </w:rPr>
        <w:t xml:space="preserve"> </w:t>
      </w:r>
      <w:r>
        <w:rPr>
          <w:color w:val="636466"/>
          <w:spacing w:val="-3"/>
          <w:sz w:val="19"/>
        </w:rPr>
        <w:t>NWAU.</w:t>
      </w:r>
    </w:p>
    <w:p w:rsidR="00D840DF" w:rsidRDefault="00D840DF">
      <w:pPr>
        <w:spacing w:line="256" w:lineRule="auto"/>
        <w:rPr>
          <w:sz w:val="19"/>
        </w:rPr>
        <w:sectPr w:rsidR="00D840DF">
          <w:pgSz w:w="9980" w:h="14180"/>
          <w:pgMar w:top="1320" w:right="1060" w:bottom="280" w:left="1200" w:header="720" w:footer="720" w:gutter="0"/>
          <w:cols w:space="720"/>
        </w:sectPr>
      </w:pPr>
    </w:p>
    <w:p w:rsidR="00D840DF" w:rsidRDefault="00961020" w:rsidP="005A527A">
      <w:pPr>
        <w:pStyle w:val="Heading3"/>
      </w:pPr>
      <w:bookmarkStart w:id="102" w:name="Activity_2:_Develop_national_classificat"/>
      <w:bookmarkStart w:id="103" w:name="_bookmark26"/>
      <w:bookmarkEnd w:id="102"/>
      <w:bookmarkEnd w:id="103"/>
      <w:r>
        <w:rPr>
          <w:color w:val="008F54"/>
        </w:rPr>
        <w:lastRenderedPageBreak/>
        <w:t xml:space="preserve">Activity 2: </w:t>
      </w:r>
      <w:r>
        <w:t>Develop national classifications for Activity Based Funding</w:t>
      </w:r>
    </w:p>
    <w:p w:rsidR="00D840DF" w:rsidRPr="005A527A" w:rsidRDefault="00961020" w:rsidP="005A527A">
      <w:pPr>
        <w:pStyle w:val="BodyText"/>
      </w:pPr>
      <w:r>
        <w:t xml:space="preserve">ABF requires robust classification systems. Classifications aim to provide the health care sector with a nationally consistent method of classifying all types of patients, their treatment, and associated costs. </w:t>
      </w:r>
      <w:r w:rsidRPr="005A527A">
        <w:t>IHPA has already determined the national classifications systems for public hospital services, including admitted acute, non-admitted, emergency and subacute care.</w:t>
      </w:r>
    </w:p>
    <w:p w:rsidR="00D840DF" w:rsidRPr="005A527A" w:rsidRDefault="00961020" w:rsidP="005A527A">
      <w:pPr>
        <w:pStyle w:val="BodyText"/>
      </w:pPr>
      <w:r w:rsidRPr="005A527A">
        <w:t>Classifications are reviewed regularly and updated periodically to ensure that they remain clinically relevant and resource homogenous within a service category. Such modifications are based on</w:t>
      </w:r>
      <w:r w:rsidR="00E314B6">
        <w:t xml:space="preserve"> </w:t>
      </w:r>
      <w:r w:rsidRPr="005A527A">
        <w:t>robust statistical analysis and include specialist input from clinicians.</w:t>
      </w:r>
    </w:p>
    <w:p w:rsidR="00D840DF" w:rsidRPr="005A527A" w:rsidRDefault="00961020">
      <w:pPr>
        <w:pStyle w:val="BodyText"/>
      </w:pPr>
      <w:r w:rsidRPr="005A527A">
        <w:t>During 2016–17, IHPA aimed to further develop the classifications for admitted acute care, subacute care and non-admitted patient care as well as progress the initial design and development of new classifications in</w:t>
      </w:r>
      <w:r>
        <w:t xml:space="preserve"> emergency care, teaching and training and mental health care.</w:t>
      </w:r>
    </w:p>
    <w:p w:rsidR="00D840DF" w:rsidRDefault="00961020" w:rsidP="005A527A">
      <w:pPr>
        <w:pStyle w:val="Heading4"/>
      </w:pPr>
      <w:r>
        <w:t>Criteria:</w:t>
      </w:r>
    </w:p>
    <w:p w:rsidR="00D840DF" w:rsidRDefault="00961020">
      <w:pPr>
        <w:pStyle w:val="ListParagraph"/>
        <w:numPr>
          <w:ilvl w:val="0"/>
          <w:numId w:val="16"/>
        </w:numPr>
        <w:tabs>
          <w:tab w:val="left" w:pos="341"/>
        </w:tabs>
        <w:spacing w:before="186" w:line="256" w:lineRule="auto"/>
        <w:ind w:right="717"/>
        <w:rPr>
          <w:sz w:val="19"/>
        </w:rPr>
      </w:pPr>
      <w:r>
        <w:rPr>
          <w:color w:val="636466"/>
          <w:sz w:val="19"/>
        </w:rPr>
        <w:t xml:space="preserve">Continue development work on the new classification system for emergency care services in </w:t>
      </w:r>
      <w:r>
        <w:rPr>
          <w:color w:val="636466"/>
          <w:spacing w:val="-13"/>
          <w:sz w:val="19"/>
        </w:rPr>
        <w:t>2016–17.</w:t>
      </w:r>
    </w:p>
    <w:p w:rsidR="00D840DF" w:rsidRDefault="00961020">
      <w:pPr>
        <w:pStyle w:val="ListParagraph"/>
        <w:numPr>
          <w:ilvl w:val="0"/>
          <w:numId w:val="16"/>
        </w:numPr>
        <w:tabs>
          <w:tab w:val="left" w:pos="341"/>
        </w:tabs>
        <w:spacing w:before="112" w:line="256" w:lineRule="auto"/>
        <w:ind w:right="783"/>
        <w:rPr>
          <w:sz w:val="19"/>
        </w:rPr>
      </w:pPr>
      <w:r>
        <w:rPr>
          <w:color w:val="636466"/>
          <w:sz w:val="19"/>
        </w:rPr>
        <w:t xml:space="preserve">Implementation of the Australian Mental Health Care Classification (AMHCC) </w:t>
      </w:r>
      <w:r>
        <w:rPr>
          <w:color w:val="636466"/>
          <w:spacing w:val="-5"/>
          <w:sz w:val="19"/>
        </w:rPr>
        <w:t xml:space="preserve">V1.0 </w:t>
      </w:r>
      <w:r>
        <w:rPr>
          <w:color w:val="636466"/>
          <w:sz w:val="19"/>
        </w:rPr>
        <w:t>from June</w:t>
      </w:r>
      <w:r>
        <w:rPr>
          <w:color w:val="636466"/>
          <w:spacing w:val="5"/>
          <w:sz w:val="19"/>
        </w:rPr>
        <w:t xml:space="preserve"> </w:t>
      </w:r>
      <w:r>
        <w:rPr>
          <w:color w:val="636466"/>
          <w:spacing w:val="-6"/>
          <w:sz w:val="19"/>
        </w:rPr>
        <w:t>2016.</w:t>
      </w:r>
    </w:p>
    <w:p w:rsidR="00D840DF" w:rsidRDefault="00961020">
      <w:pPr>
        <w:pStyle w:val="ListParagraph"/>
        <w:numPr>
          <w:ilvl w:val="0"/>
          <w:numId w:val="16"/>
        </w:numPr>
        <w:tabs>
          <w:tab w:val="left" w:pos="341"/>
        </w:tabs>
        <w:spacing w:before="112"/>
        <w:rPr>
          <w:sz w:val="19"/>
        </w:rPr>
      </w:pPr>
      <w:r>
        <w:rPr>
          <w:color w:val="636466"/>
          <w:sz w:val="19"/>
        </w:rPr>
        <w:t>Ongoing development of the subacute care</w:t>
      </w:r>
      <w:r w:rsidR="00E314B6">
        <w:rPr>
          <w:color w:val="636466"/>
          <w:sz w:val="19"/>
        </w:rPr>
        <w:t xml:space="preserve"> </w:t>
      </w:r>
      <w:r>
        <w:rPr>
          <w:color w:val="636466"/>
          <w:sz w:val="19"/>
        </w:rPr>
        <w:t>classification.</w:t>
      </w:r>
    </w:p>
    <w:p w:rsidR="00D840DF" w:rsidRDefault="00961020">
      <w:pPr>
        <w:pStyle w:val="ListParagraph"/>
        <w:numPr>
          <w:ilvl w:val="0"/>
          <w:numId w:val="16"/>
        </w:numPr>
        <w:tabs>
          <w:tab w:val="left" w:pos="341"/>
        </w:tabs>
        <w:spacing w:before="130"/>
        <w:rPr>
          <w:sz w:val="19"/>
        </w:rPr>
      </w:pPr>
      <w:r>
        <w:rPr>
          <w:color w:val="636466"/>
          <w:sz w:val="19"/>
        </w:rPr>
        <w:t>Complete new classification teaching, training and</w:t>
      </w:r>
      <w:r w:rsidR="00E314B6">
        <w:rPr>
          <w:color w:val="636466"/>
          <w:sz w:val="19"/>
        </w:rPr>
        <w:t xml:space="preserve"> </w:t>
      </w:r>
      <w:r>
        <w:rPr>
          <w:color w:val="636466"/>
          <w:sz w:val="19"/>
        </w:rPr>
        <w:t>research.</w:t>
      </w:r>
    </w:p>
    <w:p w:rsidR="00D840DF" w:rsidRDefault="00961020">
      <w:pPr>
        <w:pStyle w:val="ListParagraph"/>
        <w:numPr>
          <w:ilvl w:val="0"/>
          <w:numId w:val="16"/>
        </w:numPr>
        <w:tabs>
          <w:tab w:val="left" w:pos="341"/>
        </w:tabs>
        <w:spacing w:before="130"/>
        <w:rPr>
          <w:sz w:val="19"/>
        </w:rPr>
      </w:pPr>
      <w:r>
        <w:rPr>
          <w:color w:val="636466"/>
          <w:sz w:val="19"/>
        </w:rPr>
        <w:t>Continue</w:t>
      </w:r>
      <w:r>
        <w:rPr>
          <w:color w:val="636466"/>
          <w:spacing w:val="6"/>
          <w:sz w:val="19"/>
        </w:rPr>
        <w:t xml:space="preserve"> </w:t>
      </w:r>
      <w:r>
        <w:rPr>
          <w:color w:val="636466"/>
          <w:sz w:val="19"/>
        </w:rPr>
        <w:t>development</w:t>
      </w:r>
      <w:r>
        <w:rPr>
          <w:color w:val="636466"/>
          <w:spacing w:val="7"/>
          <w:sz w:val="19"/>
        </w:rPr>
        <w:t xml:space="preserve"> </w:t>
      </w:r>
      <w:r>
        <w:rPr>
          <w:color w:val="636466"/>
          <w:sz w:val="19"/>
        </w:rPr>
        <w:t>work</w:t>
      </w:r>
      <w:r>
        <w:rPr>
          <w:color w:val="636466"/>
          <w:spacing w:val="6"/>
          <w:sz w:val="19"/>
        </w:rPr>
        <w:t xml:space="preserve"> </w:t>
      </w:r>
      <w:r>
        <w:rPr>
          <w:color w:val="636466"/>
          <w:sz w:val="19"/>
        </w:rPr>
        <w:t>on</w:t>
      </w:r>
      <w:r>
        <w:rPr>
          <w:color w:val="636466"/>
          <w:spacing w:val="7"/>
          <w:sz w:val="19"/>
        </w:rPr>
        <w:t xml:space="preserve"> </w:t>
      </w:r>
      <w:r>
        <w:rPr>
          <w:color w:val="636466"/>
          <w:sz w:val="19"/>
        </w:rPr>
        <w:t>the</w:t>
      </w:r>
      <w:r>
        <w:rPr>
          <w:color w:val="636466"/>
          <w:spacing w:val="7"/>
          <w:sz w:val="19"/>
        </w:rPr>
        <w:t xml:space="preserve"> </w:t>
      </w:r>
      <w:r>
        <w:rPr>
          <w:color w:val="636466"/>
          <w:sz w:val="19"/>
        </w:rPr>
        <w:t>new</w:t>
      </w:r>
      <w:r>
        <w:rPr>
          <w:color w:val="636466"/>
          <w:spacing w:val="7"/>
          <w:sz w:val="19"/>
        </w:rPr>
        <w:t xml:space="preserve"> </w:t>
      </w:r>
      <w:r>
        <w:rPr>
          <w:color w:val="636466"/>
          <w:sz w:val="19"/>
        </w:rPr>
        <w:t>classification</w:t>
      </w:r>
      <w:r>
        <w:rPr>
          <w:color w:val="636466"/>
          <w:spacing w:val="7"/>
          <w:sz w:val="19"/>
        </w:rPr>
        <w:t xml:space="preserve"> </w:t>
      </w:r>
      <w:r>
        <w:rPr>
          <w:color w:val="636466"/>
          <w:sz w:val="19"/>
        </w:rPr>
        <w:t>for</w:t>
      </w:r>
      <w:r>
        <w:rPr>
          <w:color w:val="636466"/>
          <w:spacing w:val="7"/>
          <w:sz w:val="19"/>
        </w:rPr>
        <w:t xml:space="preserve"> </w:t>
      </w:r>
      <w:r>
        <w:rPr>
          <w:color w:val="636466"/>
          <w:sz w:val="19"/>
        </w:rPr>
        <w:t>non-admitted</w:t>
      </w:r>
      <w:r>
        <w:rPr>
          <w:color w:val="636466"/>
          <w:spacing w:val="7"/>
          <w:sz w:val="19"/>
        </w:rPr>
        <w:t xml:space="preserve"> </w:t>
      </w:r>
      <w:r>
        <w:rPr>
          <w:color w:val="636466"/>
          <w:sz w:val="19"/>
        </w:rPr>
        <w:t>care.</w:t>
      </w:r>
    </w:p>
    <w:p w:rsidR="00D840DF" w:rsidRDefault="00961020">
      <w:pPr>
        <w:pStyle w:val="ListParagraph"/>
        <w:numPr>
          <w:ilvl w:val="0"/>
          <w:numId w:val="16"/>
        </w:numPr>
        <w:tabs>
          <w:tab w:val="left" w:pos="341"/>
        </w:tabs>
        <w:spacing w:before="130" w:line="256" w:lineRule="auto"/>
        <w:ind w:right="478"/>
        <w:rPr>
          <w:sz w:val="19"/>
        </w:rPr>
      </w:pPr>
      <w:r>
        <w:rPr>
          <w:color w:val="636466"/>
          <w:sz w:val="19"/>
        </w:rPr>
        <w:t xml:space="preserve">Continue development work on Australian Modification of the International </w:t>
      </w:r>
      <w:r>
        <w:rPr>
          <w:color w:val="636466"/>
          <w:spacing w:val="1"/>
          <w:sz w:val="19"/>
        </w:rPr>
        <w:t xml:space="preserve">Statistical Classification </w:t>
      </w:r>
      <w:r>
        <w:rPr>
          <w:color w:val="636466"/>
          <w:sz w:val="19"/>
        </w:rPr>
        <w:t xml:space="preserve">of </w:t>
      </w:r>
      <w:r>
        <w:rPr>
          <w:color w:val="636466"/>
          <w:spacing w:val="1"/>
          <w:sz w:val="19"/>
        </w:rPr>
        <w:t xml:space="preserve">Diseases </w:t>
      </w:r>
      <w:r>
        <w:rPr>
          <w:color w:val="636466"/>
          <w:sz w:val="19"/>
        </w:rPr>
        <w:t xml:space="preserve">10th Edition and the Australian Refined Diagnosis Related Groups Version </w:t>
      </w:r>
      <w:r>
        <w:rPr>
          <w:color w:val="636466"/>
          <w:spacing w:val="-5"/>
          <w:sz w:val="19"/>
        </w:rPr>
        <w:t xml:space="preserve">9.0 </w:t>
      </w:r>
      <w:r>
        <w:rPr>
          <w:color w:val="636466"/>
          <w:sz w:val="19"/>
        </w:rPr>
        <w:t>for release prior to 30 June</w:t>
      </w:r>
      <w:r>
        <w:rPr>
          <w:color w:val="636466"/>
          <w:spacing w:val="28"/>
          <w:sz w:val="19"/>
        </w:rPr>
        <w:t xml:space="preserve"> </w:t>
      </w:r>
      <w:r>
        <w:rPr>
          <w:color w:val="636466"/>
          <w:spacing w:val="-12"/>
          <w:sz w:val="19"/>
        </w:rPr>
        <w:t>2017.</w:t>
      </w:r>
    </w:p>
    <w:p w:rsidR="00D840DF" w:rsidRPr="005A527A" w:rsidRDefault="00961020" w:rsidP="005A527A">
      <w:pPr>
        <w:pStyle w:val="ListParagraph"/>
        <w:numPr>
          <w:ilvl w:val="0"/>
          <w:numId w:val="16"/>
        </w:numPr>
        <w:tabs>
          <w:tab w:val="left" w:pos="341"/>
        </w:tabs>
        <w:spacing w:before="113" w:line="256" w:lineRule="auto"/>
        <w:ind w:right="284"/>
        <w:rPr>
          <w:sz w:val="19"/>
        </w:rPr>
      </w:pPr>
      <w:r>
        <w:rPr>
          <w:color w:val="636466"/>
          <w:sz w:val="19"/>
        </w:rPr>
        <w:t>Provide a further increase in the proportion of funding for public services using ABF as reported by the Administrator of the National Health Funding</w:t>
      </w:r>
      <w:r w:rsidR="00E314B6">
        <w:rPr>
          <w:color w:val="636466"/>
          <w:sz w:val="19"/>
        </w:rPr>
        <w:t xml:space="preserve"> </w:t>
      </w:r>
      <w:r>
        <w:rPr>
          <w:color w:val="636466"/>
          <w:sz w:val="19"/>
        </w:rPr>
        <w:t>Pool.</w:t>
      </w:r>
    </w:p>
    <w:p w:rsidR="00D840DF" w:rsidRDefault="00961020" w:rsidP="005A527A">
      <w:pPr>
        <w:pStyle w:val="Heading4"/>
      </w:pPr>
      <w:r>
        <w:t>Source:</w:t>
      </w:r>
    </w:p>
    <w:p w:rsidR="00D840DF" w:rsidRDefault="00961020">
      <w:pPr>
        <w:pStyle w:val="ListParagraph"/>
        <w:numPr>
          <w:ilvl w:val="0"/>
          <w:numId w:val="23"/>
        </w:numPr>
        <w:tabs>
          <w:tab w:val="left" w:pos="341"/>
        </w:tabs>
        <w:spacing w:before="186"/>
        <w:rPr>
          <w:sz w:val="19"/>
        </w:rPr>
      </w:pPr>
      <w:r>
        <w:rPr>
          <w:color w:val="636466"/>
          <w:spacing w:val="-8"/>
          <w:sz w:val="19"/>
        </w:rPr>
        <w:t>2016–17</w:t>
      </w:r>
      <w:r w:rsidR="00E314B6">
        <w:rPr>
          <w:color w:val="636466"/>
          <w:spacing w:val="-8"/>
          <w:sz w:val="19"/>
        </w:rPr>
        <w:t xml:space="preserve"> </w:t>
      </w:r>
      <w:r>
        <w:rPr>
          <w:color w:val="636466"/>
          <w:sz w:val="19"/>
        </w:rPr>
        <w:t>Portfolio Budget Statement Program</w:t>
      </w:r>
      <w:r>
        <w:rPr>
          <w:color w:val="636466"/>
          <w:spacing w:val="15"/>
          <w:sz w:val="19"/>
        </w:rPr>
        <w:t xml:space="preserve"> </w:t>
      </w:r>
      <w:r>
        <w:rPr>
          <w:color w:val="636466"/>
          <w:spacing w:val="-8"/>
          <w:sz w:val="19"/>
        </w:rPr>
        <w:t>1.1</w:t>
      </w:r>
    </w:p>
    <w:p w:rsidR="00D840DF" w:rsidRDefault="00961020" w:rsidP="005A527A">
      <w:pPr>
        <w:pStyle w:val="Heading4"/>
      </w:pPr>
      <w:r>
        <w:t>Result against performance</w:t>
      </w:r>
      <w:r w:rsidR="00E314B6">
        <w:t xml:space="preserve"> </w:t>
      </w:r>
      <w:r>
        <w:t>criteria:</w:t>
      </w:r>
    </w:p>
    <w:p w:rsidR="00D840DF" w:rsidRPr="005A527A" w:rsidRDefault="00961020" w:rsidP="005A527A">
      <w:pPr>
        <w:pStyle w:val="ListParagraph"/>
        <w:numPr>
          <w:ilvl w:val="0"/>
          <w:numId w:val="15"/>
        </w:numPr>
        <w:tabs>
          <w:tab w:val="left" w:pos="341"/>
        </w:tabs>
        <w:spacing w:before="9" w:line="256" w:lineRule="auto"/>
        <w:ind w:right="113"/>
        <w:rPr>
          <w:sz w:val="25"/>
        </w:rPr>
      </w:pPr>
      <w:r w:rsidRPr="005A527A">
        <w:rPr>
          <w:color w:val="636466"/>
          <w:sz w:val="19"/>
        </w:rPr>
        <w:t xml:space="preserve">Development of the new emergency care classification continued in </w:t>
      </w:r>
      <w:r w:rsidRPr="005A527A">
        <w:rPr>
          <w:color w:val="636466"/>
          <w:spacing w:val="-8"/>
          <w:sz w:val="19"/>
        </w:rPr>
        <w:t xml:space="preserve">2016–17 </w:t>
      </w:r>
      <w:r w:rsidRPr="005A527A">
        <w:rPr>
          <w:color w:val="636466"/>
          <w:sz w:val="19"/>
        </w:rPr>
        <w:t xml:space="preserve">with the </w:t>
      </w:r>
      <w:proofErr w:type="spellStart"/>
      <w:r w:rsidRPr="005A527A">
        <w:rPr>
          <w:color w:val="636466"/>
          <w:sz w:val="19"/>
        </w:rPr>
        <w:t>finalisation</w:t>
      </w:r>
      <w:proofErr w:type="spellEnd"/>
      <w:r w:rsidRPr="005A527A">
        <w:rPr>
          <w:color w:val="636466"/>
          <w:sz w:val="19"/>
        </w:rPr>
        <w:t xml:space="preserve"> of a data set comprising of costed activity data. Preliminary analysis using the costed data set allowed</w:t>
      </w:r>
      <w:r w:rsidRPr="005A527A">
        <w:rPr>
          <w:color w:val="636466"/>
          <w:spacing w:val="6"/>
          <w:sz w:val="19"/>
        </w:rPr>
        <w:t xml:space="preserve"> </w:t>
      </w:r>
      <w:r w:rsidRPr="005A527A">
        <w:rPr>
          <w:color w:val="636466"/>
          <w:sz w:val="19"/>
        </w:rPr>
        <w:t>work</w:t>
      </w:r>
      <w:r w:rsidRPr="005A527A">
        <w:rPr>
          <w:color w:val="636466"/>
          <w:spacing w:val="6"/>
          <w:sz w:val="19"/>
        </w:rPr>
        <w:t xml:space="preserve"> </w:t>
      </w:r>
      <w:r w:rsidRPr="005A527A">
        <w:rPr>
          <w:color w:val="636466"/>
          <w:sz w:val="19"/>
        </w:rPr>
        <w:t>to</w:t>
      </w:r>
      <w:r w:rsidRPr="005A527A">
        <w:rPr>
          <w:color w:val="636466"/>
          <w:spacing w:val="6"/>
          <w:sz w:val="19"/>
        </w:rPr>
        <w:t xml:space="preserve"> </w:t>
      </w:r>
      <w:r w:rsidRPr="005A527A">
        <w:rPr>
          <w:color w:val="636466"/>
          <w:sz w:val="19"/>
        </w:rPr>
        <w:t>commence</w:t>
      </w:r>
      <w:r w:rsidRPr="005A527A">
        <w:rPr>
          <w:color w:val="636466"/>
          <w:spacing w:val="6"/>
          <w:sz w:val="19"/>
        </w:rPr>
        <w:t xml:space="preserve"> </w:t>
      </w:r>
      <w:r w:rsidRPr="005A527A">
        <w:rPr>
          <w:color w:val="636466"/>
          <w:sz w:val="19"/>
        </w:rPr>
        <w:t>on</w:t>
      </w:r>
      <w:r w:rsidRPr="005A527A">
        <w:rPr>
          <w:color w:val="636466"/>
          <w:spacing w:val="6"/>
          <w:sz w:val="19"/>
        </w:rPr>
        <w:t xml:space="preserve"> </w:t>
      </w:r>
      <w:r w:rsidRPr="005A527A">
        <w:rPr>
          <w:color w:val="636466"/>
          <w:sz w:val="19"/>
        </w:rPr>
        <w:t>developing</w:t>
      </w:r>
      <w:r w:rsidRPr="005A527A">
        <w:rPr>
          <w:color w:val="636466"/>
          <w:spacing w:val="6"/>
          <w:sz w:val="19"/>
        </w:rPr>
        <w:t xml:space="preserve"> </w:t>
      </w:r>
      <w:r w:rsidRPr="005A527A">
        <w:rPr>
          <w:color w:val="636466"/>
          <w:sz w:val="19"/>
        </w:rPr>
        <w:t>options</w:t>
      </w:r>
      <w:r w:rsidRPr="005A527A">
        <w:rPr>
          <w:color w:val="636466"/>
          <w:spacing w:val="6"/>
          <w:sz w:val="19"/>
        </w:rPr>
        <w:t xml:space="preserve"> </w:t>
      </w:r>
      <w:r w:rsidRPr="005A527A">
        <w:rPr>
          <w:color w:val="636466"/>
          <w:sz w:val="19"/>
        </w:rPr>
        <w:t>for</w:t>
      </w:r>
      <w:r w:rsidRPr="005A527A">
        <w:rPr>
          <w:color w:val="636466"/>
          <w:spacing w:val="6"/>
          <w:sz w:val="19"/>
        </w:rPr>
        <w:t xml:space="preserve"> </w:t>
      </w:r>
      <w:r w:rsidRPr="005A527A">
        <w:rPr>
          <w:color w:val="636466"/>
          <w:sz w:val="19"/>
        </w:rPr>
        <w:t>the</w:t>
      </w:r>
      <w:r w:rsidRPr="005A527A">
        <w:rPr>
          <w:color w:val="636466"/>
          <w:spacing w:val="6"/>
          <w:sz w:val="19"/>
        </w:rPr>
        <w:t xml:space="preserve"> </w:t>
      </w:r>
      <w:r w:rsidRPr="005A527A">
        <w:rPr>
          <w:color w:val="636466"/>
          <w:sz w:val="19"/>
        </w:rPr>
        <w:t>new</w:t>
      </w:r>
      <w:r w:rsidRPr="005A527A">
        <w:rPr>
          <w:color w:val="636466"/>
          <w:spacing w:val="6"/>
          <w:sz w:val="19"/>
        </w:rPr>
        <w:t xml:space="preserve"> </w:t>
      </w:r>
      <w:r w:rsidRPr="005A527A">
        <w:rPr>
          <w:color w:val="636466"/>
          <w:sz w:val="19"/>
        </w:rPr>
        <w:t>classification</w:t>
      </w:r>
      <w:r w:rsidRPr="005A527A">
        <w:rPr>
          <w:color w:val="636466"/>
          <w:spacing w:val="6"/>
          <w:sz w:val="19"/>
        </w:rPr>
        <w:t xml:space="preserve"> </w:t>
      </w:r>
      <w:r w:rsidR="005A527A" w:rsidRPr="005A527A">
        <w:rPr>
          <w:color w:val="636466"/>
          <w:sz w:val="19"/>
        </w:rPr>
        <w:t>structure</w:t>
      </w:r>
    </w:p>
    <w:p w:rsidR="00D840DF" w:rsidRDefault="00961020">
      <w:pPr>
        <w:pStyle w:val="ListParagraph"/>
        <w:numPr>
          <w:ilvl w:val="0"/>
          <w:numId w:val="15"/>
        </w:numPr>
        <w:tabs>
          <w:tab w:val="left" w:pos="331"/>
        </w:tabs>
        <w:spacing w:before="89" w:line="256" w:lineRule="auto"/>
        <w:ind w:left="330" w:right="112"/>
        <w:rPr>
          <w:sz w:val="19"/>
        </w:rPr>
      </w:pPr>
      <w:bookmarkStart w:id="104" w:name="_bookmark27"/>
      <w:bookmarkEnd w:id="104"/>
      <w:r>
        <w:rPr>
          <w:color w:val="636466"/>
          <w:sz w:val="19"/>
        </w:rPr>
        <w:t xml:space="preserve">In </w:t>
      </w:r>
      <w:r>
        <w:rPr>
          <w:color w:val="636466"/>
          <w:spacing w:val="-8"/>
          <w:sz w:val="19"/>
        </w:rPr>
        <w:t>2016–17</w:t>
      </w:r>
      <w:r w:rsidR="00E314B6">
        <w:rPr>
          <w:color w:val="636466"/>
          <w:spacing w:val="-8"/>
          <w:sz w:val="19"/>
        </w:rPr>
        <w:t xml:space="preserve"> </w:t>
      </w:r>
      <w:r>
        <w:rPr>
          <w:color w:val="636466"/>
          <w:sz w:val="19"/>
        </w:rPr>
        <w:t>IHPA continued to refine the AMHCC for the next iteration, Version 2.0. The Inter-</w:t>
      </w:r>
      <w:r w:rsidR="00E314B6">
        <w:rPr>
          <w:color w:val="636466"/>
          <w:sz w:val="19"/>
        </w:rPr>
        <w:t xml:space="preserve"> </w:t>
      </w:r>
      <w:r>
        <w:rPr>
          <w:color w:val="636466"/>
          <w:sz w:val="19"/>
        </w:rPr>
        <w:t xml:space="preserve">rater reliability study on the concept of mental health phase of care was completed successfully. It clearly demonstrated the areas required for future refinement and provided IHPA with a clear path for </w:t>
      </w:r>
      <w:r>
        <w:rPr>
          <w:color w:val="636466"/>
          <w:sz w:val="19"/>
        </w:rPr>
        <w:lastRenderedPageBreak/>
        <w:t>future development. IHPA will undertake further investigation with a clinical complexity review and clinical refinement</w:t>
      </w:r>
      <w:r>
        <w:rPr>
          <w:color w:val="636466"/>
          <w:spacing w:val="27"/>
          <w:sz w:val="19"/>
        </w:rPr>
        <w:t xml:space="preserve"> </w:t>
      </w:r>
      <w:r>
        <w:rPr>
          <w:color w:val="636466"/>
          <w:sz w:val="19"/>
        </w:rPr>
        <w:t>project.</w:t>
      </w:r>
    </w:p>
    <w:p w:rsidR="00D840DF" w:rsidRDefault="00961020">
      <w:pPr>
        <w:pStyle w:val="ListParagraph"/>
        <w:numPr>
          <w:ilvl w:val="0"/>
          <w:numId w:val="15"/>
        </w:numPr>
        <w:tabs>
          <w:tab w:val="left" w:pos="331"/>
        </w:tabs>
        <w:spacing w:before="112" w:line="256" w:lineRule="auto"/>
        <w:ind w:left="330" w:right="290"/>
        <w:rPr>
          <w:sz w:val="19"/>
        </w:rPr>
      </w:pPr>
      <w:r>
        <w:rPr>
          <w:color w:val="636466"/>
          <w:sz w:val="19"/>
        </w:rPr>
        <w:t xml:space="preserve">IHPA continued further refinement of the Australian National Subacute and Non-Acute Patient (AN-SNAP) Version 4 </w:t>
      </w:r>
      <w:r>
        <w:rPr>
          <w:color w:val="636466"/>
          <w:spacing w:val="1"/>
          <w:sz w:val="19"/>
        </w:rPr>
        <w:t xml:space="preserve">classification </w:t>
      </w:r>
      <w:r>
        <w:rPr>
          <w:color w:val="636466"/>
          <w:sz w:val="19"/>
        </w:rPr>
        <w:t xml:space="preserve">in </w:t>
      </w:r>
      <w:r>
        <w:rPr>
          <w:color w:val="636466"/>
          <w:spacing w:val="-8"/>
          <w:sz w:val="19"/>
        </w:rPr>
        <w:t xml:space="preserve">2016–17, </w:t>
      </w:r>
      <w:r>
        <w:rPr>
          <w:color w:val="636466"/>
          <w:spacing w:val="1"/>
          <w:sz w:val="19"/>
        </w:rPr>
        <w:t xml:space="preserve">with </w:t>
      </w:r>
      <w:r>
        <w:rPr>
          <w:color w:val="636466"/>
          <w:sz w:val="19"/>
        </w:rPr>
        <w:t xml:space="preserve">analysis and consultation focusing on the geriatric evaluation and management branch for the purposes of the development of AN-SNAP Version </w:t>
      </w:r>
      <w:r>
        <w:rPr>
          <w:color w:val="636466"/>
          <w:spacing w:val="-6"/>
          <w:sz w:val="19"/>
        </w:rPr>
        <w:t>4.1.</w:t>
      </w:r>
    </w:p>
    <w:p w:rsidR="00D840DF" w:rsidRDefault="00961020">
      <w:pPr>
        <w:pStyle w:val="ListParagraph"/>
        <w:numPr>
          <w:ilvl w:val="0"/>
          <w:numId w:val="15"/>
        </w:numPr>
        <w:tabs>
          <w:tab w:val="left" w:pos="331"/>
        </w:tabs>
        <w:spacing w:before="112" w:line="256" w:lineRule="auto"/>
        <w:ind w:left="330" w:right="156"/>
        <w:rPr>
          <w:sz w:val="19"/>
        </w:rPr>
      </w:pPr>
      <w:r>
        <w:rPr>
          <w:color w:val="636466"/>
          <w:sz w:val="19"/>
        </w:rPr>
        <w:t>IHPA commenced development of the Australian teaching and training classification using the</w:t>
      </w:r>
      <w:r w:rsidR="00E314B6">
        <w:rPr>
          <w:color w:val="636466"/>
          <w:sz w:val="19"/>
        </w:rPr>
        <w:t xml:space="preserve"> </w:t>
      </w:r>
      <w:r>
        <w:rPr>
          <w:color w:val="636466"/>
          <w:sz w:val="19"/>
        </w:rPr>
        <w:t>data from the teaching, training and research costing study, and targeted consultation with key stakeholders. The first version of the classification will be made available for public consultation in August</w:t>
      </w:r>
      <w:r>
        <w:rPr>
          <w:color w:val="636466"/>
          <w:spacing w:val="7"/>
          <w:sz w:val="19"/>
        </w:rPr>
        <w:t xml:space="preserve"> </w:t>
      </w:r>
      <w:r>
        <w:rPr>
          <w:color w:val="636466"/>
          <w:spacing w:val="-17"/>
          <w:sz w:val="19"/>
        </w:rPr>
        <w:t>2017.</w:t>
      </w:r>
    </w:p>
    <w:p w:rsidR="00D840DF" w:rsidRDefault="00961020">
      <w:pPr>
        <w:pStyle w:val="ListParagraph"/>
        <w:numPr>
          <w:ilvl w:val="0"/>
          <w:numId w:val="15"/>
        </w:numPr>
        <w:tabs>
          <w:tab w:val="left" w:pos="331"/>
        </w:tabs>
        <w:spacing w:before="112" w:line="256" w:lineRule="auto"/>
        <w:ind w:left="330" w:right="273"/>
        <w:rPr>
          <w:sz w:val="19"/>
        </w:rPr>
      </w:pPr>
      <w:r>
        <w:rPr>
          <w:color w:val="636466"/>
          <w:sz w:val="19"/>
        </w:rPr>
        <w:t xml:space="preserve">IHPA has continued development of the Australian Non-Admitted Care Classification (ANACC). Scoping work, data analysis and development of non-admitted classification structures and variables continued into </w:t>
      </w:r>
      <w:r>
        <w:rPr>
          <w:color w:val="636466"/>
          <w:spacing w:val="-10"/>
          <w:sz w:val="19"/>
        </w:rPr>
        <w:t xml:space="preserve">2016–17, </w:t>
      </w:r>
      <w:r>
        <w:rPr>
          <w:color w:val="636466"/>
          <w:sz w:val="19"/>
        </w:rPr>
        <w:t>with a stakeholder consultation paper due for release in the second half of</w:t>
      </w:r>
      <w:r>
        <w:rPr>
          <w:color w:val="636466"/>
          <w:spacing w:val="15"/>
          <w:sz w:val="19"/>
        </w:rPr>
        <w:t xml:space="preserve"> </w:t>
      </w:r>
      <w:r>
        <w:rPr>
          <w:color w:val="636466"/>
          <w:spacing w:val="-12"/>
          <w:sz w:val="19"/>
        </w:rPr>
        <w:t>2017.</w:t>
      </w:r>
    </w:p>
    <w:p w:rsidR="00D840DF" w:rsidRDefault="00961020">
      <w:pPr>
        <w:pStyle w:val="ListParagraph"/>
        <w:numPr>
          <w:ilvl w:val="0"/>
          <w:numId w:val="15"/>
        </w:numPr>
        <w:tabs>
          <w:tab w:val="left" w:pos="331"/>
        </w:tabs>
        <w:spacing w:before="112" w:line="256" w:lineRule="auto"/>
        <w:ind w:left="330" w:right="243"/>
        <w:rPr>
          <w:sz w:val="19"/>
        </w:rPr>
      </w:pPr>
      <w:r>
        <w:rPr>
          <w:color w:val="636466"/>
          <w:sz w:val="19"/>
        </w:rPr>
        <w:t>Refinement of the classifications for acute admitted care continued with development of the Tenth Edition</w:t>
      </w:r>
      <w:r>
        <w:rPr>
          <w:color w:val="636466"/>
          <w:spacing w:val="-6"/>
          <w:sz w:val="19"/>
        </w:rPr>
        <w:t xml:space="preserve"> </w:t>
      </w:r>
      <w:r>
        <w:rPr>
          <w:color w:val="636466"/>
          <w:sz w:val="19"/>
        </w:rPr>
        <w:t>of</w:t>
      </w:r>
      <w:r>
        <w:rPr>
          <w:color w:val="636466"/>
          <w:spacing w:val="-6"/>
          <w:sz w:val="19"/>
        </w:rPr>
        <w:t xml:space="preserve"> </w:t>
      </w:r>
      <w:r>
        <w:rPr>
          <w:color w:val="636466"/>
          <w:sz w:val="19"/>
        </w:rPr>
        <w:t>the</w:t>
      </w:r>
      <w:r>
        <w:rPr>
          <w:color w:val="636466"/>
          <w:spacing w:val="-6"/>
          <w:sz w:val="19"/>
        </w:rPr>
        <w:t xml:space="preserve"> </w:t>
      </w:r>
      <w:r>
        <w:rPr>
          <w:color w:val="636466"/>
          <w:sz w:val="19"/>
        </w:rPr>
        <w:t>International</w:t>
      </w:r>
      <w:r>
        <w:rPr>
          <w:color w:val="636466"/>
          <w:spacing w:val="-6"/>
          <w:sz w:val="19"/>
        </w:rPr>
        <w:t xml:space="preserve"> </w:t>
      </w:r>
      <w:r>
        <w:rPr>
          <w:color w:val="636466"/>
          <w:sz w:val="19"/>
        </w:rPr>
        <w:t>Statistical</w:t>
      </w:r>
      <w:r>
        <w:rPr>
          <w:color w:val="636466"/>
          <w:spacing w:val="-6"/>
          <w:sz w:val="19"/>
        </w:rPr>
        <w:t xml:space="preserve"> </w:t>
      </w:r>
      <w:r>
        <w:rPr>
          <w:color w:val="636466"/>
          <w:sz w:val="19"/>
        </w:rPr>
        <w:t>Classification</w:t>
      </w:r>
      <w:r>
        <w:rPr>
          <w:color w:val="636466"/>
          <w:spacing w:val="-6"/>
          <w:sz w:val="19"/>
        </w:rPr>
        <w:t xml:space="preserve"> </w:t>
      </w:r>
      <w:r>
        <w:rPr>
          <w:color w:val="636466"/>
          <w:sz w:val="19"/>
        </w:rPr>
        <w:t>of</w:t>
      </w:r>
      <w:r>
        <w:rPr>
          <w:color w:val="636466"/>
          <w:spacing w:val="-6"/>
          <w:sz w:val="19"/>
        </w:rPr>
        <w:t xml:space="preserve"> </w:t>
      </w:r>
      <w:r>
        <w:rPr>
          <w:color w:val="636466"/>
          <w:sz w:val="19"/>
        </w:rPr>
        <w:t>Diseases</w:t>
      </w:r>
      <w:r>
        <w:rPr>
          <w:color w:val="636466"/>
          <w:spacing w:val="-6"/>
          <w:sz w:val="19"/>
        </w:rPr>
        <w:t xml:space="preserve"> </w:t>
      </w:r>
      <w:r>
        <w:rPr>
          <w:color w:val="636466"/>
          <w:sz w:val="19"/>
        </w:rPr>
        <w:t>and</w:t>
      </w:r>
      <w:r>
        <w:rPr>
          <w:color w:val="636466"/>
          <w:spacing w:val="-6"/>
          <w:sz w:val="19"/>
        </w:rPr>
        <w:t xml:space="preserve"> </w:t>
      </w:r>
      <w:r>
        <w:rPr>
          <w:color w:val="636466"/>
          <w:sz w:val="19"/>
        </w:rPr>
        <w:t>Related</w:t>
      </w:r>
      <w:r>
        <w:rPr>
          <w:color w:val="636466"/>
          <w:spacing w:val="-6"/>
          <w:sz w:val="19"/>
        </w:rPr>
        <w:t xml:space="preserve"> </w:t>
      </w:r>
      <w:r>
        <w:rPr>
          <w:color w:val="636466"/>
          <w:sz w:val="19"/>
        </w:rPr>
        <w:t>Health</w:t>
      </w:r>
      <w:r>
        <w:rPr>
          <w:color w:val="636466"/>
          <w:spacing w:val="-6"/>
          <w:sz w:val="19"/>
        </w:rPr>
        <w:t xml:space="preserve"> </w:t>
      </w:r>
      <w:r>
        <w:rPr>
          <w:color w:val="636466"/>
          <w:sz w:val="19"/>
        </w:rPr>
        <w:t>Problems,</w:t>
      </w:r>
      <w:r>
        <w:rPr>
          <w:color w:val="636466"/>
          <w:spacing w:val="-6"/>
          <w:sz w:val="19"/>
        </w:rPr>
        <w:t xml:space="preserve"> </w:t>
      </w:r>
      <w:r>
        <w:rPr>
          <w:color w:val="636466"/>
          <w:sz w:val="19"/>
        </w:rPr>
        <w:t xml:space="preserve">Tenth Revision, Australian Modification </w:t>
      </w:r>
      <w:r>
        <w:rPr>
          <w:color w:val="636466"/>
          <w:spacing w:val="-3"/>
          <w:sz w:val="19"/>
        </w:rPr>
        <w:t xml:space="preserve">(ICD-10-AM), </w:t>
      </w:r>
      <w:r>
        <w:rPr>
          <w:color w:val="636466"/>
          <w:sz w:val="19"/>
        </w:rPr>
        <w:t xml:space="preserve">Australian Classification of Health Interventions (ACHI) and Australian Coding Standards </w:t>
      </w:r>
      <w:r>
        <w:rPr>
          <w:color w:val="636466"/>
          <w:spacing w:val="-3"/>
          <w:sz w:val="19"/>
        </w:rPr>
        <w:t xml:space="preserve">(ACS) </w:t>
      </w:r>
      <w:r>
        <w:rPr>
          <w:color w:val="636466"/>
          <w:sz w:val="19"/>
        </w:rPr>
        <w:t xml:space="preserve">implemented 1 July </w:t>
      </w:r>
      <w:r>
        <w:rPr>
          <w:color w:val="636466"/>
          <w:spacing w:val="-13"/>
          <w:sz w:val="19"/>
        </w:rPr>
        <w:t xml:space="preserve">2017. </w:t>
      </w:r>
      <w:r>
        <w:rPr>
          <w:color w:val="636466"/>
          <w:sz w:val="19"/>
        </w:rPr>
        <w:t xml:space="preserve">Version </w:t>
      </w:r>
      <w:r>
        <w:rPr>
          <w:color w:val="636466"/>
          <w:spacing w:val="-7"/>
          <w:sz w:val="19"/>
        </w:rPr>
        <w:t xml:space="preserve">9.0 </w:t>
      </w:r>
      <w:r>
        <w:rPr>
          <w:color w:val="636466"/>
          <w:sz w:val="19"/>
        </w:rPr>
        <w:t>of the Australian</w:t>
      </w:r>
      <w:r>
        <w:rPr>
          <w:color w:val="636466"/>
          <w:spacing w:val="-9"/>
          <w:sz w:val="19"/>
        </w:rPr>
        <w:t xml:space="preserve"> </w:t>
      </w:r>
      <w:r>
        <w:rPr>
          <w:color w:val="636466"/>
          <w:sz w:val="19"/>
        </w:rPr>
        <w:t>Refined-Diagnosis</w:t>
      </w:r>
      <w:r>
        <w:rPr>
          <w:color w:val="636466"/>
          <w:spacing w:val="-9"/>
          <w:sz w:val="19"/>
        </w:rPr>
        <w:t xml:space="preserve"> </w:t>
      </w:r>
      <w:r>
        <w:rPr>
          <w:color w:val="636466"/>
          <w:sz w:val="19"/>
        </w:rPr>
        <w:t>Related</w:t>
      </w:r>
      <w:r>
        <w:rPr>
          <w:color w:val="636466"/>
          <w:spacing w:val="-9"/>
          <w:sz w:val="19"/>
        </w:rPr>
        <w:t xml:space="preserve"> </w:t>
      </w:r>
      <w:r>
        <w:rPr>
          <w:color w:val="636466"/>
          <w:sz w:val="19"/>
        </w:rPr>
        <w:t>Groups</w:t>
      </w:r>
      <w:r>
        <w:rPr>
          <w:color w:val="636466"/>
          <w:spacing w:val="-9"/>
          <w:sz w:val="19"/>
        </w:rPr>
        <w:t xml:space="preserve"> </w:t>
      </w:r>
      <w:r>
        <w:rPr>
          <w:color w:val="636466"/>
          <w:sz w:val="19"/>
        </w:rPr>
        <w:t>(AR-DRGs)</w:t>
      </w:r>
      <w:r>
        <w:rPr>
          <w:color w:val="636466"/>
          <w:spacing w:val="-9"/>
          <w:sz w:val="19"/>
        </w:rPr>
        <w:t xml:space="preserve"> </w:t>
      </w:r>
      <w:r>
        <w:rPr>
          <w:color w:val="636466"/>
          <w:sz w:val="19"/>
        </w:rPr>
        <w:t>was</w:t>
      </w:r>
      <w:r>
        <w:rPr>
          <w:color w:val="636466"/>
          <w:spacing w:val="-9"/>
          <w:sz w:val="19"/>
        </w:rPr>
        <w:t xml:space="preserve"> </w:t>
      </w:r>
      <w:r>
        <w:rPr>
          <w:color w:val="636466"/>
          <w:sz w:val="19"/>
        </w:rPr>
        <w:t>also</w:t>
      </w:r>
      <w:r>
        <w:rPr>
          <w:color w:val="636466"/>
          <w:spacing w:val="-9"/>
          <w:sz w:val="19"/>
        </w:rPr>
        <w:t xml:space="preserve"> </w:t>
      </w:r>
      <w:r>
        <w:rPr>
          <w:color w:val="636466"/>
          <w:sz w:val="19"/>
        </w:rPr>
        <w:t>developed</w:t>
      </w:r>
      <w:r>
        <w:rPr>
          <w:color w:val="636466"/>
          <w:spacing w:val="-9"/>
          <w:sz w:val="19"/>
        </w:rPr>
        <w:t xml:space="preserve"> </w:t>
      </w:r>
      <w:r>
        <w:rPr>
          <w:color w:val="636466"/>
          <w:sz w:val="19"/>
        </w:rPr>
        <w:t>and</w:t>
      </w:r>
      <w:r>
        <w:rPr>
          <w:color w:val="636466"/>
          <w:spacing w:val="-9"/>
          <w:sz w:val="19"/>
        </w:rPr>
        <w:t xml:space="preserve"> </w:t>
      </w:r>
      <w:r>
        <w:rPr>
          <w:color w:val="636466"/>
          <w:sz w:val="19"/>
        </w:rPr>
        <w:t>released</w:t>
      </w:r>
      <w:r>
        <w:rPr>
          <w:color w:val="636466"/>
          <w:spacing w:val="-9"/>
          <w:sz w:val="19"/>
        </w:rPr>
        <w:t xml:space="preserve"> </w:t>
      </w:r>
      <w:r>
        <w:rPr>
          <w:color w:val="636466"/>
          <w:sz w:val="19"/>
        </w:rPr>
        <w:t xml:space="preserve">during </w:t>
      </w:r>
      <w:r>
        <w:rPr>
          <w:color w:val="636466"/>
          <w:spacing w:val="-9"/>
          <w:sz w:val="19"/>
        </w:rPr>
        <w:t xml:space="preserve">2016–17 </w:t>
      </w:r>
      <w:r>
        <w:rPr>
          <w:color w:val="636466"/>
          <w:sz w:val="19"/>
        </w:rPr>
        <w:t xml:space="preserve">and will be used for pricing admitted acute episodes of care from 1 July </w:t>
      </w:r>
      <w:r>
        <w:rPr>
          <w:color w:val="636466"/>
          <w:spacing w:val="-7"/>
          <w:sz w:val="19"/>
        </w:rPr>
        <w:t xml:space="preserve">2018. </w:t>
      </w:r>
      <w:r>
        <w:rPr>
          <w:color w:val="636466"/>
          <w:sz w:val="19"/>
        </w:rPr>
        <w:t>Refinements were undertaken following clinical and statistical analysis and in consultation with clinicians, jurisdictions and other health sector stakeholders to ensure that the classifications</w:t>
      </w:r>
      <w:r w:rsidR="00E314B6">
        <w:rPr>
          <w:color w:val="636466"/>
          <w:sz w:val="19"/>
        </w:rPr>
        <w:t xml:space="preserve"> </w:t>
      </w:r>
      <w:r>
        <w:rPr>
          <w:color w:val="636466"/>
          <w:sz w:val="19"/>
        </w:rPr>
        <w:t>remain current, clinically relevant and adequately explain the costs of providing admitted acute hospital</w:t>
      </w:r>
      <w:r>
        <w:rPr>
          <w:color w:val="636466"/>
          <w:spacing w:val="10"/>
          <w:sz w:val="19"/>
        </w:rPr>
        <w:t xml:space="preserve"> </w:t>
      </w:r>
      <w:r>
        <w:rPr>
          <w:color w:val="636466"/>
          <w:sz w:val="19"/>
        </w:rPr>
        <w:t>care.</w:t>
      </w:r>
    </w:p>
    <w:p w:rsidR="00D840DF" w:rsidRPr="005A527A" w:rsidRDefault="00961020" w:rsidP="005A527A">
      <w:pPr>
        <w:pStyle w:val="ListParagraph"/>
        <w:numPr>
          <w:ilvl w:val="0"/>
          <w:numId w:val="15"/>
        </w:numPr>
        <w:tabs>
          <w:tab w:val="left" w:pos="331"/>
        </w:tabs>
        <w:spacing w:before="112" w:line="256" w:lineRule="auto"/>
        <w:ind w:left="330" w:right="215"/>
        <w:rPr>
          <w:sz w:val="19"/>
        </w:rPr>
      </w:pPr>
      <w:r>
        <w:rPr>
          <w:color w:val="636466"/>
          <w:sz w:val="19"/>
        </w:rPr>
        <w:t xml:space="preserve">As of May </w:t>
      </w:r>
      <w:r>
        <w:rPr>
          <w:color w:val="636466"/>
          <w:spacing w:val="-11"/>
          <w:sz w:val="19"/>
        </w:rPr>
        <w:t xml:space="preserve">2017, </w:t>
      </w:r>
      <w:r>
        <w:rPr>
          <w:color w:val="636466"/>
          <w:sz w:val="19"/>
        </w:rPr>
        <w:t xml:space="preserve">84.48% of funding for public services paid by the Administrator of the National Health Funding Pool was </w:t>
      </w:r>
      <w:r>
        <w:rPr>
          <w:color w:val="636466"/>
          <w:spacing w:val="-3"/>
          <w:sz w:val="19"/>
        </w:rPr>
        <w:t xml:space="preserve">ABF. </w:t>
      </w:r>
      <w:r>
        <w:rPr>
          <w:color w:val="636466"/>
          <w:sz w:val="19"/>
        </w:rPr>
        <w:t>This is an increase of 2% from</w:t>
      </w:r>
      <w:r>
        <w:rPr>
          <w:color w:val="636466"/>
          <w:spacing w:val="38"/>
          <w:sz w:val="19"/>
        </w:rPr>
        <w:t xml:space="preserve"> </w:t>
      </w:r>
      <w:r>
        <w:rPr>
          <w:color w:val="636466"/>
          <w:spacing w:val="-7"/>
          <w:sz w:val="19"/>
        </w:rPr>
        <w:t>2013–14.</w:t>
      </w:r>
    </w:p>
    <w:p w:rsidR="00D840DF" w:rsidRPr="005A527A" w:rsidRDefault="00961020" w:rsidP="005A527A">
      <w:pPr>
        <w:pStyle w:val="Heading4"/>
      </w:pPr>
      <w:bookmarkStart w:id="105" w:name="_Table_4:_Proportion"/>
      <w:bookmarkEnd w:id="105"/>
      <w:r>
        <w:t>Table 4: Proportion of funding for public hospital services using ABF</w:t>
      </w:r>
    </w:p>
    <w:tbl>
      <w:tblPr>
        <w:tblW w:w="0" w:type="auto"/>
        <w:tblInd w:w="103" w:type="dxa"/>
        <w:tblLayout w:type="fixed"/>
        <w:tblCellMar>
          <w:left w:w="0" w:type="dxa"/>
          <w:right w:w="0" w:type="dxa"/>
        </w:tblCellMar>
        <w:tblLook w:val="01E0" w:firstRow="1" w:lastRow="1" w:firstColumn="1" w:lastColumn="1" w:noHBand="0" w:noVBand="0"/>
      </w:tblPr>
      <w:tblGrid>
        <w:gridCol w:w="1521"/>
        <w:gridCol w:w="2051"/>
      </w:tblGrid>
      <w:tr w:rsidR="00D840DF">
        <w:trPr>
          <w:trHeight w:val="300"/>
        </w:trPr>
        <w:tc>
          <w:tcPr>
            <w:tcW w:w="1521" w:type="dxa"/>
            <w:shd w:val="clear" w:color="auto" w:fill="008F54"/>
          </w:tcPr>
          <w:p w:rsidR="00D840DF" w:rsidRDefault="00961020">
            <w:pPr>
              <w:pStyle w:val="TableParagraph"/>
              <w:spacing w:before="39"/>
              <w:ind w:left="113"/>
              <w:rPr>
                <w:rFonts w:ascii="Futura PT Demi"/>
                <w:sz w:val="17"/>
              </w:rPr>
            </w:pPr>
            <w:r>
              <w:rPr>
                <w:rFonts w:ascii="Futura PT Demi"/>
                <w:color w:val="FFFFFF"/>
                <w:sz w:val="17"/>
              </w:rPr>
              <w:t>Year</w:t>
            </w:r>
          </w:p>
        </w:tc>
        <w:tc>
          <w:tcPr>
            <w:tcW w:w="2051" w:type="dxa"/>
            <w:shd w:val="clear" w:color="auto" w:fill="008F54"/>
          </w:tcPr>
          <w:p w:rsidR="00D840DF" w:rsidRDefault="00961020">
            <w:pPr>
              <w:pStyle w:val="TableParagraph"/>
              <w:spacing w:before="39"/>
              <w:ind w:left="378"/>
              <w:rPr>
                <w:rFonts w:ascii="Futura PT Demi"/>
                <w:sz w:val="17"/>
              </w:rPr>
            </w:pPr>
            <w:r>
              <w:rPr>
                <w:rFonts w:ascii="Futura PT Demi"/>
                <w:color w:val="FFFFFF"/>
                <w:sz w:val="17"/>
              </w:rPr>
              <w:t>Percent</w:t>
            </w:r>
          </w:p>
        </w:tc>
      </w:tr>
      <w:tr w:rsidR="00D840DF">
        <w:trPr>
          <w:trHeight w:val="280"/>
        </w:trPr>
        <w:tc>
          <w:tcPr>
            <w:tcW w:w="1521" w:type="dxa"/>
            <w:tcBorders>
              <w:bottom w:val="single" w:sz="4" w:space="0" w:color="C7C8CA"/>
            </w:tcBorders>
          </w:tcPr>
          <w:p w:rsidR="00D840DF" w:rsidRDefault="00961020">
            <w:pPr>
              <w:pStyle w:val="TableParagraph"/>
              <w:spacing w:before="21"/>
              <w:ind w:left="113"/>
              <w:rPr>
                <w:rFonts w:ascii="Futura PT Heavy" w:hAnsi="Futura PT Heavy"/>
                <w:b/>
                <w:sz w:val="16"/>
              </w:rPr>
            </w:pPr>
            <w:r>
              <w:rPr>
                <w:rFonts w:ascii="Futura PT Heavy" w:hAnsi="Futura PT Heavy"/>
                <w:b/>
                <w:color w:val="636466"/>
                <w:sz w:val="16"/>
              </w:rPr>
              <w:t>2013–14</w:t>
            </w:r>
          </w:p>
        </w:tc>
        <w:tc>
          <w:tcPr>
            <w:tcW w:w="2051" w:type="dxa"/>
            <w:tcBorders>
              <w:bottom w:val="single" w:sz="4" w:space="0" w:color="C7C8CA"/>
            </w:tcBorders>
          </w:tcPr>
          <w:p w:rsidR="00D840DF" w:rsidRDefault="00961020">
            <w:pPr>
              <w:pStyle w:val="TableParagraph"/>
              <w:spacing w:before="21"/>
              <w:ind w:left="378"/>
              <w:rPr>
                <w:sz w:val="16"/>
              </w:rPr>
            </w:pPr>
            <w:r>
              <w:rPr>
                <w:color w:val="636466"/>
                <w:sz w:val="16"/>
              </w:rPr>
              <w:t>82.43%</w:t>
            </w:r>
          </w:p>
        </w:tc>
      </w:tr>
      <w:tr w:rsidR="00D840DF">
        <w:trPr>
          <w:trHeight w:val="280"/>
        </w:trPr>
        <w:tc>
          <w:tcPr>
            <w:tcW w:w="1521" w:type="dxa"/>
            <w:tcBorders>
              <w:top w:val="single" w:sz="4" w:space="0" w:color="C7C8CA"/>
              <w:bottom w:val="single" w:sz="4" w:space="0" w:color="C7C8CA"/>
            </w:tcBorders>
          </w:tcPr>
          <w:p w:rsidR="00D840DF" w:rsidRDefault="00961020">
            <w:pPr>
              <w:pStyle w:val="TableParagraph"/>
              <w:ind w:left="113"/>
              <w:rPr>
                <w:rFonts w:ascii="Futura PT Heavy" w:hAnsi="Futura PT Heavy"/>
                <w:b/>
                <w:sz w:val="16"/>
              </w:rPr>
            </w:pPr>
            <w:r>
              <w:rPr>
                <w:rFonts w:ascii="Futura PT Heavy" w:hAnsi="Futura PT Heavy"/>
                <w:b/>
                <w:color w:val="636466"/>
                <w:sz w:val="16"/>
              </w:rPr>
              <w:t>2014–15</w:t>
            </w:r>
          </w:p>
        </w:tc>
        <w:tc>
          <w:tcPr>
            <w:tcW w:w="2051" w:type="dxa"/>
            <w:tcBorders>
              <w:top w:val="single" w:sz="4" w:space="0" w:color="C7C8CA"/>
              <w:bottom w:val="single" w:sz="4" w:space="0" w:color="C7C8CA"/>
            </w:tcBorders>
          </w:tcPr>
          <w:p w:rsidR="00D840DF" w:rsidRDefault="00961020">
            <w:pPr>
              <w:pStyle w:val="TableParagraph"/>
              <w:ind w:left="378"/>
              <w:rPr>
                <w:sz w:val="16"/>
              </w:rPr>
            </w:pPr>
            <w:r>
              <w:rPr>
                <w:color w:val="636466"/>
                <w:sz w:val="16"/>
              </w:rPr>
              <w:t>83.08%</w:t>
            </w:r>
          </w:p>
        </w:tc>
      </w:tr>
      <w:tr w:rsidR="00D840DF">
        <w:trPr>
          <w:trHeight w:val="280"/>
        </w:trPr>
        <w:tc>
          <w:tcPr>
            <w:tcW w:w="1521" w:type="dxa"/>
            <w:tcBorders>
              <w:top w:val="single" w:sz="4" w:space="0" w:color="C7C8CA"/>
              <w:bottom w:val="single" w:sz="4" w:space="0" w:color="C7C8CA"/>
            </w:tcBorders>
          </w:tcPr>
          <w:p w:rsidR="00D840DF" w:rsidRDefault="00961020">
            <w:pPr>
              <w:pStyle w:val="TableParagraph"/>
              <w:ind w:left="113"/>
              <w:rPr>
                <w:rFonts w:ascii="Futura PT Heavy" w:hAnsi="Futura PT Heavy"/>
                <w:b/>
                <w:sz w:val="16"/>
              </w:rPr>
            </w:pPr>
            <w:r>
              <w:rPr>
                <w:rFonts w:ascii="Futura PT Heavy" w:hAnsi="Futura PT Heavy"/>
                <w:b/>
                <w:color w:val="636466"/>
                <w:sz w:val="16"/>
              </w:rPr>
              <w:t>2015–16</w:t>
            </w:r>
          </w:p>
        </w:tc>
        <w:tc>
          <w:tcPr>
            <w:tcW w:w="2051" w:type="dxa"/>
            <w:tcBorders>
              <w:top w:val="single" w:sz="4" w:space="0" w:color="C7C8CA"/>
              <w:bottom w:val="single" w:sz="4" w:space="0" w:color="C7C8CA"/>
            </w:tcBorders>
          </w:tcPr>
          <w:p w:rsidR="00D840DF" w:rsidRDefault="00961020">
            <w:pPr>
              <w:pStyle w:val="TableParagraph"/>
              <w:ind w:left="378"/>
              <w:rPr>
                <w:sz w:val="16"/>
              </w:rPr>
            </w:pPr>
            <w:r>
              <w:rPr>
                <w:color w:val="636466"/>
                <w:sz w:val="16"/>
              </w:rPr>
              <w:t>85.42%</w:t>
            </w:r>
          </w:p>
        </w:tc>
      </w:tr>
      <w:tr w:rsidR="00D840DF">
        <w:trPr>
          <w:trHeight w:val="280"/>
        </w:trPr>
        <w:tc>
          <w:tcPr>
            <w:tcW w:w="1521" w:type="dxa"/>
            <w:tcBorders>
              <w:top w:val="single" w:sz="4" w:space="0" w:color="C7C8CA"/>
              <w:bottom w:val="single" w:sz="4" w:space="0" w:color="C7C8CA"/>
            </w:tcBorders>
          </w:tcPr>
          <w:p w:rsidR="00D840DF" w:rsidRDefault="00961020">
            <w:pPr>
              <w:pStyle w:val="TableParagraph"/>
              <w:ind w:left="113"/>
              <w:rPr>
                <w:rFonts w:ascii="Futura PT Heavy" w:hAnsi="Futura PT Heavy"/>
                <w:b/>
                <w:sz w:val="16"/>
              </w:rPr>
            </w:pPr>
            <w:r>
              <w:rPr>
                <w:rFonts w:ascii="Futura PT Heavy" w:hAnsi="Futura PT Heavy"/>
                <w:b/>
                <w:color w:val="636466"/>
                <w:sz w:val="16"/>
              </w:rPr>
              <w:t>2016–May 17</w:t>
            </w:r>
          </w:p>
        </w:tc>
        <w:tc>
          <w:tcPr>
            <w:tcW w:w="2051" w:type="dxa"/>
            <w:tcBorders>
              <w:top w:val="single" w:sz="4" w:space="0" w:color="C7C8CA"/>
              <w:bottom w:val="single" w:sz="4" w:space="0" w:color="C7C8CA"/>
            </w:tcBorders>
          </w:tcPr>
          <w:p w:rsidR="00D840DF" w:rsidRDefault="00961020">
            <w:pPr>
              <w:pStyle w:val="TableParagraph"/>
              <w:ind w:left="378"/>
              <w:rPr>
                <w:sz w:val="16"/>
              </w:rPr>
            </w:pPr>
            <w:r>
              <w:rPr>
                <w:color w:val="636466"/>
                <w:sz w:val="16"/>
              </w:rPr>
              <w:t>84.48%</w:t>
            </w:r>
          </w:p>
        </w:tc>
      </w:tr>
    </w:tbl>
    <w:p w:rsidR="00D840DF" w:rsidRDefault="00D840DF">
      <w:pPr>
        <w:rPr>
          <w:sz w:val="16"/>
        </w:rPr>
        <w:sectPr w:rsidR="00D840DF">
          <w:pgSz w:w="9980" w:h="14180"/>
          <w:pgMar w:top="1320" w:right="1020" w:bottom="280" w:left="1200" w:header="720" w:footer="720" w:gutter="0"/>
          <w:cols w:space="720"/>
        </w:sectPr>
      </w:pPr>
    </w:p>
    <w:p w:rsidR="00D840DF" w:rsidRDefault="00961020" w:rsidP="005A527A">
      <w:pPr>
        <w:pStyle w:val="Heading3"/>
      </w:pPr>
      <w:bookmarkStart w:id="106" w:name="Activity_3:_Determine_data_requirements_"/>
      <w:bookmarkStart w:id="107" w:name="_bookmark28"/>
      <w:bookmarkEnd w:id="106"/>
      <w:bookmarkEnd w:id="107"/>
      <w:r>
        <w:rPr>
          <w:color w:val="008F54"/>
        </w:rPr>
        <w:lastRenderedPageBreak/>
        <w:t xml:space="preserve">Activity 3: </w:t>
      </w:r>
      <w:r>
        <w:t>Determine data requirements and data standards</w:t>
      </w:r>
    </w:p>
    <w:p w:rsidR="00D840DF" w:rsidRPr="005A527A" w:rsidRDefault="00961020" w:rsidP="005A527A">
      <w:pPr>
        <w:pStyle w:val="BodyText"/>
      </w:pPr>
      <w:r>
        <w:t>Timely, accurate and reliable public hospital data is vital to both the development of classifications for hospital services and to determine the NEP of those services. IHPA has developed a rolling</w:t>
      </w:r>
      <w:r w:rsidR="00E314B6">
        <w:t xml:space="preserve"> </w:t>
      </w:r>
      <w:r>
        <w:t>Three</w:t>
      </w:r>
      <w:r>
        <w:rPr>
          <w:spacing w:val="5"/>
        </w:rPr>
        <w:t xml:space="preserve"> </w:t>
      </w:r>
      <w:r>
        <w:rPr>
          <w:spacing w:val="-3"/>
        </w:rPr>
        <w:t>Year</w:t>
      </w:r>
      <w:r>
        <w:rPr>
          <w:spacing w:val="5"/>
        </w:rPr>
        <w:t xml:space="preserve"> </w:t>
      </w:r>
      <w:r>
        <w:t>Data</w:t>
      </w:r>
      <w:r>
        <w:rPr>
          <w:spacing w:val="5"/>
        </w:rPr>
        <w:t xml:space="preserve"> </w:t>
      </w:r>
      <w:r w:rsidRPr="005A527A">
        <w:t>Plan to communicate to the Australian Government and states and territories</w:t>
      </w:r>
    </w:p>
    <w:p w:rsidR="00D840DF" w:rsidRPr="005A527A" w:rsidRDefault="00961020" w:rsidP="005A527A">
      <w:pPr>
        <w:pStyle w:val="BodyText"/>
      </w:pPr>
      <w:proofErr w:type="gramStart"/>
      <w:r w:rsidRPr="005A527A">
        <w:t>the</w:t>
      </w:r>
      <w:proofErr w:type="gramEnd"/>
      <w:r w:rsidRPr="005A527A">
        <w:t xml:space="preserve"> data requirements, data standards and timelines that IHPA will use to collect data over the coming three years. To ensure greater transparency, IHPA publishes data compliance reports every six months</w:t>
      </w:r>
      <w:r>
        <w:t xml:space="preserve"> to indicate jurisdictional compliance with the specifications in the rolling Three Year Data Plan.</w:t>
      </w:r>
    </w:p>
    <w:p w:rsidR="00D840DF" w:rsidRDefault="00961020" w:rsidP="005A527A">
      <w:pPr>
        <w:pStyle w:val="Heading4"/>
      </w:pPr>
      <w:r>
        <w:t>Criteria:</w:t>
      </w:r>
    </w:p>
    <w:p w:rsidR="00D840DF" w:rsidRDefault="00961020">
      <w:pPr>
        <w:pStyle w:val="ListParagraph"/>
        <w:numPr>
          <w:ilvl w:val="0"/>
          <w:numId w:val="14"/>
        </w:numPr>
        <w:tabs>
          <w:tab w:val="left" w:pos="341"/>
        </w:tabs>
        <w:spacing w:before="186"/>
        <w:rPr>
          <w:sz w:val="19"/>
        </w:rPr>
      </w:pPr>
      <w:r>
        <w:rPr>
          <w:color w:val="636466"/>
          <w:sz w:val="19"/>
        </w:rPr>
        <w:t>Update</w:t>
      </w:r>
      <w:r>
        <w:rPr>
          <w:color w:val="636466"/>
          <w:spacing w:val="3"/>
          <w:sz w:val="19"/>
        </w:rPr>
        <w:t xml:space="preserve"> </w:t>
      </w:r>
      <w:r>
        <w:rPr>
          <w:color w:val="636466"/>
          <w:sz w:val="19"/>
        </w:rPr>
        <w:t>rolling</w:t>
      </w:r>
      <w:r>
        <w:rPr>
          <w:color w:val="636466"/>
          <w:spacing w:val="3"/>
          <w:sz w:val="19"/>
        </w:rPr>
        <w:t xml:space="preserve"> </w:t>
      </w:r>
      <w:r>
        <w:rPr>
          <w:color w:val="636466"/>
          <w:sz w:val="19"/>
        </w:rPr>
        <w:t>Three</w:t>
      </w:r>
      <w:r>
        <w:rPr>
          <w:color w:val="636466"/>
          <w:spacing w:val="3"/>
          <w:sz w:val="19"/>
        </w:rPr>
        <w:t xml:space="preserve"> </w:t>
      </w:r>
      <w:r>
        <w:rPr>
          <w:color w:val="636466"/>
          <w:spacing w:val="-3"/>
          <w:sz w:val="19"/>
        </w:rPr>
        <w:t>Year</w:t>
      </w:r>
      <w:r>
        <w:rPr>
          <w:color w:val="636466"/>
          <w:spacing w:val="3"/>
          <w:sz w:val="19"/>
        </w:rPr>
        <w:t xml:space="preserve"> </w:t>
      </w:r>
      <w:r>
        <w:rPr>
          <w:color w:val="636466"/>
          <w:sz w:val="19"/>
        </w:rPr>
        <w:t>Data</w:t>
      </w:r>
      <w:r>
        <w:rPr>
          <w:color w:val="636466"/>
          <w:spacing w:val="3"/>
          <w:sz w:val="19"/>
        </w:rPr>
        <w:t xml:space="preserve"> </w:t>
      </w:r>
      <w:r>
        <w:rPr>
          <w:color w:val="636466"/>
          <w:sz w:val="19"/>
        </w:rPr>
        <w:t>Plan</w:t>
      </w:r>
      <w:r>
        <w:rPr>
          <w:color w:val="636466"/>
          <w:spacing w:val="3"/>
          <w:sz w:val="19"/>
        </w:rPr>
        <w:t xml:space="preserve"> </w:t>
      </w:r>
      <w:r>
        <w:rPr>
          <w:color w:val="636466"/>
          <w:sz w:val="19"/>
        </w:rPr>
        <w:t>and</w:t>
      </w:r>
      <w:r>
        <w:rPr>
          <w:color w:val="636466"/>
          <w:spacing w:val="3"/>
          <w:sz w:val="19"/>
        </w:rPr>
        <w:t xml:space="preserve"> </w:t>
      </w:r>
      <w:r>
        <w:rPr>
          <w:color w:val="636466"/>
          <w:sz w:val="19"/>
        </w:rPr>
        <w:t>publish</w:t>
      </w:r>
      <w:r>
        <w:rPr>
          <w:color w:val="636466"/>
          <w:spacing w:val="3"/>
          <w:sz w:val="19"/>
        </w:rPr>
        <w:t xml:space="preserve"> </w:t>
      </w:r>
      <w:r>
        <w:rPr>
          <w:color w:val="636466"/>
          <w:sz w:val="19"/>
        </w:rPr>
        <w:t>on</w:t>
      </w:r>
      <w:r>
        <w:rPr>
          <w:color w:val="636466"/>
          <w:spacing w:val="3"/>
          <w:sz w:val="19"/>
        </w:rPr>
        <w:t xml:space="preserve"> </w:t>
      </w:r>
      <w:r>
        <w:rPr>
          <w:color w:val="636466"/>
          <w:sz w:val="19"/>
        </w:rPr>
        <w:t>IHPA</w:t>
      </w:r>
      <w:r>
        <w:rPr>
          <w:color w:val="636466"/>
          <w:spacing w:val="3"/>
          <w:sz w:val="19"/>
        </w:rPr>
        <w:t xml:space="preserve"> </w:t>
      </w:r>
      <w:r>
        <w:rPr>
          <w:color w:val="636466"/>
          <w:sz w:val="19"/>
        </w:rPr>
        <w:t>website</w:t>
      </w:r>
      <w:r>
        <w:rPr>
          <w:color w:val="636466"/>
          <w:spacing w:val="3"/>
          <w:sz w:val="19"/>
        </w:rPr>
        <w:t xml:space="preserve"> </w:t>
      </w:r>
      <w:r>
        <w:rPr>
          <w:color w:val="636466"/>
          <w:sz w:val="19"/>
        </w:rPr>
        <w:t>by</w:t>
      </w:r>
      <w:r>
        <w:rPr>
          <w:color w:val="636466"/>
          <w:spacing w:val="3"/>
          <w:sz w:val="19"/>
        </w:rPr>
        <w:t xml:space="preserve"> </w:t>
      </w:r>
      <w:r>
        <w:rPr>
          <w:color w:val="636466"/>
          <w:sz w:val="19"/>
        </w:rPr>
        <w:t>July</w:t>
      </w:r>
      <w:r>
        <w:rPr>
          <w:color w:val="636466"/>
          <w:spacing w:val="3"/>
          <w:sz w:val="19"/>
        </w:rPr>
        <w:t xml:space="preserve"> </w:t>
      </w:r>
      <w:r>
        <w:rPr>
          <w:color w:val="636466"/>
          <w:spacing w:val="-6"/>
          <w:sz w:val="19"/>
        </w:rPr>
        <w:t>2016.</w:t>
      </w:r>
    </w:p>
    <w:p w:rsidR="00D840DF" w:rsidRDefault="00961020">
      <w:pPr>
        <w:pStyle w:val="ListParagraph"/>
        <w:numPr>
          <w:ilvl w:val="0"/>
          <w:numId w:val="14"/>
        </w:numPr>
        <w:tabs>
          <w:tab w:val="left" w:pos="341"/>
        </w:tabs>
        <w:spacing w:line="256" w:lineRule="auto"/>
        <w:ind w:right="766"/>
        <w:rPr>
          <w:sz w:val="19"/>
        </w:rPr>
      </w:pPr>
      <w:r>
        <w:rPr>
          <w:color w:val="636466"/>
          <w:sz w:val="19"/>
        </w:rPr>
        <w:t>Publication of a report on a six monthly rolling basis outlining compliance with the data requirements</w:t>
      </w:r>
      <w:r>
        <w:rPr>
          <w:color w:val="636466"/>
          <w:spacing w:val="6"/>
          <w:sz w:val="19"/>
        </w:rPr>
        <w:t xml:space="preserve"> </w:t>
      </w:r>
      <w:r>
        <w:rPr>
          <w:color w:val="636466"/>
          <w:sz w:val="19"/>
        </w:rPr>
        <w:t>and</w:t>
      </w:r>
      <w:r>
        <w:rPr>
          <w:color w:val="636466"/>
          <w:spacing w:val="6"/>
          <w:sz w:val="19"/>
        </w:rPr>
        <w:t xml:space="preserve"> </w:t>
      </w:r>
      <w:r>
        <w:rPr>
          <w:color w:val="636466"/>
          <w:sz w:val="19"/>
        </w:rPr>
        <w:t>data</w:t>
      </w:r>
      <w:r>
        <w:rPr>
          <w:color w:val="636466"/>
          <w:spacing w:val="6"/>
          <w:sz w:val="19"/>
        </w:rPr>
        <w:t xml:space="preserve"> </w:t>
      </w:r>
      <w:r>
        <w:rPr>
          <w:color w:val="636466"/>
          <w:sz w:val="19"/>
        </w:rPr>
        <w:t>standards</w:t>
      </w:r>
      <w:r>
        <w:rPr>
          <w:color w:val="636466"/>
          <w:spacing w:val="6"/>
          <w:sz w:val="19"/>
        </w:rPr>
        <w:t xml:space="preserve"> </w:t>
      </w:r>
      <w:r>
        <w:rPr>
          <w:color w:val="636466"/>
          <w:sz w:val="19"/>
        </w:rPr>
        <w:t>specified</w:t>
      </w:r>
      <w:r>
        <w:rPr>
          <w:color w:val="636466"/>
          <w:spacing w:val="6"/>
          <w:sz w:val="19"/>
        </w:rPr>
        <w:t xml:space="preserve"> </w:t>
      </w:r>
      <w:r>
        <w:rPr>
          <w:color w:val="636466"/>
          <w:sz w:val="19"/>
        </w:rPr>
        <w:t>in</w:t>
      </w:r>
      <w:r>
        <w:rPr>
          <w:color w:val="636466"/>
          <w:spacing w:val="6"/>
          <w:sz w:val="19"/>
        </w:rPr>
        <w:t xml:space="preserve"> </w:t>
      </w:r>
      <w:r>
        <w:rPr>
          <w:color w:val="636466"/>
          <w:sz w:val="19"/>
        </w:rPr>
        <w:t>the</w:t>
      </w:r>
      <w:r>
        <w:rPr>
          <w:color w:val="636466"/>
          <w:spacing w:val="6"/>
          <w:sz w:val="19"/>
        </w:rPr>
        <w:t xml:space="preserve"> </w:t>
      </w:r>
      <w:r>
        <w:rPr>
          <w:color w:val="636466"/>
          <w:sz w:val="19"/>
        </w:rPr>
        <w:t>rolling</w:t>
      </w:r>
      <w:r>
        <w:rPr>
          <w:color w:val="636466"/>
          <w:spacing w:val="6"/>
          <w:sz w:val="19"/>
        </w:rPr>
        <w:t xml:space="preserve"> </w:t>
      </w:r>
      <w:r>
        <w:rPr>
          <w:color w:val="636466"/>
          <w:sz w:val="19"/>
        </w:rPr>
        <w:t>Three</w:t>
      </w:r>
      <w:r>
        <w:rPr>
          <w:color w:val="636466"/>
          <w:spacing w:val="6"/>
          <w:sz w:val="19"/>
        </w:rPr>
        <w:t xml:space="preserve"> </w:t>
      </w:r>
      <w:r>
        <w:rPr>
          <w:color w:val="636466"/>
          <w:spacing w:val="-3"/>
          <w:sz w:val="19"/>
        </w:rPr>
        <w:t>Year</w:t>
      </w:r>
      <w:r>
        <w:rPr>
          <w:color w:val="636466"/>
          <w:spacing w:val="6"/>
          <w:sz w:val="19"/>
        </w:rPr>
        <w:t xml:space="preserve"> </w:t>
      </w:r>
      <w:r>
        <w:rPr>
          <w:color w:val="636466"/>
          <w:sz w:val="19"/>
        </w:rPr>
        <w:t>Data</w:t>
      </w:r>
      <w:r>
        <w:rPr>
          <w:color w:val="636466"/>
          <w:spacing w:val="6"/>
          <w:sz w:val="19"/>
        </w:rPr>
        <w:t xml:space="preserve"> </w:t>
      </w:r>
      <w:r>
        <w:rPr>
          <w:color w:val="636466"/>
          <w:sz w:val="19"/>
        </w:rPr>
        <w:t>Plan.</w:t>
      </w:r>
    </w:p>
    <w:p w:rsidR="00D840DF" w:rsidRDefault="00961020">
      <w:pPr>
        <w:pStyle w:val="ListParagraph"/>
        <w:numPr>
          <w:ilvl w:val="0"/>
          <w:numId w:val="14"/>
        </w:numPr>
        <w:tabs>
          <w:tab w:val="left" w:pos="341"/>
        </w:tabs>
        <w:spacing w:before="112"/>
        <w:rPr>
          <w:sz w:val="19"/>
        </w:rPr>
      </w:pPr>
      <w:r>
        <w:rPr>
          <w:color w:val="636466"/>
          <w:sz w:val="19"/>
        </w:rPr>
        <w:t>Internal data assessment and</w:t>
      </w:r>
      <w:r>
        <w:rPr>
          <w:color w:val="636466"/>
          <w:spacing w:val="42"/>
          <w:sz w:val="19"/>
        </w:rPr>
        <w:t xml:space="preserve"> </w:t>
      </w:r>
      <w:r>
        <w:rPr>
          <w:color w:val="636466"/>
          <w:sz w:val="19"/>
        </w:rPr>
        <w:t>compliance.</w:t>
      </w:r>
    </w:p>
    <w:p w:rsidR="00D840DF" w:rsidRPr="005A527A" w:rsidRDefault="00961020" w:rsidP="005A527A">
      <w:pPr>
        <w:pStyle w:val="ListParagraph"/>
        <w:numPr>
          <w:ilvl w:val="0"/>
          <w:numId w:val="14"/>
        </w:numPr>
        <w:tabs>
          <w:tab w:val="left" w:pos="341"/>
        </w:tabs>
        <w:rPr>
          <w:sz w:val="19"/>
        </w:rPr>
      </w:pPr>
      <w:r>
        <w:rPr>
          <w:color w:val="636466"/>
          <w:sz w:val="19"/>
        </w:rPr>
        <w:t>Assurance from jurisdictions regarding data</w:t>
      </w:r>
      <w:r>
        <w:rPr>
          <w:color w:val="636466"/>
          <w:spacing w:val="23"/>
          <w:sz w:val="19"/>
        </w:rPr>
        <w:t xml:space="preserve"> </w:t>
      </w:r>
      <w:r>
        <w:rPr>
          <w:color w:val="636466"/>
          <w:sz w:val="19"/>
        </w:rPr>
        <w:t>quality/accuracy.</w:t>
      </w:r>
    </w:p>
    <w:p w:rsidR="00D840DF" w:rsidRDefault="00961020" w:rsidP="005A527A">
      <w:pPr>
        <w:pStyle w:val="Heading4"/>
      </w:pPr>
      <w:r>
        <w:t>Source:</w:t>
      </w:r>
    </w:p>
    <w:p w:rsidR="00D840DF" w:rsidRDefault="00961020">
      <w:pPr>
        <w:pStyle w:val="ListParagraph"/>
        <w:numPr>
          <w:ilvl w:val="0"/>
          <w:numId w:val="23"/>
        </w:numPr>
        <w:tabs>
          <w:tab w:val="left" w:pos="341"/>
        </w:tabs>
        <w:spacing w:before="186"/>
        <w:rPr>
          <w:sz w:val="19"/>
        </w:rPr>
      </w:pPr>
      <w:r>
        <w:rPr>
          <w:color w:val="636466"/>
          <w:spacing w:val="-8"/>
          <w:sz w:val="19"/>
        </w:rPr>
        <w:t>2016–17</w:t>
      </w:r>
      <w:r w:rsidR="00E314B6">
        <w:rPr>
          <w:color w:val="636466"/>
          <w:spacing w:val="-8"/>
          <w:sz w:val="19"/>
        </w:rPr>
        <w:t xml:space="preserve"> </w:t>
      </w:r>
      <w:r>
        <w:rPr>
          <w:color w:val="636466"/>
          <w:sz w:val="19"/>
        </w:rPr>
        <w:t>Corporate Plan—Strategy</w:t>
      </w:r>
      <w:r>
        <w:rPr>
          <w:color w:val="636466"/>
          <w:spacing w:val="7"/>
          <w:sz w:val="19"/>
        </w:rPr>
        <w:t xml:space="preserve"> </w:t>
      </w:r>
      <w:r>
        <w:rPr>
          <w:color w:val="636466"/>
          <w:sz w:val="19"/>
        </w:rPr>
        <w:t>4</w:t>
      </w:r>
    </w:p>
    <w:p w:rsidR="00D840DF" w:rsidRPr="005A527A" w:rsidRDefault="00961020" w:rsidP="005A527A">
      <w:pPr>
        <w:pStyle w:val="ListParagraph"/>
        <w:numPr>
          <w:ilvl w:val="0"/>
          <w:numId w:val="23"/>
        </w:numPr>
        <w:tabs>
          <w:tab w:val="left" w:pos="341"/>
        </w:tabs>
        <w:rPr>
          <w:sz w:val="19"/>
        </w:rPr>
      </w:pPr>
      <w:r>
        <w:rPr>
          <w:color w:val="636466"/>
          <w:spacing w:val="-8"/>
          <w:sz w:val="19"/>
        </w:rPr>
        <w:t>2016–17</w:t>
      </w:r>
      <w:r w:rsidR="00E314B6">
        <w:rPr>
          <w:color w:val="636466"/>
          <w:spacing w:val="-8"/>
          <w:sz w:val="19"/>
        </w:rPr>
        <w:t xml:space="preserve"> </w:t>
      </w:r>
      <w:r>
        <w:rPr>
          <w:color w:val="636466"/>
          <w:sz w:val="19"/>
        </w:rPr>
        <w:t>Portfolio Budget Statement Program</w:t>
      </w:r>
      <w:r>
        <w:rPr>
          <w:color w:val="636466"/>
          <w:spacing w:val="15"/>
          <w:sz w:val="19"/>
        </w:rPr>
        <w:t xml:space="preserve"> </w:t>
      </w:r>
      <w:r>
        <w:rPr>
          <w:color w:val="636466"/>
          <w:spacing w:val="-8"/>
          <w:sz w:val="19"/>
        </w:rPr>
        <w:t>1.1</w:t>
      </w:r>
    </w:p>
    <w:p w:rsidR="00D840DF" w:rsidRDefault="00961020" w:rsidP="005A527A">
      <w:pPr>
        <w:pStyle w:val="Heading4"/>
      </w:pPr>
      <w:r>
        <w:t>Result against performance</w:t>
      </w:r>
      <w:r w:rsidR="00E314B6">
        <w:t xml:space="preserve"> </w:t>
      </w:r>
      <w:r>
        <w:t>criteria:</w:t>
      </w:r>
    </w:p>
    <w:p w:rsidR="00D840DF" w:rsidRDefault="00961020">
      <w:pPr>
        <w:pStyle w:val="ListParagraph"/>
        <w:numPr>
          <w:ilvl w:val="0"/>
          <w:numId w:val="13"/>
        </w:numPr>
        <w:tabs>
          <w:tab w:val="left" w:pos="341"/>
        </w:tabs>
        <w:spacing w:before="186" w:line="256" w:lineRule="auto"/>
        <w:ind w:right="1675"/>
        <w:rPr>
          <w:sz w:val="19"/>
        </w:rPr>
      </w:pPr>
      <w:r>
        <w:rPr>
          <w:color w:val="636466"/>
          <w:sz w:val="19"/>
        </w:rPr>
        <w:t xml:space="preserve">The Three </w:t>
      </w:r>
      <w:r>
        <w:rPr>
          <w:color w:val="636466"/>
          <w:spacing w:val="-3"/>
          <w:sz w:val="19"/>
        </w:rPr>
        <w:t xml:space="preserve">Year </w:t>
      </w:r>
      <w:r>
        <w:rPr>
          <w:color w:val="636466"/>
          <w:sz w:val="19"/>
        </w:rPr>
        <w:t>Data Plan was updated and published on the IHPA website in June</w:t>
      </w:r>
      <w:r>
        <w:rPr>
          <w:color w:val="636466"/>
          <w:spacing w:val="6"/>
          <w:sz w:val="19"/>
        </w:rPr>
        <w:t xml:space="preserve"> </w:t>
      </w:r>
      <w:r>
        <w:rPr>
          <w:color w:val="636466"/>
          <w:spacing w:val="-6"/>
          <w:sz w:val="19"/>
        </w:rPr>
        <w:t>2016.</w:t>
      </w:r>
    </w:p>
    <w:p w:rsidR="00D840DF" w:rsidRDefault="00961020">
      <w:pPr>
        <w:pStyle w:val="ListParagraph"/>
        <w:numPr>
          <w:ilvl w:val="0"/>
          <w:numId w:val="13"/>
        </w:numPr>
        <w:tabs>
          <w:tab w:val="left" w:pos="341"/>
        </w:tabs>
        <w:spacing w:before="112" w:line="256" w:lineRule="auto"/>
        <w:ind w:right="98"/>
        <w:rPr>
          <w:sz w:val="19"/>
        </w:rPr>
      </w:pPr>
      <w:r>
        <w:rPr>
          <w:color w:val="636466"/>
          <w:sz w:val="19"/>
        </w:rPr>
        <w:t>The biannual data compliance reports were consulted on with jurisdictions and published on the IHPA</w:t>
      </w:r>
      <w:r>
        <w:rPr>
          <w:color w:val="636466"/>
          <w:spacing w:val="2"/>
          <w:sz w:val="19"/>
        </w:rPr>
        <w:t xml:space="preserve"> </w:t>
      </w:r>
      <w:r>
        <w:rPr>
          <w:color w:val="636466"/>
          <w:sz w:val="19"/>
        </w:rPr>
        <w:t>website.</w:t>
      </w:r>
    </w:p>
    <w:p w:rsidR="00D840DF" w:rsidRDefault="00961020">
      <w:pPr>
        <w:pStyle w:val="ListParagraph"/>
        <w:numPr>
          <w:ilvl w:val="0"/>
          <w:numId w:val="13"/>
        </w:numPr>
        <w:tabs>
          <w:tab w:val="left" w:pos="341"/>
        </w:tabs>
        <w:spacing w:before="112" w:line="256" w:lineRule="auto"/>
        <w:ind w:right="164"/>
        <w:rPr>
          <w:sz w:val="19"/>
        </w:rPr>
      </w:pPr>
      <w:r>
        <w:rPr>
          <w:color w:val="636466"/>
          <w:sz w:val="19"/>
        </w:rPr>
        <w:t xml:space="preserve">ABF data submissions were assessed based on the published data standards such as data set specification and data request specification. The </w:t>
      </w:r>
      <w:r>
        <w:rPr>
          <w:color w:val="636466"/>
          <w:spacing w:val="-7"/>
          <w:sz w:val="19"/>
        </w:rPr>
        <w:t xml:space="preserve">2016 </w:t>
      </w:r>
      <w:r>
        <w:rPr>
          <w:color w:val="636466"/>
          <w:sz w:val="19"/>
        </w:rPr>
        <w:t>IHPA Data Compliance Policy was used to assess jurisdictional compliance</w:t>
      </w:r>
      <w:r w:rsidR="00E314B6">
        <w:rPr>
          <w:color w:val="636466"/>
          <w:sz w:val="19"/>
        </w:rPr>
        <w:t xml:space="preserve"> </w:t>
      </w:r>
      <w:r>
        <w:rPr>
          <w:color w:val="636466"/>
          <w:sz w:val="19"/>
        </w:rPr>
        <w:t>rating.</w:t>
      </w:r>
    </w:p>
    <w:p w:rsidR="00D840DF" w:rsidRDefault="00961020">
      <w:pPr>
        <w:pStyle w:val="ListParagraph"/>
        <w:numPr>
          <w:ilvl w:val="0"/>
          <w:numId w:val="13"/>
        </w:numPr>
        <w:tabs>
          <w:tab w:val="left" w:pos="341"/>
        </w:tabs>
        <w:spacing w:before="112" w:line="256" w:lineRule="auto"/>
        <w:ind w:right="459"/>
        <w:rPr>
          <w:sz w:val="19"/>
        </w:rPr>
      </w:pPr>
      <w:r>
        <w:rPr>
          <w:color w:val="636466"/>
          <w:sz w:val="19"/>
        </w:rPr>
        <w:t>Jurisdictions were required to sign off their final data submission to IHPA to ensure that data conforms</w:t>
      </w:r>
      <w:r>
        <w:rPr>
          <w:color w:val="636466"/>
          <w:spacing w:val="3"/>
          <w:sz w:val="19"/>
        </w:rPr>
        <w:t xml:space="preserve"> </w:t>
      </w:r>
      <w:r>
        <w:rPr>
          <w:color w:val="636466"/>
          <w:sz w:val="19"/>
        </w:rPr>
        <w:t>as</w:t>
      </w:r>
      <w:r>
        <w:rPr>
          <w:color w:val="636466"/>
          <w:spacing w:val="3"/>
          <w:sz w:val="19"/>
        </w:rPr>
        <w:t xml:space="preserve"> </w:t>
      </w:r>
      <w:r>
        <w:rPr>
          <w:color w:val="636466"/>
          <w:sz w:val="19"/>
        </w:rPr>
        <w:t>closely</w:t>
      </w:r>
      <w:r>
        <w:rPr>
          <w:color w:val="636466"/>
          <w:spacing w:val="3"/>
          <w:sz w:val="19"/>
        </w:rPr>
        <w:t xml:space="preserve"> </w:t>
      </w:r>
      <w:r>
        <w:rPr>
          <w:color w:val="636466"/>
          <w:sz w:val="19"/>
        </w:rPr>
        <w:t>as</w:t>
      </w:r>
      <w:r>
        <w:rPr>
          <w:color w:val="636466"/>
          <w:spacing w:val="3"/>
          <w:sz w:val="19"/>
        </w:rPr>
        <w:t xml:space="preserve"> </w:t>
      </w:r>
      <w:r>
        <w:rPr>
          <w:color w:val="636466"/>
          <w:sz w:val="19"/>
        </w:rPr>
        <w:t>is</w:t>
      </w:r>
      <w:r>
        <w:rPr>
          <w:color w:val="636466"/>
          <w:spacing w:val="3"/>
          <w:sz w:val="19"/>
        </w:rPr>
        <w:t xml:space="preserve"> </w:t>
      </w:r>
      <w:r>
        <w:rPr>
          <w:color w:val="636466"/>
          <w:sz w:val="19"/>
        </w:rPr>
        <w:t>achievable</w:t>
      </w:r>
      <w:r>
        <w:rPr>
          <w:color w:val="636466"/>
          <w:spacing w:val="3"/>
          <w:sz w:val="19"/>
        </w:rPr>
        <w:t xml:space="preserve"> </w:t>
      </w:r>
      <w:r>
        <w:rPr>
          <w:color w:val="636466"/>
          <w:sz w:val="19"/>
        </w:rPr>
        <w:t>in</w:t>
      </w:r>
      <w:r>
        <w:rPr>
          <w:color w:val="636466"/>
          <w:spacing w:val="3"/>
          <w:sz w:val="19"/>
        </w:rPr>
        <w:t xml:space="preserve"> </w:t>
      </w:r>
      <w:r>
        <w:rPr>
          <w:color w:val="636466"/>
          <w:sz w:val="19"/>
        </w:rPr>
        <w:t>regards</w:t>
      </w:r>
      <w:r>
        <w:rPr>
          <w:color w:val="636466"/>
          <w:spacing w:val="3"/>
          <w:sz w:val="19"/>
        </w:rPr>
        <w:t xml:space="preserve"> </w:t>
      </w:r>
      <w:r>
        <w:rPr>
          <w:color w:val="636466"/>
          <w:sz w:val="19"/>
        </w:rPr>
        <w:t>to</w:t>
      </w:r>
      <w:r>
        <w:rPr>
          <w:color w:val="636466"/>
          <w:spacing w:val="3"/>
          <w:sz w:val="19"/>
        </w:rPr>
        <w:t xml:space="preserve"> </w:t>
      </w:r>
      <w:r>
        <w:rPr>
          <w:color w:val="636466"/>
          <w:sz w:val="19"/>
        </w:rPr>
        <w:t>its</w:t>
      </w:r>
      <w:r>
        <w:rPr>
          <w:color w:val="636466"/>
          <w:spacing w:val="3"/>
          <w:sz w:val="19"/>
        </w:rPr>
        <w:t xml:space="preserve"> </w:t>
      </w:r>
      <w:r>
        <w:rPr>
          <w:color w:val="636466"/>
          <w:sz w:val="19"/>
        </w:rPr>
        <w:t>quality</w:t>
      </w:r>
      <w:r>
        <w:rPr>
          <w:color w:val="636466"/>
          <w:spacing w:val="3"/>
          <w:sz w:val="19"/>
        </w:rPr>
        <w:t xml:space="preserve"> </w:t>
      </w:r>
      <w:r>
        <w:rPr>
          <w:color w:val="636466"/>
          <w:sz w:val="19"/>
        </w:rPr>
        <w:t>and</w:t>
      </w:r>
      <w:r>
        <w:rPr>
          <w:color w:val="636466"/>
          <w:spacing w:val="3"/>
          <w:sz w:val="19"/>
        </w:rPr>
        <w:t xml:space="preserve"> </w:t>
      </w:r>
      <w:r>
        <w:rPr>
          <w:color w:val="636466"/>
          <w:sz w:val="19"/>
        </w:rPr>
        <w:t>accuracy.</w:t>
      </w:r>
    </w:p>
    <w:p w:rsidR="00D840DF" w:rsidRDefault="00D840DF">
      <w:pPr>
        <w:spacing w:line="256" w:lineRule="auto"/>
        <w:rPr>
          <w:sz w:val="19"/>
        </w:rPr>
        <w:sectPr w:rsidR="00D840DF">
          <w:pgSz w:w="9980" w:h="14180"/>
          <w:pgMar w:top="1320" w:right="1380" w:bottom="280" w:left="1020" w:header="720" w:footer="720" w:gutter="0"/>
          <w:cols w:space="720"/>
        </w:sectPr>
      </w:pPr>
    </w:p>
    <w:p w:rsidR="00D840DF" w:rsidRDefault="00961020" w:rsidP="005A527A">
      <w:pPr>
        <w:pStyle w:val="Heading3"/>
      </w:pPr>
      <w:bookmarkStart w:id="108" w:name="Activity_4:_Resolve_disputes_on_cost-shi"/>
      <w:bookmarkStart w:id="109" w:name="Activity_5:_Independent_and_transparent_"/>
      <w:bookmarkStart w:id="110" w:name="_bookmark29"/>
      <w:bookmarkEnd w:id="108"/>
      <w:bookmarkEnd w:id="109"/>
      <w:bookmarkEnd w:id="110"/>
      <w:r>
        <w:rPr>
          <w:color w:val="008F54"/>
        </w:rPr>
        <w:lastRenderedPageBreak/>
        <w:t xml:space="preserve">Activity 4: </w:t>
      </w:r>
      <w:r>
        <w:t>Resolve disputes on cost-shifting and cross-border issues</w:t>
      </w:r>
    </w:p>
    <w:p w:rsidR="00D840DF" w:rsidRPr="005A527A" w:rsidRDefault="00961020">
      <w:pPr>
        <w:pStyle w:val="BodyText"/>
      </w:pPr>
      <w:r>
        <w:t>IHPA has a role to investigate and make recommendations concerning cross-border disputes between states and territories and to make assessments of cost-shifting disputes.</w:t>
      </w:r>
    </w:p>
    <w:p w:rsidR="00D840DF" w:rsidRDefault="00961020" w:rsidP="005A527A">
      <w:pPr>
        <w:pStyle w:val="Heading4"/>
      </w:pPr>
      <w:r>
        <w:t>Criteria:</w:t>
      </w:r>
    </w:p>
    <w:p w:rsidR="00D840DF" w:rsidRDefault="00961020">
      <w:pPr>
        <w:pStyle w:val="ListParagraph"/>
        <w:numPr>
          <w:ilvl w:val="0"/>
          <w:numId w:val="12"/>
        </w:numPr>
        <w:tabs>
          <w:tab w:val="left" w:pos="331"/>
        </w:tabs>
        <w:spacing w:before="186" w:line="256" w:lineRule="auto"/>
        <w:ind w:right="619"/>
        <w:rPr>
          <w:sz w:val="19"/>
        </w:rPr>
      </w:pPr>
      <w:r>
        <w:rPr>
          <w:color w:val="636466"/>
          <w:sz w:val="19"/>
        </w:rPr>
        <w:t xml:space="preserve">Review and publication of updated </w:t>
      </w:r>
      <w:r>
        <w:rPr>
          <w:i/>
          <w:color w:val="636466"/>
          <w:sz w:val="19"/>
        </w:rPr>
        <w:t>Cost-Shifting and Cross-Border and Dispute Resolution Framework</w:t>
      </w:r>
      <w:r>
        <w:rPr>
          <w:color w:val="636466"/>
          <w:sz w:val="19"/>
        </w:rPr>
        <w:t>.</w:t>
      </w:r>
    </w:p>
    <w:p w:rsidR="00D840DF" w:rsidRPr="005A527A" w:rsidRDefault="00961020" w:rsidP="005A527A">
      <w:pPr>
        <w:pStyle w:val="ListParagraph"/>
        <w:numPr>
          <w:ilvl w:val="0"/>
          <w:numId w:val="12"/>
        </w:numPr>
        <w:tabs>
          <w:tab w:val="left" w:pos="331"/>
        </w:tabs>
        <w:spacing w:before="112" w:line="256" w:lineRule="auto"/>
        <w:ind w:right="210"/>
        <w:rPr>
          <w:sz w:val="19"/>
        </w:rPr>
      </w:pPr>
      <w:r>
        <w:rPr>
          <w:color w:val="636466"/>
          <w:sz w:val="19"/>
        </w:rPr>
        <w:t>IHPA investigation of cost-shifting or cross-border disputes and provision of recommendations or assessment within six months of receipt of</w:t>
      </w:r>
      <w:r w:rsidR="00E314B6">
        <w:rPr>
          <w:color w:val="636466"/>
          <w:sz w:val="19"/>
        </w:rPr>
        <w:t xml:space="preserve"> </w:t>
      </w:r>
      <w:r>
        <w:rPr>
          <w:color w:val="636466"/>
          <w:sz w:val="19"/>
        </w:rPr>
        <w:t>request.</w:t>
      </w:r>
    </w:p>
    <w:p w:rsidR="00D840DF" w:rsidRDefault="00961020" w:rsidP="005A527A">
      <w:pPr>
        <w:pStyle w:val="Heading4"/>
      </w:pPr>
      <w:r>
        <w:t>Source:</w:t>
      </w:r>
    </w:p>
    <w:p w:rsidR="00D840DF" w:rsidRPr="005A527A" w:rsidRDefault="00961020" w:rsidP="005A527A">
      <w:pPr>
        <w:pStyle w:val="ListParagraph"/>
        <w:numPr>
          <w:ilvl w:val="0"/>
          <w:numId w:val="23"/>
        </w:numPr>
        <w:tabs>
          <w:tab w:val="left" w:pos="331"/>
        </w:tabs>
        <w:spacing w:before="186"/>
        <w:ind w:left="330"/>
        <w:rPr>
          <w:sz w:val="19"/>
        </w:rPr>
      </w:pPr>
      <w:r>
        <w:rPr>
          <w:color w:val="636466"/>
          <w:spacing w:val="-8"/>
          <w:sz w:val="19"/>
        </w:rPr>
        <w:t>2016–17</w:t>
      </w:r>
      <w:r w:rsidR="00E314B6">
        <w:rPr>
          <w:color w:val="636466"/>
          <w:spacing w:val="-8"/>
          <w:sz w:val="19"/>
        </w:rPr>
        <w:t xml:space="preserve"> </w:t>
      </w:r>
      <w:r>
        <w:rPr>
          <w:color w:val="636466"/>
          <w:sz w:val="19"/>
        </w:rPr>
        <w:t>Portfolio Budget Statement Program</w:t>
      </w:r>
      <w:r>
        <w:rPr>
          <w:color w:val="636466"/>
          <w:spacing w:val="15"/>
          <w:sz w:val="19"/>
        </w:rPr>
        <w:t xml:space="preserve"> </w:t>
      </w:r>
      <w:r>
        <w:rPr>
          <w:color w:val="636466"/>
          <w:spacing w:val="-8"/>
          <w:sz w:val="19"/>
        </w:rPr>
        <w:t>1.1</w:t>
      </w:r>
    </w:p>
    <w:p w:rsidR="00D840DF" w:rsidRDefault="00961020" w:rsidP="005A527A">
      <w:pPr>
        <w:pStyle w:val="Heading4"/>
      </w:pPr>
      <w:r>
        <w:t>Result against performance</w:t>
      </w:r>
      <w:r w:rsidR="00E314B6">
        <w:t xml:space="preserve"> </w:t>
      </w:r>
      <w:r>
        <w:t>criteria:</w:t>
      </w:r>
    </w:p>
    <w:p w:rsidR="00D840DF" w:rsidRDefault="00961020">
      <w:pPr>
        <w:pStyle w:val="ListParagraph"/>
        <w:numPr>
          <w:ilvl w:val="0"/>
          <w:numId w:val="11"/>
        </w:numPr>
        <w:tabs>
          <w:tab w:val="left" w:pos="331"/>
        </w:tabs>
        <w:spacing w:before="186"/>
        <w:rPr>
          <w:i/>
          <w:sz w:val="19"/>
        </w:rPr>
      </w:pPr>
      <w:r>
        <w:rPr>
          <w:color w:val="636466"/>
          <w:sz w:val="19"/>
        </w:rPr>
        <w:t>An</w:t>
      </w:r>
      <w:r>
        <w:rPr>
          <w:color w:val="636466"/>
          <w:spacing w:val="10"/>
          <w:sz w:val="19"/>
        </w:rPr>
        <w:t xml:space="preserve"> </w:t>
      </w:r>
      <w:r>
        <w:rPr>
          <w:color w:val="636466"/>
          <w:sz w:val="19"/>
        </w:rPr>
        <w:t>updated</w:t>
      </w:r>
      <w:r>
        <w:rPr>
          <w:color w:val="636466"/>
          <w:spacing w:val="10"/>
          <w:sz w:val="19"/>
        </w:rPr>
        <w:t xml:space="preserve"> </w:t>
      </w:r>
      <w:r>
        <w:rPr>
          <w:i/>
          <w:color w:val="636466"/>
          <w:sz w:val="19"/>
        </w:rPr>
        <w:t>Cost-Shifting</w:t>
      </w:r>
      <w:r>
        <w:rPr>
          <w:i/>
          <w:color w:val="636466"/>
          <w:spacing w:val="10"/>
          <w:sz w:val="19"/>
        </w:rPr>
        <w:t xml:space="preserve"> </w:t>
      </w:r>
      <w:r>
        <w:rPr>
          <w:i/>
          <w:color w:val="636466"/>
          <w:sz w:val="19"/>
        </w:rPr>
        <w:t>and</w:t>
      </w:r>
      <w:r>
        <w:rPr>
          <w:i/>
          <w:color w:val="636466"/>
          <w:spacing w:val="10"/>
          <w:sz w:val="19"/>
        </w:rPr>
        <w:t xml:space="preserve"> </w:t>
      </w:r>
      <w:r>
        <w:rPr>
          <w:i/>
          <w:color w:val="636466"/>
          <w:sz w:val="19"/>
        </w:rPr>
        <w:t>Cross-Border</w:t>
      </w:r>
      <w:r>
        <w:rPr>
          <w:i/>
          <w:color w:val="636466"/>
          <w:spacing w:val="10"/>
          <w:sz w:val="19"/>
        </w:rPr>
        <w:t xml:space="preserve"> </w:t>
      </w:r>
      <w:r>
        <w:rPr>
          <w:i/>
          <w:color w:val="636466"/>
          <w:sz w:val="19"/>
        </w:rPr>
        <w:t>and</w:t>
      </w:r>
      <w:r>
        <w:rPr>
          <w:i/>
          <w:color w:val="636466"/>
          <w:spacing w:val="8"/>
          <w:sz w:val="19"/>
        </w:rPr>
        <w:t xml:space="preserve"> </w:t>
      </w:r>
      <w:r>
        <w:rPr>
          <w:i/>
          <w:color w:val="636466"/>
          <w:sz w:val="19"/>
        </w:rPr>
        <w:t>Dispute</w:t>
      </w:r>
      <w:r>
        <w:rPr>
          <w:i/>
          <w:color w:val="636466"/>
          <w:spacing w:val="10"/>
          <w:sz w:val="19"/>
        </w:rPr>
        <w:t xml:space="preserve"> </w:t>
      </w:r>
      <w:r>
        <w:rPr>
          <w:i/>
          <w:color w:val="636466"/>
          <w:sz w:val="19"/>
        </w:rPr>
        <w:t>Resolution</w:t>
      </w:r>
      <w:r>
        <w:rPr>
          <w:i/>
          <w:color w:val="636466"/>
          <w:spacing w:val="10"/>
          <w:sz w:val="19"/>
        </w:rPr>
        <w:t xml:space="preserve"> </w:t>
      </w:r>
      <w:r>
        <w:rPr>
          <w:i/>
          <w:color w:val="636466"/>
          <w:sz w:val="19"/>
        </w:rPr>
        <w:t>Framework</w:t>
      </w:r>
    </w:p>
    <w:p w:rsidR="00D840DF" w:rsidRDefault="00961020">
      <w:pPr>
        <w:pStyle w:val="BodyText"/>
        <w:spacing w:before="16"/>
        <w:ind w:left="330"/>
      </w:pPr>
      <w:r>
        <w:rPr>
          <w:color w:val="636466"/>
        </w:rPr>
        <w:t>(Version 3.10) was published in May 2017.</w:t>
      </w:r>
    </w:p>
    <w:p w:rsidR="00D840DF" w:rsidRPr="005A527A" w:rsidRDefault="00961020" w:rsidP="005A527A">
      <w:pPr>
        <w:pStyle w:val="ListParagraph"/>
        <w:numPr>
          <w:ilvl w:val="0"/>
          <w:numId w:val="11"/>
        </w:numPr>
        <w:tabs>
          <w:tab w:val="left" w:pos="331"/>
        </w:tabs>
        <w:rPr>
          <w:sz w:val="19"/>
        </w:rPr>
      </w:pPr>
      <w:r>
        <w:rPr>
          <w:color w:val="636466"/>
          <w:sz w:val="19"/>
        </w:rPr>
        <w:t xml:space="preserve">In </w:t>
      </w:r>
      <w:r>
        <w:rPr>
          <w:color w:val="636466"/>
          <w:spacing w:val="-8"/>
          <w:sz w:val="19"/>
        </w:rPr>
        <w:t>2016–17</w:t>
      </w:r>
      <w:r w:rsidR="00E314B6">
        <w:rPr>
          <w:color w:val="636466"/>
          <w:spacing w:val="-8"/>
          <w:sz w:val="19"/>
        </w:rPr>
        <w:t xml:space="preserve"> </w:t>
      </w:r>
      <w:r>
        <w:rPr>
          <w:color w:val="636466"/>
          <w:sz w:val="19"/>
        </w:rPr>
        <w:t>IHPA did not receive any requests relating to this</w:t>
      </w:r>
      <w:r>
        <w:rPr>
          <w:color w:val="636466"/>
          <w:spacing w:val="25"/>
          <w:sz w:val="19"/>
        </w:rPr>
        <w:t xml:space="preserve"> </w:t>
      </w:r>
      <w:r>
        <w:rPr>
          <w:color w:val="636466"/>
          <w:sz w:val="19"/>
        </w:rPr>
        <w:t>function.</w:t>
      </w:r>
    </w:p>
    <w:p w:rsidR="00D840DF" w:rsidRDefault="00961020" w:rsidP="005A527A">
      <w:pPr>
        <w:pStyle w:val="Heading3"/>
      </w:pPr>
      <w:r>
        <w:rPr>
          <w:color w:val="008F54"/>
        </w:rPr>
        <w:t xml:space="preserve">Activity 5: </w:t>
      </w:r>
      <w:r>
        <w:t>Independent and transparent decision-making and engagement with stakeholders</w:t>
      </w:r>
    </w:p>
    <w:p w:rsidR="00D840DF" w:rsidRPr="005A527A" w:rsidRDefault="00961020" w:rsidP="005A527A">
      <w:pPr>
        <w:pStyle w:val="BodyText"/>
      </w:pPr>
      <w:r>
        <w:t xml:space="preserve">IHPA works in partnership with the Australian Government, state and territory governments and other </w:t>
      </w:r>
      <w:r w:rsidRPr="005A527A">
        <w:t>stakeholders. IHPA conducts its work independently from governments which allows the agency to deliver impartial, evidence based decisions. It is transparent in its decision making processes and consults extensively across the health</w:t>
      </w:r>
      <w:r w:rsidR="00E314B6">
        <w:t xml:space="preserve"> </w:t>
      </w:r>
      <w:r w:rsidRPr="005A527A">
        <w:t>industry.</w:t>
      </w:r>
    </w:p>
    <w:p w:rsidR="00D840DF" w:rsidRPr="005A527A" w:rsidRDefault="00961020">
      <w:pPr>
        <w:pStyle w:val="BodyText"/>
      </w:pPr>
      <w:r w:rsidRPr="005A527A">
        <w:t>The methodology that underpins IHPA’s decisions and Work Program is informed by extensive consultation with governments and stakeholders. IHPA has a formal consultation framework in</w:t>
      </w:r>
      <w:r w:rsidR="00E314B6">
        <w:t xml:space="preserve"> </w:t>
      </w:r>
      <w:r w:rsidRPr="005A527A">
        <w:t>place to ensure</w:t>
      </w:r>
      <w:r>
        <w:t xml:space="preserve"> that it draws on an extensive range of expertise in undertaking its functions. Input from stakeholders through </w:t>
      </w:r>
      <w:r>
        <w:rPr>
          <w:spacing w:val="-5"/>
        </w:rPr>
        <w:t xml:space="preserve">IHPA’s </w:t>
      </w:r>
      <w:r>
        <w:t xml:space="preserve">multiple committees and working groups ensures that </w:t>
      </w:r>
      <w:r>
        <w:rPr>
          <w:spacing w:val="-5"/>
        </w:rPr>
        <w:t>IHPA’s</w:t>
      </w:r>
      <w:r w:rsidR="00E314B6">
        <w:rPr>
          <w:spacing w:val="-5"/>
        </w:rPr>
        <w:t xml:space="preserve"> </w:t>
      </w:r>
      <w:r>
        <w:t xml:space="preserve">work is informed by expert clinical advice which helps to establish and consolidate </w:t>
      </w:r>
      <w:r>
        <w:rPr>
          <w:spacing w:val="-5"/>
        </w:rPr>
        <w:t xml:space="preserve">IHPA’s </w:t>
      </w:r>
      <w:r>
        <w:t>credibility throughout the</w:t>
      </w:r>
      <w:r>
        <w:rPr>
          <w:spacing w:val="20"/>
        </w:rPr>
        <w:t xml:space="preserve"> </w:t>
      </w:r>
      <w:r>
        <w:t>industry.</w:t>
      </w:r>
    </w:p>
    <w:p w:rsidR="00D840DF" w:rsidRDefault="00961020" w:rsidP="005A527A">
      <w:pPr>
        <w:pStyle w:val="Heading4"/>
      </w:pPr>
      <w:r>
        <w:t>Criteria:</w:t>
      </w:r>
    </w:p>
    <w:p w:rsidR="00D840DF" w:rsidRPr="005A527A" w:rsidRDefault="00961020" w:rsidP="005A527A">
      <w:pPr>
        <w:pStyle w:val="ListParagraph"/>
        <w:numPr>
          <w:ilvl w:val="0"/>
          <w:numId w:val="10"/>
        </w:numPr>
        <w:tabs>
          <w:tab w:val="left" w:pos="331"/>
        </w:tabs>
        <w:spacing w:before="7"/>
        <w:rPr>
          <w:sz w:val="20"/>
        </w:rPr>
      </w:pPr>
      <w:r w:rsidRPr="005A527A">
        <w:rPr>
          <w:color w:val="636466"/>
          <w:sz w:val="19"/>
        </w:rPr>
        <w:t xml:space="preserve">Appropriate committees and working groups maintained to </w:t>
      </w:r>
      <w:r w:rsidRPr="005A527A">
        <w:rPr>
          <w:color w:val="636466"/>
          <w:spacing w:val="1"/>
          <w:sz w:val="19"/>
        </w:rPr>
        <w:t xml:space="preserve">support </w:t>
      </w:r>
      <w:r w:rsidRPr="005A527A">
        <w:rPr>
          <w:color w:val="636466"/>
          <w:spacing w:val="-3"/>
          <w:sz w:val="19"/>
        </w:rPr>
        <w:t>IHPA’s</w:t>
      </w:r>
      <w:r w:rsidRPr="005A527A">
        <w:rPr>
          <w:color w:val="636466"/>
          <w:spacing w:val="35"/>
          <w:sz w:val="19"/>
        </w:rPr>
        <w:t xml:space="preserve"> </w:t>
      </w:r>
      <w:r w:rsidR="005A527A" w:rsidRPr="005A527A">
        <w:rPr>
          <w:color w:val="636466"/>
          <w:spacing w:val="1"/>
          <w:sz w:val="19"/>
        </w:rPr>
        <w:t>functions</w:t>
      </w:r>
    </w:p>
    <w:p w:rsidR="00D840DF" w:rsidRDefault="00961020">
      <w:pPr>
        <w:pStyle w:val="ListParagraph"/>
        <w:numPr>
          <w:ilvl w:val="0"/>
          <w:numId w:val="10"/>
        </w:numPr>
        <w:tabs>
          <w:tab w:val="left" w:pos="339"/>
        </w:tabs>
        <w:spacing w:before="89"/>
        <w:ind w:left="338" w:hanging="226"/>
        <w:rPr>
          <w:sz w:val="19"/>
        </w:rPr>
      </w:pPr>
      <w:bookmarkStart w:id="111" w:name="_bookmark30"/>
      <w:bookmarkEnd w:id="111"/>
      <w:r>
        <w:rPr>
          <w:color w:val="636466"/>
          <w:sz w:val="19"/>
        </w:rPr>
        <w:t>Public</w:t>
      </w:r>
      <w:r w:rsidR="00E314B6">
        <w:rPr>
          <w:color w:val="636466"/>
          <w:sz w:val="19"/>
        </w:rPr>
        <w:t xml:space="preserve"> </w:t>
      </w:r>
      <w:r>
        <w:rPr>
          <w:color w:val="636466"/>
          <w:spacing w:val="1"/>
          <w:sz w:val="19"/>
        </w:rPr>
        <w:t xml:space="preserve">consultation processes conducted </w:t>
      </w:r>
      <w:r>
        <w:rPr>
          <w:color w:val="636466"/>
          <w:sz w:val="19"/>
        </w:rPr>
        <w:t>in</w:t>
      </w:r>
      <w:r w:rsidR="00E314B6">
        <w:rPr>
          <w:color w:val="636466"/>
          <w:sz w:val="19"/>
        </w:rPr>
        <w:t xml:space="preserve"> </w:t>
      </w:r>
      <w:r>
        <w:rPr>
          <w:color w:val="636466"/>
          <w:sz w:val="19"/>
        </w:rPr>
        <w:t>accordance</w:t>
      </w:r>
      <w:r>
        <w:rPr>
          <w:color w:val="636466"/>
          <w:spacing w:val="7"/>
          <w:sz w:val="19"/>
        </w:rPr>
        <w:t xml:space="preserve"> </w:t>
      </w:r>
      <w:r>
        <w:rPr>
          <w:color w:val="636466"/>
          <w:spacing w:val="1"/>
          <w:sz w:val="19"/>
        </w:rPr>
        <w:t xml:space="preserve">with </w:t>
      </w:r>
      <w:r>
        <w:rPr>
          <w:color w:val="636466"/>
          <w:spacing w:val="2"/>
          <w:sz w:val="19"/>
        </w:rPr>
        <w:t>the</w:t>
      </w:r>
    </w:p>
    <w:p w:rsidR="00D840DF" w:rsidRDefault="00961020">
      <w:pPr>
        <w:spacing w:before="16"/>
        <w:ind w:left="338"/>
        <w:rPr>
          <w:i/>
          <w:sz w:val="19"/>
        </w:rPr>
      </w:pPr>
      <w:r>
        <w:rPr>
          <w:i/>
          <w:color w:val="636466"/>
          <w:sz w:val="19"/>
        </w:rPr>
        <w:t>National Health Reform Act 2011.</w:t>
      </w:r>
    </w:p>
    <w:p w:rsidR="00D840DF" w:rsidRDefault="00961020">
      <w:pPr>
        <w:pStyle w:val="ListParagraph"/>
        <w:numPr>
          <w:ilvl w:val="0"/>
          <w:numId w:val="10"/>
        </w:numPr>
        <w:tabs>
          <w:tab w:val="left" w:pos="339"/>
        </w:tabs>
        <w:spacing w:before="130"/>
        <w:ind w:left="338" w:hanging="226"/>
        <w:rPr>
          <w:sz w:val="19"/>
        </w:rPr>
      </w:pPr>
      <w:r>
        <w:rPr>
          <w:color w:val="636466"/>
          <w:spacing w:val="1"/>
          <w:sz w:val="19"/>
        </w:rPr>
        <w:t xml:space="preserve">All </w:t>
      </w:r>
      <w:r>
        <w:rPr>
          <w:color w:val="636466"/>
          <w:spacing w:val="2"/>
          <w:sz w:val="19"/>
        </w:rPr>
        <w:t xml:space="preserve">stakeholder </w:t>
      </w:r>
      <w:r>
        <w:rPr>
          <w:color w:val="636466"/>
          <w:spacing w:val="1"/>
          <w:sz w:val="19"/>
        </w:rPr>
        <w:t xml:space="preserve">input </w:t>
      </w:r>
      <w:r>
        <w:rPr>
          <w:color w:val="636466"/>
          <w:sz w:val="19"/>
        </w:rPr>
        <w:t>is</w:t>
      </w:r>
      <w:r w:rsidR="00E314B6">
        <w:rPr>
          <w:color w:val="636466"/>
          <w:sz w:val="19"/>
        </w:rPr>
        <w:t xml:space="preserve"> </w:t>
      </w:r>
      <w:r>
        <w:rPr>
          <w:color w:val="636466"/>
          <w:spacing w:val="1"/>
          <w:sz w:val="19"/>
        </w:rPr>
        <w:t>appropriately</w:t>
      </w:r>
      <w:r>
        <w:rPr>
          <w:color w:val="636466"/>
          <w:spacing w:val="33"/>
          <w:sz w:val="19"/>
        </w:rPr>
        <w:t xml:space="preserve"> </w:t>
      </w:r>
      <w:r>
        <w:rPr>
          <w:color w:val="636466"/>
          <w:sz w:val="19"/>
        </w:rPr>
        <w:t>considered.</w:t>
      </w:r>
    </w:p>
    <w:p w:rsidR="00D840DF" w:rsidRDefault="00961020">
      <w:pPr>
        <w:pStyle w:val="ListParagraph"/>
        <w:numPr>
          <w:ilvl w:val="0"/>
          <w:numId w:val="10"/>
        </w:numPr>
        <w:tabs>
          <w:tab w:val="left" w:pos="339"/>
        </w:tabs>
        <w:spacing w:before="130"/>
        <w:ind w:left="338" w:hanging="226"/>
        <w:rPr>
          <w:sz w:val="19"/>
        </w:rPr>
      </w:pPr>
      <w:r>
        <w:rPr>
          <w:color w:val="636466"/>
          <w:sz w:val="19"/>
        </w:rPr>
        <w:lastRenderedPageBreak/>
        <w:t>Inbox enquiries responded to within a two-week</w:t>
      </w:r>
      <w:r w:rsidR="00E314B6">
        <w:rPr>
          <w:color w:val="636466"/>
          <w:sz w:val="19"/>
        </w:rPr>
        <w:t xml:space="preserve"> </w:t>
      </w:r>
      <w:r>
        <w:rPr>
          <w:color w:val="636466"/>
          <w:sz w:val="19"/>
        </w:rPr>
        <w:t>timeframe.</w:t>
      </w:r>
    </w:p>
    <w:p w:rsidR="00D840DF" w:rsidRPr="005A527A" w:rsidRDefault="00961020" w:rsidP="005A527A">
      <w:pPr>
        <w:pStyle w:val="ListParagraph"/>
        <w:numPr>
          <w:ilvl w:val="0"/>
          <w:numId w:val="10"/>
        </w:numPr>
        <w:tabs>
          <w:tab w:val="left" w:pos="339"/>
        </w:tabs>
        <w:spacing w:before="130"/>
        <w:ind w:left="338" w:hanging="226"/>
        <w:rPr>
          <w:sz w:val="19"/>
        </w:rPr>
      </w:pPr>
      <w:r>
        <w:rPr>
          <w:color w:val="636466"/>
          <w:sz w:val="19"/>
        </w:rPr>
        <w:t>Annual</w:t>
      </w:r>
      <w:r>
        <w:rPr>
          <w:color w:val="636466"/>
          <w:spacing w:val="5"/>
          <w:sz w:val="19"/>
        </w:rPr>
        <w:t xml:space="preserve"> </w:t>
      </w:r>
      <w:r>
        <w:rPr>
          <w:color w:val="636466"/>
          <w:sz w:val="19"/>
        </w:rPr>
        <w:t>national</w:t>
      </w:r>
      <w:r>
        <w:rPr>
          <w:color w:val="636466"/>
          <w:spacing w:val="5"/>
          <w:sz w:val="19"/>
        </w:rPr>
        <w:t xml:space="preserve"> </w:t>
      </w:r>
      <w:r>
        <w:rPr>
          <w:color w:val="636466"/>
          <w:sz w:val="19"/>
        </w:rPr>
        <w:t>conference</w:t>
      </w:r>
      <w:r>
        <w:rPr>
          <w:color w:val="636466"/>
          <w:spacing w:val="5"/>
          <w:sz w:val="19"/>
        </w:rPr>
        <w:t xml:space="preserve"> </w:t>
      </w:r>
      <w:r>
        <w:rPr>
          <w:color w:val="636466"/>
          <w:sz w:val="19"/>
        </w:rPr>
        <w:t>hosted</w:t>
      </w:r>
      <w:r>
        <w:rPr>
          <w:color w:val="636466"/>
          <w:spacing w:val="5"/>
          <w:sz w:val="19"/>
        </w:rPr>
        <w:t xml:space="preserve"> </w:t>
      </w:r>
      <w:r>
        <w:rPr>
          <w:color w:val="636466"/>
          <w:sz w:val="19"/>
        </w:rPr>
        <w:t>for</w:t>
      </w:r>
      <w:r>
        <w:rPr>
          <w:color w:val="636466"/>
          <w:spacing w:val="5"/>
          <w:sz w:val="19"/>
        </w:rPr>
        <w:t xml:space="preserve"> </w:t>
      </w:r>
      <w:r>
        <w:rPr>
          <w:color w:val="636466"/>
          <w:sz w:val="19"/>
        </w:rPr>
        <w:t>a</w:t>
      </w:r>
      <w:r>
        <w:rPr>
          <w:color w:val="636466"/>
          <w:spacing w:val="5"/>
          <w:sz w:val="19"/>
        </w:rPr>
        <w:t xml:space="preserve"> </w:t>
      </w:r>
      <w:r>
        <w:rPr>
          <w:color w:val="636466"/>
          <w:sz w:val="19"/>
        </w:rPr>
        <w:t>wide</w:t>
      </w:r>
      <w:r>
        <w:rPr>
          <w:color w:val="636466"/>
          <w:spacing w:val="5"/>
          <w:sz w:val="19"/>
        </w:rPr>
        <w:t xml:space="preserve"> </w:t>
      </w:r>
      <w:r>
        <w:rPr>
          <w:color w:val="636466"/>
          <w:sz w:val="19"/>
        </w:rPr>
        <w:t>audience</w:t>
      </w:r>
      <w:r>
        <w:rPr>
          <w:color w:val="636466"/>
          <w:spacing w:val="5"/>
          <w:sz w:val="19"/>
        </w:rPr>
        <w:t xml:space="preserve"> </w:t>
      </w:r>
      <w:r>
        <w:rPr>
          <w:color w:val="636466"/>
          <w:sz w:val="19"/>
        </w:rPr>
        <w:t>in</w:t>
      </w:r>
      <w:r>
        <w:rPr>
          <w:color w:val="636466"/>
          <w:spacing w:val="5"/>
          <w:sz w:val="19"/>
        </w:rPr>
        <w:t xml:space="preserve"> </w:t>
      </w:r>
      <w:r>
        <w:rPr>
          <w:color w:val="636466"/>
          <w:sz w:val="19"/>
        </w:rPr>
        <w:t>the</w:t>
      </w:r>
      <w:r>
        <w:rPr>
          <w:color w:val="636466"/>
          <w:spacing w:val="5"/>
          <w:sz w:val="19"/>
        </w:rPr>
        <w:t xml:space="preserve"> </w:t>
      </w:r>
      <w:r>
        <w:rPr>
          <w:color w:val="636466"/>
          <w:sz w:val="19"/>
        </w:rPr>
        <w:t>health</w:t>
      </w:r>
      <w:r>
        <w:rPr>
          <w:color w:val="636466"/>
          <w:spacing w:val="5"/>
          <w:sz w:val="19"/>
        </w:rPr>
        <w:t xml:space="preserve"> </w:t>
      </w:r>
      <w:r>
        <w:rPr>
          <w:color w:val="636466"/>
          <w:sz w:val="19"/>
        </w:rPr>
        <w:t>industry.</w:t>
      </w:r>
    </w:p>
    <w:p w:rsidR="00D840DF" w:rsidRDefault="00961020" w:rsidP="005A527A">
      <w:pPr>
        <w:pStyle w:val="Heading4"/>
      </w:pPr>
      <w:r>
        <w:t>Source:</w:t>
      </w:r>
    </w:p>
    <w:p w:rsidR="00D840DF" w:rsidRDefault="00961020">
      <w:pPr>
        <w:pStyle w:val="ListParagraph"/>
        <w:numPr>
          <w:ilvl w:val="0"/>
          <w:numId w:val="23"/>
        </w:numPr>
        <w:tabs>
          <w:tab w:val="left" w:pos="339"/>
        </w:tabs>
        <w:spacing w:before="186"/>
        <w:ind w:left="338" w:hanging="226"/>
        <w:rPr>
          <w:sz w:val="19"/>
        </w:rPr>
      </w:pPr>
      <w:r>
        <w:rPr>
          <w:color w:val="636466"/>
          <w:spacing w:val="-8"/>
          <w:sz w:val="19"/>
        </w:rPr>
        <w:t>2016–17</w:t>
      </w:r>
      <w:r w:rsidR="00E314B6">
        <w:rPr>
          <w:color w:val="636466"/>
          <w:spacing w:val="-8"/>
          <w:sz w:val="19"/>
        </w:rPr>
        <w:t xml:space="preserve"> </w:t>
      </w:r>
      <w:r>
        <w:rPr>
          <w:color w:val="636466"/>
          <w:sz w:val="19"/>
        </w:rPr>
        <w:t>Corporate</w:t>
      </w:r>
      <w:r>
        <w:rPr>
          <w:color w:val="636466"/>
          <w:spacing w:val="-8"/>
          <w:sz w:val="19"/>
        </w:rPr>
        <w:t xml:space="preserve"> </w:t>
      </w:r>
      <w:r>
        <w:rPr>
          <w:color w:val="636466"/>
          <w:sz w:val="19"/>
        </w:rPr>
        <w:t>Plan</w:t>
      </w:r>
    </w:p>
    <w:p w:rsidR="00D840DF" w:rsidRPr="005A527A" w:rsidRDefault="00961020" w:rsidP="005A527A">
      <w:pPr>
        <w:pStyle w:val="ListParagraph"/>
        <w:numPr>
          <w:ilvl w:val="0"/>
          <w:numId w:val="23"/>
        </w:numPr>
        <w:tabs>
          <w:tab w:val="left" w:pos="339"/>
        </w:tabs>
        <w:ind w:left="338" w:hanging="226"/>
        <w:rPr>
          <w:sz w:val="19"/>
        </w:rPr>
      </w:pPr>
      <w:r>
        <w:rPr>
          <w:color w:val="636466"/>
          <w:spacing w:val="-8"/>
          <w:sz w:val="19"/>
        </w:rPr>
        <w:t xml:space="preserve">2016–17 </w:t>
      </w:r>
      <w:r>
        <w:rPr>
          <w:color w:val="636466"/>
          <w:sz w:val="19"/>
        </w:rPr>
        <w:t>Work</w:t>
      </w:r>
      <w:r>
        <w:rPr>
          <w:color w:val="636466"/>
          <w:spacing w:val="11"/>
          <w:sz w:val="19"/>
        </w:rPr>
        <w:t xml:space="preserve"> </w:t>
      </w:r>
      <w:r>
        <w:rPr>
          <w:color w:val="636466"/>
          <w:sz w:val="19"/>
        </w:rPr>
        <w:t>Program</w:t>
      </w:r>
    </w:p>
    <w:p w:rsidR="00D840DF" w:rsidRDefault="005A527A" w:rsidP="005A527A">
      <w:pPr>
        <w:pStyle w:val="Heading4"/>
      </w:pPr>
      <w:r>
        <w:t xml:space="preserve">Results </w:t>
      </w:r>
      <w:r w:rsidR="00961020">
        <w:t>against performance criteria:</w:t>
      </w:r>
    </w:p>
    <w:p w:rsidR="00D840DF" w:rsidRDefault="00961020">
      <w:pPr>
        <w:pStyle w:val="ListParagraph"/>
        <w:numPr>
          <w:ilvl w:val="0"/>
          <w:numId w:val="9"/>
        </w:numPr>
        <w:tabs>
          <w:tab w:val="left" w:pos="339"/>
        </w:tabs>
        <w:spacing w:before="186" w:line="256" w:lineRule="auto"/>
        <w:ind w:right="108" w:hanging="226"/>
        <w:rPr>
          <w:sz w:val="19"/>
        </w:rPr>
      </w:pPr>
      <w:r>
        <w:rPr>
          <w:color w:val="636466"/>
          <w:sz w:val="19"/>
        </w:rPr>
        <w:t xml:space="preserve">In </w:t>
      </w:r>
      <w:r>
        <w:rPr>
          <w:color w:val="636466"/>
          <w:spacing w:val="-8"/>
          <w:sz w:val="19"/>
        </w:rPr>
        <w:t xml:space="preserve">2016–17 </w:t>
      </w:r>
      <w:r>
        <w:rPr>
          <w:color w:val="636466"/>
          <w:sz w:val="19"/>
        </w:rPr>
        <w:t xml:space="preserve">IHPA maintained up to </w:t>
      </w:r>
      <w:r>
        <w:rPr>
          <w:color w:val="636466"/>
          <w:spacing w:val="-8"/>
          <w:sz w:val="19"/>
        </w:rPr>
        <w:t xml:space="preserve">17 </w:t>
      </w:r>
      <w:r>
        <w:rPr>
          <w:color w:val="636466"/>
          <w:sz w:val="19"/>
        </w:rPr>
        <w:t xml:space="preserve">committees and working groups to provide expert advice and to ensure the transparency and integrity of the </w:t>
      </w:r>
      <w:proofErr w:type="spellStart"/>
      <w:r>
        <w:rPr>
          <w:color w:val="636466"/>
          <w:sz w:val="19"/>
        </w:rPr>
        <w:t>organisation</w:t>
      </w:r>
      <w:proofErr w:type="spellEnd"/>
      <w:r>
        <w:rPr>
          <w:color w:val="636466"/>
          <w:sz w:val="19"/>
        </w:rPr>
        <w:t>. During the reporting period IHPA held</w:t>
      </w:r>
      <w:r>
        <w:rPr>
          <w:color w:val="636466"/>
          <w:spacing w:val="6"/>
          <w:sz w:val="19"/>
        </w:rPr>
        <w:t xml:space="preserve"> </w:t>
      </w:r>
      <w:r>
        <w:rPr>
          <w:color w:val="636466"/>
          <w:sz w:val="19"/>
        </w:rPr>
        <w:t>77</w:t>
      </w:r>
      <w:r>
        <w:rPr>
          <w:color w:val="636466"/>
          <w:spacing w:val="6"/>
          <w:sz w:val="19"/>
        </w:rPr>
        <w:t xml:space="preserve"> </w:t>
      </w:r>
      <w:r>
        <w:rPr>
          <w:color w:val="636466"/>
          <w:sz w:val="19"/>
        </w:rPr>
        <w:t>meetings</w:t>
      </w:r>
      <w:r>
        <w:rPr>
          <w:color w:val="636466"/>
          <w:spacing w:val="6"/>
          <w:sz w:val="19"/>
        </w:rPr>
        <w:t xml:space="preserve"> </w:t>
      </w:r>
      <w:r>
        <w:rPr>
          <w:color w:val="636466"/>
          <w:sz w:val="19"/>
        </w:rPr>
        <w:t>with</w:t>
      </w:r>
      <w:r>
        <w:rPr>
          <w:color w:val="636466"/>
          <w:spacing w:val="6"/>
          <w:sz w:val="19"/>
        </w:rPr>
        <w:t xml:space="preserve"> </w:t>
      </w:r>
      <w:r>
        <w:rPr>
          <w:color w:val="636466"/>
          <w:sz w:val="19"/>
        </w:rPr>
        <w:t>the</w:t>
      </w:r>
      <w:r>
        <w:rPr>
          <w:color w:val="636466"/>
          <w:spacing w:val="6"/>
          <w:sz w:val="19"/>
        </w:rPr>
        <w:t xml:space="preserve"> </w:t>
      </w:r>
      <w:r>
        <w:rPr>
          <w:color w:val="636466"/>
          <w:sz w:val="19"/>
        </w:rPr>
        <w:t>various</w:t>
      </w:r>
      <w:r>
        <w:rPr>
          <w:color w:val="636466"/>
          <w:spacing w:val="6"/>
          <w:sz w:val="19"/>
        </w:rPr>
        <w:t xml:space="preserve"> </w:t>
      </w:r>
      <w:r>
        <w:rPr>
          <w:color w:val="636466"/>
          <w:sz w:val="19"/>
        </w:rPr>
        <w:t>committees</w:t>
      </w:r>
      <w:r>
        <w:rPr>
          <w:color w:val="636466"/>
          <w:spacing w:val="6"/>
          <w:sz w:val="19"/>
        </w:rPr>
        <w:t xml:space="preserve"> </w:t>
      </w:r>
      <w:r>
        <w:rPr>
          <w:color w:val="636466"/>
          <w:sz w:val="19"/>
        </w:rPr>
        <w:t>and</w:t>
      </w:r>
      <w:r>
        <w:rPr>
          <w:color w:val="636466"/>
          <w:spacing w:val="6"/>
          <w:sz w:val="19"/>
        </w:rPr>
        <w:t xml:space="preserve"> </w:t>
      </w:r>
      <w:r>
        <w:rPr>
          <w:color w:val="636466"/>
          <w:sz w:val="19"/>
        </w:rPr>
        <w:t>working</w:t>
      </w:r>
      <w:r>
        <w:rPr>
          <w:color w:val="636466"/>
          <w:spacing w:val="6"/>
          <w:sz w:val="19"/>
        </w:rPr>
        <w:t xml:space="preserve"> </w:t>
      </w:r>
      <w:r>
        <w:rPr>
          <w:color w:val="636466"/>
          <w:sz w:val="19"/>
        </w:rPr>
        <w:t>groups.</w:t>
      </w:r>
    </w:p>
    <w:p w:rsidR="00D840DF" w:rsidRDefault="00961020">
      <w:pPr>
        <w:pStyle w:val="ListParagraph"/>
        <w:numPr>
          <w:ilvl w:val="0"/>
          <w:numId w:val="9"/>
        </w:numPr>
        <w:tabs>
          <w:tab w:val="left" w:pos="339"/>
        </w:tabs>
        <w:spacing w:before="113"/>
        <w:ind w:hanging="226"/>
        <w:rPr>
          <w:sz w:val="19"/>
        </w:rPr>
      </w:pPr>
      <w:r>
        <w:rPr>
          <w:color w:val="636466"/>
          <w:sz w:val="19"/>
        </w:rPr>
        <w:t xml:space="preserve">IHPA conducted three public consultation processes in </w:t>
      </w:r>
      <w:r>
        <w:rPr>
          <w:color w:val="636466"/>
          <w:spacing w:val="-10"/>
          <w:sz w:val="19"/>
        </w:rPr>
        <w:t>2016–17,</w:t>
      </w:r>
      <w:r w:rsidR="00E314B6">
        <w:rPr>
          <w:color w:val="636466"/>
          <w:spacing w:val="-10"/>
          <w:sz w:val="19"/>
        </w:rPr>
        <w:t xml:space="preserve"> </w:t>
      </w:r>
      <w:r>
        <w:rPr>
          <w:color w:val="636466"/>
          <w:sz w:val="19"/>
        </w:rPr>
        <w:t>each in accordance with</w:t>
      </w:r>
      <w:r w:rsidR="00E314B6">
        <w:rPr>
          <w:color w:val="636466"/>
          <w:sz w:val="19"/>
        </w:rPr>
        <w:t xml:space="preserve"> </w:t>
      </w:r>
      <w:r>
        <w:rPr>
          <w:color w:val="636466"/>
          <w:sz w:val="19"/>
        </w:rPr>
        <w:t>the</w:t>
      </w:r>
    </w:p>
    <w:p w:rsidR="00D840DF" w:rsidRDefault="00961020">
      <w:pPr>
        <w:spacing w:before="16"/>
        <w:ind w:left="338"/>
        <w:rPr>
          <w:sz w:val="19"/>
        </w:rPr>
      </w:pPr>
      <w:r>
        <w:rPr>
          <w:i/>
          <w:color w:val="636466"/>
          <w:sz w:val="19"/>
        </w:rPr>
        <w:t>National Health Reform Act 2011</w:t>
      </w:r>
      <w:r>
        <w:rPr>
          <w:color w:val="636466"/>
          <w:sz w:val="19"/>
        </w:rPr>
        <w:t>.</w:t>
      </w:r>
      <w:r w:rsidR="00E314B6">
        <w:rPr>
          <w:color w:val="636466"/>
          <w:sz w:val="19"/>
        </w:rPr>
        <w:t xml:space="preserve"> </w:t>
      </w:r>
      <w:r>
        <w:rPr>
          <w:color w:val="636466"/>
          <w:sz w:val="19"/>
        </w:rPr>
        <w:t>These included:</w:t>
      </w:r>
    </w:p>
    <w:p w:rsidR="00D840DF" w:rsidRDefault="00961020">
      <w:pPr>
        <w:pStyle w:val="ListParagraph"/>
        <w:numPr>
          <w:ilvl w:val="1"/>
          <w:numId w:val="9"/>
        </w:numPr>
        <w:tabs>
          <w:tab w:val="left" w:pos="566"/>
        </w:tabs>
        <w:rPr>
          <w:sz w:val="19"/>
        </w:rPr>
      </w:pPr>
      <w:r>
        <w:rPr>
          <w:i/>
          <w:color w:val="636466"/>
          <w:sz w:val="19"/>
        </w:rPr>
        <w:t xml:space="preserve">Pricing Framework for Australian Public Hospital Services </w:t>
      </w:r>
      <w:r>
        <w:rPr>
          <w:color w:val="636466"/>
          <w:spacing w:val="-11"/>
          <w:sz w:val="19"/>
        </w:rPr>
        <w:t>2017–18</w:t>
      </w:r>
      <w:r w:rsidR="00E314B6">
        <w:rPr>
          <w:color w:val="636466"/>
          <w:spacing w:val="-11"/>
          <w:sz w:val="19"/>
        </w:rPr>
        <w:t xml:space="preserve"> </w:t>
      </w:r>
      <w:r>
        <w:rPr>
          <w:color w:val="636466"/>
          <w:sz w:val="19"/>
        </w:rPr>
        <w:t>(October</w:t>
      </w:r>
      <w:r w:rsidR="00E314B6">
        <w:rPr>
          <w:color w:val="636466"/>
          <w:sz w:val="19"/>
        </w:rPr>
        <w:t xml:space="preserve"> </w:t>
      </w:r>
      <w:r>
        <w:rPr>
          <w:color w:val="636466"/>
          <w:spacing w:val="-6"/>
          <w:sz w:val="19"/>
        </w:rPr>
        <w:t>2017)</w:t>
      </w:r>
    </w:p>
    <w:p w:rsidR="00D840DF" w:rsidRDefault="00961020">
      <w:pPr>
        <w:pStyle w:val="ListParagraph"/>
        <w:numPr>
          <w:ilvl w:val="1"/>
          <w:numId w:val="9"/>
        </w:numPr>
        <w:tabs>
          <w:tab w:val="left" w:pos="566"/>
        </w:tabs>
        <w:rPr>
          <w:sz w:val="19"/>
        </w:rPr>
      </w:pPr>
      <w:r>
        <w:rPr>
          <w:color w:val="636466"/>
          <w:sz w:val="19"/>
        </w:rPr>
        <w:t>IHPA Work Program (June</w:t>
      </w:r>
      <w:r>
        <w:rPr>
          <w:color w:val="636466"/>
          <w:spacing w:val="5"/>
          <w:sz w:val="19"/>
        </w:rPr>
        <w:t xml:space="preserve"> </w:t>
      </w:r>
      <w:r>
        <w:rPr>
          <w:color w:val="636466"/>
          <w:spacing w:val="-6"/>
          <w:sz w:val="19"/>
        </w:rPr>
        <w:t>2017)</w:t>
      </w:r>
    </w:p>
    <w:p w:rsidR="00D840DF" w:rsidRDefault="00961020">
      <w:pPr>
        <w:pStyle w:val="ListParagraph"/>
        <w:numPr>
          <w:ilvl w:val="1"/>
          <w:numId w:val="9"/>
        </w:numPr>
        <w:tabs>
          <w:tab w:val="left" w:pos="566"/>
        </w:tabs>
        <w:rPr>
          <w:sz w:val="19"/>
        </w:rPr>
      </w:pPr>
      <w:r>
        <w:rPr>
          <w:color w:val="636466"/>
          <w:sz w:val="19"/>
        </w:rPr>
        <w:t>Public consultation on the new version of the Australian Refined-Diagnosis Related</w:t>
      </w:r>
      <w:r w:rsidR="00E314B6">
        <w:rPr>
          <w:color w:val="636466"/>
          <w:sz w:val="19"/>
        </w:rPr>
        <w:t xml:space="preserve"> </w:t>
      </w:r>
      <w:r>
        <w:rPr>
          <w:color w:val="636466"/>
          <w:sz w:val="19"/>
        </w:rPr>
        <w:t>groups</w:t>
      </w:r>
    </w:p>
    <w:p w:rsidR="00D840DF" w:rsidRPr="005A527A" w:rsidRDefault="00961020" w:rsidP="005A527A">
      <w:pPr>
        <w:pStyle w:val="BodyText"/>
        <w:spacing w:before="16" w:line="256" w:lineRule="auto"/>
        <w:ind w:left="565"/>
      </w:pPr>
      <w:r>
        <w:rPr>
          <w:color w:val="636466"/>
        </w:rPr>
        <w:t>(AR-DRG) Classification System, including ICD-10-AM/ACHI/ACS Tenth Edition and AR-DRG Version 9.0 (August 2016).</w:t>
      </w:r>
    </w:p>
    <w:p w:rsidR="00D840DF" w:rsidRDefault="00961020">
      <w:pPr>
        <w:pStyle w:val="ListParagraph"/>
        <w:numPr>
          <w:ilvl w:val="0"/>
          <w:numId w:val="8"/>
        </w:numPr>
        <w:tabs>
          <w:tab w:val="left" w:pos="339"/>
        </w:tabs>
        <w:spacing w:line="256" w:lineRule="auto"/>
        <w:ind w:right="373" w:hanging="226"/>
        <w:rPr>
          <w:sz w:val="19"/>
        </w:rPr>
      </w:pPr>
      <w:r>
        <w:rPr>
          <w:color w:val="636466"/>
          <w:sz w:val="19"/>
        </w:rPr>
        <w:t>All submissions received by IHPA were presented to the Pricing Authority for consideration and published on the IHPA</w:t>
      </w:r>
      <w:r>
        <w:rPr>
          <w:color w:val="636466"/>
          <w:spacing w:val="17"/>
          <w:sz w:val="19"/>
        </w:rPr>
        <w:t xml:space="preserve"> </w:t>
      </w:r>
      <w:r>
        <w:rPr>
          <w:color w:val="636466"/>
          <w:sz w:val="19"/>
        </w:rPr>
        <w:t>website.</w:t>
      </w:r>
    </w:p>
    <w:p w:rsidR="00D840DF" w:rsidRPr="005A527A" w:rsidRDefault="00961020" w:rsidP="005A527A">
      <w:pPr>
        <w:pStyle w:val="ListParagraph"/>
        <w:numPr>
          <w:ilvl w:val="0"/>
          <w:numId w:val="8"/>
        </w:numPr>
        <w:tabs>
          <w:tab w:val="left" w:pos="339"/>
        </w:tabs>
        <w:spacing w:before="112" w:line="256" w:lineRule="auto"/>
        <w:ind w:right="135" w:hanging="226"/>
        <w:rPr>
          <w:sz w:val="19"/>
        </w:rPr>
      </w:pPr>
      <w:r>
        <w:rPr>
          <w:color w:val="636466"/>
          <w:sz w:val="19"/>
        </w:rPr>
        <w:t>IHPA received 82 inbox enquiries during the reporting period. 85% were responded to within two weeks, and 42% of those were responded to on the day of</w:t>
      </w:r>
      <w:r>
        <w:rPr>
          <w:color w:val="636466"/>
          <w:spacing w:val="40"/>
          <w:sz w:val="19"/>
        </w:rPr>
        <w:t xml:space="preserve"> </w:t>
      </w:r>
      <w:r>
        <w:rPr>
          <w:color w:val="636466"/>
          <w:sz w:val="19"/>
        </w:rPr>
        <w:t>receipt.</w:t>
      </w:r>
    </w:p>
    <w:p w:rsidR="00D840DF" w:rsidRPr="005A527A" w:rsidRDefault="00961020" w:rsidP="005A527A">
      <w:pPr>
        <w:pStyle w:val="Heading4"/>
      </w:pPr>
      <w:bookmarkStart w:id="112" w:name="_Table_5:_Response"/>
      <w:bookmarkEnd w:id="112"/>
      <w:r>
        <w:t>Table 5: Response rate to enquiries 1 July 2016 – 30 June</w:t>
      </w:r>
      <w:r w:rsidR="00E314B6">
        <w:t xml:space="preserve"> </w:t>
      </w:r>
      <w:r>
        <w:t>2017</w:t>
      </w:r>
    </w:p>
    <w:tbl>
      <w:tblPr>
        <w:tblW w:w="0" w:type="auto"/>
        <w:tblInd w:w="112" w:type="dxa"/>
        <w:tblLayout w:type="fixed"/>
        <w:tblCellMar>
          <w:left w:w="0" w:type="dxa"/>
          <w:right w:w="0" w:type="dxa"/>
        </w:tblCellMar>
        <w:tblLook w:val="01E0" w:firstRow="1" w:lastRow="1" w:firstColumn="1" w:lastColumn="1" w:noHBand="0" w:noVBand="0"/>
      </w:tblPr>
      <w:tblGrid>
        <w:gridCol w:w="898"/>
        <w:gridCol w:w="916"/>
        <w:gridCol w:w="592"/>
        <w:gridCol w:w="598"/>
        <w:gridCol w:w="596"/>
      </w:tblGrid>
      <w:tr w:rsidR="00D840DF">
        <w:trPr>
          <w:trHeight w:val="660"/>
        </w:trPr>
        <w:tc>
          <w:tcPr>
            <w:tcW w:w="898" w:type="dxa"/>
            <w:tcBorders>
              <w:bottom w:val="single" w:sz="4" w:space="0" w:color="C7C8CA"/>
            </w:tcBorders>
            <w:shd w:val="clear" w:color="auto" w:fill="008F54"/>
          </w:tcPr>
          <w:p w:rsidR="00D840DF" w:rsidRDefault="00961020">
            <w:pPr>
              <w:pStyle w:val="TableParagraph"/>
              <w:spacing w:before="148" w:line="220" w:lineRule="auto"/>
              <w:ind w:left="113" w:right="118"/>
              <w:rPr>
                <w:rFonts w:ascii="Futura PT Demi"/>
                <w:sz w:val="17"/>
              </w:rPr>
            </w:pPr>
            <w:r>
              <w:rPr>
                <w:rFonts w:ascii="Futura PT Demi"/>
                <w:color w:val="FFFFFF"/>
                <w:sz w:val="17"/>
              </w:rPr>
              <w:t>Total Requests</w:t>
            </w:r>
          </w:p>
        </w:tc>
        <w:tc>
          <w:tcPr>
            <w:tcW w:w="916" w:type="dxa"/>
            <w:tcBorders>
              <w:bottom w:val="single" w:sz="4" w:space="0" w:color="C7C8CA"/>
            </w:tcBorders>
            <w:shd w:val="clear" w:color="auto" w:fill="008F54"/>
          </w:tcPr>
          <w:p w:rsidR="00D840DF" w:rsidRDefault="00961020">
            <w:pPr>
              <w:pStyle w:val="TableParagraph"/>
              <w:spacing w:before="48" w:line="220" w:lineRule="auto"/>
              <w:ind w:left="122" w:right="111"/>
              <w:rPr>
                <w:rFonts w:ascii="Futura PT Demi"/>
                <w:sz w:val="17"/>
              </w:rPr>
            </w:pPr>
            <w:r>
              <w:rPr>
                <w:rFonts w:ascii="Futura PT Demi"/>
                <w:color w:val="FFFFFF"/>
                <w:sz w:val="17"/>
              </w:rPr>
              <w:t>Same day response</w:t>
            </w:r>
          </w:p>
        </w:tc>
        <w:tc>
          <w:tcPr>
            <w:tcW w:w="592" w:type="dxa"/>
            <w:tcBorders>
              <w:bottom w:val="single" w:sz="4" w:space="0" w:color="C7C8CA"/>
            </w:tcBorders>
            <w:shd w:val="clear" w:color="auto" w:fill="008F54"/>
          </w:tcPr>
          <w:p w:rsidR="00D840DF" w:rsidRDefault="00961020">
            <w:pPr>
              <w:pStyle w:val="TableParagraph"/>
              <w:spacing w:before="131" w:line="209" w:lineRule="exact"/>
              <w:ind w:left="113"/>
              <w:rPr>
                <w:rFonts w:ascii="Futura PT Demi" w:hAnsi="Futura PT Demi"/>
                <w:sz w:val="17"/>
              </w:rPr>
            </w:pPr>
            <w:r>
              <w:rPr>
                <w:rFonts w:ascii="Futura PT Demi" w:hAnsi="Futura PT Demi"/>
                <w:color w:val="FFFFFF"/>
                <w:sz w:val="17"/>
              </w:rPr>
              <w:t>1–7</w:t>
            </w:r>
          </w:p>
          <w:p w:rsidR="00D840DF" w:rsidRDefault="00961020">
            <w:pPr>
              <w:pStyle w:val="TableParagraph"/>
              <w:spacing w:before="0" w:line="209" w:lineRule="exact"/>
              <w:ind w:left="113"/>
              <w:rPr>
                <w:rFonts w:ascii="Futura PT Demi"/>
                <w:sz w:val="17"/>
              </w:rPr>
            </w:pPr>
            <w:r>
              <w:rPr>
                <w:rFonts w:ascii="Futura PT Demi"/>
                <w:color w:val="FFFFFF"/>
                <w:sz w:val="17"/>
              </w:rPr>
              <w:t>days</w:t>
            </w:r>
          </w:p>
        </w:tc>
        <w:tc>
          <w:tcPr>
            <w:tcW w:w="598" w:type="dxa"/>
            <w:tcBorders>
              <w:bottom w:val="single" w:sz="4" w:space="0" w:color="C7C8CA"/>
            </w:tcBorders>
            <w:shd w:val="clear" w:color="auto" w:fill="008F54"/>
          </w:tcPr>
          <w:p w:rsidR="00D840DF" w:rsidRDefault="00961020">
            <w:pPr>
              <w:pStyle w:val="TableParagraph"/>
              <w:spacing w:before="131" w:line="209" w:lineRule="exact"/>
              <w:ind w:left="116"/>
              <w:rPr>
                <w:rFonts w:ascii="Futura PT Demi" w:hAnsi="Futura PT Demi"/>
                <w:sz w:val="17"/>
              </w:rPr>
            </w:pPr>
            <w:r>
              <w:rPr>
                <w:rFonts w:ascii="Futura PT Demi" w:hAnsi="Futura PT Demi"/>
                <w:color w:val="FFFFFF"/>
                <w:sz w:val="17"/>
              </w:rPr>
              <w:t>7–14</w:t>
            </w:r>
          </w:p>
          <w:p w:rsidR="00D840DF" w:rsidRDefault="00961020">
            <w:pPr>
              <w:pStyle w:val="TableParagraph"/>
              <w:spacing w:before="0" w:line="209" w:lineRule="exact"/>
              <w:ind w:left="116"/>
              <w:rPr>
                <w:rFonts w:ascii="Futura PT Demi"/>
                <w:sz w:val="17"/>
              </w:rPr>
            </w:pPr>
            <w:r>
              <w:rPr>
                <w:rFonts w:ascii="Futura PT Demi"/>
                <w:color w:val="FFFFFF"/>
                <w:sz w:val="17"/>
              </w:rPr>
              <w:t>days</w:t>
            </w:r>
          </w:p>
        </w:tc>
        <w:tc>
          <w:tcPr>
            <w:tcW w:w="596" w:type="dxa"/>
            <w:tcBorders>
              <w:bottom w:val="single" w:sz="4" w:space="0" w:color="C7C8CA"/>
            </w:tcBorders>
            <w:shd w:val="clear" w:color="auto" w:fill="008F54"/>
          </w:tcPr>
          <w:p w:rsidR="00D840DF" w:rsidRDefault="00961020">
            <w:pPr>
              <w:pStyle w:val="TableParagraph"/>
              <w:spacing w:before="131" w:line="209" w:lineRule="exact"/>
              <w:ind w:left="113"/>
              <w:rPr>
                <w:rFonts w:ascii="Futura PT Demi"/>
                <w:sz w:val="17"/>
              </w:rPr>
            </w:pPr>
            <w:r>
              <w:rPr>
                <w:rFonts w:ascii="Futura PT Demi"/>
                <w:color w:val="FFFFFF"/>
                <w:sz w:val="17"/>
              </w:rPr>
              <w:t>15+</w:t>
            </w:r>
          </w:p>
          <w:p w:rsidR="00D840DF" w:rsidRDefault="00961020">
            <w:pPr>
              <w:pStyle w:val="TableParagraph"/>
              <w:spacing w:before="0" w:line="209" w:lineRule="exact"/>
              <w:ind w:left="113"/>
              <w:rPr>
                <w:rFonts w:ascii="Futura PT Demi"/>
                <w:sz w:val="17"/>
              </w:rPr>
            </w:pPr>
            <w:r>
              <w:rPr>
                <w:rFonts w:ascii="Futura PT Demi"/>
                <w:color w:val="FFFFFF"/>
                <w:sz w:val="17"/>
              </w:rPr>
              <w:t>days</w:t>
            </w:r>
          </w:p>
        </w:tc>
      </w:tr>
      <w:tr w:rsidR="00D840DF">
        <w:trPr>
          <w:trHeight w:val="220"/>
        </w:trPr>
        <w:tc>
          <w:tcPr>
            <w:tcW w:w="898"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82</w:t>
            </w:r>
          </w:p>
        </w:tc>
        <w:tc>
          <w:tcPr>
            <w:tcW w:w="916" w:type="dxa"/>
            <w:tcBorders>
              <w:top w:val="single" w:sz="4" w:space="0" w:color="C7C8CA"/>
              <w:bottom w:val="single" w:sz="4" w:space="0" w:color="C7C8CA"/>
            </w:tcBorders>
          </w:tcPr>
          <w:p w:rsidR="00D840DF" w:rsidRDefault="00961020">
            <w:pPr>
              <w:pStyle w:val="TableParagraph"/>
              <w:spacing w:line="200" w:lineRule="exact"/>
              <w:ind w:left="122"/>
              <w:rPr>
                <w:sz w:val="16"/>
              </w:rPr>
            </w:pPr>
            <w:r>
              <w:rPr>
                <w:color w:val="636466"/>
                <w:sz w:val="16"/>
              </w:rPr>
              <w:t>28</w:t>
            </w:r>
          </w:p>
        </w:tc>
        <w:tc>
          <w:tcPr>
            <w:tcW w:w="592"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32</w:t>
            </w:r>
          </w:p>
        </w:tc>
        <w:tc>
          <w:tcPr>
            <w:tcW w:w="598" w:type="dxa"/>
            <w:tcBorders>
              <w:top w:val="single" w:sz="4" w:space="0" w:color="C7C8CA"/>
              <w:bottom w:val="single" w:sz="4" w:space="0" w:color="C7C8CA"/>
            </w:tcBorders>
          </w:tcPr>
          <w:p w:rsidR="00D840DF" w:rsidRDefault="00961020">
            <w:pPr>
              <w:pStyle w:val="TableParagraph"/>
              <w:spacing w:line="200" w:lineRule="exact"/>
              <w:ind w:left="116"/>
              <w:rPr>
                <w:sz w:val="16"/>
              </w:rPr>
            </w:pPr>
            <w:r>
              <w:rPr>
                <w:color w:val="636466"/>
                <w:sz w:val="16"/>
              </w:rPr>
              <w:t>17</w:t>
            </w:r>
          </w:p>
        </w:tc>
        <w:tc>
          <w:tcPr>
            <w:tcW w:w="596"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5</w:t>
            </w:r>
          </w:p>
        </w:tc>
      </w:tr>
    </w:tbl>
    <w:p w:rsidR="00D840DF" w:rsidRDefault="00D840DF">
      <w:pPr>
        <w:spacing w:line="200" w:lineRule="exact"/>
        <w:rPr>
          <w:sz w:val="16"/>
        </w:rPr>
        <w:sectPr w:rsidR="00D840DF">
          <w:pgSz w:w="9980" w:h="14180"/>
          <w:pgMar w:top="1320" w:right="1200" w:bottom="280" w:left="1020" w:header="720" w:footer="720" w:gutter="0"/>
          <w:cols w:space="720"/>
        </w:sectPr>
      </w:pPr>
    </w:p>
    <w:p w:rsidR="00D840DF" w:rsidRDefault="00961020" w:rsidP="005A527A">
      <w:pPr>
        <w:pStyle w:val="Heading2"/>
      </w:pPr>
      <w:bookmarkStart w:id="113" w:name="Analysis_"/>
      <w:bookmarkStart w:id="114" w:name="_bookmark31"/>
      <w:bookmarkStart w:id="115" w:name="_Toc496088499"/>
      <w:bookmarkEnd w:id="113"/>
      <w:bookmarkEnd w:id="114"/>
      <w:r>
        <w:lastRenderedPageBreak/>
        <w:t>Analysis</w:t>
      </w:r>
      <w:bookmarkEnd w:id="115"/>
    </w:p>
    <w:p w:rsidR="00D840DF" w:rsidRPr="005A527A" w:rsidRDefault="00961020" w:rsidP="005A527A">
      <w:pPr>
        <w:pStyle w:val="BodyText"/>
      </w:pPr>
      <w:r>
        <w:t>IHPA has had another very productive year, meeting its performance criteria as well as deliverables in the IHPA Work Program 2016–17.</w:t>
      </w:r>
    </w:p>
    <w:p w:rsidR="00D840DF" w:rsidRPr="005A527A" w:rsidRDefault="00961020" w:rsidP="005A527A">
      <w:pPr>
        <w:pStyle w:val="BodyText"/>
      </w:pPr>
      <w:r>
        <w:rPr>
          <w:color w:val="636466"/>
        </w:rPr>
        <w:t>A major focus this year has been the work towards pricing and funding for safety and quality. IHPA has been able to meet these challenges in a professional and timely manner, while continuing to achieve the criteria set out in its annual Work Program.</w:t>
      </w:r>
    </w:p>
    <w:p w:rsidR="00D840DF" w:rsidRPr="005A527A" w:rsidRDefault="00961020" w:rsidP="005A527A">
      <w:pPr>
        <w:pStyle w:val="BodyText"/>
      </w:pPr>
      <w:r>
        <w:t xml:space="preserve">The </w:t>
      </w:r>
      <w:r>
        <w:rPr>
          <w:i/>
        </w:rPr>
        <w:t xml:space="preserve">IHPA Work Program </w:t>
      </w:r>
      <w:r>
        <w:rPr>
          <w:i/>
          <w:spacing w:val="-7"/>
        </w:rPr>
        <w:t xml:space="preserve">2016–17 </w:t>
      </w:r>
      <w:r>
        <w:t xml:space="preserve">provides a more detailed set of goals and deliverables than those included in the Portfolio Budget Statements and </w:t>
      </w:r>
      <w:r>
        <w:rPr>
          <w:spacing w:val="-5"/>
        </w:rPr>
        <w:t xml:space="preserve">IHPA’s </w:t>
      </w:r>
      <w:r>
        <w:t xml:space="preserve">Corporate Plan. It is developed each year through a consultative process with government and health sector stakeholders and published on the IHPA website (see </w:t>
      </w:r>
      <w:hyperlink r:id="rId34">
        <w:r>
          <w:rPr>
            <w:color w:val="008F54"/>
            <w:u w:val="single" w:color="008F54"/>
          </w:rPr>
          <w:t>www.ihpa.gov.au/publications</w:t>
        </w:r>
      </w:hyperlink>
      <w:r>
        <w:t xml:space="preserve">). </w:t>
      </w:r>
      <w:r>
        <w:rPr>
          <w:spacing w:val="-4"/>
        </w:rPr>
        <w:t xml:space="preserve">To </w:t>
      </w:r>
      <w:r>
        <w:t xml:space="preserve">keep track of its Work Program deliverables, IHPA </w:t>
      </w:r>
      <w:r w:rsidRPr="005A527A">
        <w:t>produces a fortnightly ABF Project Status Report, which covers all Work Program deliverables</w:t>
      </w:r>
      <w:r w:rsidR="00E314B6">
        <w:t xml:space="preserve"> </w:t>
      </w:r>
      <w:r w:rsidRPr="005A527A">
        <w:t>up to and during that period. The Status Report for the period ending 1 July 2017</w:t>
      </w:r>
      <w:r w:rsidR="00E314B6">
        <w:t xml:space="preserve"> </w:t>
      </w:r>
      <w:r w:rsidRPr="005A527A">
        <w:t>indicated all relevant projects were completed, or on schedule.</w:t>
      </w:r>
    </w:p>
    <w:p w:rsidR="00D840DF" w:rsidRPr="005A527A" w:rsidRDefault="00961020" w:rsidP="005A527A">
      <w:pPr>
        <w:pStyle w:val="BodyText"/>
      </w:pPr>
      <w:r w:rsidRPr="005A527A">
        <w:t>The Australian Refined-Diagnosis Related Groups classification continues to be well-regarded within Australia and internationally and is currently licensed for use in 18</w:t>
      </w:r>
      <w:r w:rsidR="00E314B6">
        <w:t xml:space="preserve"> </w:t>
      </w:r>
      <w:r w:rsidRPr="005A527A">
        <w:t>countries around the</w:t>
      </w:r>
      <w:r w:rsidR="00E314B6">
        <w:t xml:space="preserve"> </w:t>
      </w:r>
      <w:r w:rsidRPr="005A527A">
        <w:t>world.</w:t>
      </w:r>
    </w:p>
    <w:p w:rsidR="00D840DF" w:rsidRPr="005A527A" w:rsidRDefault="00961020" w:rsidP="005A527A">
      <w:pPr>
        <w:pStyle w:val="BodyText"/>
      </w:pPr>
      <w:r w:rsidRPr="005A527A">
        <w:t>During the last financial year IHPA launched the national benchmarking portal enabling staff throughout the public hospital system to compare hospital-level cost and activity data across</w:t>
      </w:r>
      <w:r w:rsidR="00E314B6">
        <w:t xml:space="preserve"> </w:t>
      </w:r>
      <w:r w:rsidRPr="005A527A">
        <w:t>the country. This will also provide an important way to benchmark safety and quality measures going forward.</w:t>
      </w:r>
    </w:p>
    <w:p w:rsidR="00D840DF" w:rsidRPr="005A527A" w:rsidRDefault="00961020" w:rsidP="005A527A">
      <w:pPr>
        <w:pStyle w:val="BodyText"/>
      </w:pPr>
      <w:r w:rsidRPr="005A527A">
        <w:t>This year saw the successful design and implementation of a new highly secure, cloud-based data facility that will ensure IHPA remains at the forefront of data security and capability for many years</w:t>
      </w:r>
      <w:r w:rsidR="00E314B6">
        <w:t xml:space="preserve"> </w:t>
      </w:r>
      <w:r w:rsidRPr="005A527A">
        <w:t>to come. Going forward, this will reduce the work required by jurisdictions in submitting data to IHPA while ensuring high quality data is</w:t>
      </w:r>
      <w:r w:rsidR="00E314B6">
        <w:t xml:space="preserve"> </w:t>
      </w:r>
      <w:r w:rsidRPr="005A527A">
        <w:t>provided.</w:t>
      </w:r>
    </w:p>
    <w:p w:rsidR="00D840DF" w:rsidRDefault="00961020" w:rsidP="005A527A">
      <w:pPr>
        <w:pStyle w:val="BodyText"/>
      </w:pPr>
      <w:r w:rsidRPr="005A527A">
        <w:t>The National Efficient Price and National Efficient Cost Determinations for 2017–18 continue to demonstrate the benefits</w:t>
      </w:r>
      <w:r>
        <w:rPr>
          <w:color w:val="636466"/>
        </w:rPr>
        <w:t xml:space="preserve"> of Activity Based Funding in reducing costs (see p21).</w:t>
      </w:r>
    </w:p>
    <w:p w:rsidR="00D840DF" w:rsidRDefault="00D840DF">
      <w:pPr>
        <w:spacing w:line="256" w:lineRule="auto"/>
        <w:sectPr w:rsidR="00D840DF">
          <w:pgSz w:w="9980" w:h="14180"/>
          <w:pgMar w:top="1320" w:right="1060" w:bottom="280" w:left="1200" w:header="720" w:footer="720" w:gutter="0"/>
          <w:cols w:space="720"/>
        </w:sectPr>
      </w:pPr>
    </w:p>
    <w:p w:rsidR="00D840DF" w:rsidRDefault="005A527A" w:rsidP="005A527A">
      <w:pPr>
        <w:pStyle w:val="Heading1"/>
      </w:pPr>
      <w:bookmarkStart w:id="116" w:name="ANAO_report"/>
      <w:bookmarkStart w:id="117" w:name="_bookmark32"/>
      <w:bookmarkStart w:id="118" w:name="_Toc496088500"/>
      <w:bookmarkEnd w:id="116"/>
      <w:bookmarkEnd w:id="117"/>
      <w:r>
        <w:lastRenderedPageBreak/>
        <w:t xml:space="preserve">07 </w:t>
      </w:r>
      <w:r w:rsidR="00961020">
        <w:t xml:space="preserve">Financial </w:t>
      </w:r>
      <w:r w:rsidR="00961020">
        <w:rPr>
          <w:spacing w:val="-1"/>
        </w:rPr>
        <w:t>management</w:t>
      </w:r>
      <w:bookmarkEnd w:id="118"/>
    </w:p>
    <w:p w:rsidR="005A527A" w:rsidRPr="005A527A" w:rsidRDefault="00E14BA1" w:rsidP="005A527A">
      <w:pPr>
        <w:pStyle w:val="Heading2"/>
        <w:sectPr w:rsidR="005A527A" w:rsidRPr="005A527A">
          <w:pgSz w:w="9980" w:h="14180"/>
          <w:pgMar w:top="1320" w:right="1380" w:bottom="280" w:left="1180" w:header="720" w:footer="720" w:gutter="0"/>
          <w:cols w:space="720"/>
        </w:sectPr>
      </w:pPr>
      <w:bookmarkStart w:id="119" w:name="_Toc496088501"/>
      <w:r>
        <w:rPr>
          <w:noProof/>
        </w:rPr>
        <w:drawing>
          <wp:anchor distT="0" distB="0" distL="114300" distR="114300" simplePos="0" relativeHeight="251701760" behindDoc="1" locked="0" layoutInCell="1" allowOverlap="1">
            <wp:simplePos x="0" y="0"/>
            <wp:positionH relativeFrom="column">
              <wp:posOffset>3175</wp:posOffset>
            </wp:positionH>
            <wp:positionV relativeFrom="paragraph">
              <wp:posOffset>474345</wp:posOffset>
            </wp:positionV>
            <wp:extent cx="3916680" cy="5539740"/>
            <wp:effectExtent l="0" t="0" r="7620" b="3810"/>
            <wp:wrapTight wrapText="bothSides">
              <wp:wrapPolygon edited="0">
                <wp:start x="0" y="0"/>
                <wp:lineTo x="0" y="21541"/>
                <wp:lineTo x="21537" y="21541"/>
                <wp:lineTo x="21537" y="0"/>
                <wp:lineTo x="0" y="0"/>
              </wp:wrapPolygon>
            </wp:wrapTight>
            <wp:docPr id="182" name="Picture 14" descr="ANAO letter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AO letter part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6680" cy="553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20">
        <w:t>ANAO report</w:t>
      </w:r>
      <w:bookmarkEnd w:id="119"/>
    </w:p>
    <w:p w:rsidR="00D840DF" w:rsidRPr="005A527A" w:rsidRDefault="00E14BA1" w:rsidP="005A527A">
      <w:pPr>
        <w:pStyle w:val="BodyText"/>
        <w:rPr>
          <w:rFonts w:ascii="Times New Roman"/>
          <w:sz w:val="20"/>
        </w:rPr>
      </w:pPr>
      <w:r>
        <w:rPr>
          <w:noProof/>
        </w:rPr>
        <w:lastRenderedPageBreak/>
        <w:drawing>
          <wp:anchor distT="0" distB="0" distL="114300" distR="114300" simplePos="0" relativeHeight="251714048" behindDoc="0" locked="0" layoutInCell="1" allowOverlap="1">
            <wp:simplePos x="0" y="0"/>
            <wp:positionH relativeFrom="column">
              <wp:posOffset>0</wp:posOffset>
            </wp:positionH>
            <wp:positionV relativeFrom="paragraph">
              <wp:posOffset>0</wp:posOffset>
            </wp:positionV>
            <wp:extent cx="4067810" cy="5753100"/>
            <wp:effectExtent l="0" t="0" r="8890" b="0"/>
            <wp:wrapTopAndBottom/>
            <wp:docPr id="181" name="Picture 16" descr="ANAO letter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AO letter part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7810" cy="575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527A" w:rsidRPr="00F706F7" w:rsidRDefault="005A527A">
      <w:pPr>
        <w:rPr>
          <w:rFonts w:ascii="Futura PT Demi" w:eastAsia="Futura PT Bold" w:hAnsi="Futura PT Demi" w:cs="Futura PT Bold"/>
          <w:b/>
          <w:bCs/>
          <w:color w:val="595959"/>
          <w:sz w:val="20"/>
          <w:szCs w:val="20"/>
        </w:rPr>
      </w:pPr>
      <w:bookmarkStart w:id="120" w:name="Financial_statements_"/>
      <w:bookmarkStart w:id="121" w:name="_bookmark33"/>
      <w:bookmarkEnd w:id="120"/>
      <w:bookmarkEnd w:id="121"/>
      <w:r>
        <w:br w:type="page"/>
      </w:r>
    </w:p>
    <w:p w:rsidR="00D840DF" w:rsidRDefault="00961020" w:rsidP="005A527A">
      <w:pPr>
        <w:pStyle w:val="Heading2"/>
      </w:pPr>
      <w:bookmarkStart w:id="122" w:name="_Toc496088502"/>
      <w:r>
        <w:lastRenderedPageBreak/>
        <w:t>Financial statements</w:t>
      </w:r>
      <w:bookmarkEnd w:id="122"/>
    </w:p>
    <w:p w:rsidR="00D840DF" w:rsidRPr="00F0490B" w:rsidRDefault="009341A6" w:rsidP="00B05462">
      <w:pPr>
        <w:tabs>
          <w:tab w:val="right" w:pos="7597"/>
        </w:tabs>
        <w:spacing w:after="120"/>
        <w:rPr>
          <w:rStyle w:val="Hyperlink"/>
          <w:rFonts w:ascii="Futura PT Bold"/>
          <w:b/>
          <w:color w:val="7EC352"/>
          <w:u w:val="none"/>
        </w:rPr>
      </w:pPr>
      <w:r w:rsidRPr="00F0490B">
        <w:rPr>
          <w:rFonts w:ascii="Futura PT Bold"/>
          <w:b/>
          <w:color w:val="7EC352"/>
        </w:rPr>
        <w:fldChar w:fldCharType="begin"/>
      </w:r>
      <w:r w:rsidRPr="00F0490B">
        <w:rPr>
          <w:rFonts w:ascii="Futura PT Bold"/>
          <w:b/>
          <w:color w:val="7EC352"/>
        </w:rPr>
        <w:instrText xml:space="preserve"> HYPERLINK  \l "_Primary_Financial_Statement" </w:instrText>
      </w:r>
      <w:r w:rsidRPr="00F0490B">
        <w:rPr>
          <w:rFonts w:ascii="Futura PT Bold"/>
          <w:b/>
          <w:color w:val="7EC352"/>
        </w:rPr>
      </w:r>
      <w:r w:rsidRPr="00F0490B">
        <w:rPr>
          <w:rFonts w:ascii="Futura PT Bold"/>
          <w:b/>
          <w:color w:val="7EC352"/>
        </w:rPr>
        <w:fldChar w:fldCharType="separate"/>
      </w:r>
      <w:r w:rsidR="00961020" w:rsidRPr="00F0490B">
        <w:rPr>
          <w:rStyle w:val="Hyperlink"/>
          <w:rFonts w:ascii="Futura PT Bold"/>
          <w:b/>
          <w:color w:val="7EC352"/>
          <w:u w:val="none"/>
        </w:rPr>
        <w:t>Primary Financial Statement</w:t>
      </w:r>
      <w:r w:rsidR="00961020" w:rsidRPr="00F0490B">
        <w:rPr>
          <w:rStyle w:val="Hyperlink"/>
          <w:rFonts w:ascii="Futura PT Bold"/>
          <w:b/>
          <w:color w:val="7EC352"/>
          <w:u w:val="none"/>
        </w:rPr>
        <w:tab/>
      </w:r>
      <w:r w:rsidR="00B05462" w:rsidRPr="00F0490B">
        <w:rPr>
          <w:rStyle w:val="Hyperlink"/>
          <w:rFonts w:ascii="Futura PT Bold"/>
          <w:b/>
          <w:color w:val="7EC352"/>
          <w:spacing w:val="1"/>
          <w:u w:val="none"/>
        </w:rPr>
        <w:t>48</w:t>
      </w:r>
    </w:p>
    <w:p w:rsidR="00D840DF" w:rsidRPr="00F0490B" w:rsidRDefault="009341A6" w:rsidP="00B05462">
      <w:pPr>
        <w:pStyle w:val="BodyText"/>
        <w:tabs>
          <w:tab w:val="right" w:pos="7597"/>
        </w:tabs>
        <w:spacing w:after="120"/>
        <w:rPr>
          <w:rStyle w:val="Hyperlink"/>
          <w:color w:val="808080" w:themeColor="background1" w:themeShade="80"/>
          <w:u w:val="none"/>
        </w:rPr>
      </w:pPr>
      <w:r w:rsidRPr="00F0490B">
        <w:rPr>
          <w:rFonts w:ascii="Futura PT Bold"/>
          <w:b/>
          <w:color w:val="7EC352"/>
          <w:sz w:val="22"/>
          <w:szCs w:val="22"/>
        </w:rPr>
        <w:fldChar w:fldCharType="end"/>
      </w:r>
      <w:r w:rsidR="00AE3A08" w:rsidRPr="00F0490B">
        <w:rPr>
          <w:color w:val="808080" w:themeColor="background1" w:themeShade="80"/>
        </w:rPr>
        <w:fldChar w:fldCharType="begin"/>
      </w:r>
      <w:r w:rsidR="00AE3A08" w:rsidRPr="00F0490B">
        <w:rPr>
          <w:color w:val="808080" w:themeColor="background1" w:themeShade="80"/>
        </w:rPr>
        <w:instrText xml:space="preserve"> HYPERLINK  \l "_Statement_of_Comprehensive" </w:instrText>
      </w:r>
      <w:r w:rsidR="00AE3A08" w:rsidRPr="00F0490B">
        <w:rPr>
          <w:color w:val="808080" w:themeColor="background1" w:themeShade="80"/>
        </w:rPr>
      </w:r>
      <w:r w:rsidR="00AE3A08" w:rsidRPr="00F0490B">
        <w:rPr>
          <w:color w:val="808080" w:themeColor="background1" w:themeShade="80"/>
        </w:rPr>
        <w:fldChar w:fldCharType="separate"/>
      </w:r>
      <w:r w:rsidR="00961020" w:rsidRPr="00F0490B">
        <w:rPr>
          <w:rStyle w:val="Hyperlink"/>
          <w:color w:val="808080" w:themeColor="background1" w:themeShade="80"/>
          <w:u w:val="none"/>
        </w:rPr>
        <w:t>Statement of</w:t>
      </w:r>
      <w:r w:rsidR="00961020" w:rsidRPr="00F0490B">
        <w:rPr>
          <w:rStyle w:val="Hyperlink"/>
          <w:color w:val="808080" w:themeColor="background1" w:themeShade="80"/>
          <w:spacing w:val="-1"/>
          <w:u w:val="none"/>
        </w:rPr>
        <w:t xml:space="preserve"> </w:t>
      </w:r>
      <w:r w:rsidR="00961020" w:rsidRPr="00F0490B">
        <w:rPr>
          <w:rStyle w:val="Hyperlink"/>
          <w:color w:val="808080" w:themeColor="background1" w:themeShade="80"/>
          <w:u w:val="none"/>
        </w:rPr>
        <w:t>Comprehensive</w:t>
      </w:r>
      <w:r w:rsidR="00961020" w:rsidRPr="00F0490B">
        <w:rPr>
          <w:rStyle w:val="Hyperlink"/>
          <w:color w:val="808080" w:themeColor="background1" w:themeShade="80"/>
          <w:spacing w:val="-1"/>
          <w:u w:val="none"/>
        </w:rPr>
        <w:t xml:space="preserve"> </w:t>
      </w:r>
      <w:r w:rsidR="00961020" w:rsidRPr="00F0490B">
        <w:rPr>
          <w:rStyle w:val="Hyperlink"/>
          <w:color w:val="808080" w:themeColor="background1" w:themeShade="80"/>
          <w:u w:val="none"/>
        </w:rPr>
        <w:t>Income</w:t>
      </w:r>
      <w:r w:rsidR="00961020" w:rsidRPr="00F0490B">
        <w:rPr>
          <w:rStyle w:val="Hyperlink"/>
          <w:color w:val="808080" w:themeColor="background1" w:themeShade="80"/>
          <w:u w:val="none"/>
        </w:rPr>
        <w:tab/>
      </w:r>
      <w:r w:rsidR="00B05462" w:rsidRPr="00F0490B">
        <w:rPr>
          <w:rStyle w:val="Hyperlink"/>
          <w:color w:val="808080" w:themeColor="background1" w:themeShade="80"/>
          <w:u w:val="none"/>
        </w:rPr>
        <w:t>48</w:t>
      </w:r>
    </w:p>
    <w:p w:rsidR="00D840DF" w:rsidRPr="00F0490B" w:rsidRDefault="00AE3A08" w:rsidP="00B05462">
      <w:pPr>
        <w:pStyle w:val="BodyText"/>
        <w:tabs>
          <w:tab w:val="right" w:pos="7597"/>
        </w:tabs>
        <w:spacing w:after="120"/>
        <w:rPr>
          <w:rStyle w:val="Hyperlink"/>
          <w:color w:val="808080" w:themeColor="background1" w:themeShade="80"/>
          <w:u w:val="none"/>
        </w:rPr>
      </w:pPr>
      <w:r w:rsidRPr="00F0490B">
        <w:rPr>
          <w:color w:val="808080" w:themeColor="background1" w:themeShade="80"/>
        </w:rPr>
        <w:fldChar w:fldCharType="end"/>
      </w:r>
      <w:r w:rsidRPr="00F0490B">
        <w:rPr>
          <w:color w:val="808080" w:themeColor="background1" w:themeShade="80"/>
        </w:rPr>
        <w:fldChar w:fldCharType="begin"/>
      </w:r>
      <w:r w:rsidRPr="00F0490B">
        <w:rPr>
          <w:color w:val="808080" w:themeColor="background1" w:themeShade="80"/>
        </w:rPr>
        <w:instrText xml:space="preserve"> HYPERLINK  \l "_Statement_of_financial"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Statement of</w:t>
      </w:r>
      <w:r w:rsidR="00961020" w:rsidRPr="00F0490B">
        <w:rPr>
          <w:rStyle w:val="Hyperlink"/>
          <w:color w:val="808080" w:themeColor="background1" w:themeShade="80"/>
          <w:spacing w:val="-1"/>
          <w:u w:val="none"/>
        </w:rPr>
        <w:t xml:space="preserve"> </w:t>
      </w:r>
      <w:r w:rsidR="00961020" w:rsidRPr="00F0490B">
        <w:rPr>
          <w:rStyle w:val="Hyperlink"/>
          <w:color w:val="808080" w:themeColor="background1" w:themeShade="80"/>
          <w:u w:val="none"/>
        </w:rPr>
        <w:t>financial position</w:t>
      </w:r>
      <w:r w:rsidR="00961020" w:rsidRPr="00F0490B">
        <w:rPr>
          <w:rStyle w:val="Hyperlink"/>
          <w:color w:val="808080" w:themeColor="background1" w:themeShade="80"/>
          <w:u w:val="none"/>
        </w:rPr>
        <w:tab/>
      </w:r>
      <w:r w:rsidR="00B05462" w:rsidRPr="00F0490B">
        <w:rPr>
          <w:rStyle w:val="Hyperlink"/>
          <w:color w:val="808080" w:themeColor="background1" w:themeShade="80"/>
          <w:spacing w:val="-8"/>
          <w:u w:val="none"/>
        </w:rPr>
        <w:t>49</w:t>
      </w:r>
    </w:p>
    <w:p w:rsidR="00D840DF" w:rsidRPr="00F0490B" w:rsidRDefault="00AE3A08" w:rsidP="00B05462">
      <w:pPr>
        <w:pStyle w:val="BodyText"/>
        <w:tabs>
          <w:tab w:val="right" w:pos="7597"/>
        </w:tabs>
        <w:spacing w:after="120"/>
        <w:rPr>
          <w:rStyle w:val="Hyperlink"/>
          <w:color w:val="808080" w:themeColor="background1" w:themeShade="80"/>
          <w:u w:val="none"/>
        </w:rPr>
      </w:pPr>
      <w:r w:rsidRPr="00F0490B">
        <w:rPr>
          <w:color w:val="808080" w:themeColor="background1" w:themeShade="80"/>
        </w:rPr>
        <w:fldChar w:fldCharType="end"/>
      </w:r>
      <w:r w:rsidRPr="00F0490B">
        <w:rPr>
          <w:color w:val="808080" w:themeColor="background1" w:themeShade="80"/>
        </w:rPr>
        <w:fldChar w:fldCharType="begin"/>
      </w:r>
      <w:r w:rsidRPr="00F0490B">
        <w:rPr>
          <w:color w:val="808080" w:themeColor="background1" w:themeShade="80"/>
        </w:rPr>
        <w:instrText xml:space="preserve"> HYPERLINK  \l "_Statement_of_changes"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Statement of changes in equity</w:t>
      </w:r>
      <w:r w:rsidR="00961020" w:rsidRPr="00F0490B">
        <w:rPr>
          <w:rStyle w:val="Hyperlink"/>
          <w:color w:val="808080" w:themeColor="background1" w:themeShade="80"/>
          <w:u w:val="none"/>
        </w:rPr>
        <w:tab/>
      </w:r>
      <w:r w:rsidR="00B05462" w:rsidRPr="00F0490B">
        <w:rPr>
          <w:rStyle w:val="Hyperlink"/>
          <w:color w:val="808080" w:themeColor="background1" w:themeShade="80"/>
          <w:u w:val="none"/>
        </w:rPr>
        <w:t>50</w:t>
      </w:r>
    </w:p>
    <w:p w:rsidR="00D840DF" w:rsidRPr="00F0490B" w:rsidRDefault="00AE3A08" w:rsidP="00B05462">
      <w:pPr>
        <w:pStyle w:val="BodyText"/>
        <w:tabs>
          <w:tab w:val="right" w:pos="7597"/>
        </w:tabs>
        <w:spacing w:after="120"/>
        <w:rPr>
          <w:rStyle w:val="Hyperlink"/>
          <w:color w:val="808080" w:themeColor="background1" w:themeShade="80"/>
          <w:u w:val="none"/>
        </w:rPr>
      </w:pPr>
      <w:r w:rsidRPr="00F0490B">
        <w:rPr>
          <w:color w:val="808080" w:themeColor="background1" w:themeShade="80"/>
        </w:rPr>
        <w:fldChar w:fldCharType="end"/>
      </w:r>
      <w:r w:rsidRPr="00F0490B">
        <w:rPr>
          <w:color w:val="808080" w:themeColor="background1" w:themeShade="80"/>
        </w:rPr>
        <w:fldChar w:fldCharType="begin"/>
      </w:r>
      <w:r w:rsidRPr="00F0490B">
        <w:rPr>
          <w:color w:val="808080" w:themeColor="background1" w:themeShade="80"/>
        </w:rPr>
        <w:instrText xml:space="preserve"> HYPERLINK  \l "_Cash_Flow_Statement"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Cash Flow Statement</w:t>
      </w:r>
      <w:r w:rsidR="00961020" w:rsidRPr="00F0490B">
        <w:rPr>
          <w:rStyle w:val="Hyperlink"/>
          <w:color w:val="808080" w:themeColor="background1" w:themeShade="80"/>
          <w:u w:val="none"/>
        </w:rPr>
        <w:tab/>
      </w:r>
      <w:r w:rsidR="00B05462" w:rsidRPr="00F0490B">
        <w:rPr>
          <w:rStyle w:val="Hyperlink"/>
          <w:color w:val="808080" w:themeColor="background1" w:themeShade="80"/>
          <w:u w:val="none"/>
        </w:rPr>
        <w:t>53</w:t>
      </w:r>
    </w:p>
    <w:p w:rsidR="00D840DF" w:rsidRPr="00F0490B" w:rsidRDefault="00AE3A08" w:rsidP="00B05462">
      <w:pPr>
        <w:tabs>
          <w:tab w:val="right" w:pos="7597"/>
        </w:tabs>
        <w:spacing w:after="120"/>
        <w:rPr>
          <w:rStyle w:val="Hyperlink"/>
          <w:rFonts w:ascii="Futura PT Bold"/>
          <w:b/>
          <w:color w:val="7EC352"/>
          <w:u w:val="none"/>
        </w:rPr>
      </w:pPr>
      <w:r w:rsidRPr="00F0490B">
        <w:rPr>
          <w:color w:val="808080" w:themeColor="background1" w:themeShade="80"/>
          <w:sz w:val="19"/>
          <w:szCs w:val="19"/>
        </w:rPr>
        <w:fldChar w:fldCharType="end"/>
      </w:r>
      <w:r w:rsidRPr="00F0490B">
        <w:rPr>
          <w:rFonts w:ascii="Futura PT Bold"/>
          <w:b/>
          <w:color w:val="7EC352"/>
        </w:rPr>
        <w:fldChar w:fldCharType="begin"/>
      </w:r>
      <w:r w:rsidRPr="00F0490B">
        <w:rPr>
          <w:rFonts w:ascii="Futura PT Bold"/>
          <w:b/>
          <w:color w:val="7EC352"/>
        </w:rPr>
        <w:instrText xml:space="preserve"> HYPERLINK  \l "_Overview" </w:instrText>
      </w:r>
      <w:r w:rsidRPr="00F0490B">
        <w:rPr>
          <w:rFonts w:ascii="Futura PT Bold"/>
          <w:b/>
          <w:color w:val="7EC352"/>
        </w:rPr>
      </w:r>
      <w:r w:rsidRPr="00F0490B">
        <w:rPr>
          <w:rFonts w:ascii="Futura PT Bold"/>
          <w:b/>
          <w:color w:val="7EC352"/>
        </w:rPr>
        <w:fldChar w:fldCharType="separate"/>
      </w:r>
      <w:r w:rsidR="00961020" w:rsidRPr="00F0490B">
        <w:rPr>
          <w:rStyle w:val="Hyperlink"/>
          <w:rFonts w:ascii="Futura PT Bold"/>
          <w:b/>
          <w:color w:val="7EC352"/>
          <w:u w:val="none"/>
        </w:rPr>
        <w:t>Overview</w:t>
      </w:r>
      <w:r w:rsidR="00961020" w:rsidRPr="00F0490B">
        <w:rPr>
          <w:rStyle w:val="Hyperlink"/>
          <w:rFonts w:ascii="Futura PT Bold"/>
          <w:b/>
          <w:color w:val="7EC352"/>
          <w:u w:val="none"/>
        </w:rPr>
        <w:tab/>
      </w:r>
      <w:r w:rsidR="00B05462" w:rsidRPr="00F0490B">
        <w:rPr>
          <w:rStyle w:val="Hyperlink"/>
          <w:rFonts w:ascii="Futura PT Bold"/>
          <w:b/>
          <w:color w:val="7EC352"/>
          <w:spacing w:val="1"/>
          <w:u w:val="none"/>
        </w:rPr>
        <w:t>54</w:t>
      </w:r>
    </w:p>
    <w:p w:rsidR="00D840DF" w:rsidRPr="00F0490B" w:rsidRDefault="00AE3A08" w:rsidP="00B05462">
      <w:pPr>
        <w:tabs>
          <w:tab w:val="right" w:pos="7596"/>
        </w:tabs>
        <w:spacing w:after="120"/>
        <w:rPr>
          <w:rStyle w:val="Hyperlink"/>
          <w:rFonts w:ascii="Futura PT Bold"/>
          <w:b/>
          <w:color w:val="7EC352"/>
          <w:u w:val="none"/>
        </w:rPr>
      </w:pPr>
      <w:r w:rsidRPr="00F0490B">
        <w:rPr>
          <w:rFonts w:ascii="Futura PT Bold"/>
          <w:b/>
          <w:color w:val="7EC352"/>
        </w:rPr>
        <w:fldChar w:fldCharType="end"/>
      </w:r>
      <w:r w:rsidRPr="00F0490B">
        <w:rPr>
          <w:rFonts w:ascii="Futura PT Bold"/>
          <w:b/>
          <w:color w:val="7EC352"/>
        </w:rPr>
        <w:fldChar w:fldCharType="begin"/>
      </w:r>
      <w:r w:rsidR="00F0490B" w:rsidRPr="00F0490B">
        <w:rPr>
          <w:rFonts w:ascii="Futura PT Bold"/>
          <w:b/>
          <w:color w:val="7EC352"/>
        </w:rPr>
        <w:instrText>HYPERLINK  \l "_Notes_to_the"</w:instrText>
      </w:r>
      <w:r w:rsidR="00F0490B" w:rsidRPr="00F0490B">
        <w:rPr>
          <w:rFonts w:ascii="Futura PT Bold"/>
          <w:b/>
          <w:color w:val="7EC352"/>
        </w:rPr>
      </w:r>
      <w:r w:rsidRPr="00F0490B">
        <w:rPr>
          <w:rFonts w:ascii="Futura PT Bold"/>
          <w:b/>
          <w:color w:val="7EC352"/>
        </w:rPr>
        <w:fldChar w:fldCharType="separate"/>
      </w:r>
      <w:r w:rsidR="00961020" w:rsidRPr="00F0490B">
        <w:rPr>
          <w:rStyle w:val="Hyperlink"/>
          <w:rFonts w:ascii="Futura PT Bold"/>
          <w:b/>
          <w:color w:val="7EC352"/>
          <w:u w:val="none"/>
        </w:rPr>
        <w:t>Notes to the Financial Statements</w:t>
      </w:r>
      <w:r w:rsidR="00961020" w:rsidRPr="00F0490B">
        <w:rPr>
          <w:rStyle w:val="Hyperlink"/>
          <w:rFonts w:ascii="Futura PT Bold"/>
          <w:b/>
          <w:color w:val="7EC352"/>
          <w:u w:val="none"/>
        </w:rPr>
        <w:tab/>
      </w:r>
      <w:r w:rsidR="00B05462" w:rsidRPr="00F0490B">
        <w:rPr>
          <w:rStyle w:val="Hyperlink"/>
          <w:rFonts w:ascii="Futura PT Bold"/>
          <w:b/>
          <w:color w:val="7EC352"/>
          <w:u w:val="none"/>
        </w:rPr>
        <w:t>57</w:t>
      </w:r>
    </w:p>
    <w:p w:rsidR="00D840DF" w:rsidRPr="00F0490B" w:rsidRDefault="00AE3A08" w:rsidP="00B05462">
      <w:pPr>
        <w:pStyle w:val="BodyText"/>
        <w:tabs>
          <w:tab w:val="right" w:pos="7597"/>
        </w:tabs>
        <w:spacing w:after="120"/>
        <w:rPr>
          <w:rStyle w:val="Hyperlink"/>
          <w:rFonts w:ascii="Futura PT Demi"/>
          <w:color w:val="003E2D"/>
          <w:u w:val="none"/>
        </w:rPr>
      </w:pPr>
      <w:r w:rsidRPr="00F0490B">
        <w:rPr>
          <w:rFonts w:ascii="Futura PT Bold"/>
          <w:b/>
          <w:color w:val="7EC352"/>
          <w:sz w:val="22"/>
          <w:szCs w:val="22"/>
        </w:rPr>
        <w:fldChar w:fldCharType="end"/>
      </w:r>
      <w:r w:rsidR="00F0490B" w:rsidRPr="00F0490B">
        <w:rPr>
          <w:rFonts w:ascii="Futura PT Demi"/>
          <w:color w:val="003E2D"/>
        </w:rPr>
        <w:fldChar w:fldCharType="begin"/>
      </w:r>
      <w:r w:rsidR="00F0490B" w:rsidRPr="00F0490B">
        <w:rPr>
          <w:rFonts w:ascii="Futura PT Demi"/>
          <w:color w:val="003E2D"/>
        </w:rPr>
        <w:instrText xml:space="preserve"> HYPERLINK  \l "_Financial_Performance" </w:instrText>
      </w:r>
      <w:r w:rsidR="00F0490B" w:rsidRPr="00F0490B">
        <w:rPr>
          <w:rFonts w:ascii="Futura PT Demi"/>
          <w:color w:val="003E2D"/>
        </w:rPr>
      </w:r>
      <w:r w:rsidR="00F0490B" w:rsidRPr="00F0490B">
        <w:rPr>
          <w:rFonts w:ascii="Futura PT Demi"/>
          <w:color w:val="003E2D"/>
        </w:rPr>
        <w:fldChar w:fldCharType="separate"/>
      </w:r>
      <w:r w:rsidR="00961020" w:rsidRPr="00F0490B">
        <w:rPr>
          <w:rStyle w:val="Hyperlink"/>
          <w:rFonts w:ascii="Futura PT Demi"/>
          <w:color w:val="003E2D"/>
          <w:u w:val="none"/>
        </w:rPr>
        <w:t>Financial Performance</w:t>
      </w:r>
      <w:r w:rsidR="00961020" w:rsidRPr="00F0490B">
        <w:rPr>
          <w:rStyle w:val="Hyperlink"/>
          <w:rFonts w:ascii="Futura PT Demi"/>
          <w:color w:val="003E2D"/>
          <w:u w:val="none"/>
        </w:rPr>
        <w:tab/>
      </w:r>
      <w:r w:rsidR="00B05462" w:rsidRPr="00F0490B">
        <w:rPr>
          <w:rStyle w:val="Hyperlink"/>
          <w:rFonts w:ascii="Futura PT Demi"/>
          <w:color w:val="003E2D"/>
          <w:u w:val="none"/>
        </w:rPr>
        <w:t>57</w:t>
      </w:r>
    </w:p>
    <w:p w:rsidR="00D840DF" w:rsidRPr="00F0490B" w:rsidRDefault="00F0490B" w:rsidP="00B05462">
      <w:pPr>
        <w:pStyle w:val="BodyText"/>
        <w:tabs>
          <w:tab w:val="right" w:pos="7596"/>
        </w:tabs>
        <w:spacing w:after="120"/>
        <w:rPr>
          <w:rStyle w:val="Hyperlink"/>
          <w:color w:val="808080" w:themeColor="background1" w:themeShade="80"/>
          <w:u w:val="none"/>
        </w:rPr>
      </w:pPr>
      <w:r w:rsidRPr="00F0490B">
        <w:rPr>
          <w:rFonts w:ascii="Futura PT Demi"/>
          <w:color w:val="003E2D"/>
        </w:rPr>
        <w:fldChar w:fldCharType="end"/>
      </w:r>
      <w:r w:rsidRPr="00F0490B">
        <w:rPr>
          <w:color w:val="808080" w:themeColor="background1" w:themeShade="80"/>
        </w:rPr>
        <w:fldChar w:fldCharType="begin"/>
      </w:r>
      <w:r w:rsidRPr="00F0490B">
        <w:rPr>
          <w:color w:val="808080" w:themeColor="background1" w:themeShade="80"/>
        </w:rPr>
        <w:instrText xml:space="preserve"> HYPERLINK  \l "_Note_1.1_Expenses"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 xml:space="preserve">Note </w:t>
      </w:r>
      <w:r w:rsidR="00961020" w:rsidRPr="00F0490B">
        <w:rPr>
          <w:rStyle w:val="Hyperlink"/>
          <w:color w:val="808080" w:themeColor="background1" w:themeShade="80"/>
          <w:spacing w:val="-8"/>
          <w:u w:val="none"/>
        </w:rPr>
        <w:t>1.1</w:t>
      </w:r>
      <w:r w:rsidR="00961020" w:rsidRPr="00F0490B">
        <w:rPr>
          <w:rStyle w:val="Hyperlink"/>
          <w:color w:val="808080" w:themeColor="background1" w:themeShade="80"/>
          <w:u w:val="none"/>
        </w:rPr>
        <w:t xml:space="preserve"> Expenses</w:t>
      </w:r>
      <w:r w:rsidR="00961020" w:rsidRPr="00F0490B">
        <w:rPr>
          <w:rStyle w:val="Hyperlink"/>
          <w:color w:val="808080" w:themeColor="background1" w:themeShade="80"/>
          <w:u w:val="none"/>
        </w:rPr>
        <w:tab/>
      </w:r>
      <w:r w:rsidR="00B05462" w:rsidRPr="00F0490B">
        <w:rPr>
          <w:rStyle w:val="Hyperlink"/>
          <w:color w:val="808080" w:themeColor="background1" w:themeShade="80"/>
          <w:u w:val="none"/>
        </w:rPr>
        <w:t>57</w:t>
      </w:r>
    </w:p>
    <w:p w:rsidR="00D840DF" w:rsidRPr="00F0490B" w:rsidRDefault="00F0490B" w:rsidP="00B05462">
      <w:pPr>
        <w:pStyle w:val="BodyText"/>
        <w:tabs>
          <w:tab w:val="right" w:pos="7596"/>
        </w:tabs>
        <w:spacing w:after="120"/>
        <w:rPr>
          <w:rStyle w:val="Hyperlink"/>
          <w:color w:val="808080" w:themeColor="background1" w:themeShade="80"/>
          <w:u w:val="none"/>
        </w:rPr>
      </w:pPr>
      <w:r w:rsidRPr="00F0490B">
        <w:rPr>
          <w:color w:val="808080" w:themeColor="background1" w:themeShade="80"/>
        </w:rPr>
        <w:fldChar w:fldCharType="end"/>
      </w:r>
      <w:r w:rsidRPr="00F0490B">
        <w:rPr>
          <w:color w:val="808080" w:themeColor="background1" w:themeShade="80"/>
        </w:rPr>
        <w:fldChar w:fldCharType="begin"/>
      </w:r>
      <w:r w:rsidRPr="00F0490B">
        <w:rPr>
          <w:color w:val="808080" w:themeColor="background1" w:themeShade="80"/>
        </w:rPr>
        <w:instrText xml:space="preserve"> HYPERLINK  \l "_Note_1.2_Own-source"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 xml:space="preserve">Note </w:t>
      </w:r>
      <w:r w:rsidR="00961020" w:rsidRPr="00F0490B">
        <w:rPr>
          <w:rStyle w:val="Hyperlink"/>
          <w:color w:val="808080" w:themeColor="background1" w:themeShade="80"/>
          <w:spacing w:val="-3"/>
          <w:u w:val="none"/>
        </w:rPr>
        <w:t xml:space="preserve">1.2 </w:t>
      </w:r>
      <w:r w:rsidR="00961020" w:rsidRPr="00F0490B">
        <w:rPr>
          <w:rStyle w:val="Hyperlink"/>
          <w:color w:val="808080" w:themeColor="background1" w:themeShade="80"/>
          <w:u w:val="none"/>
        </w:rPr>
        <w:t>Own-source revenue</w:t>
      </w:r>
      <w:r w:rsidR="00961020" w:rsidRPr="00F0490B">
        <w:rPr>
          <w:rStyle w:val="Hyperlink"/>
          <w:color w:val="808080" w:themeColor="background1" w:themeShade="80"/>
          <w:spacing w:val="3"/>
          <w:u w:val="none"/>
        </w:rPr>
        <w:t xml:space="preserve"> </w:t>
      </w:r>
      <w:r w:rsidR="00961020" w:rsidRPr="00F0490B">
        <w:rPr>
          <w:rStyle w:val="Hyperlink"/>
          <w:color w:val="808080" w:themeColor="background1" w:themeShade="80"/>
          <w:u w:val="none"/>
        </w:rPr>
        <w:t>and gains</w:t>
      </w:r>
      <w:r w:rsidR="00961020" w:rsidRPr="00F0490B">
        <w:rPr>
          <w:rStyle w:val="Hyperlink"/>
          <w:color w:val="808080" w:themeColor="background1" w:themeShade="80"/>
          <w:u w:val="none"/>
        </w:rPr>
        <w:tab/>
      </w:r>
      <w:r w:rsidR="00B05462" w:rsidRPr="00F0490B">
        <w:rPr>
          <w:rStyle w:val="Hyperlink"/>
          <w:color w:val="808080" w:themeColor="background1" w:themeShade="80"/>
          <w:spacing w:val="-3"/>
          <w:u w:val="none"/>
        </w:rPr>
        <w:t>59</w:t>
      </w:r>
    </w:p>
    <w:p w:rsidR="00D840DF" w:rsidRPr="00F0490B" w:rsidRDefault="00F0490B" w:rsidP="00B05462">
      <w:pPr>
        <w:pStyle w:val="BodyText"/>
        <w:tabs>
          <w:tab w:val="right" w:pos="7597"/>
        </w:tabs>
        <w:spacing w:after="120"/>
        <w:rPr>
          <w:rStyle w:val="Hyperlink"/>
          <w:rFonts w:ascii="Futura PT Demi"/>
          <w:color w:val="003E2D"/>
          <w:u w:val="none"/>
        </w:rPr>
      </w:pPr>
      <w:r w:rsidRPr="00F0490B">
        <w:rPr>
          <w:color w:val="808080" w:themeColor="background1" w:themeShade="80"/>
        </w:rPr>
        <w:fldChar w:fldCharType="end"/>
      </w:r>
      <w:r w:rsidRPr="00F0490B">
        <w:rPr>
          <w:rFonts w:ascii="Futura PT Demi"/>
          <w:color w:val="003E2D"/>
        </w:rPr>
        <w:fldChar w:fldCharType="begin"/>
      </w:r>
      <w:r w:rsidRPr="00F0490B">
        <w:rPr>
          <w:rFonts w:ascii="Futura PT Demi"/>
          <w:color w:val="003E2D"/>
        </w:rPr>
        <w:instrText xml:space="preserve"> HYPERLINK  \l "_Financial_Position" </w:instrText>
      </w:r>
      <w:r w:rsidRPr="00F0490B">
        <w:rPr>
          <w:rFonts w:ascii="Futura PT Demi"/>
          <w:color w:val="003E2D"/>
        </w:rPr>
      </w:r>
      <w:r w:rsidRPr="00F0490B">
        <w:rPr>
          <w:rFonts w:ascii="Futura PT Demi"/>
          <w:color w:val="003E2D"/>
        </w:rPr>
        <w:fldChar w:fldCharType="separate"/>
      </w:r>
      <w:r w:rsidR="00961020" w:rsidRPr="00F0490B">
        <w:rPr>
          <w:rStyle w:val="Hyperlink"/>
          <w:rFonts w:ascii="Futura PT Demi"/>
          <w:color w:val="003E2D"/>
          <w:u w:val="none"/>
        </w:rPr>
        <w:t>Financial Position</w:t>
      </w:r>
      <w:r w:rsidR="00961020" w:rsidRPr="00F0490B">
        <w:rPr>
          <w:rStyle w:val="Hyperlink"/>
          <w:rFonts w:ascii="Futura PT Demi"/>
          <w:color w:val="003E2D"/>
          <w:u w:val="none"/>
        </w:rPr>
        <w:tab/>
      </w:r>
      <w:r w:rsidR="00B05462" w:rsidRPr="00F0490B">
        <w:rPr>
          <w:rStyle w:val="Hyperlink"/>
          <w:rFonts w:ascii="Futura PT Demi"/>
          <w:color w:val="003E2D"/>
          <w:u w:val="none"/>
        </w:rPr>
        <w:t>60</w:t>
      </w:r>
    </w:p>
    <w:p w:rsidR="00D840DF" w:rsidRPr="00F0490B" w:rsidRDefault="00F0490B" w:rsidP="00B05462">
      <w:pPr>
        <w:pStyle w:val="BodyText"/>
        <w:tabs>
          <w:tab w:val="right" w:pos="7597"/>
        </w:tabs>
        <w:spacing w:after="120"/>
        <w:rPr>
          <w:rStyle w:val="Hyperlink"/>
          <w:color w:val="808080" w:themeColor="background1" w:themeShade="80"/>
          <w:u w:val="none"/>
        </w:rPr>
      </w:pPr>
      <w:r w:rsidRPr="00F0490B">
        <w:rPr>
          <w:rFonts w:ascii="Futura PT Demi"/>
          <w:color w:val="003E2D"/>
        </w:rPr>
        <w:fldChar w:fldCharType="end"/>
      </w:r>
      <w:r w:rsidRPr="00F0490B">
        <w:rPr>
          <w:color w:val="808080" w:themeColor="background1" w:themeShade="80"/>
        </w:rPr>
        <w:fldChar w:fldCharType="begin"/>
      </w:r>
      <w:r w:rsidRPr="00F0490B">
        <w:rPr>
          <w:color w:val="808080" w:themeColor="background1" w:themeShade="80"/>
        </w:rPr>
        <w:instrText xml:space="preserve"> HYPERLINK  \l "_Note_2.1_Financial"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 xml:space="preserve">Note </w:t>
      </w:r>
      <w:r w:rsidR="00961020" w:rsidRPr="00F0490B">
        <w:rPr>
          <w:rStyle w:val="Hyperlink"/>
          <w:color w:val="808080" w:themeColor="background1" w:themeShade="80"/>
          <w:spacing w:val="-5"/>
          <w:u w:val="none"/>
        </w:rPr>
        <w:t>2.1</w:t>
      </w:r>
      <w:r w:rsidR="00961020" w:rsidRPr="00F0490B">
        <w:rPr>
          <w:rStyle w:val="Hyperlink"/>
          <w:color w:val="808080" w:themeColor="background1" w:themeShade="80"/>
          <w:u w:val="none"/>
        </w:rPr>
        <w:t xml:space="preserve"> Financial Assets</w:t>
      </w:r>
      <w:r w:rsidR="00961020" w:rsidRPr="00F0490B">
        <w:rPr>
          <w:rStyle w:val="Hyperlink"/>
          <w:color w:val="808080" w:themeColor="background1" w:themeShade="80"/>
          <w:u w:val="none"/>
        </w:rPr>
        <w:tab/>
      </w:r>
      <w:r w:rsidR="00B05462" w:rsidRPr="00F0490B">
        <w:rPr>
          <w:rStyle w:val="Hyperlink"/>
          <w:color w:val="808080" w:themeColor="background1" w:themeShade="80"/>
          <w:u w:val="none"/>
        </w:rPr>
        <w:t>60</w:t>
      </w:r>
    </w:p>
    <w:p w:rsidR="00D840DF" w:rsidRPr="00F0490B" w:rsidRDefault="00F0490B" w:rsidP="00B05462">
      <w:pPr>
        <w:pStyle w:val="BodyText"/>
        <w:tabs>
          <w:tab w:val="right" w:pos="7597"/>
        </w:tabs>
        <w:spacing w:after="120"/>
        <w:rPr>
          <w:rStyle w:val="Hyperlink"/>
          <w:color w:val="808080" w:themeColor="background1" w:themeShade="80"/>
          <w:u w:val="none"/>
        </w:rPr>
      </w:pPr>
      <w:r w:rsidRPr="00F0490B">
        <w:rPr>
          <w:color w:val="808080" w:themeColor="background1" w:themeShade="80"/>
        </w:rPr>
        <w:fldChar w:fldCharType="end"/>
      </w:r>
      <w:r w:rsidRPr="00F0490B">
        <w:rPr>
          <w:color w:val="808080" w:themeColor="background1" w:themeShade="80"/>
        </w:rPr>
        <w:fldChar w:fldCharType="begin"/>
      </w:r>
      <w:r w:rsidRPr="00F0490B">
        <w:rPr>
          <w:color w:val="808080" w:themeColor="background1" w:themeShade="80"/>
        </w:rPr>
        <w:instrText xml:space="preserve"> HYPERLINK  \l "_Note_2.2_Non-Financial"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Note 2.2 Non-Financial Assets including Fair</w:t>
      </w:r>
      <w:r w:rsidR="00961020" w:rsidRPr="00F0490B">
        <w:rPr>
          <w:rStyle w:val="Hyperlink"/>
          <w:color w:val="808080" w:themeColor="background1" w:themeShade="80"/>
          <w:spacing w:val="5"/>
          <w:u w:val="none"/>
        </w:rPr>
        <w:t xml:space="preserve"> </w:t>
      </w:r>
      <w:r w:rsidR="00961020" w:rsidRPr="00F0490B">
        <w:rPr>
          <w:rStyle w:val="Hyperlink"/>
          <w:color w:val="808080" w:themeColor="background1" w:themeShade="80"/>
          <w:u w:val="none"/>
        </w:rPr>
        <w:t>Value Measurement</w:t>
      </w:r>
      <w:r w:rsidR="00961020" w:rsidRPr="00F0490B">
        <w:rPr>
          <w:rStyle w:val="Hyperlink"/>
          <w:color w:val="808080" w:themeColor="background1" w:themeShade="80"/>
          <w:u w:val="none"/>
        </w:rPr>
        <w:tab/>
      </w:r>
      <w:r w:rsidR="00B05462" w:rsidRPr="00F0490B">
        <w:rPr>
          <w:rStyle w:val="Hyperlink"/>
          <w:color w:val="808080" w:themeColor="background1" w:themeShade="80"/>
          <w:spacing w:val="-10"/>
          <w:u w:val="none"/>
        </w:rPr>
        <w:t>62</w:t>
      </w:r>
    </w:p>
    <w:p w:rsidR="00D840DF" w:rsidRPr="00F0490B" w:rsidRDefault="00F0490B" w:rsidP="00B05462">
      <w:pPr>
        <w:pStyle w:val="BodyText"/>
        <w:tabs>
          <w:tab w:val="right" w:pos="7597"/>
        </w:tabs>
        <w:spacing w:after="120"/>
        <w:rPr>
          <w:rStyle w:val="Hyperlink"/>
          <w:color w:val="808080" w:themeColor="background1" w:themeShade="80"/>
          <w:u w:val="none"/>
        </w:rPr>
      </w:pPr>
      <w:r w:rsidRPr="00F0490B">
        <w:rPr>
          <w:color w:val="808080" w:themeColor="background1" w:themeShade="80"/>
        </w:rPr>
        <w:fldChar w:fldCharType="end"/>
      </w:r>
      <w:r w:rsidRPr="00F0490B">
        <w:rPr>
          <w:color w:val="808080" w:themeColor="background1" w:themeShade="80"/>
        </w:rPr>
        <w:fldChar w:fldCharType="begin"/>
      </w:r>
      <w:r w:rsidRPr="00F0490B">
        <w:rPr>
          <w:color w:val="808080" w:themeColor="background1" w:themeShade="80"/>
        </w:rPr>
        <w:instrText xml:space="preserve"> HYPERLINK  \l "_Note_2.3_Payables"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Note 2.3 Payables</w:t>
      </w:r>
      <w:r w:rsidR="00961020" w:rsidRPr="00F0490B">
        <w:rPr>
          <w:rStyle w:val="Hyperlink"/>
          <w:color w:val="808080" w:themeColor="background1" w:themeShade="80"/>
          <w:u w:val="none"/>
        </w:rPr>
        <w:tab/>
      </w:r>
      <w:r w:rsidR="00B05462" w:rsidRPr="00F0490B">
        <w:rPr>
          <w:rStyle w:val="Hyperlink"/>
          <w:color w:val="808080" w:themeColor="background1" w:themeShade="80"/>
          <w:spacing w:val="-3"/>
          <w:u w:val="none"/>
        </w:rPr>
        <w:t>66</w:t>
      </w:r>
    </w:p>
    <w:p w:rsidR="00D840DF" w:rsidRPr="00F0490B" w:rsidRDefault="00F0490B" w:rsidP="00B05462">
      <w:pPr>
        <w:pStyle w:val="BodyText"/>
        <w:tabs>
          <w:tab w:val="right" w:pos="7597"/>
        </w:tabs>
        <w:spacing w:after="120"/>
        <w:rPr>
          <w:rStyle w:val="Hyperlink"/>
          <w:rFonts w:ascii="Futura PT Demi"/>
          <w:color w:val="003E2D"/>
          <w:u w:val="none"/>
        </w:rPr>
      </w:pPr>
      <w:r w:rsidRPr="00F0490B">
        <w:rPr>
          <w:color w:val="808080" w:themeColor="background1" w:themeShade="80"/>
        </w:rPr>
        <w:fldChar w:fldCharType="end"/>
      </w:r>
      <w:r w:rsidRPr="00F0490B">
        <w:rPr>
          <w:rFonts w:ascii="Futura PT Demi"/>
          <w:color w:val="003E2D"/>
        </w:rPr>
        <w:fldChar w:fldCharType="begin"/>
      </w:r>
      <w:r w:rsidRPr="00F0490B">
        <w:rPr>
          <w:rFonts w:ascii="Futura PT Demi"/>
          <w:color w:val="003E2D"/>
        </w:rPr>
        <w:instrText xml:space="preserve"> HYPERLINK  \l "_Funding" </w:instrText>
      </w:r>
      <w:r w:rsidRPr="00F0490B">
        <w:rPr>
          <w:rFonts w:ascii="Futura PT Demi"/>
          <w:color w:val="003E2D"/>
        </w:rPr>
      </w:r>
      <w:r w:rsidRPr="00F0490B">
        <w:rPr>
          <w:rFonts w:ascii="Futura PT Demi"/>
          <w:color w:val="003E2D"/>
        </w:rPr>
        <w:fldChar w:fldCharType="separate"/>
      </w:r>
      <w:r w:rsidR="00961020" w:rsidRPr="00F0490B">
        <w:rPr>
          <w:rStyle w:val="Hyperlink"/>
          <w:rFonts w:ascii="Futura PT Demi"/>
          <w:color w:val="003E2D"/>
          <w:u w:val="none"/>
        </w:rPr>
        <w:t>Funding</w:t>
      </w:r>
      <w:r w:rsidR="00961020" w:rsidRPr="00F0490B">
        <w:rPr>
          <w:rStyle w:val="Hyperlink"/>
          <w:rFonts w:ascii="Futura PT Demi"/>
          <w:color w:val="003E2D"/>
          <w:u w:val="none"/>
        </w:rPr>
        <w:tab/>
      </w:r>
      <w:r w:rsidR="00B05462" w:rsidRPr="00F0490B">
        <w:rPr>
          <w:rStyle w:val="Hyperlink"/>
          <w:rFonts w:ascii="Futura PT Demi"/>
          <w:color w:val="003E2D"/>
          <w:u w:val="none"/>
        </w:rPr>
        <w:t>67</w:t>
      </w:r>
    </w:p>
    <w:p w:rsidR="00D840DF" w:rsidRPr="00F0490B" w:rsidRDefault="00F0490B" w:rsidP="00B05462">
      <w:pPr>
        <w:pStyle w:val="BodyText"/>
        <w:tabs>
          <w:tab w:val="right" w:pos="7597"/>
        </w:tabs>
        <w:spacing w:after="120"/>
        <w:rPr>
          <w:rStyle w:val="Hyperlink"/>
          <w:color w:val="808080" w:themeColor="background1" w:themeShade="80"/>
          <w:u w:val="none"/>
        </w:rPr>
      </w:pPr>
      <w:r w:rsidRPr="00F0490B">
        <w:rPr>
          <w:rFonts w:ascii="Futura PT Demi"/>
          <w:color w:val="003E2D"/>
        </w:rPr>
        <w:fldChar w:fldCharType="end"/>
      </w:r>
      <w:r w:rsidRPr="00F0490B">
        <w:rPr>
          <w:color w:val="808080" w:themeColor="background1" w:themeShade="80"/>
        </w:rPr>
        <w:fldChar w:fldCharType="begin"/>
      </w:r>
      <w:r w:rsidRPr="00F0490B">
        <w:rPr>
          <w:color w:val="808080" w:themeColor="background1" w:themeShade="80"/>
        </w:rPr>
        <w:instrText xml:space="preserve"> HYPERLINK  \l "_Note_3.1_Cash"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 xml:space="preserve">Note </w:t>
      </w:r>
      <w:r w:rsidR="00961020" w:rsidRPr="00F0490B">
        <w:rPr>
          <w:rStyle w:val="Hyperlink"/>
          <w:color w:val="808080" w:themeColor="background1" w:themeShade="80"/>
          <w:spacing w:val="-6"/>
          <w:u w:val="none"/>
        </w:rPr>
        <w:t xml:space="preserve">3.1 </w:t>
      </w:r>
      <w:r w:rsidR="00961020" w:rsidRPr="00F0490B">
        <w:rPr>
          <w:rStyle w:val="Hyperlink"/>
          <w:color w:val="808080" w:themeColor="background1" w:themeShade="80"/>
          <w:u w:val="none"/>
        </w:rPr>
        <w:t>Cash</w:t>
      </w:r>
      <w:r w:rsidR="00961020" w:rsidRPr="00F0490B">
        <w:rPr>
          <w:rStyle w:val="Hyperlink"/>
          <w:color w:val="808080" w:themeColor="background1" w:themeShade="80"/>
          <w:spacing w:val="5"/>
          <w:u w:val="none"/>
        </w:rPr>
        <w:t xml:space="preserve"> </w:t>
      </w:r>
      <w:r w:rsidR="00961020" w:rsidRPr="00F0490B">
        <w:rPr>
          <w:rStyle w:val="Hyperlink"/>
          <w:color w:val="808080" w:themeColor="background1" w:themeShade="80"/>
          <w:u w:val="none"/>
        </w:rPr>
        <w:t>flow reconciliation</w:t>
      </w:r>
      <w:r w:rsidR="00961020" w:rsidRPr="00F0490B">
        <w:rPr>
          <w:rStyle w:val="Hyperlink"/>
          <w:color w:val="808080" w:themeColor="background1" w:themeShade="80"/>
          <w:u w:val="none"/>
        </w:rPr>
        <w:tab/>
      </w:r>
      <w:r w:rsidR="00B05462" w:rsidRPr="00F0490B">
        <w:rPr>
          <w:rStyle w:val="Hyperlink"/>
          <w:color w:val="808080" w:themeColor="background1" w:themeShade="80"/>
          <w:u w:val="none"/>
        </w:rPr>
        <w:t>67</w:t>
      </w:r>
    </w:p>
    <w:p w:rsidR="00D840DF" w:rsidRPr="00F0490B" w:rsidRDefault="00F0490B" w:rsidP="00B05462">
      <w:pPr>
        <w:pStyle w:val="BodyText"/>
        <w:tabs>
          <w:tab w:val="right" w:pos="7597"/>
        </w:tabs>
        <w:spacing w:after="120"/>
        <w:rPr>
          <w:rStyle w:val="Hyperlink"/>
          <w:rFonts w:ascii="Futura PT Demi"/>
          <w:color w:val="003E2D"/>
          <w:u w:val="none"/>
        </w:rPr>
      </w:pPr>
      <w:r w:rsidRPr="00F0490B">
        <w:rPr>
          <w:color w:val="808080" w:themeColor="background1" w:themeShade="80"/>
        </w:rPr>
        <w:fldChar w:fldCharType="end"/>
      </w:r>
      <w:r w:rsidRPr="00F0490B">
        <w:rPr>
          <w:rFonts w:ascii="Futura PT Demi"/>
          <w:color w:val="003E2D"/>
        </w:rPr>
        <w:fldChar w:fldCharType="begin"/>
      </w:r>
      <w:r w:rsidRPr="00F0490B">
        <w:rPr>
          <w:rFonts w:ascii="Futura PT Demi"/>
          <w:color w:val="003E2D"/>
        </w:rPr>
        <w:instrText xml:space="preserve"> HYPERLINK  \l "_People_and_Relationships" </w:instrText>
      </w:r>
      <w:r w:rsidRPr="00F0490B">
        <w:rPr>
          <w:rFonts w:ascii="Futura PT Demi"/>
          <w:color w:val="003E2D"/>
        </w:rPr>
      </w:r>
      <w:r w:rsidRPr="00F0490B">
        <w:rPr>
          <w:rFonts w:ascii="Futura PT Demi"/>
          <w:color w:val="003E2D"/>
        </w:rPr>
        <w:fldChar w:fldCharType="separate"/>
      </w:r>
      <w:r w:rsidR="00961020" w:rsidRPr="00F0490B">
        <w:rPr>
          <w:rStyle w:val="Hyperlink"/>
          <w:rFonts w:ascii="Futura PT Demi"/>
          <w:color w:val="003E2D"/>
          <w:u w:val="none"/>
        </w:rPr>
        <w:t>People and Relationships</w:t>
      </w:r>
      <w:r w:rsidR="00961020" w:rsidRPr="00F0490B">
        <w:rPr>
          <w:rStyle w:val="Hyperlink"/>
          <w:rFonts w:ascii="Futura PT Demi"/>
          <w:color w:val="003E2D"/>
          <w:u w:val="none"/>
        </w:rPr>
        <w:tab/>
      </w:r>
      <w:r w:rsidR="00B05462" w:rsidRPr="00F0490B">
        <w:rPr>
          <w:rStyle w:val="Hyperlink"/>
          <w:rFonts w:ascii="Futura PT Demi"/>
          <w:color w:val="003E2D"/>
          <w:u w:val="none"/>
        </w:rPr>
        <w:t>68</w:t>
      </w:r>
    </w:p>
    <w:p w:rsidR="00D840DF" w:rsidRPr="00F0490B" w:rsidRDefault="00F0490B" w:rsidP="00B05462">
      <w:pPr>
        <w:pStyle w:val="BodyText"/>
        <w:tabs>
          <w:tab w:val="right" w:pos="7597"/>
        </w:tabs>
        <w:spacing w:after="120"/>
        <w:rPr>
          <w:rStyle w:val="Hyperlink"/>
          <w:color w:val="808080" w:themeColor="background1" w:themeShade="80"/>
          <w:u w:val="none"/>
        </w:rPr>
      </w:pPr>
      <w:r w:rsidRPr="00F0490B">
        <w:rPr>
          <w:rFonts w:ascii="Futura PT Demi"/>
          <w:color w:val="003E2D"/>
        </w:rPr>
        <w:fldChar w:fldCharType="end"/>
      </w:r>
      <w:r w:rsidRPr="00F0490B">
        <w:rPr>
          <w:color w:val="808080" w:themeColor="background1" w:themeShade="80"/>
        </w:rPr>
        <w:fldChar w:fldCharType="begin"/>
      </w:r>
      <w:r w:rsidRPr="00F0490B">
        <w:rPr>
          <w:color w:val="808080" w:themeColor="background1" w:themeShade="80"/>
        </w:rPr>
        <w:instrText xml:space="preserve"> HYPERLINK  \l "_Note_4.1_Employee"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 xml:space="preserve">Note </w:t>
      </w:r>
      <w:r w:rsidR="00961020" w:rsidRPr="00F0490B">
        <w:rPr>
          <w:rStyle w:val="Hyperlink"/>
          <w:color w:val="808080" w:themeColor="background1" w:themeShade="80"/>
          <w:spacing w:val="-5"/>
          <w:u w:val="none"/>
        </w:rPr>
        <w:t>4.1</w:t>
      </w:r>
      <w:r w:rsidR="00961020" w:rsidRPr="00F0490B">
        <w:rPr>
          <w:rStyle w:val="Hyperlink"/>
          <w:color w:val="808080" w:themeColor="background1" w:themeShade="80"/>
          <w:u w:val="none"/>
        </w:rPr>
        <w:t xml:space="preserve"> Employee Provisions</w:t>
      </w:r>
      <w:r w:rsidR="00961020" w:rsidRPr="00F0490B">
        <w:rPr>
          <w:rStyle w:val="Hyperlink"/>
          <w:color w:val="808080" w:themeColor="background1" w:themeShade="80"/>
          <w:u w:val="none"/>
        </w:rPr>
        <w:tab/>
      </w:r>
      <w:r w:rsidR="00B05462" w:rsidRPr="00F0490B">
        <w:rPr>
          <w:rStyle w:val="Hyperlink"/>
          <w:color w:val="808080" w:themeColor="background1" w:themeShade="80"/>
          <w:u w:val="none"/>
        </w:rPr>
        <w:t>68</w:t>
      </w:r>
    </w:p>
    <w:p w:rsidR="00D840DF" w:rsidRPr="00F0490B" w:rsidRDefault="00F0490B" w:rsidP="00B05462">
      <w:pPr>
        <w:pStyle w:val="BodyText"/>
        <w:tabs>
          <w:tab w:val="right" w:pos="7597"/>
        </w:tabs>
        <w:spacing w:after="120"/>
        <w:rPr>
          <w:rStyle w:val="Hyperlink"/>
          <w:color w:val="808080" w:themeColor="background1" w:themeShade="80"/>
          <w:u w:val="none"/>
        </w:rPr>
      </w:pPr>
      <w:r w:rsidRPr="00F0490B">
        <w:rPr>
          <w:color w:val="808080" w:themeColor="background1" w:themeShade="80"/>
        </w:rPr>
        <w:fldChar w:fldCharType="end"/>
      </w:r>
      <w:r w:rsidRPr="00F0490B">
        <w:rPr>
          <w:color w:val="808080" w:themeColor="background1" w:themeShade="80"/>
        </w:rPr>
        <w:fldChar w:fldCharType="begin"/>
      </w:r>
      <w:r w:rsidRPr="00F0490B">
        <w:rPr>
          <w:color w:val="808080" w:themeColor="background1" w:themeShade="80"/>
        </w:rPr>
        <w:instrText xml:space="preserve"> HYPERLINK  \l "Note_4.2_Key_management_personnel_remune"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Note 4.2 Key management</w:t>
      </w:r>
      <w:r w:rsidR="00961020" w:rsidRPr="00F0490B">
        <w:rPr>
          <w:rStyle w:val="Hyperlink"/>
          <w:color w:val="808080" w:themeColor="background1" w:themeShade="80"/>
          <w:spacing w:val="1"/>
          <w:u w:val="none"/>
        </w:rPr>
        <w:t xml:space="preserve"> </w:t>
      </w:r>
      <w:r w:rsidR="00961020" w:rsidRPr="00F0490B">
        <w:rPr>
          <w:rStyle w:val="Hyperlink"/>
          <w:color w:val="808080" w:themeColor="background1" w:themeShade="80"/>
          <w:u w:val="none"/>
        </w:rPr>
        <w:t>personnel remuneration</w:t>
      </w:r>
      <w:r w:rsidR="00961020" w:rsidRPr="00F0490B">
        <w:rPr>
          <w:rStyle w:val="Hyperlink"/>
          <w:color w:val="808080" w:themeColor="background1" w:themeShade="80"/>
          <w:u w:val="none"/>
        </w:rPr>
        <w:tab/>
      </w:r>
      <w:r w:rsidR="00B05462" w:rsidRPr="00F0490B">
        <w:rPr>
          <w:rStyle w:val="Hyperlink"/>
          <w:color w:val="808080" w:themeColor="background1" w:themeShade="80"/>
          <w:spacing w:val="-8"/>
          <w:u w:val="none"/>
        </w:rPr>
        <w:t>69</w:t>
      </w:r>
    </w:p>
    <w:p w:rsidR="00D840DF" w:rsidRPr="00F0490B" w:rsidRDefault="00F0490B" w:rsidP="00B05462">
      <w:pPr>
        <w:pStyle w:val="BodyText"/>
        <w:tabs>
          <w:tab w:val="right" w:pos="7597"/>
        </w:tabs>
        <w:spacing w:after="120"/>
        <w:rPr>
          <w:rStyle w:val="Hyperlink"/>
          <w:color w:val="808080" w:themeColor="background1" w:themeShade="80"/>
          <w:u w:val="none"/>
        </w:rPr>
      </w:pPr>
      <w:r w:rsidRPr="00F0490B">
        <w:rPr>
          <w:color w:val="808080" w:themeColor="background1" w:themeShade="80"/>
        </w:rPr>
        <w:fldChar w:fldCharType="end"/>
      </w:r>
      <w:r w:rsidRPr="00F0490B">
        <w:rPr>
          <w:color w:val="808080" w:themeColor="background1" w:themeShade="80"/>
        </w:rPr>
        <w:fldChar w:fldCharType="begin"/>
      </w:r>
      <w:r w:rsidRPr="00F0490B">
        <w:rPr>
          <w:color w:val="808080" w:themeColor="background1" w:themeShade="80"/>
        </w:rPr>
        <w:instrText xml:space="preserve"> HYPERLINK  \l "Note_4.3_Related_party_disclosures"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 xml:space="preserve">Note 4.3 Related </w:t>
      </w:r>
      <w:r w:rsidR="00961020" w:rsidRPr="00F0490B">
        <w:rPr>
          <w:rStyle w:val="Hyperlink"/>
          <w:color w:val="808080" w:themeColor="background1" w:themeShade="80"/>
          <w:spacing w:val="1"/>
          <w:u w:val="none"/>
        </w:rPr>
        <w:t>party</w:t>
      </w:r>
      <w:r w:rsidR="00961020" w:rsidRPr="00F0490B">
        <w:rPr>
          <w:rStyle w:val="Hyperlink"/>
          <w:color w:val="808080" w:themeColor="background1" w:themeShade="80"/>
          <w:u w:val="none"/>
        </w:rPr>
        <w:t xml:space="preserve"> disclosures</w:t>
      </w:r>
      <w:r w:rsidR="00961020" w:rsidRPr="00F0490B">
        <w:rPr>
          <w:rStyle w:val="Hyperlink"/>
          <w:color w:val="808080" w:themeColor="background1" w:themeShade="80"/>
          <w:u w:val="none"/>
        </w:rPr>
        <w:tab/>
      </w:r>
      <w:r w:rsidR="00B05462" w:rsidRPr="00F0490B">
        <w:rPr>
          <w:rStyle w:val="Hyperlink"/>
          <w:color w:val="808080" w:themeColor="background1" w:themeShade="80"/>
          <w:spacing w:val="-8"/>
          <w:u w:val="none"/>
        </w:rPr>
        <w:t>69</w:t>
      </w:r>
    </w:p>
    <w:p w:rsidR="00D840DF" w:rsidRPr="00F0490B" w:rsidRDefault="00F0490B" w:rsidP="00B05462">
      <w:pPr>
        <w:pStyle w:val="BodyText"/>
        <w:tabs>
          <w:tab w:val="right" w:pos="7597"/>
        </w:tabs>
        <w:spacing w:after="120"/>
        <w:rPr>
          <w:rStyle w:val="Hyperlink"/>
          <w:rFonts w:ascii="Futura PT Demi"/>
          <w:color w:val="003E2D"/>
          <w:u w:val="none"/>
        </w:rPr>
      </w:pPr>
      <w:r w:rsidRPr="00F0490B">
        <w:rPr>
          <w:color w:val="808080" w:themeColor="background1" w:themeShade="80"/>
        </w:rPr>
        <w:fldChar w:fldCharType="end"/>
      </w:r>
      <w:r w:rsidRPr="00F0490B">
        <w:rPr>
          <w:rFonts w:ascii="Futura PT Demi"/>
          <w:color w:val="003E2D"/>
        </w:rPr>
        <w:fldChar w:fldCharType="begin"/>
      </w:r>
      <w:r w:rsidRPr="00F0490B">
        <w:rPr>
          <w:rFonts w:ascii="Futura PT Demi"/>
          <w:color w:val="003E2D"/>
        </w:rPr>
        <w:instrText xml:space="preserve"> HYPERLINK  \l "Managing_Uncertainties" </w:instrText>
      </w:r>
      <w:r w:rsidRPr="00F0490B">
        <w:rPr>
          <w:rFonts w:ascii="Futura PT Demi"/>
          <w:color w:val="003E2D"/>
        </w:rPr>
      </w:r>
      <w:r w:rsidRPr="00F0490B">
        <w:rPr>
          <w:rFonts w:ascii="Futura PT Demi"/>
          <w:color w:val="003E2D"/>
        </w:rPr>
        <w:fldChar w:fldCharType="separate"/>
      </w:r>
      <w:r w:rsidR="00961020" w:rsidRPr="00F0490B">
        <w:rPr>
          <w:rStyle w:val="Hyperlink"/>
          <w:rFonts w:ascii="Futura PT Demi"/>
          <w:color w:val="003E2D"/>
          <w:u w:val="none"/>
        </w:rPr>
        <w:t>Managing Uncertainties</w:t>
      </w:r>
      <w:r w:rsidR="00961020" w:rsidRPr="00F0490B">
        <w:rPr>
          <w:rStyle w:val="Hyperlink"/>
          <w:rFonts w:ascii="Futura PT Demi"/>
          <w:color w:val="003E2D"/>
          <w:u w:val="none"/>
        </w:rPr>
        <w:tab/>
      </w:r>
      <w:r w:rsidR="00B05462" w:rsidRPr="00F0490B">
        <w:rPr>
          <w:rStyle w:val="Hyperlink"/>
          <w:rFonts w:ascii="Futura PT Demi"/>
          <w:color w:val="003E2D"/>
          <w:u w:val="none"/>
        </w:rPr>
        <w:t>70</w:t>
      </w:r>
    </w:p>
    <w:p w:rsidR="00D840DF" w:rsidRPr="00F0490B" w:rsidRDefault="00F0490B" w:rsidP="00B05462">
      <w:pPr>
        <w:pStyle w:val="BodyText"/>
        <w:tabs>
          <w:tab w:val="right" w:pos="7597"/>
        </w:tabs>
        <w:spacing w:after="120"/>
        <w:rPr>
          <w:rStyle w:val="Hyperlink"/>
          <w:color w:val="808080" w:themeColor="background1" w:themeShade="80"/>
          <w:u w:val="none"/>
        </w:rPr>
      </w:pPr>
      <w:r w:rsidRPr="00F0490B">
        <w:rPr>
          <w:rFonts w:ascii="Futura PT Demi"/>
          <w:color w:val="003E2D"/>
        </w:rPr>
        <w:fldChar w:fldCharType="end"/>
      </w:r>
      <w:r w:rsidRPr="00F0490B">
        <w:rPr>
          <w:color w:val="808080" w:themeColor="background1" w:themeShade="80"/>
        </w:rPr>
        <w:fldChar w:fldCharType="begin"/>
      </w:r>
      <w:r w:rsidRPr="00F0490B">
        <w:rPr>
          <w:color w:val="808080" w:themeColor="background1" w:themeShade="80"/>
        </w:rPr>
        <w:instrText xml:space="preserve"> HYPERLINK  \l "Note_5.1_Contingent_Assets_and_Liabiliti"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 xml:space="preserve">Note </w:t>
      </w:r>
      <w:r w:rsidR="00961020" w:rsidRPr="00F0490B">
        <w:rPr>
          <w:rStyle w:val="Hyperlink"/>
          <w:color w:val="808080" w:themeColor="background1" w:themeShade="80"/>
          <w:spacing w:val="-6"/>
          <w:u w:val="none"/>
        </w:rPr>
        <w:t xml:space="preserve">5.1 </w:t>
      </w:r>
      <w:r w:rsidR="00961020" w:rsidRPr="00F0490B">
        <w:rPr>
          <w:rStyle w:val="Hyperlink"/>
          <w:color w:val="808080" w:themeColor="background1" w:themeShade="80"/>
          <w:u w:val="none"/>
        </w:rPr>
        <w:t>Contingent Assets</w:t>
      </w:r>
      <w:r w:rsidR="00961020" w:rsidRPr="00F0490B">
        <w:rPr>
          <w:rStyle w:val="Hyperlink"/>
          <w:color w:val="808080" w:themeColor="background1" w:themeShade="80"/>
          <w:spacing w:val="5"/>
          <w:u w:val="none"/>
        </w:rPr>
        <w:t xml:space="preserve"> </w:t>
      </w:r>
      <w:r w:rsidR="00961020" w:rsidRPr="00F0490B">
        <w:rPr>
          <w:rStyle w:val="Hyperlink"/>
          <w:color w:val="808080" w:themeColor="background1" w:themeShade="80"/>
          <w:u w:val="none"/>
        </w:rPr>
        <w:t>and Liabilities</w:t>
      </w:r>
      <w:r w:rsidR="00961020" w:rsidRPr="00F0490B">
        <w:rPr>
          <w:rStyle w:val="Hyperlink"/>
          <w:color w:val="808080" w:themeColor="background1" w:themeShade="80"/>
          <w:u w:val="none"/>
        </w:rPr>
        <w:tab/>
      </w:r>
      <w:r w:rsidR="00B05462" w:rsidRPr="00F0490B">
        <w:rPr>
          <w:rStyle w:val="Hyperlink"/>
          <w:color w:val="808080" w:themeColor="background1" w:themeShade="80"/>
          <w:u w:val="none"/>
        </w:rPr>
        <w:t>70</w:t>
      </w:r>
    </w:p>
    <w:p w:rsidR="00D840DF" w:rsidRPr="00F0490B" w:rsidRDefault="00F0490B" w:rsidP="00B05462">
      <w:pPr>
        <w:pStyle w:val="BodyText"/>
        <w:tabs>
          <w:tab w:val="right" w:pos="7597"/>
        </w:tabs>
        <w:spacing w:after="120"/>
        <w:rPr>
          <w:rStyle w:val="Hyperlink"/>
          <w:color w:val="808080" w:themeColor="background1" w:themeShade="80"/>
          <w:u w:val="none"/>
        </w:rPr>
      </w:pPr>
      <w:r w:rsidRPr="00F0490B">
        <w:rPr>
          <w:color w:val="808080" w:themeColor="background1" w:themeShade="80"/>
        </w:rPr>
        <w:fldChar w:fldCharType="end"/>
      </w:r>
      <w:r w:rsidRPr="00F0490B">
        <w:rPr>
          <w:color w:val="808080" w:themeColor="background1" w:themeShade="80"/>
        </w:rPr>
        <w:fldChar w:fldCharType="begin"/>
      </w:r>
      <w:r w:rsidRPr="00F0490B">
        <w:rPr>
          <w:color w:val="808080" w:themeColor="background1" w:themeShade="80"/>
        </w:rPr>
        <w:instrText xml:space="preserve"> HYPERLINK  \l "Note_5.2_Financial_instruments" </w:instrText>
      </w:r>
      <w:r w:rsidRPr="00F0490B">
        <w:rPr>
          <w:color w:val="808080" w:themeColor="background1" w:themeShade="80"/>
        </w:rPr>
      </w:r>
      <w:r w:rsidRPr="00F0490B">
        <w:rPr>
          <w:color w:val="808080" w:themeColor="background1" w:themeShade="80"/>
        </w:rPr>
        <w:fldChar w:fldCharType="separate"/>
      </w:r>
      <w:r w:rsidR="00961020" w:rsidRPr="00F0490B">
        <w:rPr>
          <w:rStyle w:val="Hyperlink"/>
          <w:color w:val="808080" w:themeColor="background1" w:themeShade="80"/>
          <w:u w:val="none"/>
        </w:rPr>
        <w:t>Note 5.2 Financial instruments</w:t>
      </w:r>
      <w:r w:rsidR="00961020" w:rsidRPr="00F0490B">
        <w:rPr>
          <w:rStyle w:val="Hyperlink"/>
          <w:color w:val="808080" w:themeColor="background1" w:themeShade="80"/>
          <w:u w:val="none"/>
        </w:rPr>
        <w:tab/>
      </w:r>
      <w:r w:rsidR="00B05462" w:rsidRPr="00F0490B">
        <w:rPr>
          <w:rStyle w:val="Hyperlink"/>
          <w:color w:val="808080" w:themeColor="background1" w:themeShade="80"/>
          <w:u w:val="none"/>
        </w:rPr>
        <w:t>70</w:t>
      </w:r>
    </w:p>
    <w:p w:rsidR="00D840DF" w:rsidRDefault="00F0490B">
      <w:pPr>
        <w:sectPr w:rsidR="00D840DF">
          <w:pgSz w:w="9980" w:h="14180"/>
          <w:pgMar w:top="1320" w:right="1260" w:bottom="280" w:left="1020" w:header="720" w:footer="720" w:gutter="0"/>
          <w:cols w:space="720"/>
        </w:sectPr>
      </w:pPr>
      <w:r w:rsidRPr="00F0490B">
        <w:rPr>
          <w:color w:val="808080" w:themeColor="background1" w:themeShade="80"/>
          <w:sz w:val="19"/>
          <w:szCs w:val="19"/>
        </w:rPr>
        <w:fldChar w:fldCharType="end"/>
      </w:r>
    </w:p>
    <w:p w:rsidR="00D840DF" w:rsidRDefault="00961020" w:rsidP="008D2169">
      <w:pPr>
        <w:pStyle w:val="Heading4"/>
      </w:pPr>
      <w:r>
        <w:lastRenderedPageBreak/>
        <w:t>Independent Hospital Pricing Authority Financial Statements 2016–17</w:t>
      </w:r>
    </w:p>
    <w:p w:rsidR="00D840DF" w:rsidRDefault="00961020" w:rsidP="008D2169">
      <w:pPr>
        <w:spacing w:before="186"/>
        <w:rPr>
          <w:i/>
          <w:sz w:val="19"/>
        </w:rPr>
      </w:pPr>
      <w:r>
        <w:rPr>
          <w:i/>
          <w:color w:val="636466"/>
          <w:sz w:val="19"/>
        </w:rPr>
        <w:t>For the year ended 30 June 2017</w:t>
      </w:r>
    </w:p>
    <w:p w:rsidR="00D840DF" w:rsidRDefault="00D840DF">
      <w:pPr>
        <w:pStyle w:val="BodyText"/>
        <w:spacing w:before="7"/>
        <w:rPr>
          <w:i/>
          <w:sz w:val="27"/>
        </w:rPr>
      </w:pPr>
    </w:p>
    <w:p w:rsidR="00D840DF" w:rsidRDefault="00961020" w:rsidP="008D2169">
      <w:pPr>
        <w:pStyle w:val="Heading3"/>
      </w:pPr>
      <w:r>
        <w:t>STATEMENT BY THE CHIEF EXECUTIVE OFFICER AND CHIEF FINANCIAL OFFICER</w:t>
      </w:r>
    </w:p>
    <w:p w:rsidR="00D840DF" w:rsidRPr="008D2169" w:rsidRDefault="00961020" w:rsidP="008D2169">
      <w:pPr>
        <w:pStyle w:val="BodyText"/>
      </w:pPr>
      <w:r>
        <w:t xml:space="preserve">In our opinion, the attached financial statements for the year ended 30 June 2017 comply with subsection 42(2) of the </w:t>
      </w:r>
      <w:r>
        <w:rPr>
          <w:i/>
        </w:rPr>
        <w:t xml:space="preserve">Public Governance, Performance and Accountability Act 2013 </w:t>
      </w:r>
      <w:r>
        <w:t>(PGPA Act), and are based on properly maintained financial records as per subsection 41(2)</w:t>
      </w:r>
      <w:r w:rsidR="00E314B6">
        <w:t xml:space="preserve"> </w:t>
      </w:r>
      <w:r>
        <w:t>of the PGPA</w:t>
      </w:r>
      <w:r w:rsidR="00E314B6">
        <w:t xml:space="preserve"> </w:t>
      </w:r>
      <w:r>
        <w:t>Act.</w:t>
      </w:r>
    </w:p>
    <w:p w:rsidR="00D840DF" w:rsidRPr="008F7C36" w:rsidRDefault="00E14BA1" w:rsidP="008F7C36">
      <w:pPr>
        <w:pStyle w:val="BodyText"/>
      </w:pPr>
      <w:r>
        <w:rPr>
          <w:noProof/>
        </w:rPr>
        <mc:AlternateContent>
          <mc:Choice Requires="wps">
            <w:drawing>
              <wp:anchor distT="0" distB="0" distL="0" distR="0" simplePos="0" relativeHeight="2584" behindDoc="0" locked="0" layoutInCell="1" allowOverlap="1">
                <wp:simplePos x="0" y="0"/>
                <wp:positionH relativeFrom="page">
                  <wp:posOffset>748030</wp:posOffset>
                </wp:positionH>
                <wp:positionV relativeFrom="paragraph">
                  <wp:posOffset>518795</wp:posOffset>
                </wp:positionV>
                <wp:extent cx="1157605" cy="443230"/>
                <wp:effectExtent l="5080" t="1905" r="8890" b="2540"/>
                <wp:wrapTopAndBottom/>
                <wp:docPr id="6" name="AutoShape 36" descr="Signatu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7605" cy="443230"/>
                        </a:xfrm>
                        <a:custGeom>
                          <a:avLst/>
                          <a:gdLst>
                            <a:gd name="T0" fmla="+- 0 1610 1452"/>
                            <a:gd name="T1" fmla="*/ T0 w 1823"/>
                            <a:gd name="T2" fmla="+- 0 671 261"/>
                            <a:gd name="T3" fmla="*/ 671 h 698"/>
                            <a:gd name="T4" fmla="+- 0 1497 1452"/>
                            <a:gd name="T5" fmla="*/ T4 w 1823"/>
                            <a:gd name="T6" fmla="+- 0 735 261"/>
                            <a:gd name="T7" fmla="*/ 735 h 698"/>
                            <a:gd name="T8" fmla="+- 0 1456 1452"/>
                            <a:gd name="T9" fmla="*/ T8 w 1823"/>
                            <a:gd name="T10" fmla="+- 0 871 261"/>
                            <a:gd name="T11" fmla="*/ 871 h 698"/>
                            <a:gd name="T12" fmla="+- 0 1564 1452"/>
                            <a:gd name="T13" fmla="*/ T12 w 1823"/>
                            <a:gd name="T14" fmla="+- 0 958 261"/>
                            <a:gd name="T15" fmla="*/ 958 h 698"/>
                            <a:gd name="T16" fmla="+- 0 1593 1452"/>
                            <a:gd name="T17" fmla="*/ T16 w 1823"/>
                            <a:gd name="T18" fmla="+- 0 948 261"/>
                            <a:gd name="T19" fmla="*/ 948 h 698"/>
                            <a:gd name="T20" fmla="+- 0 1478 1452"/>
                            <a:gd name="T21" fmla="*/ T20 w 1823"/>
                            <a:gd name="T22" fmla="+- 0 893 261"/>
                            <a:gd name="T23" fmla="*/ 893 h 698"/>
                            <a:gd name="T24" fmla="+- 0 1492 1452"/>
                            <a:gd name="T25" fmla="*/ T24 w 1823"/>
                            <a:gd name="T26" fmla="+- 0 768 261"/>
                            <a:gd name="T27" fmla="*/ 768 h 698"/>
                            <a:gd name="T28" fmla="+- 0 1603 1452"/>
                            <a:gd name="T29" fmla="*/ T28 w 1823"/>
                            <a:gd name="T30" fmla="+- 0 697 261"/>
                            <a:gd name="T31" fmla="*/ 697 h 698"/>
                            <a:gd name="T32" fmla="+- 0 1698 1452"/>
                            <a:gd name="T33" fmla="*/ T32 w 1823"/>
                            <a:gd name="T34" fmla="+- 0 664 261"/>
                            <a:gd name="T35" fmla="*/ 664 h 698"/>
                            <a:gd name="T36" fmla="+- 0 1872 1452"/>
                            <a:gd name="T37" fmla="*/ T36 w 1823"/>
                            <a:gd name="T38" fmla="+- 0 787 261"/>
                            <a:gd name="T39" fmla="*/ 787 h 698"/>
                            <a:gd name="T40" fmla="+- 0 1772 1452"/>
                            <a:gd name="T41" fmla="*/ T40 w 1823"/>
                            <a:gd name="T42" fmla="+- 0 882 261"/>
                            <a:gd name="T43" fmla="*/ 882 h 698"/>
                            <a:gd name="T44" fmla="+- 0 1647 1452"/>
                            <a:gd name="T45" fmla="*/ T44 w 1823"/>
                            <a:gd name="T46" fmla="+- 0 940 261"/>
                            <a:gd name="T47" fmla="*/ 940 h 698"/>
                            <a:gd name="T48" fmla="+- 0 1703 1452"/>
                            <a:gd name="T49" fmla="*/ T48 w 1823"/>
                            <a:gd name="T50" fmla="+- 0 932 261"/>
                            <a:gd name="T51" fmla="*/ 932 h 698"/>
                            <a:gd name="T52" fmla="+- 0 1903 1452"/>
                            <a:gd name="T53" fmla="*/ T52 w 1823"/>
                            <a:gd name="T54" fmla="+- 0 775 261"/>
                            <a:gd name="T55" fmla="*/ 775 h 698"/>
                            <a:gd name="T56" fmla="+- 0 1707 1452"/>
                            <a:gd name="T57" fmla="*/ T56 w 1823"/>
                            <a:gd name="T58" fmla="+- 0 691 261"/>
                            <a:gd name="T59" fmla="*/ 691 h 698"/>
                            <a:gd name="T60" fmla="+- 0 1709 1452"/>
                            <a:gd name="T61" fmla="*/ T60 w 1823"/>
                            <a:gd name="T62" fmla="+- 0 765 261"/>
                            <a:gd name="T63" fmla="*/ 765 h 698"/>
                            <a:gd name="T64" fmla="+- 0 1716 1452"/>
                            <a:gd name="T65" fmla="*/ T64 w 1823"/>
                            <a:gd name="T66" fmla="+- 0 692 261"/>
                            <a:gd name="T67" fmla="*/ 692 h 698"/>
                            <a:gd name="T68" fmla="+- 0 1989 1452"/>
                            <a:gd name="T69" fmla="*/ T68 w 1823"/>
                            <a:gd name="T70" fmla="+- 0 725 261"/>
                            <a:gd name="T71" fmla="*/ 725 h 698"/>
                            <a:gd name="T72" fmla="+- 0 2273 1452"/>
                            <a:gd name="T73" fmla="*/ T72 w 1823"/>
                            <a:gd name="T74" fmla="+- 0 723 261"/>
                            <a:gd name="T75" fmla="*/ 723 h 698"/>
                            <a:gd name="T76" fmla="+- 0 2103 1452"/>
                            <a:gd name="T77" fmla="*/ T76 w 1823"/>
                            <a:gd name="T78" fmla="+- 0 695 261"/>
                            <a:gd name="T79" fmla="*/ 695 h 698"/>
                            <a:gd name="T80" fmla="+- 0 1919 1452"/>
                            <a:gd name="T81" fmla="*/ T80 w 1823"/>
                            <a:gd name="T82" fmla="+- 0 718 261"/>
                            <a:gd name="T83" fmla="*/ 718 h 698"/>
                            <a:gd name="T84" fmla="+- 0 1935 1452"/>
                            <a:gd name="T85" fmla="*/ T84 w 1823"/>
                            <a:gd name="T86" fmla="+- 0 690 261"/>
                            <a:gd name="T87" fmla="*/ 690 h 698"/>
                            <a:gd name="T88" fmla="+- 0 1792 1452"/>
                            <a:gd name="T89" fmla="*/ T88 w 1823"/>
                            <a:gd name="T90" fmla="+- 0 704 261"/>
                            <a:gd name="T91" fmla="*/ 704 h 698"/>
                            <a:gd name="T92" fmla="+- 0 1918 1452"/>
                            <a:gd name="T93" fmla="*/ T92 w 1823"/>
                            <a:gd name="T94" fmla="+- 0 719 261"/>
                            <a:gd name="T95" fmla="*/ 719 h 698"/>
                            <a:gd name="T96" fmla="+- 0 1852 1452"/>
                            <a:gd name="T97" fmla="*/ T96 w 1823"/>
                            <a:gd name="T98" fmla="+- 0 682 261"/>
                            <a:gd name="T99" fmla="*/ 682 h 698"/>
                            <a:gd name="T100" fmla="+- 0 2901 1452"/>
                            <a:gd name="T101" fmla="*/ T100 w 1823"/>
                            <a:gd name="T102" fmla="+- 0 600 261"/>
                            <a:gd name="T103" fmla="*/ 600 h 698"/>
                            <a:gd name="T104" fmla="+- 0 2454 1452"/>
                            <a:gd name="T105" fmla="*/ T104 w 1823"/>
                            <a:gd name="T106" fmla="+- 0 662 261"/>
                            <a:gd name="T107" fmla="*/ 662 h 698"/>
                            <a:gd name="T108" fmla="+- 0 2158 1452"/>
                            <a:gd name="T109" fmla="*/ T108 w 1823"/>
                            <a:gd name="T110" fmla="+- 0 694 261"/>
                            <a:gd name="T111" fmla="*/ 694 h 698"/>
                            <a:gd name="T112" fmla="+- 0 2662 1452"/>
                            <a:gd name="T113" fmla="*/ T112 w 1823"/>
                            <a:gd name="T114" fmla="+- 0 653 261"/>
                            <a:gd name="T115" fmla="*/ 653 h 698"/>
                            <a:gd name="T116" fmla="+- 0 2975 1452"/>
                            <a:gd name="T117" fmla="*/ T116 w 1823"/>
                            <a:gd name="T118" fmla="+- 0 622 261"/>
                            <a:gd name="T119" fmla="*/ 622 h 698"/>
                            <a:gd name="T120" fmla="+- 0 2901 1452"/>
                            <a:gd name="T121" fmla="*/ T120 w 1823"/>
                            <a:gd name="T122" fmla="+- 0 600 261"/>
                            <a:gd name="T123" fmla="*/ 600 h 698"/>
                            <a:gd name="T124" fmla="+- 0 1720 1452"/>
                            <a:gd name="T125" fmla="*/ T124 w 1823"/>
                            <a:gd name="T126" fmla="+- 0 666 261"/>
                            <a:gd name="T127" fmla="*/ 666 h 698"/>
                            <a:gd name="T128" fmla="+- 0 1952 1452"/>
                            <a:gd name="T129" fmla="*/ T128 w 1823"/>
                            <a:gd name="T130" fmla="+- 0 291 261"/>
                            <a:gd name="T131" fmla="*/ 291 h 698"/>
                            <a:gd name="T132" fmla="+- 0 1983 1452"/>
                            <a:gd name="T133" fmla="*/ T132 w 1823"/>
                            <a:gd name="T134" fmla="+- 0 318 261"/>
                            <a:gd name="T135" fmla="*/ 318 h 698"/>
                            <a:gd name="T136" fmla="+- 0 2001 1452"/>
                            <a:gd name="T137" fmla="*/ T136 w 1823"/>
                            <a:gd name="T138" fmla="+- 0 404 261"/>
                            <a:gd name="T139" fmla="*/ 404 h 698"/>
                            <a:gd name="T140" fmla="+- 0 1966 1452"/>
                            <a:gd name="T141" fmla="*/ T140 w 1823"/>
                            <a:gd name="T142" fmla="+- 0 619 261"/>
                            <a:gd name="T143" fmla="*/ 619 h 698"/>
                            <a:gd name="T144" fmla="+- 0 1965 1452"/>
                            <a:gd name="T145" fmla="*/ T144 w 1823"/>
                            <a:gd name="T146" fmla="+- 0 680 261"/>
                            <a:gd name="T147" fmla="*/ 680 h 698"/>
                            <a:gd name="T148" fmla="+- 0 2030 1452"/>
                            <a:gd name="T149" fmla="*/ T148 w 1823"/>
                            <a:gd name="T150" fmla="+- 0 402 261"/>
                            <a:gd name="T151" fmla="*/ 402 h 698"/>
                            <a:gd name="T152" fmla="+- 0 2009 1452"/>
                            <a:gd name="T153" fmla="*/ T152 w 1823"/>
                            <a:gd name="T154" fmla="+- 0 306 261"/>
                            <a:gd name="T155" fmla="*/ 306 h 698"/>
                            <a:gd name="T156" fmla="+- 0 1682 1452"/>
                            <a:gd name="T157" fmla="*/ T156 w 1823"/>
                            <a:gd name="T158" fmla="+- 0 689 261"/>
                            <a:gd name="T159" fmla="*/ 689 h 698"/>
                            <a:gd name="T160" fmla="+- 0 1917 1452"/>
                            <a:gd name="T161" fmla="*/ T160 w 1823"/>
                            <a:gd name="T162" fmla="+- 0 268 261"/>
                            <a:gd name="T163" fmla="*/ 268 h 698"/>
                            <a:gd name="T164" fmla="+- 0 1858 1452"/>
                            <a:gd name="T165" fmla="*/ T164 w 1823"/>
                            <a:gd name="T166" fmla="+- 0 315 261"/>
                            <a:gd name="T167" fmla="*/ 315 h 698"/>
                            <a:gd name="T168" fmla="+- 0 1792 1452"/>
                            <a:gd name="T169" fmla="*/ T168 w 1823"/>
                            <a:gd name="T170" fmla="+- 0 409 261"/>
                            <a:gd name="T171" fmla="*/ 409 h 698"/>
                            <a:gd name="T172" fmla="+- 0 1736 1452"/>
                            <a:gd name="T173" fmla="*/ T172 w 1823"/>
                            <a:gd name="T174" fmla="+- 0 540 261"/>
                            <a:gd name="T175" fmla="*/ 540 h 698"/>
                            <a:gd name="T176" fmla="+- 0 1720 1452"/>
                            <a:gd name="T177" fmla="*/ T176 w 1823"/>
                            <a:gd name="T178" fmla="+- 0 666 261"/>
                            <a:gd name="T179" fmla="*/ 666 h 698"/>
                            <a:gd name="T180" fmla="+- 0 1798 1452"/>
                            <a:gd name="T181" fmla="*/ T180 w 1823"/>
                            <a:gd name="T182" fmla="+- 0 445 261"/>
                            <a:gd name="T183" fmla="*/ 445 h 698"/>
                            <a:gd name="T184" fmla="+- 0 1886 1452"/>
                            <a:gd name="T185" fmla="*/ T184 w 1823"/>
                            <a:gd name="T186" fmla="+- 0 323 261"/>
                            <a:gd name="T187" fmla="*/ 323 h 698"/>
                            <a:gd name="T188" fmla="+- 0 1938 1452"/>
                            <a:gd name="T189" fmla="*/ T188 w 1823"/>
                            <a:gd name="T190" fmla="+- 0 291 261"/>
                            <a:gd name="T191" fmla="*/ 291 h 698"/>
                            <a:gd name="T192" fmla="+- 0 1969 1452"/>
                            <a:gd name="T193" fmla="*/ T192 w 1823"/>
                            <a:gd name="T194" fmla="+- 0 266 261"/>
                            <a:gd name="T195" fmla="*/ 266 h 698"/>
                            <a:gd name="T196" fmla="+- 0 3050 1452"/>
                            <a:gd name="T197" fmla="*/ T196 w 1823"/>
                            <a:gd name="T198" fmla="+- 0 624 261"/>
                            <a:gd name="T199" fmla="*/ 624 h 698"/>
                            <a:gd name="T200" fmla="+- 0 3274 1452"/>
                            <a:gd name="T201" fmla="*/ T200 w 1823"/>
                            <a:gd name="T202" fmla="+- 0 654 261"/>
                            <a:gd name="T203" fmla="*/ 654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23" h="698">
                              <a:moveTo>
                                <a:pt x="217" y="403"/>
                              </a:moveTo>
                              <a:lnTo>
                                <a:pt x="202" y="403"/>
                              </a:lnTo>
                              <a:lnTo>
                                <a:pt x="187" y="405"/>
                              </a:lnTo>
                              <a:lnTo>
                                <a:pt x="173" y="407"/>
                              </a:lnTo>
                              <a:lnTo>
                                <a:pt x="158" y="410"/>
                              </a:lnTo>
                              <a:lnTo>
                                <a:pt x="144" y="414"/>
                              </a:lnTo>
                              <a:lnTo>
                                <a:pt x="117" y="425"/>
                              </a:lnTo>
                              <a:lnTo>
                                <a:pt x="91" y="438"/>
                              </a:lnTo>
                              <a:lnTo>
                                <a:pt x="67" y="455"/>
                              </a:lnTo>
                              <a:lnTo>
                                <a:pt x="45" y="474"/>
                              </a:lnTo>
                              <a:lnTo>
                                <a:pt x="26" y="497"/>
                              </a:lnTo>
                              <a:lnTo>
                                <a:pt x="12" y="523"/>
                              </a:lnTo>
                              <a:lnTo>
                                <a:pt x="3" y="551"/>
                              </a:lnTo>
                              <a:lnTo>
                                <a:pt x="0" y="581"/>
                              </a:lnTo>
                              <a:lnTo>
                                <a:pt x="4" y="610"/>
                              </a:lnTo>
                              <a:lnTo>
                                <a:pt x="16" y="638"/>
                              </a:lnTo>
                              <a:lnTo>
                                <a:pt x="33" y="661"/>
                              </a:lnTo>
                              <a:lnTo>
                                <a:pt x="57" y="680"/>
                              </a:lnTo>
                              <a:lnTo>
                                <a:pt x="84" y="691"/>
                              </a:lnTo>
                              <a:lnTo>
                                <a:pt x="112" y="697"/>
                              </a:lnTo>
                              <a:lnTo>
                                <a:pt x="141" y="698"/>
                              </a:lnTo>
                              <a:lnTo>
                                <a:pt x="169" y="695"/>
                              </a:lnTo>
                              <a:lnTo>
                                <a:pt x="197" y="689"/>
                              </a:lnTo>
                              <a:lnTo>
                                <a:pt x="203" y="687"/>
                              </a:lnTo>
                              <a:lnTo>
                                <a:pt x="141" y="687"/>
                              </a:lnTo>
                              <a:lnTo>
                                <a:pt x="113" y="686"/>
                              </a:lnTo>
                              <a:lnTo>
                                <a:pt x="87" y="681"/>
                              </a:lnTo>
                              <a:lnTo>
                                <a:pt x="62" y="670"/>
                              </a:lnTo>
                              <a:lnTo>
                                <a:pt x="42" y="653"/>
                              </a:lnTo>
                              <a:lnTo>
                                <a:pt x="26" y="632"/>
                              </a:lnTo>
                              <a:lnTo>
                                <a:pt x="17" y="607"/>
                              </a:lnTo>
                              <a:lnTo>
                                <a:pt x="14" y="581"/>
                              </a:lnTo>
                              <a:lnTo>
                                <a:pt x="17" y="555"/>
                              </a:lnTo>
                              <a:lnTo>
                                <a:pt x="26" y="530"/>
                              </a:lnTo>
                              <a:lnTo>
                                <a:pt x="40" y="507"/>
                              </a:lnTo>
                              <a:lnTo>
                                <a:pt x="58" y="487"/>
                              </a:lnTo>
                              <a:lnTo>
                                <a:pt x="78" y="470"/>
                              </a:lnTo>
                              <a:lnTo>
                                <a:pt x="101" y="456"/>
                              </a:lnTo>
                              <a:lnTo>
                                <a:pt x="125" y="444"/>
                              </a:lnTo>
                              <a:lnTo>
                                <a:pt x="151" y="436"/>
                              </a:lnTo>
                              <a:lnTo>
                                <a:pt x="177" y="430"/>
                              </a:lnTo>
                              <a:lnTo>
                                <a:pt x="203" y="428"/>
                              </a:lnTo>
                              <a:lnTo>
                                <a:pt x="256" y="428"/>
                              </a:lnTo>
                              <a:lnTo>
                                <a:pt x="257" y="404"/>
                              </a:lnTo>
                              <a:lnTo>
                                <a:pt x="246" y="403"/>
                              </a:lnTo>
                              <a:lnTo>
                                <a:pt x="231" y="403"/>
                              </a:lnTo>
                              <a:lnTo>
                                <a:pt x="217" y="403"/>
                              </a:lnTo>
                              <a:close/>
                              <a:moveTo>
                                <a:pt x="466" y="458"/>
                              </a:moveTo>
                              <a:lnTo>
                                <a:pt x="436" y="504"/>
                              </a:lnTo>
                              <a:lnTo>
                                <a:pt x="420" y="526"/>
                              </a:lnTo>
                              <a:lnTo>
                                <a:pt x="402" y="547"/>
                              </a:lnTo>
                              <a:lnTo>
                                <a:pt x="384" y="567"/>
                              </a:lnTo>
                              <a:lnTo>
                                <a:pt x="364" y="587"/>
                              </a:lnTo>
                              <a:lnTo>
                                <a:pt x="342" y="604"/>
                              </a:lnTo>
                              <a:lnTo>
                                <a:pt x="320" y="621"/>
                              </a:lnTo>
                              <a:lnTo>
                                <a:pt x="297" y="636"/>
                              </a:lnTo>
                              <a:lnTo>
                                <a:pt x="273" y="650"/>
                              </a:lnTo>
                              <a:lnTo>
                                <a:pt x="247" y="661"/>
                              </a:lnTo>
                              <a:lnTo>
                                <a:pt x="222" y="671"/>
                              </a:lnTo>
                              <a:lnTo>
                                <a:pt x="195" y="679"/>
                              </a:lnTo>
                              <a:lnTo>
                                <a:pt x="168" y="685"/>
                              </a:lnTo>
                              <a:lnTo>
                                <a:pt x="141" y="687"/>
                              </a:lnTo>
                              <a:lnTo>
                                <a:pt x="203" y="687"/>
                              </a:lnTo>
                              <a:lnTo>
                                <a:pt x="225" y="681"/>
                              </a:lnTo>
                              <a:lnTo>
                                <a:pt x="251" y="671"/>
                              </a:lnTo>
                              <a:lnTo>
                                <a:pt x="277" y="659"/>
                              </a:lnTo>
                              <a:lnTo>
                                <a:pt x="327" y="631"/>
                              </a:lnTo>
                              <a:lnTo>
                                <a:pt x="372" y="597"/>
                              </a:lnTo>
                              <a:lnTo>
                                <a:pt x="414" y="558"/>
                              </a:lnTo>
                              <a:lnTo>
                                <a:pt x="451" y="514"/>
                              </a:lnTo>
                              <a:lnTo>
                                <a:pt x="484" y="468"/>
                              </a:lnTo>
                              <a:lnTo>
                                <a:pt x="489" y="460"/>
                              </a:lnTo>
                              <a:lnTo>
                                <a:pt x="481" y="460"/>
                              </a:lnTo>
                              <a:lnTo>
                                <a:pt x="466" y="458"/>
                              </a:lnTo>
                              <a:close/>
                              <a:moveTo>
                                <a:pt x="255" y="430"/>
                              </a:moveTo>
                              <a:lnTo>
                                <a:pt x="254" y="444"/>
                              </a:lnTo>
                              <a:lnTo>
                                <a:pt x="254" y="448"/>
                              </a:lnTo>
                              <a:lnTo>
                                <a:pt x="256" y="503"/>
                              </a:lnTo>
                              <a:lnTo>
                                <a:pt x="256" y="504"/>
                              </a:lnTo>
                              <a:lnTo>
                                <a:pt x="257" y="504"/>
                              </a:lnTo>
                              <a:lnTo>
                                <a:pt x="258" y="504"/>
                              </a:lnTo>
                              <a:lnTo>
                                <a:pt x="259" y="504"/>
                              </a:lnTo>
                              <a:lnTo>
                                <a:pt x="259" y="503"/>
                              </a:lnTo>
                              <a:lnTo>
                                <a:pt x="262" y="447"/>
                              </a:lnTo>
                              <a:lnTo>
                                <a:pt x="264" y="431"/>
                              </a:lnTo>
                              <a:lnTo>
                                <a:pt x="258" y="430"/>
                              </a:lnTo>
                              <a:lnTo>
                                <a:pt x="255" y="430"/>
                              </a:lnTo>
                              <a:close/>
                              <a:moveTo>
                                <a:pt x="506" y="430"/>
                              </a:moveTo>
                              <a:lnTo>
                                <a:pt x="489" y="460"/>
                              </a:lnTo>
                              <a:lnTo>
                                <a:pt x="537" y="464"/>
                              </a:lnTo>
                              <a:lnTo>
                                <a:pt x="594" y="466"/>
                              </a:lnTo>
                              <a:lnTo>
                                <a:pt x="651" y="468"/>
                              </a:lnTo>
                              <a:lnTo>
                                <a:pt x="707" y="467"/>
                              </a:lnTo>
                              <a:lnTo>
                                <a:pt x="764" y="465"/>
                              </a:lnTo>
                              <a:lnTo>
                                <a:pt x="821" y="462"/>
                              </a:lnTo>
                              <a:lnTo>
                                <a:pt x="877" y="456"/>
                              </a:lnTo>
                              <a:lnTo>
                                <a:pt x="934" y="448"/>
                              </a:lnTo>
                              <a:lnTo>
                                <a:pt x="989" y="438"/>
                              </a:lnTo>
                              <a:lnTo>
                                <a:pt x="1010" y="434"/>
                              </a:lnTo>
                              <a:lnTo>
                                <a:pt x="651" y="434"/>
                              </a:lnTo>
                              <a:lnTo>
                                <a:pt x="595" y="434"/>
                              </a:lnTo>
                              <a:lnTo>
                                <a:pt x="539" y="432"/>
                              </a:lnTo>
                              <a:lnTo>
                                <a:pt x="506" y="430"/>
                              </a:lnTo>
                              <a:close/>
                              <a:moveTo>
                                <a:pt x="482" y="429"/>
                              </a:moveTo>
                              <a:lnTo>
                                <a:pt x="467" y="457"/>
                              </a:lnTo>
                              <a:lnTo>
                                <a:pt x="466" y="458"/>
                              </a:lnTo>
                              <a:lnTo>
                                <a:pt x="481" y="460"/>
                              </a:lnTo>
                              <a:lnTo>
                                <a:pt x="489" y="460"/>
                              </a:lnTo>
                              <a:lnTo>
                                <a:pt x="506" y="430"/>
                              </a:lnTo>
                              <a:lnTo>
                                <a:pt x="483" y="429"/>
                              </a:lnTo>
                              <a:lnTo>
                                <a:pt x="482" y="429"/>
                              </a:lnTo>
                              <a:close/>
                              <a:moveTo>
                                <a:pt x="268" y="405"/>
                              </a:moveTo>
                              <a:lnTo>
                                <a:pt x="264" y="431"/>
                              </a:lnTo>
                              <a:lnTo>
                                <a:pt x="285" y="434"/>
                              </a:lnTo>
                              <a:lnTo>
                                <a:pt x="340" y="443"/>
                              </a:lnTo>
                              <a:lnTo>
                                <a:pt x="369" y="447"/>
                              </a:lnTo>
                              <a:lnTo>
                                <a:pt x="396" y="451"/>
                              </a:lnTo>
                              <a:lnTo>
                                <a:pt x="425" y="454"/>
                              </a:lnTo>
                              <a:lnTo>
                                <a:pt x="453" y="457"/>
                              </a:lnTo>
                              <a:lnTo>
                                <a:pt x="466" y="458"/>
                              </a:lnTo>
                              <a:lnTo>
                                <a:pt x="467" y="457"/>
                              </a:lnTo>
                              <a:lnTo>
                                <a:pt x="482" y="429"/>
                              </a:lnTo>
                              <a:lnTo>
                                <a:pt x="456" y="427"/>
                              </a:lnTo>
                              <a:lnTo>
                                <a:pt x="428" y="424"/>
                              </a:lnTo>
                              <a:lnTo>
                                <a:pt x="400" y="421"/>
                              </a:lnTo>
                              <a:lnTo>
                                <a:pt x="372" y="418"/>
                              </a:lnTo>
                              <a:lnTo>
                                <a:pt x="345" y="415"/>
                              </a:lnTo>
                              <a:lnTo>
                                <a:pt x="289" y="407"/>
                              </a:lnTo>
                              <a:lnTo>
                                <a:pt x="268" y="405"/>
                              </a:lnTo>
                              <a:close/>
                              <a:moveTo>
                                <a:pt x="1449" y="339"/>
                              </a:moveTo>
                              <a:lnTo>
                                <a:pt x="1373" y="341"/>
                              </a:lnTo>
                              <a:lnTo>
                                <a:pt x="1297" y="348"/>
                              </a:lnTo>
                              <a:lnTo>
                                <a:pt x="1223" y="359"/>
                              </a:lnTo>
                              <a:lnTo>
                                <a:pt x="1149" y="373"/>
                              </a:lnTo>
                              <a:lnTo>
                                <a:pt x="1002" y="401"/>
                              </a:lnTo>
                              <a:lnTo>
                                <a:pt x="928" y="414"/>
                              </a:lnTo>
                              <a:lnTo>
                                <a:pt x="873" y="421"/>
                              </a:lnTo>
                              <a:lnTo>
                                <a:pt x="818" y="427"/>
                              </a:lnTo>
                              <a:lnTo>
                                <a:pt x="762" y="431"/>
                              </a:lnTo>
                              <a:lnTo>
                                <a:pt x="706" y="433"/>
                              </a:lnTo>
                              <a:lnTo>
                                <a:pt x="651" y="434"/>
                              </a:lnTo>
                              <a:lnTo>
                                <a:pt x="1010" y="434"/>
                              </a:lnTo>
                              <a:lnTo>
                                <a:pt x="1045" y="427"/>
                              </a:lnTo>
                              <a:lnTo>
                                <a:pt x="1073" y="421"/>
                              </a:lnTo>
                              <a:lnTo>
                                <a:pt x="1210" y="392"/>
                              </a:lnTo>
                              <a:lnTo>
                                <a:pt x="1265" y="382"/>
                              </a:lnTo>
                              <a:lnTo>
                                <a:pt x="1320" y="373"/>
                              </a:lnTo>
                              <a:lnTo>
                                <a:pt x="1375" y="367"/>
                              </a:lnTo>
                              <a:lnTo>
                                <a:pt x="1449" y="362"/>
                              </a:lnTo>
                              <a:lnTo>
                                <a:pt x="1523" y="361"/>
                              </a:lnTo>
                              <a:lnTo>
                                <a:pt x="1693" y="361"/>
                              </a:lnTo>
                              <a:lnTo>
                                <a:pt x="1674" y="357"/>
                              </a:lnTo>
                              <a:lnTo>
                                <a:pt x="1599" y="347"/>
                              </a:lnTo>
                              <a:lnTo>
                                <a:pt x="1524" y="341"/>
                              </a:lnTo>
                              <a:lnTo>
                                <a:pt x="1449" y="339"/>
                              </a:lnTo>
                              <a:close/>
                              <a:moveTo>
                                <a:pt x="257" y="404"/>
                              </a:moveTo>
                              <a:lnTo>
                                <a:pt x="255" y="430"/>
                              </a:lnTo>
                              <a:lnTo>
                                <a:pt x="258" y="430"/>
                              </a:lnTo>
                              <a:lnTo>
                                <a:pt x="264" y="431"/>
                              </a:lnTo>
                              <a:lnTo>
                                <a:pt x="268" y="405"/>
                              </a:lnTo>
                              <a:lnTo>
                                <a:pt x="260" y="404"/>
                              </a:lnTo>
                              <a:lnTo>
                                <a:pt x="257" y="404"/>
                              </a:lnTo>
                              <a:close/>
                              <a:moveTo>
                                <a:pt x="547" y="29"/>
                              </a:moveTo>
                              <a:lnTo>
                                <a:pt x="494" y="29"/>
                              </a:lnTo>
                              <a:lnTo>
                                <a:pt x="500" y="30"/>
                              </a:lnTo>
                              <a:lnTo>
                                <a:pt x="507" y="32"/>
                              </a:lnTo>
                              <a:lnTo>
                                <a:pt x="513" y="34"/>
                              </a:lnTo>
                              <a:lnTo>
                                <a:pt x="518" y="38"/>
                              </a:lnTo>
                              <a:lnTo>
                                <a:pt x="527" y="50"/>
                              </a:lnTo>
                              <a:lnTo>
                                <a:pt x="531" y="57"/>
                              </a:lnTo>
                              <a:lnTo>
                                <a:pt x="534" y="65"/>
                              </a:lnTo>
                              <a:lnTo>
                                <a:pt x="536" y="72"/>
                              </a:lnTo>
                              <a:lnTo>
                                <a:pt x="539" y="82"/>
                              </a:lnTo>
                              <a:lnTo>
                                <a:pt x="541" y="90"/>
                              </a:lnTo>
                              <a:lnTo>
                                <a:pt x="549" y="143"/>
                              </a:lnTo>
                              <a:lnTo>
                                <a:pt x="549" y="174"/>
                              </a:lnTo>
                              <a:lnTo>
                                <a:pt x="549" y="199"/>
                              </a:lnTo>
                              <a:lnTo>
                                <a:pt x="543" y="252"/>
                              </a:lnTo>
                              <a:lnTo>
                                <a:pt x="531" y="305"/>
                              </a:lnTo>
                              <a:lnTo>
                                <a:pt x="514" y="358"/>
                              </a:lnTo>
                              <a:lnTo>
                                <a:pt x="493" y="408"/>
                              </a:lnTo>
                              <a:lnTo>
                                <a:pt x="482" y="429"/>
                              </a:lnTo>
                              <a:lnTo>
                                <a:pt x="483" y="429"/>
                              </a:lnTo>
                              <a:lnTo>
                                <a:pt x="506" y="430"/>
                              </a:lnTo>
                              <a:lnTo>
                                <a:pt x="513" y="419"/>
                              </a:lnTo>
                              <a:lnTo>
                                <a:pt x="538" y="367"/>
                              </a:lnTo>
                              <a:lnTo>
                                <a:pt x="557" y="313"/>
                              </a:lnTo>
                              <a:lnTo>
                                <a:pt x="571" y="257"/>
                              </a:lnTo>
                              <a:lnTo>
                                <a:pt x="578" y="200"/>
                              </a:lnTo>
                              <a:lnTo>
                                <a:pt x="578" y="141"/>
                              </a:lnTo>
                              <a:lnTo>
                                <a:pt x="569" y="83"/>
                              </a:lnTo>
                              <a:lnTo>
                                <a:pt x="567" y="74"/>
                              </a:lnTo>
                              <a:lnTo>
                                <a:pt x="564" y="64"/>
                              </a:lnTo>
                              <a:lnTo>
                                <a:pt x="561" y="55"/>
                              </a:lnTo>
                              <a:lnTo>
                                <a:pt x="557" y="45"/>
                              </a:lnTo>
                              <a:lnTo>
                                <a:pt x="552" y="35"/>
                              </a:lnTo>
                              <a:lnTo>
                                <a:pt x="547" y="29"/>
                              </a:lnTo>
                              <a:close/>
                              <a:moveTo>
                                <a:pt x="256" y="428"/>
                              </a:moveTo>
                              <a:lnTo>
                                <a:pt x="203" y="428"/>
                              </a:lnTo>
                              <a:lnTo>
                                <a:pt x="230" y="428"/>
                              </a:lnTo>
                              <a:lnTo>
                                <a:pt x="255" y="430"/>
                              </a:lnTo>
                              <a:lnTo>
                                <a:pt x="256" y="428"/>
                              </a:lnTo>
                              <a:close/>
                              <a:moveTo>
                                <a:pt x="493" y="0"/>
                              </a:moveTo>
                              <a:lnTo>
                                <a:pt x="482" y="2"/>
                              </a:lnTo>
                              <a:lnTo>
                                <a:pt x="465" y="7"/>
                              </a:lnTo>
                              <a:lnTo>
                                <a:pt x="451" y="15"/>
                              </a:lnTo>
                              <a:lnTo>
                                <a:pt x="438" y="23"/>
                              </a:lnTo>
                              <a:lnTo>
                                <a:pt x="426" y="33"/>
                              </a:lnTo>
                              <a:lnTo>
                                <a:pt x="416" y="43"/>
                              </a:lnTo>
                              <a:lnTo>
                                <a:pt x="406" y="54"/>
                              </a:lnTo>
                              <a:lnTo>
                                <a:pt x="396" y="65"/>
                              </a:lnTo>
                              <a:lnTo>
                                <a:pt x="387" y="76"/>
                              </a:lnTo>
                              <a:lnTo>
                                <a:pt x="370" y="99"/>
                              </a:lnTo>
                              <a:lnTo>
                                <a:pt x="354" y="123"/>
                              </a:lnTo>
                              <a:lnTo>
                                <a:pt x="340" y="148"/>
                              </a:lnTo>
                              <a:lnTo>
                                <a:pt x="327" y="174"/>
                              </a:lnTo>
                              <a:lnTo>
                                <a:pt x="315" y="200"/>
                              </a:lnTo>
                              <a:lnTo>
                                <a:pt x="304" y="226"/>
                              </a:lnTo>
                              <a:lnTo>
                                <a:pt x="294" y="252"/>
                              </a:lnTo>
                              <a:lnTo>
                                <a:pt x="284" y="279"/>
                              </a:lnTo>
                              <a:lnTo>
                                <a:pt x="269" y="334"/>
                              </a:lnTo>
                              <a:lnTo>
                                <a:pt x="259" y="390"/>
                              </a:lnTo>
                              <a:lnTo>
                                <a:pt x="257" y="404"/>
                              </a:lnTo>
                              <a:lnTo>
                                <a:pt x="260" y="404"/>
                              </a:lnTo>
                              <a:lnTo>
                                <a:pt x="268" y="405"/>
                              </a:lnTo>
                              <a:lnTo>
                                <a:pt x="270" y="392"/>
                              </a:lnTo>
                              <a:lnTo>
                                <a:pt x="283" y="338"/>
                              </a:lnTo>
                              <a:lnTo>
                                <a:pt x="300" y="285"/>
                              </a:lnTo>
                              <a:lnTo>
                                <a:pt x="322" y="234"/>
                              </a:lnTo>
                              <a:lnTo>
                                <a:pt x="346" y="184"/>
                              </a:lnTo>
                              <a:lnTo>
                                <a:pt x="375" y="136"/>
                              </a:lnTo>
                              <a:lnTo>
                                <a:pt x="407" y="92"/>
                              </a:lnTo>
                              <a:lnTo>
                                <a:pt x="416" y="82"/>
                              </a:lnTo>
                              <a:lnTo>
                                <a:pt x="425" y="72"/>
                              </a:lnTo>
                              <a:lnTo>
                                <a:pt x="434" y="62"/>
                              </a:lnTo>
                              <a:lnTo>
                                <a:pt x="444" y="53"/>
                              </a:lnTo>
                              <a:lnTo>
                                <a:pt x="454" y="45"/>
                              </a:lnTo>
                              <a:lnTo>
                                <a:pt x="465" y="38"/>
                              </a:lnTo>
                              <a:lnTo>
                                <a:pt x="476" y="33"/>
                              </a:lnTo>
                              <a:lnTo>
                                <a:pt x="486" y="30"/>
                              </a:lnTo>
                              <a:lnTo>
                                <a:pt x="494" y="29"/>
                              </a:lnTo>
                              <a:lnTo>
                                <a:pt x="547" y="29"/>
                              </a:lnTo>
                              <a:lnTo>
                                <a:pt x="538" y="17"/>
                              </a:lnTo>
                              <a:lnTo>
                                <a:pt x="528" y="9"/>
                              </a:lnTo>
                              <a:lnTo>
                                <a:pt x="517" y="5"/>
                              </a:lnTo>
                              <a:lnTo>
                                <a:pt x="505" y="1"/>
                              </a:lnTo>
                              <a:lnTo>
                                <a:pt x="493" y="0"/>
                              </a:lnTo>
                              <a:close/>
                              <a:moveTo>
                                <a:pt x="1693" y="361"/>
                              </a:moveTo>
                              <a:lnTo>
                                <a:pt x="1523" y="361"/>
                              </a:lnTo>
                              <a:lnTo>
                                <a:pt x="1598" y="363"/>
                              </a:lnTo>
                              <a:lnTo>
                                <a:pt x="1672" y="370"/>
                              </a:lnTo>
                              <a:lnTo>
                                <a:pt x="1746" y="380"/>
                              </a:lnTo>
                              <a:lnTo>
                                <a:pt x="1820" y="393"/>
                              </a:lnTo>
                              <a:lnTo>
                                <a:pt x="1821" y="393"/>
                              </a:lnTo>
                              <a:lnTo>
                                <a:pt x="1822" y="393"/>
                              </a:lnTo>
                              <a:lnTo>
                                <a:pt x="1822" y="391"/>
                              </a:lnTo>
                              <a:lnTo>
                                <a:pt x="1822" y="390"/>
                              </a:lnTo>
                              <a:lnTo>
                                <a:pt x="1748" y="371"/>
                              </a:lnTo>
                              <a:lnTo>
                                <a:pt x="1693" y="3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B7B7D" id="AutoShape 36" o:spid="_x0000_s1026" alt="Signature" style="position:absolute;margin-left:58.9pt;margin-top:40.85pt;width:91.15pt;height:34.9pt;z-index:2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eJUhEAAD5XAAAOAAAAZHJzL2Uyb0RvYy54bWysXNtuI7kRfQ+QfxD0mGDWIpt9M9azyO5m&#10;ggCbZIHtfIBGksdCbMmRNOPZBPn3nGJXtcgWbwgyD6Y9fZpdrFNVrCLZ/e13X1+eF192p/P+eHhY&#10;qm9Wy8XusDlu94dPD8u/Dx/edcvF+bI+bNfPx8PuYfnr7rz87v1vf/Pt2+v9Th+fjs/b3WmBTg7n&#10;+7fXh+XT5fJ6f3d33jztXtbnb46vuwMuPh5PL+sL/jx9utue1m/o/eX5Tq9Wzd3b8bR9PR03u/MZ&#10;//vjeHH53vb/+LjbXP72+HjeXRbPD0vIdrE/T/bnR/p59/7b9f2n0/r1ab9hMdb/gxQv6/0BD526&#10;+nF9WS8+n/Y3Xb3sN6fj+fh4+WZzfLk7Pj7uNzs7BoxGrWaj+eVp/bqzY4Fyzq+Tms7/v243f/3y&#10;82mx3z4sm+XisH4BRX/4fDnaJy8q/N92d95AX7/sPx3Wl8+nHWns7fV8jxt/ef35RGM+v/503Pzj&#10;jAt33hX64wzM4uPbX45b9LxGz1ZLXx9PL3Qnxr/4asn4dSJj9/Wy2OA/larbZlUvFxtcM6bSlWXr&#10;bn0vd28+ny9/2h1tT+svP50vI5lb/Gap2PKABhD/+PIMXn//brFaqEbhh6k1kz/BlMB+d7cYVou3&#10;hep0NQdpAdm+mlYtdKPmoEpA6IkgT4um7+YgI6BRKtO3QamggVF4kspEpAJRzgjbqg5J1QoIPREk&#10;KBX81ekJamqCUvUCI6m6iFTKV3wXVpZy9U6YoFzKV7yqGxMUTLm6H5SOieZrv6+7kMaUq3zChEXz&#10;ta/qvgqL5hIwqCYmmk9Bb8KiuQwQJiia9hlQpu2CommXg0FHjd8nocNAA9YPp7maLGHCovkMKNPr&#10;sGguB4OOeYD2SWiboNa0SwFhwqL5DKhmFSZUuxwMOuYGCFyuTzVw9IDWKpcCwgRFq3wGFOJKUGuV&#10;y8FQxdyg8klo4FQh0VwKCBMWzWdAdW2Y0MrlYKhiblD5JLRdWGsuBYQJimZ8BlQbEc24HAwm5gbG&#10;J6HrdEhrxqWAMGHRfAZUY8LTgHE5GEzMDYxPQo8xBAg1LgWECYvmM6DaiBsYl4MBoSg8c9Y+CT2M&#10;MiBa7VJAmKBomLxdl1J9RLTa5WCoY25Q+yS0bXD+rF0KCBMWzWcAWgsTWrscDJhmI1rzSWj6YMJR&#10;uxQQJiha4zMA0fpg8EBCcw3gQxNzg8YnoW2CWmtcCggTFs1nQLWYHkM5WuNyMCAUhbXW+CQ0mFsC&#10;tta4FBAmLJrPgOq7iNZcDgbMLWHRWp+EVge11roUECYoWuszoHUbnqhal4MBwS8imk9Cq4PTe+tS&#10;QJiwaD4DWkU8tHU5GNqYG7Q+CU0f1ppLAWGConU+A6pXYUI7l4Ohi7lB55PQqmDm0bkUECYsms+A&#10;6pGmh9ygczkYupgbdD4JTR+cDTqXAsKERfMZUG0kX+tcDoYu5ga9T0K7CmYevUsBYYKi9T4DIDSc&#10;FPUuBwPkD7tB75PQwjwCwaN3KSBMWDSfAdVhDgoR2rscDH3MDVBFuvNeE848epcCwgRFUyufAt2v&#10;VFA2tXJZGHBfRHFq5RPRABnQHEKBjILqY4Ai8vk8aFNHSj5aJbjWyApmEiZWrXw2miY4LaiVSwaB&#10;IvL5ZGiFAjHErVq5fEB/MZ9Qs4K56YNOobyKmUBh+WYls6aRBOWb1czxoln5jDR1cILAyo3DB4Ei&#10;8vls6B4pVVg+l49BxStn5TPS6DC/yuWDQGH5ZsVz3D/86llFy2ely/zDK6Dj/qF9NlSLBwf1p10+&#10;sCYS9Y9ZEd00TdB/vSqaQBH9+WyoPhL7lF9Hq2ghrWaVtA4nw8orpQkUlm9eS/ddOHtSfjGtotW0&#10;mpXTVTgVUJXLB4Ei8s38YxWLz35FraIltZrV1CY86arK9Q8CheWbV9U9LCFof35ZraJ1tZoV1k14&#10;5lVeZU2giHwz/+hRfITlc/kYVLS4VrPqukFOGJrfvPKaQBH5fP/Qqyriv36BraIVtpqV2GYVjn9e&#10;jU2gsHyzIhvbLeE8WflVtoqW2WpWZ1ercHzxCm0CReTz/UNRphPk1y+1sXQcyw9qn5EGlV6IX7/a&#10;Bigs37zc7lUbls+vt7HcGJNvVnHr8CKn8kpuAkXkm/lHF8tf/KIbS1RR+XxGKhWs0pRXdxMoIp/P&#10;RrTiwCKok29gYT2aX81qbwODDvHrFd8ECss3q75Vi8AbtD+//MY8HdNf6zNSh1fvlFeBEygin89G&#10;PD/wa3AVLcLVvAqP5Aety0c8P5jX4W1kLVv5hbiKVuLYrxNDsHtqxoTtz6vFCRTWX+ezobouwq9f&#10;jatoOa5m9Tj2NIP25xXkBIrIN/OPvorUH35JjnHE7G9WlMfyK68qj+dXN2V5E5k//LpcRQtzNavM&#10;UdEE9eeV5gQK66/3/aNa1ZH51y/OVbQ6x9KgZ38NMu1QfPHrc4CC8mG+9XqrdBuuf3FyQIC0G4v7&#10;IvzqeX2OgjogHxIRp78GoEk+7L5/kv319ZNsuW++HnjPHb8t1nT0Y2X3+V+PZ9rfHyAfNvEHu5mO&#10;LoCiDfoIGMkYgVvaL8+CEWkIjIq4BE2FroXXZXDUnRbeF8GpDCT4eGggKzpVZRZeNlIqkgiO4qZk&#10;qFSzWHjZUKmEsPCyoVJGT3Bk4iXC0OaVhZcNlfJdgiNPLemd0k8LLxsqZYMWXjZUSs4IjqSqRBjK&#10;lSy8bKiUuhAcKUdJ75RJWHjZUGlit/CyodI8S3DMjyXC0LRn4WVDpVmI4Jg9SnqnScHCy4ZKMdrC&#10;y4Zq1zQJT4uRJeIoWmQcbygbrl31szeUBqcpOmH9rEgkxWNWWNAqukEilCoMUUpilMKST9kTmGRa&#10;gym6QeIULYqU3SCDxipF0Q0Sq2jZoOwGYRp1fNkNMujCgGULZmsaqHSLniAxC2eLym6QqEW1YNET&#10;JG5RcVZ2gwy6MHShPGIHQvlS9ASJXij8ym6Q+KUKAxh2Y1gkZNxFIkkMwxZT2Q0SxbD4WXiDmDeS&#10;xBKRbPJHtkRZm3PDmH5wWnbCOdj5CdjTcoETsB/pnvX96/pC2Zz8unjD+Us6/Lh4wsFQZLV04eX4&#10;ZTccLeRCWZ3m8GOmB18RzwcPSXknZLwi5bq0r7ZHHBlinChLrkvLODYlg42acchyXVrG0XoOPRf7&#10;KkmcQaVncSaNkxEjLKb6o/qIusNyawpGyyAEm4KASC/tOApOngwWB1K90do99YaJMAWjTSHA6mkG&#10;kIdJOz509NV6CmhyVdoRhQKF+oLfpR45KhenbpMoNcrfZJTG80WDAJd6JgdMLL4mYVTiYwQ4MZOE&#10;KdYajuWlcTzX8Glf+KDoS1o2TE77cEQh3R9nNViITOJsxUbjmOKYPE9afq7Il8NxKtJgwSKlZfbX&#10;JmMAtGxJ0mH5LdUbrf4TDPl8CsaG3mD7JgVjX21yMWK0gJwNc291xldZtno6qy76l3bkgXZOMNI6&#10;I5uErwxbtCqH3kxGvZLy4kh3WnGc9BlExaSCaRuBnovXBJI4nsdNRilixEanw6aG/Pa5WZzMJulx&#10;aNrVoXFM85iQJe1ImqZtxRKczBI3/W2ej+cdVHU7lxo6sEZ9g/JRl7G5lLRNyHqVHpWh3WvCwSRT&#10;7GD7Z8RNya6MWtpx9BWHynrKD+W6tIxrxKHSobISb8+Mo+JxNKhdUuPA6QE7jiZjjTgiN+KwV5bs&#10;jzbxoL/cRKNpT59wUxos+pB21AslgCMuHcqxezHikJum5FOFoVy8Kjc1aPb6XCzX7PW58Wr2+maq&#10;WEQf0rK90GEC0t9UMMp1aRlHuy1kz5kp2NAZFcJNniT9SDv2Z3gcNfApPRu2ewNe0rixHjLY9Uvj&#10;OIrkcDcRQeSPRxFNG6cY+zXSxqKIpp1YQmZi/BWXHr3E5Pom5onUo9avuLTWNedvuSineYrM40Z2&#10;ynG5HGS0RpOJmpqjoclYt4zjypzoTVrR35xhuR63ippOvRVZheHyNmfDNa8WG4wuZes17dfQk2HL&#10;KVwjmUTGx3CUnvtLzy2taB2LGqnndrweZpCgJnGSwWQyp57O/1ivSnsLTpAzI2kcMrZxEjfoOCXg&#10;pMAMruZJKNdfTSeArMmkFXNrWnlzNLRJS31jQ2McUyxImalATtN9mzyJFNJyyOf1oZx5F7vBjWPJ&#10;86SV544px3XEcl1awc01I9fjzo3THaM2sTyd1mZxKOJFsZyNVFzE4NXcpG1WXOvmQmVF27FkFwgG&#10;KVs3Up5gCkvieFvIYCpJ4qITrWif2Sm1xhv7ln6k5f6mMiYjH8qc0V8y46XtYutXaf1VnEgZHJZN&#10;6aWSdadpN0Lkl3Ych5Zglilmby1V+olbN47ijYGomhb7Y8FCVZzYV0iMU+PCadNxFqlMWgE4rTv6&#10;bZVJYRXeXbWqJxGSj15NC6FpGXvhPJOcdrIQmimOOjoYbW0jbWstr9Tk0pV2inzpAZfOS8UTHc72&#10;cwI0bUiJFUk7WiXO8EvQTata4c2kkTwcV0mSp3mLpIKDJ4FSsmbNoaKDXKClytTUVzfIJCo4eskm&#10;m1kexZG5UiCdSSMZM2EUO1PsBJmUGDJyjzlHvXV+4TgeMaRwwKllJikWMG6LJeldWo5vsgqXW76S&#10;pDOX6t/M2PI8afm5dHyUfHYaiVyXVuTjpPgGF9dSzYsb+RSMM/gJKM+WdpSh5rknoyJa77S2lHag&#10;mlefc8ksB7XMhkHNCwyZ9Z6aV/cyZl5zip+pLGpepcNcmwoVkmdnIkrNaz04npfsjaeh60a3sCQt&#10;syW4zI5SLbhpK1L6kVb6G2OJHj+pEt31EBXjoF16HLyEU+WWcDiGmVV6Ir+tOER+acdxGDoXamdJ&#10;qUzkurRi7fOCWq5Lyzi2YzMdz5Dr0jKOXssomAZqXhSp0G/SDuj8MvqjWJjGjc+lg4YlOFpyTOI4&#10;059232WY0vJwOZHOWR/H09waA590yGzMiO6QPiSHQO88EBUZ2Dx+ygjjIVdWvq67G9GJCWtooxmm&#10;zZo+iFSEu1kVFGmlHXm5lVCux0dl2AXFgGJjEhdMh0PDGVbabGXlNlOX0O679YK0sxjessO+csow&#10;DG9PZ4pdw4lxpjaVWjczi1S8v9qml88qeq0BRpsJ0xWv+V4Pfwm/0o52IIU93jNKqgTnke1jVcaR&#10;8YLHSEQmzFRIYCxhmR0rLTlJZrrRvHKvp+NDMk5p2e45bFWZfEPTaz8UGzLT8G0KKs+TVp5bmOCV&#10;JoxsBlWmkNE8zVWZxKnipE5ndqIq3gHTGf1VvM+K9yPSdsVVEd5jTOLo9I81+0xQYc/N5FiyrJTJ&#10;2GhVjB6aKcRoX4VgmaMMeKPdwjKzksTFDGEGccIaaCaU0VsoZMcStMUspR3N04ibZZKh2FTo91Zz&#10;NMbeeCrM1rzwkXmmnMZI98UndtNJy3wGE7Hjc16gdo5Ne+X1eE2vjhAp03lNEUTakRUcz+QMJXfa&#10;o2V3qzJHoHDOb4xDFebyFDcAjnllAZBlzPcowDRJeLQA00aLuYj1mNuOjy+ACPOoY+hYpH0JZTof&#10;Sccqnc9Ono/P++2H/fMzHeo4nz59/OH5tPiypo+N2n+sUA/2bF9+ORzpNtE33Y4PX/IRTPoEpv14&#10;6L97vKy/+l737z5g//6d+WDqd3276t6tVP9936zgoz9++A+dzlTm/mm/3e4OP+0PO/mQqTJlHwrl&#10;T6qOnyC1nzKlA6B4Xb+2Bz896QsHeTp+PmwxuvX90269/SP/flnvn8ff73yJrZIxbGmtIuzXROkD&#10;ouMXRz8et7/iY6Kn4/gRV3x0Fr88HU//Wi7e8AHXh+X5n5/X+EDp4vnPB3whtceqGQz7Yv/AJgBZ&#10;+cm98tG9sj5s0NXD8rLE+0v06w8X/IVbPr+e9p+e8CRldXE40udRH/f0rVEr3ygV/4GPtNoR8Adl&#10;6Suw7t8Wdf3s7fv/CgAAAP//AwBQSwMEFAAGAAgAAAAhABINHDDeAAAACgEAAA8AAABkcnMvZG93&#10;bnJldi54bWxMj8tOwzAURPdI/IN1kdhR20BpFeJUCIlXd2lBbJ34kkT4EdlOG/h6LitYjmY0c6bc&#10;zM6yA8Y0BK9ALgQw9G0wg+8UvO4fLtbAUtbeaBs8KvjCBJvq9KTUhQlHX+NhlztGJT4VWkGf81hw&#10;ntoenU6LMKIn7yNEpzPJ2HET9ZHKneWXQtxwpwdPC70e8b7H9nM3OQWPJr53xojn5jp+b5/q+u1l&#10;P1mlzs/mu1tgGef8F4ZffEKHipiaMHmTmCUtV4SeFazlChgFroSQwBpylnIJvCr5/wvVDwAAAP//&#10;AwBQSwECLQAUAAYACAAAACEAtoM4kv4AAADhAQAAEwAAAAAAAAAAAAAAAAAAAAAAW0NvbnRlbnRf&#10;VHlwZXNdLnhtbFBLAQItABQABgAIAAAAIQA4/SH/1gAAAJQBAAALAAAAAAAAAAAAAAAAAC8BAABf&#10;cmVscy8ucmVsc1BLAQItABQABgAIAAAAIQDoYUeJUhEAAD5XAAAOAAAAAAAAAAAAAAAAAC4CAABk&#10;cnMvZTJvRG9jLnhtbFBLAQItABQABgAIAAAAIQASDRww3gAAAAoBAAAPAAAAAAAAAAAAAAAAAKwT&#10;AABkcnMvZG93bnJldi54bWxQSwUGAAAAAAQABADzAAAAtxQAAAAA&#10;" path="m217,403r-15,l187,405r-14,2l158,410r-14,4l117,425,91,438,67,455,45,474,26,497,12,523,3,551,,581r4,29l16,638r17,23l57,680r27,11l112,697r29,1l169,695r28,-6l203,687r-62,l113,686,87,681,62,670,42,653,26,632,17,607,14,581r3,-26l26,530,40,507,58,487,78,470r23,-14l125,444r26,-8l177,430r26,-2l256,428r1,-24l246,403r-15,l217,403xm466,458r-30,46l420,526r-18,21l384,567r-20,20l342,604r-22,17l297,636r-24,14l247,661r-25,10l195,679r-27,6l141,687r62,l225,681r26,-10l277,659r50,-28l372,597r42,-39l451,514r33,-46l489,460r-8,l466,458xm255,430r-1,14l254,448r2,55l256,504r1,l258,504r1,l259,503r3,-56l264,431r-6,-1l255,430xm506,430r-17,30l537,464r57,2l651,468r56,-1l764,465r57,-3l877,456r57,-8l989,438r21,-4l651,434r-56,l539,432r-33,-2xm482,429r-15,28l466,458r15,2l489,460r17,-30l483,429r-1,xm268,405r-4,26l285,434r55,9l369,447r27,4l425,454r28,3l466,458r1,-1l482,429r-26,-2l428,424r-28,-3l372,418r-27,-3l289,407r-21,-2xm1449,339r-76,2l1297,348r-74,11l1149,373r-147,28l928,414r-55,7l818,427r-56,4l706,433r-55,1l1010,434r35,-7l1073,421r137,-29l1265,382r55,-9l1375,367r74,-5l1523,361r170,l1674,357r-75,-10l1524,341r-75,-2xm257,404r-2,26l258,430r6,1l268,405r-8,-1l257,404xm547,29r-53,l500,30r7,2l513,34r5,4l527,50r4,7l534,65r2,7l539,82r2,8l549,143r,31l549,199r-6,53l531,305r-17,53l493,408r-11,21l483,429r23,1l513,419r25,-52l557,313r14,-56l578,200r,-59l569,83r-2,-9l564,64r-3,-9l557,45,552,35r-5,-6xm256,428r-53,l230,428r25,2l256,428xm493,l482,2,465,7r-14,8l438,23,426,33,416,43,406,54,396,65r-9,11l370,99r-16,24l340,148r-13,26l315,200r-11,26l294,252r-10,27l269,334r-10,56l257,404r3,l268,405r2,-13l283,338r17,-53l322,234r24,-50l375,136,407,92r9,-10l425,72r9,-10l444,53r10,-8l465,38r11,-5l486,30r8,-1l547,29,538,17,528,9,517,5,505,1,493,xm1693,361r-170,l1598,363r74,7l1746,380r74,13l1821,393r1,l1822,391r,-1l1748,371r-55,-10xe" fillcolor="black" stroked="f">
                <v:path arrowok="t" o:connecttype="custom" o:connectlocs="100330,426085;28575,466725;2540,553085;71120,608330;89535,601980;16510,567055;25400,487680;95885,442595;156210,421640;266700,499745;203200,560070;123825,596900;159385,591820;286385,492125;161925,438785;163195,485775;167640,439420;340995,460375;521335,459105;413385,441325;296545,455930;306705,438150;215900,447040;295910,456565;254000,433070;920115,381000;636270,420370;448310,440690;768350,414655;967105,394970;920115,381000;170180,422910;317500,184785;337185,201930;348615,256540;326390,393065;325755,431800;367030,255270;353695,194310;146050,437515;295275,170180;257810,200025;215900,259715;180340,342900;170180,422910;219710,282575;275590,205105;308610,184785;328295,168910;1014730,396240;1156970,415290" o:connectangles="0,0,0,0,0,0,0,0,0,0,0,0,0,0,0,0,0,0,0,0,0,0,0,0,0,0,0,0,0,0,0,0,0,0,0,0,0,0,0,0,0,0,0,0,0,0,0,0,0,0,0"/>
                <w10:wrap type="topAndBottom" anchorx="page"/>
              </v:shape>
            </w:pict>
          </mc:Fallback>
        </mc:AlternateContent>
      </w:r>
      <w:r w:rsidR="00961020">
        <w:t>In our opinion, at the date of this statement, there are reasonable grounds to believe that the Independent Hospital Pricing Authority will be able to pay its debts as and when they fall due.</w:t>
      </w:r>
    </w:p>
    <w:p w:rsidR="00D840DF" w:rsidRDefault="00961020" w:rsidP="008D2169">
      <w:pPr>
        <w:pStyle w:val="BodyText"/>
      </w:pPr>
      <w:r>
        <w:t>Signed</w:t>
      </w:r>
    </w:p>
    <w:p w:rsidR="00D840DF" w:rsidRDefault="00E14BA1" w:rsidP="008D2169">
      <w:pPr>
        <w:pStyle w:val="BodyText"/>
      </w:pPr>
      <w:r>
        <w:rPr>
          <w:noProof/>
        </w:rPr>
        <w:drawing>
          <wp:anchor distT="0" distB="0" distL="0" distR="0" simplePos="0" relativeHeight="251640320" behindDoc="0" locked="0" layoutInCell="1" allowOverlap="1">
            <wp:simplePos x="0" y="0"/>
            <wp:positionH relativeFrom="page">
              <wp:posOffset>770255</wp:posOffset>
            </wp:positionH>
            <wp:positionV relativeFrom="paragraph">
              <wp:posOffset>774700</wp:posOffset>
            </wp:positionV>
            <wp:extent cx="701675" cy="702945"/>
            <wp:effectExtent l="0" t="0" r="3175" b="1905"/>
            <wp:wrapTopAndBottom/>
            <wp:docPr id="180" name="image23.png"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Signatu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167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020">
        <w:rPr>
          <w:rFonts w:ascii="Futura PT Bold"/>
          <w:b/>
          <w:color w:val="003E2D"/>
        </w:rPr>
        <w:t>James</w:t>
      </w:r>
      <w:r w:rsidR="00E314B6">
        <w:rPr>
          <w:rFonts w:ascii="Futura PT Bold"/>
          <w:b/>
          <w:color w:val="003E2D"/>
        </w:rPr>
        <w:t xml:space="preserve"> </w:t>
      </w:r>
      <w:proofErr w:type="spellStart"/>
      <w:r w:rsidR="00961020">
        <w:rPr>
          <w:rFonts w:ascii="Futura PT Bold"/>
          <w:b/>
          <w:color w:val="003E2D"/>
        </w:rPr>
        <w:t>Downie</w:t>
      </w:r>
      <w:proofErr w:type="spellEnd"/>
      <w:r w:rsidR="00961020">
        <w:rPr>
          <w:rFonts w:ascii="Futura PT Bold"/>
          <w:b/>
          <w:color w:val="003E2D"/>
        </w:rPr>
        <w:t xml:space="preserve"> </w:t>
      </w:r>
      <w:r w:rsidR="008D2169">
        <w:rPr>
          <w:rFonts w:ascii="Futura PT Bold"/>
          <w:b/>
          <w:color w:val="003E2D"/>
        </w:rPr>
        <w:br/>
      </w:r>
      <w:r w:rsidR="00961020">
        <w:t xml:space="preserve">Chief Executive Officer </w:t>
      </w:r>
      <w:r w:rsidR="008D2169">
        <w:br/>
      </w:r>
      <w:r w:rsidR="00961020">
        <w:t>22 September</w:t>
      </w:r>
      <w:r w:rsidR="00961020">
        <w:rPr>
          <w:spacing w:val="11"/>
        </w:rPr>
        <w:t xml:space="preserve"> </w:t>
      </w:r>
      <w:r w:rsidR="00961020">
        <w:rPr>
          <w:spacing w:val="-8"/>
        </w:rPr>
        <w:t>2017</w:t>
      </w:r>
    </w:p>
    <w:p w:rsidR="00D840DF" w:rsidRDefault="00961020" w:rsidP="008D2169">
      <w:pPr>
        <w:pStyle w:val="BodyText"/>
      </w:pPr>
      <w:r>
        <w:t>Signed</w:t>
      </w:r>
    </w:p>
    <w:p w:rsidR="00D840DF" w:rsidRPr="008D2169" w:rsidRDefault="00961020" w:rsidP="008D2169">
      <w:pPr>
        <w:pStyle w:val="BodyText"/>
        <w:rPr>
          <w:rFonts w:ascii="Futura PT Bold"/>
          <w:b/>
        </w:rPr>
      </w:pPr>
      <w:r>
        <w:rPr>
          <w:rFonts w:ascii="Futura PT Bold"/>
          <w:b/>
          <w:color w:val="003E2D"/>
        </w:rPr>
        <w:t>Craig Boyd</w:t>
      </w:r>
      <w:r w:rsidR="008D2169">
        <w:rPr>
          <w:rFonts w:ascii="Futura PT Bold"/>
          <w:b/>
        </w:rPr>
        <w:br/>
      </w:r>
      <w:r>
        <w:t xml:space="preserve">Chief Financial Officer </w:t>
      </w:r>
      <w:r w:rsidR="008D2169">
        <w:br/>
      </w:r>
      <w:r>
        <w:t>22 September 2017</w:t>
      </w:r>
    </w:p>
    <w:p w:rsidR="00D840DF" w:rsidRDefault="00D840DF">
      <w:pPr>
        <w:spacing w:line="256" w:lineRule="auto"/>
        <w:sectPr w:rsidR="00D840DF">
          <w:pgSz w:w="9980" w:h="14180"/>
          <w:pgMar w:top="1320" w:right="1200" w:bottom="280" w:left="1200" w:header="720" w:footer="720" w:gutter="0"/>
          <w:cols w:space="720"/>
        </w:sectPr>
      </w:pPr>
    </w:p>
    <w:p w:rsidR="00D840DF" w:rsidRDefault="00961020" w:rsidP="008D2169">
      <w:pPr>
        <w:pStyle w:val="Heading2"/>
      </w:pPr>
      <w:bookmarkStart w:id="123" w:name="Primary_Financial_Statement"/>
      <w:bookmarkStart w:id="124" w:name="Statement_of_Comprehensive_Income"/>
      <w:bookmarkStart w:id="125" w:name="_bookmark34"/>
      <w:bookmarkStart w:id="126" w:name="_Toc496088503"/>
      <w:bookmarkStart w:id="127" w:name="_Primary_Financial_Statement"/>
      <w:bookmarkEnd w:id="123"/>
      <w:bookmarkEnd w:id="124"/>
      <w:bookmarkEnd w:id="125"/>
      <w:bookmarkEnd w:id="127"/>
      <w:r>
        <w:lastRenderedPageBreak/>
        <w:t>Primary Financial Statement</w:t>
      </w:r>
      <w:bookmarkEnd w:id="126"/>
    </w:p>
    <w:p w:rsidR="00D840DF" w:rsidRPr="008D2169" w:rsidRDefault="00961020" w:rsidP="008D2169">
      <w:pPr>
        <w:pStyle w:val="Heading3"/>
      </w:pPr>
      <w:bookmarkStart w:id="128" w:name="_Statement_of_Comprehensive"/>
      <w:bookmarkEnd w:id="128"/>
      <w:r>
        <w:t xml:space="preserve">Statement of </w:t>
      </w:r>
      <w:r w:rsidRPr="008D2169">
        <w:t>Comprehensive Income</w:t>
      </w:r>
      <w:r w:rsidR="008D2169">
        <w:br/>
      </w:r>
      <w:r w:rsidRPr="008D2169">
        <w:t>for the period ended 30 June 2017</w:t>
      </w:r>
    </w:p>
    <w:tbl>
      <w:tblPr>
        <w:tblW w:w="0" w:type="auto"/>
        <w:tblInd w:w="112" w:type="dxa"/>
        <w:tblLayout w:type="fixed"/>
        <w:tblCellMar>
          <w:left w:w="0" w:type="dxa"/>
          <w:right w:w="0" w:type="dxa"/>
        </w:tblCellMar>
        <w:tblLook w:val="01E0" w:firstRow="1" w:lastRow="1" w:firstColumn="1" w:lastColumn="1" w:noHBand="0" w:noVBand="0"/>
      </w:tblPr>
      <w:tblGrid>
        <w:gridCol w:w="3171"/>
        <w:gridCol w:w="1163"/>
        <w:gridCol w:w="1105"/>
        <w:gridCol w:w="1098"/>
        <w:gridCol w:w="988"/>
      </w:tblGrid>
      <w:tr w:rsidR="00D840DF">
        <w:trPr>
          <w:trHeight w:val="680"/>
        </w:trPr>
        <w:tc>
          <w:tcPr>
            <w:tcW w:w="3171" w:type="dxa"/>
            <w:shd w:val="clear" w:color="auto" w:fill="008F54"/>
          </w:tcPr>
          <w:p w:rsidR="00D840DF" w:rsidRDefault="00D840DF">
            <w:pPr>
              <w:pStyle w:val="TableParagraph"/>
              <w:spacing w:before="0"/>
              <w:rPr>
                <w:rFonts w:ascii="Times New Roman"/>
                <w:sz w:val="16"/>
              </w:rPr>
            </w:pPr>
          </w:p>
        </w:tc>
        <w:tc>
          <w:tcPr>
            <w:tcW w:w="1163" w:type="dxa"/>
            <w:shd w:val="clear" w:color="auto" w:fill="008F54"/>
          </w:tcPr>
          <w:p w:rsidR="00D840DF" w:rsidRDefault="00D840DF">
            <w:pPr>
              <w:pStyle w:val="TableParagraph"/>
              <w:spacing w:before="0"/>
              <w:rPr>
                <w:sz w:val="18"/>
              </w:rPr>
            </w:pPr>
          </w:p>
          <w:p w:rsidR="00D840DF" w:rsidRDefault="00961020">
            <w:pPr>
              <w:pStyle w:val="TableParagraph"/>
              <w:spacing w:before="0"/>
              <w:ind w:right="320"/>
              <w:jc w:val="right"/>
              <w:rPr>
                <w:rFonts w:ascii="Futura PT Demi"/>
                <w:sz w:val="17"/>
              </w:rPr>
            </w:pPr>
            <w:r>
              <w:rPr>
                <w:rFonts w:ascii="Futura PT Demi"/>
                <w:color w:val="FFFFFF"/>
                <w:sz w:val="17"/>
              </w:rPr>
              <w:t>Notes</w:t>
            </w:r>
          </w:p>
        </w:tc>
        <w:tc>
          <w:tcPr>
            <w:tcW w:w="1105" w:type="dxa"/>
            <w:shd w:val="clear" w:color="auto" w:fill="008F54"/>
          </w:tcPr>
          <w:p w:rsidR="00D840DF" w:rsidRDefault="00961020">
            <w:pPr>
              <w:pStyle w:val="TableParagraph"/>
              <w:spacing w:before="130" w:line="209" w:lineRule="exact"/>
              <w:ind w:left="435"/>
              <w:rPr>
                <w:rFonts w:ascii="Futura PT Demi"/>
                <w:sz w:val="17"/>
              </w:rPr>
            </w:pPr>
            <w:r>
              <w:rPr>
                <w:rFonts w:ascii="Futura PT Demi"/>
                <w:color w:val="FFFFFF"/>
                <w:sz w:val="17"/>
              </w:rPr>
              <w:t>2017</w:t>
            </w:r>
          </w:p>
          <w:p w:rsidR="00D840DF" w:rsidRDefault="00961020">
            <w:pPr>
              <w:pStyle w:val="TableParagraph"/>
              <w:spacing w:before="0" w:line="209" w:lineRule="exact"/>
              <w:ind w:left="360"/>
              <w:rPr>
                <w:rFonts w:ascii="Futura PT Demi" w:hAnsi="Futura PT Demi"/>
                <w:sz w:val="17"/>
              </w:rPr>
            </w:pPr>
            <w:r>
              <w:rPr>
                <w:rFonts w:ascii="Futura PT Demi" w:hAnsi="Futura PT Demi"/>
                <w:color w:val="FFFFFF"/>
                <w:sz w:val="17"/>
              </w:rPr>
              <w:t>$’000</w:t>
            </w:r>
          </w:p>
        </w:tc>
        <w:tc>
          <w:tcPr>
            <w:tcW w:w="1098" w:type="dxa"/>
            <w:shd w:val="clear" w:color="auto" w:fill="008F54"/>
          </w:tcPr>
          <w:p w:rsidR="00D840DF" w:rsidRDefault="00961020">
            <w:pPr>
              <w:pStyle w:val="TableParagraph"/>
              <w:spacing w:before="130" w:line="209" w:lineRule="exact"/>
              <w:ind w:left="463"/>
              <w:rPr>
                <w:rFonts w:ascii="Futura PT Demi"/>
                <w:sz w:val="17"/>
              </w:rPr>
            </w:pPr>
            <w:r>
              <w:rPr>
                <w:rFonts w:ascii="Futura PT Demi"/>
                <w:color w:val="FFFFFF"/>
                <w:sz w:val="17"/>
              </w:rPr>
              <w:t>2016</w:t>
            </w:r>
          </w:p>
          <w:p w:rsidR="00D840DF" w:rsidRDefault="00961020">
            <w:pPr>
              <w:pStyle w:val="TableParagraph"/>
              <w:spacing w:before="0" w:line="209" w:lineRule="exact"/>
              <w:ind w:left="388"/>
              <w:rPr>
                <w:rFonts w:ascii="Futura PT Demi" w:hAnsi="Futura PT Demi"/>
                <w:sz w:val="17"/>
              </w:rPr>
            </w:pPr>
            <w:r>
              <w:rPr>
                <w:rFonts w:ascii="Futura PT Demi" w:hAnsi="Futura PT Demi"/>
                <w:color w:val="FFFFFF"/>
                <w:sz w:val="17"/>
              </w:rPr>
              <w:t>$’000</w:t>
            </w:r>
          </w:p>
        </w:tc>
        <w:tc>
          <w:tcPr>
            <w:tcW w:w="988" w:type="dxa"/>
            <w:shd w:val="clear" w:color="auto" w:fill="008F54"/>
          </w:tcPr>
          <w:p w:rsidR="00D840DF" w:rsidRDefault="00961020">
            <w:pPr>
              <w:pStyle w:val="TableParagraph"/>
              <w:spacing w:before="48" w:line="220" w:lineRule="auto"/>
              <w:ind w:left="251" w:right="111" w:hanging="1"/>
              <w:jc w:val="center"/>
              <w:rPr>
                <w:rFonts w:ascii="Futura PT Demi"/>
                <w:sz w:val="17"/>
              </w:rPr>
            </w:pPr>
            <w:r>
              <w:rPr>
                <w:rFonts w:ascii="Futura PT Demi"/>
                <w:color w:val="FFFFFF"/>
                <w:sz w:val="17"/>
              </w:rPr>
              <w:t>Original Budget</w:t>
            </w:r>
          </w:p>
          <w:p w:rsidR="00D840DF" w:rsidRDefault="00961020">
            <w:pPr>
              <w:pStyle w:val="TableParagraph"/>
              <w:spacing w:before="0" w:line="200" w:lineRule="exact"/>
              <w:ind w:left="414" w:right="96"/>
              <w:jc w:val="center"/>
              <w:rPr>
                <w:rFonts w:ascii="Futura PT Demi" w:hAnsi="Futura PT Demi"/>
                <w:sz w:val="17"/>
              </w:rPr>
            </w:pPr>
            <w:r>
              <w:rPr>
                <w:rFonts w:ascii="Futura PT Demi" w:hAnsi="Futura PT Demi"/>
                <w:color w:val="FFFFFF"/>
                <w:sz w:val="17"/>
              </w:rPr>
              <w:t>$’000</w:t>
            </w:r>
          </w:p>
        </w:tc>
      </w:tr>
      <w:tr w:rsidR="00D840DF">
        <w:trPr>
          <w:trHeight w:val="260"/>
        </w:trPr>
        <w:tc>
          <w:tcPr>
            <w:tcW w:w="3171" w:type="dxa"/>
          </w:tcPr>
          <w:p w:rsidR="00D840DF" w:rsidRDefault="00961020" w:rsidP="008F7C36">
            <w:pPr>
              <w:pStyle w:val="TableParagraph"/>
              <w:spacing w:before="33"/>
              <w:rPr>
                <w:rFonts w:ascii="Futura PT Bold"/>
                <w:b/>
                <w:sz w:val="16"/>
              </w:rPr>
            </w:pPr>
            <w:r>
              <w:rPr>
                <w:rFonts w:ascii="Futura PT Bold"/>
                <w:b/>
                <w:color w:val="003E2D"/>
                <w:sz w:val="16"/>
              </w:rPr>
              <w:t>NET COST OF SERVICES</w:t>
            </w:r>
          </w:p>
        </w:tc>
        <w:tc>
          <w:tcPr>
            <w:tcW w:w="1163" w:type="dxa"/>
          </w:tcPr>
          <w:p w:rsidR="00D840DF" w:rsidRDefault="00D840DF">
            <w:pPr>
              <w:pStyle w:val="TableParagraph"/>
              <w:spacing w:before="0"/>
              <w:rPr>
                <w:rFonts w:ascii="Times New Roman"/>
                <w:sz w:val="16"/>
              </w:rPr>
            </w:pPr>
          </w:p>
        </w:tc>
        <w:tc>
          <w:tcPr>
            <w:tcW w:w="1105" w:type="dxa"/>
          </w:tcPr>
          <w:p w:rsidR="00D840DF" w:rsidRDefault="00D840DF">
            <w:pPr>
              <w:pStyle w:val="TableParagraph"/>
              <w:spacing w:before="0"/>
              <w:rPr>
                <w:rFonts w:ascii="Times New Roman"/>
                <w:sz w:val="16"/>
              </w:rPr>
            </w:pPr>
          </w:p>
        </w:tc>
        <w:tc>
          <w:tcPr>
            <w:tcW w:w="1098" w:type="dxa"/>
          </w:tcPr>
          <w:p w:rsidR="00D840DF" w:rsidRDefault="00D840DF">
            <w:pPr>
              <w:pStyle w:val="TableParagraph"/>
              <w:spacing w:before="0"/>
              <w:rPr>
                <w:rFonts w:ascii="Times New Roman"/>
                <w:sz w:val="16"/>
              </w:rPr>
            </w:pPr>
          </w:p>
        </w:tc>
        <w:tc>
          <w:tcPr>
            <w:tcW w:w="988" w:type="dxa"/>
          </w:tcPr>
          <w:p w:rsidR="00D840DF" w:rsidRDefault="00D840DF">
            <w:pPr>
              <w:pStyle w:val="TableParagraph"/>
              <w:spacing w:before="0"/>
              <w:rPr>
                <w:rFonts w:ascii="Times New Roman"/>
                <w:sz w:val="16"/>
              </w:rPr>
            </w:pPr>
          </w:p>
        </w:tc>
      </w:tr>
      <w:tr w:rsidR="00D840DF">
        <w:trPr>
          <w:trHeight w:val="260"/>
        </w:trPr>
        <w:tc>
          <w:tcPr>
            <w:tcW w:w="3171" w:type="dxa"/>
          </w:tcPr>
          <w:p w:rsidR="00D840DF" w:rsidRDefault="00E314B6">
            <w:pPr>
              <w:pStyle w:val="TableParagraph"/>
              <w:tabs>
                <w:tab w:val="left" w:pos="7525"/>
              </w:tabs>
              <w:spacing w:before="38"/>
              <w:ind w:right="-4355"/>
              <w:jc w:val="right"/>
              <w:rPr>
                <w:rFonts w:ascii="Futura PT Bold"/>
                <w:b/>
                <w:sz w:val="16"/>
              </w:rPr>
            </w:pPr>
            <w:r>
              <w:rPr>
                <w:rFonts w:ascii="Futura PT Bold"/>
                <w:b/>
                <w:color w:val="003E2D"/>
                <w:sz w:val="16"/>
                <w:shd w:val="clear" w:color="auto" w:fill="E2F0D8"/>
              </w:rPr>
              <w:t xml:space="preserve"> </w:t>
            </w:r>
            <w:r w:rsidR="00961020">
              <w:rPr>
                <w:rFonts w:ascii="Futura PT Bold"/>
                <w:b/>
                <w:color w:val="003E2D"/>
                <w:spacing w:val="1"/>
                <w:sz w:val="16"/>
                <w:shd w:val="clear" w:color="auto" w:fill="E2F0D8"/>
              </w:rPr>
              <w:t>EXPENSES</w:t>
            </w:r>
            <w:r w:rsidR="00961020">
              <w:rPr>
                <w:rFonts w:ascii="Futura PT Bold"/>
                <w:b/>
                <w:color w:val="003E2D"/>
                <w:spacing w:val="1"/>
                <w:sz w:val="16"/>
                <w:shd w:val="clear" w:color="auto" w:fill="E2F0D8"/>
              </w:rPr>
              <w:tab/>
            </w:r>
          </w:p>
        </w:tc>
        <w:tc>
          <w:tcPr>
            <w:tcW w:w="1163" w:type="dxa"/>
          </w:tcPr>
          <w:p w:rsidR="00D840DF" w:rsidRDefault="00D840DF">
            <w:pPr>
              <w:pStyle w:val="TableParagraph"/>
              <w:spacing w:before="0"/>
              <w:rPr>
                <w:rFonts w:ascii="Times New Roman"/>
                <w:sz w:val="16"/>
              </w:rPr>
            </w:pPr>
          </w:p>
        </w:tc>
        <w:tc>
          <w:tcPr>
            <w:tcW w:w="1105" w:type="dxa"/>
          </w:tcPr>
          <w:p w:rsidR="00D840DF" w:rsidRDefault="00D840DF">
            <w:pPr>
              <w:pStyle w:val="TableParagraph"/>
              <w:spacing w:before="0"/>
              <w:rPr>
                <w:rFonts w:ascii="Times New Roman"/>
                <w:sz w:val="16"/>
              </w:rPr>
            </w:pPr>
          </w:p>
        </w:tc>
        <w:tc>
          <w:tcPr>
            <w:tcW w:w="1098" w:type="dxa"/>
          </w:tcPr>
          <w:p w:rsidR="00D840DF" w:rsidRDefault="00D840DF">
            <w:pPr>
              <w:pStyle w:val="TableParagraph"/>
              <w:spacing w:before="0"/>
              <w:rPr>
                <w:rFonts w:ascii="Times New Roman"/>
                <w:sz w:val="16"/>
              </w:rPr>
            </w:pPr>
          </w:p>
        </w:tc>
        <w:tc>
          <w:tcPr>
            <w:tcW w:w="988" w:type="dxa"/>
          </w:tcPr>
          <w:p w:rsidR="00D840DF" w:rsidRDefault="00D840DF">
            <w:pPr>
              <w:pStyle w:val="TableParagraph"/>
              <w:spacing w:before="0"/>
              <w:rPr>
                <w:rFonts w:ascii="Times New Roman"/>
                <w:sz w:val="16"/>
              </w:rPr>
            </w:pPr>
          </w:p>
        </w:tc>
      </w:tr>
      <w:tr w:rsidR="00D840DF">
        <w:trPr>
          <w:trHeight w:val="240"/>
        </w:trPr>
        <w:tc>
          <w:tcPr>
            <w:tcW w:w="3171"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Employee benefits</w:t>
            </w:r>
          </w:p>
        </w:tc>
        <w:tc>
          <w:tcPr>
            <w:tcW w:w="1163" w:type="dxa"/>
            <w:tcBorders>
              <w:bottom w:val="single" w:sz="4" w:space="0" w:color="C7C8CA"/>
            </w:tcBorders>
          </w:tcPr>
          <w:p w:rsidR="00D840DF" w:rsidRDefault="00961020">
            <w:pPr>
              <w:pStyle w:val="TableParagraph"/>
              <w:spacing w:before="28" w:line="200" w:lineRule="exact"/>
              <w:ind w:right="321"/>
              <w:jc w:val="right"/>
              <w:rPr>
                <w:sz w:val="16"/>
              </w:rPr>
            </w:pPr>
            <w:r>
              <w:rPr>
                <w:color w:val="636466"/>
                <w:sz w:val="16"/>
              </w:rPr>
              <w:t>1.1A</w:t>
            </w:r>
          </w:p>
        </w:tc>
        <w:tc>
          <w:tcPr>
            <w:tcW w:w="1105" w:type="dxa"/>
            <w:tcBorders>
              <w:bottom w:val="single" w:sz="4" w:space="0" w:color="C7C8CA"/>
            </w:tcBorders>
          </w:tcPr>
          <w:p w:rsidR="00D840DF" w:rsidRDefault="00961020">
            <w:pPr>
              <w:pStyle w:val="TableParagraph"/>
              <w:spacing w:before="28" w:line="200" w:lineRule="exact"/>
              <w:ind w:right="294"/>
              <w:jc w:val="right"/>
              <w:rPr>
                <w:rFonts w:ascii="Futura PT Medium"/>
                <w:sz w:val="16"/>
              </w:rPr>
            </w:pPr>
            <w:r>
              <w:rPr>
                <w:rFonts w:ascii="Futura PT Medium"/>
                <w:color w:val="636466"/>
                <w:sz w:val="16"/>
              </w:rPr>
              <w:t>5,728</w:t>
            </w:r>
          </w:p>
        </w:tc>
        <w:tc>
          <w:tcPr>
            <w:tcW w:w="1098"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8,019</w:t>
            </w:r>
          </w:p>
        </w:tc>
        <w:tc>
          <w:tcPr>
            <w:tcW w:w="988" w:type="dxa"/>
            <w:tcBorders>
              <w:bottom w:val="single" w:sz="4" w:space="0" w:color="C7C8CA"/>
            </w:tcBorders>
          </w:tcPr>
          <w:p w:rsidR="00D840DF" w:rsidRDefault="00961020">
            <w:pPr>
              <w:pStyle w:val="TableParagraph"/>
              <w:spacing w:before="28" w:line="200" w:lineRule="exact"/>
              <w:ind w:right="117"/>
              <w:jc w:val="right"/>
              <w:rPr>
                <w:sz w:val="16"/>
              </w:rPr>
            </w:pPr>
            <w:r>
              <w:rPr>
                <w:color w:val="636466"/>
                <w:sz w:val="16"/>
              </w:rPr>
              <w:t>5,975</w:t>
            </w:r>
          </w:p>
        </w:tc>
      </w:tr>
      <w:tr w:rsidR="00D840DF">
        <w:trPr>
          <w:trHeight w:val="220"/>
        </w:trPr>
        <w:tc>
          <w:tcPr>
            <w:tcW w:w="3171"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Suppliers</w:t>
            </w:r>
          </w:p>
        </w:tc>
        <w:tc>
          <w:tcPr>
            <w:tcW w:w="1163" w:type="dxa"/>
            <w:tcBorders>
              <w:top w:val="single" w:sz="4" w:space="0" w:color="C7C8CA"/>
              <w:bottom w:val="single" w:sz="4" w:space="0" w:color="C7C8CA"/>
            </w:tcBorders>
          </w:tcPr>
          <w:p w:rsidR="00D840DF" w:rsidRDefault="00961020">
            <w:pPr>
              <w:pStyle w:val="TableParagraph"/>
              <w:spacing w:line="200" w:lineRule="exact"/>
              <w:ind w:right="321"/>
              <w:jc w:val="right"/>
              <w:rPr>
                <w:sz w:val="16"/>
              </w:rPr>
            </w:pPr>
            <w:r>
              <w:rPr>
                <w:color w:val="636466"/>
                <w:sz w:val="16"/>
              </w:rPr>
              <w:t>1.1B</w:t>
            </w:r>
          </w:p>
        </w:tc>
        <w:tc>
          <w:tcPr>
            <w:tcW w:w="1105" w:type="dxa"/>
            <w:tcBorders>
              <w:top w:val="single" w:sz="4" w:space="0" w:color="C7C8CA"/>
              <w:bottom w:val="single" w:sz="4" w:space="0" w:color="C7C8CA"/>
            </w:tcBorders>
          </w:tcPr>
          <w:p w:rsidR="00D840DF" w:rsidRDefault="00961020">
            <w:pPr>
              <w:pStyle w:val="TableParagraph"/>
              <w:spacing w:line="200" w:lineRule="exact"/>
              <w:ind w:right="292"/>
              <w:jc w:val="right"/>
              <w:rPr>
                <w:rFonts w:ascii="Futura PT Medium"/>
                <w:sz w:val="16"/>
              </w:rPr>
            </w:pPr>
            <w:r>
              <w:rPr>
                <w:rFonts w:ascii="Futura PT Medium"/>
                <w:color w:val="636466"/>
                <w:sz w:val="16"/>
              </w:rPr>
              <w:t>11,015</w:t>
            </w:r>
          </w:p>
        </w:tc>
        <w:tc>
          <w:tcPr>
            <w:tcW w:w="1098"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14,367</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16,282</w:t>
            </w:r>
          </w:p>
        </w:tc>
      </w:tr>
      <w:tr w:rsidR="00D840DF">
        <w:trPr>
          <w:trHeight w:val="220"/>
        </w:trPr>
        <w:tc>
          <w:tcPr>
            <w:tcW w:w="3171"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Depreciation</w:t>
            </w:r>
            <w:r w:rsidR="00E314B6">
              <w:rPr>
                <w:color w:val="636466"/>
                <w:sz w:val="16"/>
              </w:rPr>
              <w:t xml:space="preserve"> </w:t>
            </w:r>
            <w:r>
              <w:rPr>
                <w:color w:val="636466"/>
                <w:sz w:val="16"/>
              </w:rPr>
              <w:t xml:space="preserve">and </w:t>
            </w:r>
            <w:proofErr w:type="spellStart"/>
            <w:r>
              <w:rPr>
                <w:color w:val="636466"/>
                <w:sz w:val="16"/>
              </w:rPr>
              <w:t>amortisation</w:t>
            </w:r>
            <w:proofErr w:type="spellEnd"/>
          </w:p>
        </w:tc>
        <w:tc>
          <w:tcPr>
            <w:tcW w:w="1163" w:type="dxa"/>
            <w:tcBorders>
              <w:top w:val="single" w:sz="4" w:space="0" w:color="C7C8CA"/>
              <w:bottom w:val="single" w:sz="4" w:space="0" w:color="C7C8CA"/>
            </w:tcBorders>
          </w:tcPr>
          <w:p w:rsidR="00D840DF" w:rsidRDefault="00961020">
            <w:pPr>
              <w:pStyle w:val="TableParagraph"/>
              <w:spacing w:line="200" w:lineRule="exact"/>
              <w:ind w:right="318"/>
              <w:jc w:val="right"/>
              <w:rPr>
                <w:sz w:val="16"/>
              </w:rPr>
            </w:pPr>
            <w:r>
              <w:rPr>
                <w:color w:val="636466"/>
                <w:sz w:val="16"/>
              </w:rPr>
              <w:t>2.2A</w:t>
            </w:r>
          </w:p>
        </w:tc>
        <w:tc>
          <w:tcPr>
            <w:tcW w:w="1105" w:type="dxa"/>
            <w:tcBorders>
              <w:top w:val="single" w:sz="4" w:space="0" w:color="C7C8CA"/>
              <w:bottom w:val="single" w:sz="4" w:space="0" w:color="C7C8CA"/>
            </w:tcBorders>
          </w:tcPr>
          <w:p w:rsidR="00D840DF" w:rsidRDefault="00961020">
            <w:pPr>
              <w:pStyle w:val="TableParagraph"/>
              <w:spacing w:line="200" w:lineRule="exact"/>
              <w:ind w:right="292"/>
              <w:jc w:val="right"/>
              <w:rPr>
                <w:rFonts w:ascii="Futura PT Medium"/>
                <w:sz w:val="16"/>
              </w:rPr>
            </w:pPr>
            <w:r>
              <w:rPr>
                <w:rFonts w:ascii="Futura PT Medium"/>
                <w:color w:val="636466"/>
                <w:sz w:val="16"/>
              </w:rPr>
              <w:t>533</w:t>
            </w:r>
          </w:p>
        </w:tc>
        <w:tc>
          <w:tcPr>
            <w:tcW w:w="1098" w:type="dxa"/>
            <w:tcBorders>
              <w:top w:val="single" w:sz="4" w:space="0" w:color="C7C8CA"/>
              <w:bottom w:val="single" w:sz="4" w:space="0" w:color="C7C8CA"/>
            </w:tcBorders>
          </w:tcPr>
          <w:p w:rsidR="00D840DF" w:rsidRDefault="00961020">
            <w:pPr>
              <w:pStyle w:val="TableParagraph"/>
              <w:spacing w:line="200" w:lineRule="exact"/>
              <w:ind w:right="261"/>
              <w:jc w:val="right"/>
              <w:rPr>
                <w:sz w:val="16"/>
              </w:rPr>
            </w:pPr>
            <w:r>
              <w:rPr>
                <w:color w:val="636466"/>
                <w:sz w:val="16"/>
              </w:rPr>
              <w:t>671</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800</w:t>
            </w:r>
          </w:p>
        </w:tc>
      </w:tr>
      <w:tr w:rsidR="00D840DF">
        <w:trPr>
          <w:trHeight w:val="220"/>
        </w:trPr>
        <w:tc>
          <w:tcPr>
            <w:tcW w:w="3171"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Finance costs</w:t>
            </w:r>
          </w:p>
        </w:tc>
        <w:tc>
          <w:tcPr>
            <w:tcW w:w="1163" w:type="dxa"/>
            <w:tcBorders>
              <w:top w:val="single" w:sz="4" w:space="0" w:color="C7C8CA"/>
              <w:bottom w:val="single" w:sz="4" w:space="0" w:color="C7C8CA"/>
            </w:tcBorders>
          </w:tcPr>
          <w:p w:rsidR="00D840DF" w:rsidRDefault="00961020">
            <w:pPr>
              <w:pStyle w:val="TableParagraph"/>
              <w:spacing w:line="200" w:lineRule="exact"/>
              <w:ind w:right="321"/>
              <w:jc w:val="right"/>
              <w:rPr>
                <w:sz w:val="16"/>
              </w:rPr>
            </w:pPr>
            <w:r>
              <w:rPr>
                <w:color w:val="636466"/>
                <w:sz w:val="16"/>
              </w:rPr>
              <w:t>1.1C</w:t>
            </w:r>
          </w:p>
        </w:tc>
        <w:tc>
          <w:tcPr>
            <w:tcW w:w="1105" w:type="dxa"/>
            <w:tcBorders>
              <w:top w:val="single" w:sz="4" w:space="0" w:color="C7C8CA"/>
              <w:bottom w:val="single" w:sz="4" w:space="0" w:color="C7C8CA"/>
            </w:tcBorders>
          </w:tcPr>
          <w:p w:rsidR="00D840DF" w:rsidRDefault="00961020">
            <w:pPr>
              <w:pStyle w:val="TableParagraph"/>
              <w:spacing w:line="200" w:lineRule="exact"/>
              <w:ind w:right="300"/>
              <w:jc w:val="right"/>
              <w:rPr>
                <w:rFonts w:ascii="Futura PT Medium"/>
                <w:sz w:val="16"/>
              </w:rPr>
            </w:pPr>
            <w:r>
              <w:rPr>
                <w:rFonts w:ascii="Futura PT Medium"/>
                <w:color w:val="636466"/>
                <w:sz w:val="16"/>
              </w:rPr>
              <w:t>21</w:t>
            </w:r>
          </w:p>
        </w:tc>
        <w:tc>
          <w:tcPr>
            <w:tcW w:w="1098"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3</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w:t>
            </w:r>
          </w:p>
        </w:tc>
      </w:tr>
      <w:tr w:rsidR="00D840DF">
        <w:trPr>
          <w:trHeight w:val="240"/>
        </w:trPr>
        <w:tc>
          <w:tcPr>
            <w:tcW w:w="3171" w:type="dxa"/>
            <w:tcBorders>
              <w:top w:val="single" w:sz="4" w:space="0" w:color="C7C8CA"/>
            </w:tcBorders>
          </w:tcPr>
          <w:p w:rsidR="00D840DF" w:rsidRDefault="00961020">
            <w:pPr>
              <w:pStyle w:val="TableParagraph"/>
              <w:ind w:left="113"/>
              <w:rPr>
                <w:sz w:val="16"/>
              </w:rPr>
            </w:pPr>
            <w:r>
              <w:rPr>
                <w:color w:val="636466"/>
                <w:sz w:val="16"/>
              </w:rPr>
              <w:t>Write-down and impairment of</w:t>
            </w:r>
            <w:r w:rsidR="00E314B6">
              <w:rPr>
                <w:color w:val="636466"/>
                <w:sz w:val="16"/>
              </w:rPr>
              <w:t xml:space="preserve"> </w:t>
            </w:r>
            <w:r>
              <w:rPr>
                <w:color w:val="636466"/>
                <w:sz w:val="16"/>
              </w:rPr>
              <w:t>assets</w:t>
            </w:r>
          </w:p>
        </w:tc>
        <w:tc>
          <w:tcPr>
            <w:tcW w:w="1163" w:type="dxa"/>
            <w:tcBorders>
              <w:top w:val="single" w:sz="4" w:space="0" w:color="C7C8CA"/>
            </w:tcBorders>
          </w:tcPr>
          <w:p w:rsidR="00D840DF" w:rsidRDefault="00961020">
            <w:pPr>
              <w:pStyle w:val="TableParagraph"/>
              <w:ind w:right="321"/>
              <w:jc w:val="right"/>
              <w:rPr>
                <w:sz w:val="16"/>
              </w:rPr>
            </w:pPr>
            <w:r>
              <w:rPr>
                <w:color w:val="636466"/>
                <w:sz w:val="16"/>
              </w:rPr>
              <w:t>1.1D</w:t>
            </w:r>
          </w:p>
        </w:tc>
        <w:tc>
          <w:tcPr>
            <w:tcW w:w="1105" w:type="dxa"/>
            <w:tcBorders>
              <w:top w:val="single" w:sz="4" w:space="0" w:color="C7C8CA"/>
            </w:tcBorders>
          </w:tcPr>
          <w:p w:rsidR="00D840DF" w:rsidRDefault="00961020">
            <w:pPr>
              <w:pStyle w:val="TableParagraph"/>
              <w:ind w:right="307"/>
              <w:jc w:val="right"/>
              <w:rPr>
                <w:rFonts w:ascii="Futura PT Medium"/>
                <w:sz w:val="16"/>
              </w:rPr>
            </w:pPr>
            <w:r>
              <w:rPr>
                <w:rFonts w:ascii="Futura PT Medium"/>
                <w:color w:val="636466"/>
                <w:sz w:val="16"/>
              </w:rPr>
              <w:t>74</w:t>
            </w:r>
          </w:p>
        </w:tc>
        <w:tc>
          <w:tcPr>
            <w:tcW w:w="1098" w:type="dxa"/>
            <w:tcBorders>
              <w:top w:val="single" w:sz="4" w:space="0" w:color="C7C8CA"/>
            </w:tcBorders>
          </w:tcPr>
          <w:p w:rsidR="00D840DF" w:rsidRDefault="00961020">
            <w:pPr>
              <w:pStyle w:val="TableParagraph"/>
              <w:ind w:right="257"/>
              <w:jc w:val="right"/>
              <w:rPr>
                <w:sz w:val="16"/>
              </w:rPr>
            </w:pPr>
            <w:r>
              <w:rPr>
                <w:color w:val="636466"/>
                <w:sz w:val="16"/>
              </w:rPr>
              <w:t>-</w:t>
            </w:r>
          </w:p>
        </w:tc>
        <w:tc>
          <w:tcPr>
            <w:tcW w:w="988" w:type="dxa"/>
            <w:tcBorders>
              <w:top w:val="single" w:sz="4" w:space="0" w:color="C7C8CA"/>
            </w:tcBorders>
          </w:tcPr>
          <w:p w:rsidR="00D840DF" w:rsidRDefault="00961020">
            <w:pPr>
              <w:pStyle w:val="TableParagraph"/>
              <w:ind w:right="111"/>
              <w:jc w:val="right"/>
              <w:rPr>
                <w:sz w:val="16"/>
              </w:rPr>
            </w:pPr>
            <w:r>
              <w:rPr>
                <w:color w:val="636466"/>
                <w:sz w:val="16"/>
              </w:rPr>
              <w:t>-</w:t>
            </w:r>
          </w:p>
        </w:tc>
      </w:tr>
      <w:tr w:rsidR="00D840DF">
        <w:trPr>
          <w:trHeight w:val="240"/>
        </w:trPr>
        <w:tc>
          <w:tcPr>
            <w:tcW w:w="3171"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expenses</w:t>
            </w:r>
          </w:p>
        </w:tc>
        <w:tc>
          <w:tcPr>
            <w:tcW w:w="1163"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05" w:type="dxa"/>
            <w:tcBorders>
              <w:bottom w:val="single" w:sz="4" w:space="0" w:color="C7C8CA"/>
            </w:tcBorders>
            <w:shd w:val="clear" w:color="auto" w:fill="E6E7E8"/>
          </w:tcPr>
          <w:p w:rsidR="00D840DF" w:rsidRDefault="00961020">
            <w:pPr>
              <w:pStyle w:val="TableParagraph"/>
              <w:spacing w:before="21" w:line="200" w:lineRule="exact"/>
              <w:ind w:right="313"/>
              <w:jc w:val="right"/>
              <w:rPr>
                <w:rFonts w:ascii="Futura PT Medium"/>
                <w:sz w:val="16"/>
              </w:rPr>
            </w:pPr>
            <w:r>
              <w:rPr>
                <w:rFonts w:ascii="Futura PT Medium"/>
                <w:sz w:val="16"/>
              </w:rPr>
              <w:t>17,371</w:t>
            </w:r>
          </w:p>
        </w:tc>
        <w:tc>
          <w:tcPr>
            <w:tcW w:w="1098"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23,060</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23,057</w:t>
            </w:r>
          </w:p>
        </w:tc>
      </w:tr>
      <w:tr w:rsidR="00D840DF">
        <w:trPr>
          <w:trHeight w:val="440"/>
        </w:trPr>
        <w:tc>
          <w:tcPr>
            <w:tcW w:w="3171" w:type="dxa"/>
            <w:tcBorders>
              <w:top w:val="single" w:sz="4" w:space="0" w:color="C7C8CA"/>
            </w:tcBorders>
          </w:tcPr>
          <w:p w:rsidR="00D840DF" w:rsidRDefault="00D840DF">
            <w:pPr>
              <w:pStyle w:val="TableParagraph"/>
              <w:spacing w:before="1"/>
              <w:rPr>
                <w:sz w:val="16"/>
              </w:rPr>
            </w:pPr>
          </w:p>
          <w:p w:rsidR="00D840DF" w:rsidRDefault="00961020" w:rsidP="008F7C36">
            <w:pPr>
              <w:pStyle w:val="TableParagraph"/>
              <w:spacing w:before="0"/>
              <w:rPr>
                <w:rFonts w:ascii="Futura PT Bold"/>
                <w:b/>
                <w:sz w:val="16"/>
              </w:rPr>
            </w:pPr>
            <w:r>
              <w:rPr>
                <w:rFonts w:ascii="Futura PT Bold"/>
                <w:b/>
                <w:color w:val="003E2D"/>
                <w:sz w:val="16"/>
              </w:rPr>
              <w:t>OWN-SOURCE INCOME</w:t>
            </w:r>
          </w:p>
        </w:tc>
        <w:tc>
          <w:tcPr>
            <w:tcW w:w="1163" w:type="dxa"/>
            <w:tcBorders>
              <w:top w:val="single" w:sz="4" w:space="0" w:color="C7C8CA"/>
            </w:tcBorders>
          </w:tcPr>
          <w:p w:rsidR="00D840DF" w:rsidRDefault="00D840DF">
            <w:pPr>
              <w:pStyle w:val="TableParagraph"/>
              <w:spacing w:before="0"/>
              <w:rPr>
                <w:rFonts w:ascii="Times New Roman"/>
                <w:sz w:val="16"/>
              </w:rPr>
            </w:pPr>
          </w:p>
        </w:tc>
        <w:tc>
          <w:tcPr>
            <w:tcW w:w="1105" w:type="dxa"/>
            <w:tcBorders>
              <w:top w:val="single" w:sz="4" w:space="0" w:color="C7C8CA"/>
            </w:tcBorders>
          </w:tcPr>
          <w:p w:rsidR="00D840DF" w:rsidRDefault="00D840DF">
            <w:pPr>
              <w:pStyle w:val="TableParagraph"/>
              <w:spacing w:before="0"/>
              <w:rPr>
                <w:rFonts w:ascii="Times New Roman"/>
                <w:sz w:val="16"/>
              </w:rPr>
            </w:pPr>
          </w:p>
        </w:tc>
        <w:tc>
          <w:tcPr>
            <w:tcW w:w="1098" w:type="dxa"/>
            <w:tcBorders>
              <w:top w:val="single" w:sz="4" w:space="0" w:color="C7C8CA"/>
            </w:tcBorders>
          </w:tcPr>
          <w:p w:rsidR="00D840DF" w:rsidRDefault="00D840DF">
            <w:pPr>
              <w:pStyle w:val="TableParagraph"/>
              <w:spacing w:before="0"/>
              <w:rPr>
                <w:rFonts w:ascii="Times New Roman"/>
                <w:sz w:val="16"/>
              </w:rPr>
            </w:pPr>
          </w:p>
        </w:tc>
        <w:tc>
          <w:tcPr>
            <w:tcW w:w="988" w:type="dxa"/>
            <w:tcBorders>
              <w:top w:val="single" w:sz="4" w:space="0" w:color="C7C8CA"/>
            </w:tcBorders>
          </w:tcPr>
          <w:p w:rsidR="00D840DF" w:rsidRDefault="00D840DF">
            <w:pPr>
              <w:pStyle w:val="TableParagraph"/>
              <w:spacing w:before="0"/>
              <w:rPr>
                <w:rFonts w:ascii="Times New Roman"/>
                <w:sz w:val="16"/>
              </w:rPr>
            </w:pPr>
          </w:p>
        </w:tc>
      </w:tr>
      <w:tr w:rsidR="00D840DF">
        <w:trPr>
          <w:trHeight w:val="260"/>
        </w:trPr>
        <w:tc>
          <w:tcPr>
            <w:tcW w:w="3171" w:type="dxa"/>
          </w:tcPr>
          <w:p w:rsidR="00D840DF" w:rsidRDefault="00E314B6">
            <w:pPr>
              <w:pStyle w:val="TableParagraph"/>
              <w:tabs>
                <w:tab w:val="left" w:pos="7525"/>
              </w:tabs>
              <w:spacing w:before="38"/>
              <w:ind w:right="-4355"/>
              <w:jc w:val="right"/>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Own-source</w:t>
            </w:r>
            <w:r w:rsidR="00961020">
              <w:rPr>
                <w:rFonts w:ascii="Futura PT Bold"/>
                <w:b/>
                <w:color w:val="003E2D"/>
                <w:spacing w:val="35"/>
                <w:sz w:val="16"/>
                <w:shd w:val="clear" w:color="auto" w:fill="E2F0D8"/>
              </w:rPr>
              <w:t xml:space="preserve"> </w:t>
            </w:r>
            <w:r w:rsidR="00961020">
              <w:rPr>
                <w:rFonts w:ascii="Futura PT Bold"/>
                <w:b/>
                <w:color w:val="003E2D"/>
                <w:sz w:val="16"/>
                <w:shd w:val="clear" w:color="auto" w:fill="E2F0D8"/>
              </w:rPr>
              <w:t>revenue</w:t>
            </w:r>
            <w:r w:rsidR="00961020">
              <w:rPr>
                <w:rFonts w:ascii="Futura PT Bold"/>
                <w:b/>
                <w:color w:val="003E2D"/>
                <w:sz w:val="16"/>
                <w:shd w:val="clear" w:color="auto" w:fill="E2F0D8"/>
              </w:rPr>
              <w:tab/>
            </w:r>
          </w:p>
        </w:tc>
        <w:tc>
          <w:tcPr>
            <w:tcW w:w="1163" w:type="dxa"/>
          </w:tcPr>
          <w:p w:rsidR="00D840DF" w:rsidRDefault="00D840DF">
            <w:pPr>
              <w:pStyle w:val="TableParagraph"/>
              <w:spacing w:before="0"/>
              <w:rPr>
                <w:rFonts w:ascii="Times New Roman"/>
                <w:sz w:val="16"/>
              </w:rPr>
            </w:pPr>
          </w:p>
        </w:tc>
        <w:tc>
          <w:tcPr>
            <w:tcW w:w="1105" w:type="dxa"/>
          </w:tcPr>
          <w:p w:rsidR="00D840DF" w:rsidRDefault="00D840DF">
            <w:pPr>
              <w:pStyle w:val="TableParagraph"/>
              <w:spacing w:before="0"/>
              <w:rPr>
                <w:rFonts w:ascii="Times New Roman"/>
                <w:sz w:val="16"/>
              </w:rPr>
            </w:pPr>
          </w:p>
        </w:tc>
        <w:tc>
          <w:tcPr>
            <w:tcW w:w="1098" w:type="dxa"/>
          </w:tcPr>
          <w:p w:rsidR="00D840DF" w:rsidRDefault="00D840DF">
            <w:pPr>
              <w:pStyle w:val="TableParagraph"/>
              <w:spacing w:before="0"/>
              <w:rPr>
                <w:rFonts w:ascii="Times New Roman"/>
                <w:sz w:val="16"/>
              </w:rPr>
            </w:pPr>
          </w:p>
        </w:tc>
        <w:tc>
          <w:tcPr>
            <w:tcW w:w="988" w:type="dxa"/>
          </w:tcPr>
          <w:p w:rsidR="00D840DF" w:rsidRDefault="00D840DF">
            <w:pPr>
              <w:pStyle w:val="TableParagraph"/>
              <w:spacing w:before="0"/>
              <w:rPr>
                <w:rFonts w:ascii="Times New Roman"/>
                <w:sz w:val="16"/>
              </w:rPr>
            </w:pPr>
          </w:p>
        </w:tc>
      </w:tr>
      <w:tr w:rsidR="00D840DF">
        <w:trPr>
          <w:trHeight w:val="240"/>
        </w:trPr>
        <w:tc>
          <w:tcPr>
            <w:tcW w:w="3171"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Sale of goods and rendering of services</w:t>
            </w:r>
          </w:p>
        </w:tc>
        <w:tc>
          <w:tcPr>
            <w:tcW w:w="1163" w:type="dxa"/>
            <w:tcBorders>
              <w:bottom w:val="single" w:sz="4" w:space="0" w:color="C7C8CA"/>
            </w:tcBorders>
          </w:tcPr>
          <w:p w:rsidR="00D840DF" w:rsidRDefault="00961020">
            <w:pPr>
              <w:pStyle w:val="TableParagraph"/>
              <w:spacing w:before="28" w:line="200" w:lineRule="exact"/>
              <w:ind w:right="318"/>
              <w:jc w:val="right"/>
              <w:rPr>
                <w:sz w:val="16"/>
              </w:rPr>
            </w:pPr>
            <w:r>
              <w:rPr>
                <w:color w:val="636466"/>
                <w:sz w:val="16"/>
              </w:rPr>
              <w:t>1.2A</w:t>
            </w:r>
          </w:p>
        </w:tc>
        <w:tc>
          <w:tcPr>
            <w:tcW w:w="1105" w:type="dxa"/>
            <w:tcBorders>
              <w:bottom w:val="single" w:sz="4" w:space="0" w:color="C7C8CA"/>
            </w:tcBorders>
          </w:tcPr>
          <w:p w:rsidR="00D840DF" w:rsidRDefault="00961020">
            <w:pPr>
              <w:pStyle w:val="TableParagraph"/>
              <w:spacing w:before="28" w:line="200" w:lineRule="exact"/>
              <w:ind w:right="292"/>
              <w:jc w:val="right"/>
              <w:rPr>
                <w:rFonts w:ascii="Futura PT Medium"/>
                <w:sz w:val="16"/>
              </w:rPr>
            </w:pPr>
            <w:r>
              <w:rPr>
                <w:rFonts w:ascii="Futura PT Medium"/>
                <w:color w:val="636466"/>
                <w:sz w:val="16"/>
              </w:rPr>
              <w:t>909</w:t>
            </w:r>
          </w:p>
        </w:tc>
        <w:tc>
          <w:tcPr>
            <w:tcW w:w="1098" w:type="dxa"/>
            <w:tcBorders>
              <w:bottom w:val="single" w:sz="4" w:space="0" w:color="C7C8CA"/>
            </w:tcBorders>
          </w:tcPr>
          <w:p w:rsidR="00D840DF" w:rsidRDefault="00961020">
            <w:pPr>
              <w:pStyle w:val="TableParagraph"/>
              <w:spacing w:before="28" w:line="200" w:lineRule="exact"/>
              <w:ind w:right="259"/>
              <w:jc w:val="right"/>
              <w:rPr>
                <w:sz w:val="16"/>
              </w:rPr>
            </w:pPr>
            <w:r>
              <w:rPr>
                <w:color w:val="636466"/>
                <w:sz w:val="16"/>
              </w:rPr>
              <w:t>867</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16,383</w:t>
            </w:r>
          </w:p>
        </w:tc>
      </w:tr>
      <w:tr w:rsidR="00D840DF">
        <w:trPr>
          <w:trHeight w:val="220"/>
        </w:trPr>
        <w:tc>
          <w:tcPr>
            <w:tcW w:w="3171"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Interest</w:t>
            </w:r>
          </w:p>
        </w:tc>
        <w:tc>
          <w:tcPr>
            <w:tcW w:w="1163"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c>
          <w:tcPr>
            <w:tcW w:w="1105" w:type="dxa"/>
            <w:tcBorders>
              <w:top w:val="single" w:sz="4" w:space="0" w:color="C7C8CA"/>
              <w:bottom w:val="single" w:sz="4" w:space="0" w:color="C7C8CA"/>
            </w:tcBorders>
          </w:tcPr>
          <w:p w:rsidR="00D840DF" w:rsidRDefault="00961020">
            <w:pPr>
              <w:pStyle w:val="TableParagraph"/>
              <w:spacing w:line="200" w:lineRule="exact"/>
              <w:ind w:right="292"/>
              <w:jc w:val="right"/>
              <w:rPr>
                <w:rFonts w:ascii="Futura PT Medium"/>
                <w:sz w:val="16"/>
              </w:rPr>
            </w:pPr>
            <w:r>
              <w:rPr>
                <w:rFonts w:ascii="Futura PT Medium"/>
                <w:color w:val="636466"/>
                <w:sz w:val="16"/>
              </w:rPr>
              <w:t>125</w:t>
            </w:r>
          </w:p>
        </w:tc>
        <w:tc>
          <w:tcPr>
            <w:tcW w:w="1098"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133</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34</w:t>
            </w:r>
          </w:p>
        </w:tc>
      </w:tr>
      <w:tr w:rsidR="00D840DF">
        <w:trPr>
          <w:trHeight w:val="240"/>
        </w:trPr>
        <w:tc>
          <w:tcPr>
            <w:tcW w:w="3171" w:type="dxa"/>
            <w:tcBorders>
              <w:top w:val="single" w:sz="4" w:space="0" w:color="C7C8CA"/>
            </w:tcBorders>
          </w:tcPr>
          <w:p w:rsidR="00D840DF" w:rsidRDefault="00961020">
            <w:pPr>
              <w:pStyle w:val="TableParagraph"/>
              <w:ind w:left="113"/>
              <w:rPr>
                <w:sz w:val="16"/>
              </w:rPr>
            </w:pPr>
            <w:r>
              <w:rPr>
                <w:color w:val="636466"/>
                <w:sz w:val="16"/>
              </w:rPr>
              <w:t>Other revenue</w:t>
            </w:r>
          </w:p>
        </w:tc>
        <w:tc>
          <w:tcPr>
            <w:tcW w:w="1163" w:type="dxa"/>
            <w:tcBorders>
              <w:top w:val="single" w:sz="4" w:space="0" w:color="C7C8CA"/>
            </w:tcBorders>
          </w:tcPr>
          <w:p w:rsidR="00D840DF" w:rsidRDefault="00961020">
            <w:pPr>
              <w:pStyle w:val="TableParagraph"/>
              <w:ind w:right="321"/>
              <w:jc w:val="right"/>
              <w:rPr>
                <w:sz w:val="16"/>
              </w:rPr>
            </w:pPr>
            <w:r>
              <w:rPr>
                <w:color w:val="636466"/>
                <w:sz w:val="16"/>
              </w:rPr>
              <w:t>1.2B</w:t>
            </w:r>
          </w:p>
        </w:tc>
        <w:tc>
          <w:tcPr>
            <w:tcW w:w="1105" w:type="dxa"/>
            <w:tcBorders>
              <w:top w:val="single" w:sz="4" w:space="0" w:color="C7C8CA"/>
            </w:tcBorders>
          </w:tcPr>
          <w:p w:rsidR="00D840DF" w:rsidRDefault="00961020">
            <w:pPr>
              <w:pStyle w:val="TableParagraph"/>
              <w:ind w:right="293"/>
              <w:jc w:val="right"/>
              <w:rPr>
                <w:rFonts w:ascii="Futura PT Medium"/>
                <w:sz w:val="16"/>
              </w:rPr>
            </w:pPr>
            <w:r>
              <w:rPr>
                <w:rFonts w:ascii="Futura PT Medium"/>
                <w:color w:val="636466"/>
                <w:sz w:val="16"/>
              </w:rPr>
              <w:t>5,485</w:t>
            </w:r>
          </w:p>
        </w:tc>
        <w:tc>
          <w:tcPr>
            <w:tcW w:w="1098" w:type="dxa"/>
            <w:tcBorders>
              <w:top w:val="single" w:sz="4" w:space="0" w:color="C7C8CA"/>
            </w:tcBorders>
          </w:tcPr>
          <w:p w:rsidR="00D840DF" w:rsidRDefault="00961020">
            <w:pPr>
              <w:pStyle w:val="TableParagraph"/>
              <w:ind w:right="257"/>
              <w:jc w:val="right"/>
              <w:rPr>
                <w:sz w:val="16"/>
              </w:rPr>
            </w:pPr>
            <w:r>
              <w:rPr>
                <w:color w:val="636466"/>
                <w:sz w:val="16"/>
              </w:rPr>
              <w:t>163</w:t>
            </w:r>
          </w:p>
        </w:tc>
        <w:tc>
          <w:tcPr>
            <w:tcW w:w="988" w:type="dxa"/>
            <w:tcBorders>
              <w:top w:val="single" w:sz="4" w:space="0" w:color="C7C8CA"/>
            </w:tcBorders>
          </w:tcPr>
          <w:p w:rsidR="00D840DF" w:rsidRDefault="00961020">
            <w:pPr>
              <w:pStyle w:val="TableParagraph"/>
              <w:ind w:right="111"/>
              <w:jc w:val="right"/>
              <w:rPr>
                <w:sz w:val="16"/>
              </w:rPr>
            </w:pPr>
            <w:r>
              <w:rPr>
                <w:color w:val="636466"/>
                <w:sz w:val="16"/>
              </w:rPr>
              <w:t>6,640</w:t>
            </w:r>
          </w:p>
        </w:tc>
      </w:tr>
      <w:tr w:rsidR="00D840DF">
        <w:trPr>
          <w:trHeight w:val="240"/>
        </w:trPr>
        <w:tc>
          <w:tcPr>
            <w:tcW w:w="3171"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own-source revenue</w:t>
            </w:r>
          </w:p>
        </w:tc>
        <w:tc>
          <w:tcPr>
            <w:tcW w:w="1163"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05" w:type="dxa"/>
            <w:tcBorders>
              <w:bottom w:val="single" w:sz="4" w:space="0" w:color="C7C8CA"/>
            </w:tcBorders>
            <w:shd w:val="clear" w:color="auto" w:fill="E6E7E8"/>
          </w:tcPr>
          <w:p w:rsidR="00D840DF" w:rsidRDefault="00961020">
            <w:pPr>
              <w:pStyle w:val="TableParagraph"/>
              <w:spacing w:before="21" w:line="200" w:lineRule="exact"/>
              <w:ind w:right="292"/>
              <w:jc w:val="right"/>
              <w:rPr>
                <w:rFonts w:ascii="Futura PT Medium"/>
                <w:sz w:val="16"/>
              </w:rPr>
            </w:pPr>
            <w:r>
              <w:rPr>
                <w:rFonts w:ascii="Futura PT Medium"/>
                <w:sz w:val="16"/>
              </w:rPr>
              <w:t>6,519</w:t>
            </w:r>
          </w:p>
        </w:tc>
        <w:tc>
          <w:tcPr>
            <w:tcW w:w="1098"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1,163</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23,057</w:t>
            </w:r>
          </w:p>
        </w:tc>
      </w:tr>
      <w:tr w:rsidR="00D840DF">
        <w:trPr>
          <w:trHeight w:val="440"/>
        </w:trPr>
        <w:tc>
          <w:tcPr>
            <w:tcW w:w="3171" w:type="dxa"/>
            <w:tcBorders>
              <w:top w:val="single" w:sz="4" w:space="0" w:color="C7C8CA"/>
            </w:tcBorders>
          </w:tcPr>
          <w:p w:rsidR="00D840DF" w:rsidRDefault="00D840DF">
            <w:pPr>
              <w:pStyle w:val="TableParagraph"/>
              <w:spacing w:before="1"/>
              <w:rPr>
                <w:sz w:val="16"/>
              </w:rPr>
            </w:pPr>
          </w:p>
          <w:p w:rsidR="00D840DF" w:rsidRDefault="00E314B6">
            <w:pPr>
              <w:pStyle w:val="TableParagraph"/>
              <w:tabs>
                <w:tab w:val="left" w:pos="7525"/>
              </w:tabs>
              <w:spacing w:before="0"/>
              <w:ind w:right="-4355"/>
              <w:jc w:val="right"/>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Gains</w:t>
            </w:r>
            <w:r w:rsidR="00961020">
              <w:rPr>
                <w:rFonts w:ascii="Futura PT Bold"/>
                <w:b/>
                <w:color w:val="003E2D"/>
                <w:sz w:val="16"/>
                <w:shd w:val="clear" w:color="auto" w:fill="E2F0D8"/>
              </w:rPr>
              <w:tab/>
            </w:r>
          </w:p>
        </w:tc>
        <w:tc>
          <w:tcPr>
            <w:tcW w:w="1163" w:type="dxa"/>
            <w:tcBorders>
              <w:top w:val="single" w:sz="4" w:space="0" w:color="C7C8CA"/>
            </w:tcBorders>
          </w:tcPr>
          <w:p w:rsidR="00D840DF" w:rsidRDefault="00D840DF">
            <w:pPr>
              <w:pStyle w:val="TableParagraph"/>
              <w:spacing w:before="0"/>
              <w:rPr>
                <w:rFonts w:ascii="Times New Roman"/>
                <w:sz w:val="16"/>
              </w:rPr>
            </w:pPr>
          </w:p>
        </w:tc>
        <w:tc>
          <w:tcPr>
            <w:tcW w:w="1105" w:type="dxa"/>
            <w:tcBorders>
              <w:top w:val="single" w:sz="4" w:space="0" w:color="C7C8CA"/>
            </w:tcBorders>
          </w:tcPr>
          <w:p w:rsidR="00D840DF" w:rsidRDefault="00D840DF">
            <w:pPr>
              <w:pStyle w:val="TableParagraph"/>
              <w:spacing w:before="0"/>
              <w:rPr>
                <w:rFonts w:ascii="Times New Roman"/>
                <w:sz w:val="16"/>
              </w:rPr>
            </w:pPr>
          </w:p>
        </w:tc>
        <w:tc>
          <w:tcPr>
            <w:tcW w:w="1098" w:type="dxa"/>
            <w:tcBorders>
              <w:top w:val="single" w:sz="4" w:space="0" w:color="C7C8CA"/>
            </w:tcBorders>
          </w:tcPr>
          <w:p w:rsidR="00D840DF" w:rsidRDefault="00D840DF">
            <w:pPr>
              <w:pStyle w:val="TableParagraph"/>
              <w:spacing w:before="0"/>
              <w:rPr>
                <w:rFonts w:ascii="Times New Roman"/>
                <w:sz w:val="16"/>
              </w:rPr>
            </w:pPr>
          </w:p>
        </w:tc>
        <w:tc>
          <w:tcPr>
            <w:tcW w:w="988" w:type="dxa"/>
            <w:tcBorders>
              <w:top w:val="single" w:sz="4" w:space="0" w:color="C7C8CA"/>
            </w:tcBorders>
          </w:tcPr>
          <w:p w:rsidR="00D840DF" w:rsidRDefault="00D840DF">
            <w:pPr>
              <w:pStyle w:val="TableParagraph"/>
              <w:spacing w:before="0"/>
              <w:rPr>
                <w:rFonts w:ascii="Times New Roman"/>
                <w:sz w:val="16"/>
              </w:rPr>
            </w:pPr>
          </w:p>
        </w:tc>
      </w:tr>
      <w:tr w:rsidR="00D840DF">
        <w:trPr>
          <w:trHeight w:val="240"/>
        </w:trPr>
        <w:tc>
          <w:tcPr>
            <w:tcW w:w="3171" w:type="dxa"/>
          </w:tcPr>
          <w:p w:rsidR="00D840DF" w:rsidRDefault="00961020">
            <w:pPr>
              <w:pStyle w:val="TableParagraph"/>
              <w:spacing w:before="28"/>
              <w:ind w:left="113"/>
              <w:rPr>
                <w:sz w:val="16"/>
              </w:rPr>
            </w:pPr>
            <w:r>
              <w:rPr>
                <w:color w:val="636466"/>
                <w:sz w:val="16"/>
              </w:rPr>
              <w:t>Other gains</w:t>
            </w:r>
          </w:p>
        </w:tc>
        <w:tc>
          <w:tcPr>
            <w:tcW w:w="1163" w:type="dxa"/>
          </w:tcPr>
          <w:p w:rsidR="00D840DF" w:rsidRDefault="00961020">
            <w:pPr>
              <w:pStyle w:val="TableParagraph"/>
              <w:spacing w:before="28"/>
              <w:ind w:right="321"/>
              <w:jc w:val="right"/>
              <w:rPr>
                <w:rFonts w:ascii="Futura PT Medium"/>
                <w:sz w:val="16"/>
              </w:rPr>
            </w:pPr>
            <w:r>
              <w:rPr>
                <w:rFonts w:ascii="Futura PT Medium"/>
                <w:color w:val="636466"/>
                <w:sz w:val="16"/>
              </w:rPr>
              <w:t>-</w:t>
            </w:r>
          </w:p>
        </w:tc>
        <w:tc>
          <w:tcPr>
            <w:tcW w:w="1105" w:type="dxa"/>
          </w:tcPr>
          <w:p w:rsidR="00D840DF" w:rsidRDefault="00961020">
            <w:pPr>
              <w:pStyle w:val="TableParagraph"/>
              <w:spacing w:before="28"/>
              <w:ind w:right="292"/>
              <w:jc w:val="right"/>
              <w:rPr>
                <w:rFonts w:ascii="Futura PT Medium"/>
                <w:sz w:val="16"/>
              </w:rPr>
            </w:pPr>
            <w:r>
              <w:rPr>
                <w:rFonts w:ascii="Futura PT Medium"/>
                <w:color w:val="636466"/>
                <w:sz w:val="16"/>
              </w:rPr>
              <w:t>-</w:t>
            </w:r>
          </w:p>
        </w:tc>
        <w:tc>
          <w:tcPr>
            <w:tcW w:w="1098" w:type="dxa"/>
          </w:tcPr>
          <w:p w:rsidR="00D840DF" w:rsidRDefault="00961020">
            <w:pPr>
              <w:pStyle w:val="TableParagraph"/>
              <w:spacing w:before="28"/>
              <w:ind w:right="257"/>
              <w:jc w:val="right"/>
              <w:rPr>
                <w:sz w:val="16"/>
              </w:rPr>
            </w:pPr>
            <w:r>
              <w:rPr>
                <w:color w:val="636466"/>
                <w:sz w:val="16"/>
              </w:rPr>
              <w:t>-</w:t>
            </w:r>
          </w:p>
        </w:tc>
        <w:tc>
          <w:tcPr>
            <w:tcW w:w="988" w:type="dxa"/>
          </w:tcPr>
          <w:p w:rsidR="00D840DF" w:rsidRDefault="00961020">
            <w:pPr>
              <w:pStyle w:val="TableParagraph"/>
              <w:spacing w:before="28"/>
              <w:ind w:right="111"/>
              <w:jc w:val="right"/>
              <w:rPr>
                <w:rFonts w:ascii="Futura PT Medium"/>
                <w:sz w:val="16"/>
              </w:rPr>
            </w:pPr>
            <w:r>
              <w:rPr>
                <w:rFonts w:ascii="Futura PT Medium"/>
                <w:color w:val="636466"/>
                <w:sz w:val="16"/>
              </w:rPr>
              <w:t>-</w:t>
            </w:r>
          </w:p>
        </w:tc>
      </w:tr>
      <w:tr w:rsidR="00D840DF">
        <w:trPr>
          <w:trHeight w:val="240"/>
        </w:trPr>
        <w:tc>
          <w:tcPr>
            <w:tcW w:w="3171"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gains</w:t>
            </w:r>
          </w:p>
        </w:tc>
        <w:tc>
          <w:tcPr>
            <w:tcW w:w="1163"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05" w:type="dxa"/>
            <w:tcBorders>
              <w:bottom w:val="single" w:sz="4" w:space="0" w:color="C7C8CA"/>
            </w:tcBorders>
            <w:shd w:val="clear" w:color="auto" w:fill="E6E7E8"/>
          </w:tcPr>
          <w:p w:rsidR="00D840DF" w:rsidRDefault="00961020">
            <w:pPr>
              <w:pStyle w:val="TableParagraph"/>
              <w:spacing w:before="21" w:line="200" w:lineRule="exact"/>
              <w:ind w:right="292"/>
              <w:jc w:val="right"/>
              <w:rPr>
                <w:rFonts w:ascii="Futura PT Medium"/>
                <w:sz w:val="16"/>
              </w:rPr>
            </w:pPr>
            <w:r>
              <w:rPr>
                <w:rFonts w:ascii="Futura PT Medium"/>
                <w:sz w:val="16"/>
              </w:rPr>
              <w:t>-</w:t>
            </w:r>
          </w:p>
        </w:tc>
        <w:tc>
          <w:tcPr>
            <w:tcW w:w="1098"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6,640</w:t>
            </w:r>
          </w:p>
        </w:tc>
      </w:tr>
      <w:tr w:rsidR="00D840DF">
        <w:trPr>
          <w:trHeight w:val="220"/>
        </w:trPr>
        <w:tc>
          <w:tcPr>
            <w:tcW w:w="3171"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Total own-source income</w:t>
            </w:r>
          </w:p>
        </w:tc>
        <w:tc>
          <w:tcPr>
            <w:tcW w:w="1163" w:type="dxa"/>
            <w:tcBorders>
              <w:top w:val="single" w:sz="4" w:space="0" w:color="C7C8CA"/>
              <w:bottom w:val="single" w:sz="4" w:space="0" w:color="C7C8CA"/>
            </w:tcBorders>
            <w:shd w:val="clear" w:color="auto" w:fill="E6E7E8"/>
          </w:tcPr>
          <w:p w:rsidR="00D840DF" w:rsidRDefault="00D840DF">
            <w:pPr>
              <w:pStyle w:val="TableParagraph"/>
              <w:spacing w:before="0"/>
              <w:rPr>
                <w:rFonts w:ascii="Times New Roman"/>
                <w:sz w:val="16"/>
              </w:rPr>
            </w:pPr>
          </w:p>
        </w:tc>
        <w:tc>
          <w:tcPr>
            <w:tcW w:w="1105"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92"/>
              <w:jc w:val="right"/>
              <w:rPr>
                <w:rFonts w:ascii="Futura PT Medium"/>
                <w:sz w:val="16"/>
              </w:rPr>
            </w:pPr>
            <w:r>
              <w:rPr>
                <w:rFonts w:ascii="Futura PT Medium"/>
                <w:sz w:val="16"/>
              </w:rPr>
              <w:t>6,519</w:t>
            </w:r>
          </w:p>
        </w:tc>
        <w:tc>
          <w:tcPr>
            <w:tcW w:w="109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57"/>
              <w:jc w:val="right"/>
              <w:rPr>
                <w:rFonts w:ascii="Futura PT Medium"/>
                <w:sz w:val="16"/>
              </w:rPr>
            </w:pPr>
            <w:r>
              <w:rPr>
                <w:rFonts w:ascii="Futura PT Medium"/>
                <w:sz w:val="16"/>
              </w:rPr>
              <w:t>1,163</w:t>
            </w:r>
          </w:p>
        </w:tc>
        <w:tc>
          <w:tcPr>
            <w:tcW w:w="98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23,057</w:t>
            </w:r>
          </w:p>
        </w:tc>
      </w:tr>
      <w:tr w:rsidR="00D840DF">
        <w:trPr>
          <w:trHeight w:val="220"/>
        </w:trPr>
        <w:tc>
          <w:tcPr>
            <w:tcW w:w="3171"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Net cost of services</w:t>
            </w:r>
          </w:p>
        </w:tc>
        <w:tc>
          <w:tcPr>
            <w:tcW w:w="1163" w:type="dxa"/>
            <w:tcBorders>
              <w:top w:val="single" w:sz="4" w:space="0" w:color="C7C8CA"/>
              <w:bottom w:val="single" w:sz="4" w:space="0" w:color="C7C8CA"/>
            </w:tcBorders>
            <w:shd w:val="clear" w:color="auto" w:fill="E6E7E8"/>
          </w:tcPr>
          <w:p w:rsidR="00D840DF" w:rsidRDefault="00D840DF">
            <w:pPr>
              <w:pStyle w:val="TableParagraph"/>
              <w:spacing w:before="0"/>
              <w:rPr>
                <w:rFonts w:ascii="Times New Roman"/>
                <w:sz w:val="16"/>
              </w:rPr>
            </w:pPr>
          </w:p>
        </w:tc>
        <w:tc>
          <w:tcPr>
            <w:tcW w:w="1105"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92"/>
              <w:jc w:val="right"/>
              <w:rPr>
                <w:rFonts w:ascii="Futura PT Medium"/>
                <w:sz w:val="16"/>
              </w:rPr>
            </w:pPr>
            <w:r>
              <w:rPr>
                <w:rFonts w:ascii="Futura PT Medium"/>
                <w:sz w:val="16"/>
              </w:rPr>
              <w:t>(10,852)</w:t>
            </w:r>
          </w:p>
        </w:tc>
        <w:tc>
          <w:tcPr>
            <w:tcW w:w="109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57"/>
              <w:jc w:val="right"/>
              <w:rPr>
                <w:rFonts w:ascii="Futura PT Medium"/>
                <w:sz w:val="16"/>
              </w:rPr>
            </w:pPr>
            <w:r>
              <w:rPr>
                <w:rFonts w:ascii="Futura PT Medium"/>
                <w:sz w:val="16"/>
              </w:rPr>
              <w:t>(21,897)</w:t>
            </w:r>
          </w:p>
        </w:tc>
        <w:tc>
          <w:tcPr>
            <w:tcW w:w="98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w:t>
            </w:r>
          </w:p>
        </w:tc>
      </w:tr>
      <w:tr w:rsidR="00D840DF">
        <w:trPr>
          <w:trHeight w:val="240"/>
        </w:trPr>
        <w:tc>
          <w:tcPr>
            <w:tcW w:w="3171" w:type="dxa"/>
            <w:tcBorders>
              <w:top w:val="single" w:sz="4" w:space="0" w:color="C7C8CA"/>
            </w:tcBorders>
          </w:tcPr>
          <w:p w:rsidR="00D840DF" w:rsidRDefault="00961020">
            <w:pPr>
              <w:pStyle w:val="TableParagraph"/>
              <w:ind w:left="113"/>
              <w:rPr>
                <w:sz w:val="16"/>
              </w:rPr>
            </w:pPr>
            <w:r>
              <w:rPr>
                <w:color w:val="636466"/>
                <w:sz w:val="16"/>
              </w:rPr>
              <w:t>Revenue</w:t>
            </w:r>
            <w:r w:rsidR="00E314B6">
              <w:rPr>
                <w:color w:val="636466"/>
                <w:sz w:val="16"/>
              </w:rPr>
              <w:t xml:space="preserve"> </w:t>
            </w:r>
            <w:r>
              <w:rPr>
                <w:color w:val="636466"/>
                <w:sz w:val="16"/>
              </w:rPr>
              <w:t>from Government</w:t>
            </w:r>
          </w:p>
        </w:tc>
        <w:tc>
          <w:tcPr>
            <w:tcW w:w="1163" w:type="dxa"/>
            <w:tcBorders>
              <w:top w:val="single" w:sz="4" w:space="0" w:color="C7C8CA"/>
            </w:tcBorders>
          </w:tcPr>
          <w:p w:rsidR="00D840DF" w:rsidRDefault="00961020">
            <w:pPr>
              <w:pStyle w:val="TableParagraph"/>
              <w:ind w:right="321"/>
              <w:jc w:val="right"/>
              <w:rPr>
                <w:sz w:val="16"/>
              </w:rPr>
            </w:pPr>
            <w:r>
              <w:rPr>
                <w:color w:val="636466"/>
                <w:sz w:val="16"/>
              </w:rPr>
              <w:t>1.2C</w:t>
            </w:r>
          </w:p>
        </w:tc>
        <w:tc>
          <w:tcPr>
            <w:tcW w:w="1105" w:type="dxa"/>
            <w:tcBorders>
              <w:top w:val="single" w:sz="4" w:space="0" w:color="C7C8CA"/>
            </w:tcBorders>
          </w:tcPr>
          <w:p w:rsidR="00D840DF" w:rsidRDefault="00961020">
            <w:pPr>
              <w:pStyle w:val="TableParagraph"/>
              <w:ind w:right="292"/>
              <w:jc w:val="right"/>
              <w:rPr>
                <w:rFonts w:ascii="Futura PT Medium"/>
                <w:sz w:val="16"/>
              </w:rPr>
            </w:pPr>
            <w:r>
              <w:rPr>
                <w:rFonts w:ascii="Futura PT Medium"/>
                <w:color w:val="636466"/>
                <w:sz w:val="16"/>
              </w:rPr>
              <w:t>13,538</w:t>
            </w:r>
          </w:p>
        </w:tc>
        <w:tc>
          <w:tcPr>
            <w:tcW w:w="1098" w:type="dxa"/>
            <w:tcBorders>
              <w:top w:val="single" w:sz="4" w:space="0" w:color="C7C8CA"/>
            </w:tcBorders>
          </w:tcPr>
          <w:p w:rsidR="00D840DF" w:rsidRDefault="00961020">
            <w:pPr>
              <w:pStyle w:val="TableParagraph"/>
              <w:ind w:right="257"/>
              <w:jc w:val="right"/>
              <w:rPr>
                <w:sz w:val="16"/>
              </w:rPr>
            </w:pPr>
            <w:r>
              <w:rPr>
                <w:color w:val="636466"/>
                <w:sz w:val="16"/>
              </w:rPr>
              <w:t>25,877</w:t>
            </w:r>
          </w:p>
        </w:tc>
        <w:tc>
          <w:tcPr>
            <w:tcW w:w="988" w:type="dxa"/>
            <w:tcBorders>
              <w:top w:val="single" w:sz="4" w:space="0" w:color="C7C8CA"/>
            </w:tcBorders>
          </w:tcPr>
          <w:p w:rsidR="00D840DF" w:rsidRDefault="00961020">
            <w:pPr>
              <w:pStyle w:val="TableParagraph"/>
              <w:ind w:right="111"/>
              <w:jc w:val="right"/>
              <w:rPr>
                <w:sz w:val="16"/>
              </w:rPr>
            </w:pPr>
            <w:r>
              <w:rPr>
                <w:color w:val="636466"/>
                <w:sz w:val="16"/>
              </w:rPr>
              <w:t>-</w:t>
            </w:r>
          </w:p>
        </w:tc>
      </w:tr>
      <w:tr w:rsidR="00D840DF">
        <w:trPr>
          <w:trHeight w:val="240"/>
        </w:trPr>
        <w:tc>
          <w:tcPr>
            <w:tcW w:w="3171"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Surplus</w:t>
            </w:r>
          </w:p>
        </w:tc>
        <w:tc>
          <w:tcPr>
            <w:tcW w:w="1163"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05" w:type="dxa"/>
            <w:tcBorders>
              <w:bottom w:val="single" w:sz="4" w:space="0" w:color="C7C8CA"/>
            </w:tcBorders>
            <w:shd w:val="clear" w:color="auto" w:fill="E6E7E8"/>
          </w:tcPr>
          <w:p w:rsidR="00D840DF" w:rsidRDefault="00961020">
            <w:pPr>
              <w:pStyle w:val="TableParagraph"/>
              <w:spacing w:before="21" w:line="200" w:lineRule="exact"/>
              <w:ind w:right="292"/>
              <w:jc w:val="right"/>
              <w:rPr>
                <w:rFonts w:ascii="Futura PT Medium"/>
                <w:sz w:val="16"/>
              </w:rPr>
            </w:pPr>
            <w:r>
              <w:rPr>
                <w:rFonts w:ascii="Futura PT Medium"/>
                <w:sz w:val="16"/>
              </w:rPr>
              <w:t>2,686</w:t>
            </w:r>
          </w:p>
        </w:tc>
        <w:tc>
          <w:tcPr>
            <w:tcW w:w="1098"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3,980</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w:t>
            </w:r>
          </w:p>
        </w:tc>
      </w:tr>
      <w:tr w:rsidR="00D840DF">
        <w:trPr>
          <w:trHeight w:val="160"/>
        </w:trPr>
        <w:tc>
          <w:tcPr>
            <w:tcW w:w="3171" w:type="dxa"/>
            <w:tcBorders>
              <w:top w:val="single" w:sz="4" w:space="0" w:color="C7C8CA"/>
            </w:tcBorders>
          </w:tcPr>
          <w:p w:rsidR="00D840DF" w:rsidRDefault="00D840DF">
            <w:pPr>
              <w:pStyle w:val="TableParagraph"/>
              <w:spacing w:before="0"/>
              <w:rPr>
                <w:rFonts w:ascii="Times New Roman"/>
                <w:sz w:val="10"/>
              </w:rPr>
            </w:pPr>
          </w:p>
        </w:tc>
        <w:tc>
          <w:tcPr>
            <w:tcW w:w="1163" w:type="dxa"/>
            <w:tcBorders>
              <w:top w:val="single" w:sz="4" w:space="0" w:color="C7C8CA"/>
            </w:tcBorders>
          </w:tcPr>
          <w:p w:rsidR="00D840DF" w:rsidRDefault="00D840DF">
            <w:pPr>
              <w:pStyle w:val="TableParagraph"/>
              <w:spacing w:before="0"/>
              <w:rPr>
                <w:rFonts w:ascii="Times New Roman"/>
                <w:sz w:val="10"/>
              </w:rPr>
            </w:pPr>
          </w:p>
        </w:tc>
        <w:tc>
          <w:tcPr>
            <w:tcW w:w="1105" w:type="dxa"/>
            <w:tcBorders>
              <w:top w:val="single" w:sz="4" w:space="0" w:color="C7C8CA"/>
            </w:tcBorders>
          </w:tcPr>
          <w:p w:rsidR="00D840DF" w:rsidRDefault="00D840DF">
            <w:pPr>
              <w:pStyle w:val="TableParagraph"/>
              <w:spacing w:before="0"/>
              <w:rPr>
                <w:rFonts w:ascii="Times New Roman"/>
                <w:sz w:val="10"/>
              </w:rPr>
            </w:pPr>
          </w:p>
        </w:tc>
        <w:tc>
          <w:tcPr>
            <w:tcW w:w="1098" w:type="dxa"/>
            <w:tcBorders>
              <w:top w:val="single" w:sz="4" w:space="0" w:color="C7C8CA"/>
            </w:tcBorders>
          </w:tcPr>
          <w:p w:rsidR="00D840DF" w:rsidRDefault="00D840DF">
            <w:pPr>
              <w:pStyle w:val="TableParagraph"/>
              <w:spacing w:before="0"/>
              <w:rPr>
                <w:rFonts w:ascii="Times New Roman"/>
                <w:sz w:val="10"/>
              </w:rPr>
            </w:pPr>
          </w:p>
        </w:tc>
        <w:tc>
          <w:tcPr>
            <w:tcW w:w="988" w:type="dxa"/>
            <w:tcBorders>
              <w:top w:val="single" w:sz="4" w:space="0" w:color="C7C8CA"/>
            </w:tcBorders>
          </w:tcPr>
          <w:p w:rsidR="00D840DF" w:rsidRDefault="00D840DF">
            <w:pPr>
              <w:pStyle w:val="TableParagraph"/>
              <w:spacing w:before="0"/>
              <w:rPr>
                <w:rFonts w:ascii="Times New Roman"/>
                <w:sz w:val="10"/>
              </w:rPr>
            </w:pPr>
          </w:p>
        </w:tc>
      </w:tr>
      <w:tr w:rsidR="00D840DF">
        <w:trPr>
          <w:trHeight w:val="260"/>
        </w:trPr>
        <w:tc>
          <w:tcPr>
            <w:tcW w:w="3171" w:type="dxa"/>
            <w:shd w:val="clear" w:color="auto" w:fill="E2F0D8"/>
          </w:tcPr>
          <w:p w:rsidR="00D840DF" w:rsidRDefault="00961020">
            <w:pPr>
              <w:pStyle w:val="TableParagraph"/>
              <w:spacing w:before="33"/>
              <w:ind w:left="113"/>
              <w:rPr>
                <w:rFonts w:ascii="Futura PT Bold"/>
                <w:b/>
                <w:sz w:val="16"/>
              </w:rPr>
            </w:pPr>
            <w:r>
              <w:rPr>
                <w:rFonts w:ascii="Futura PT Bold"/>
                <w:b/>
                <w:color w:val="003E2D"/>
                <w:sz w:val="16"/>
              </w:rPr>
              <w:t>Other</w:t>
            </w:r>
            <w:r w:rsidR="00E314B6">
              <w:rPr>
                <w:rFonts w:ascii="Futura PT Bold"/>
                <w:b/>
                <w:color w:val="003E2D"/>
                <w:sz w:val="16"/>
              </w:rPr>
              <w:t xml:space="preserve"> </w:t>
            </w:r>
            <w:r>
              <w:rPr>
                <w:rFonts w:ascii="Futura PT Bold"/>
                <w:b/>
                <w:color w:val="003E2D"/>
                <w:sz w:val="16"/>
              </w:rPr>
              <w:t>comprehensive income</w:t>
            </w:r>
          </w:p>
        </w:tc>
        <w:tc>
          <w:tcPr>
            <w:tcW w:w="1163" w:type="dxa"/>
            <w:shd w:val="clear" w:color="auto" w:fill="E2F0D8"/>
          </w:tcPr>
          <w:p w:rsidR="00D840DF" w:rsidRDefault="00D840DF">
            <w:pPr>
              <w:pStyle w:val="TableParagraph"/>
              <w:spacing w:before="0"/>
              <w:rPr>
                <w:rFonts w:ascii="Times New Roman"/>
                <w:sz w:val="16"/>
              </w:rPr>
            </w:pPr>
          </w:p>
        </w:tc>
        <w:tc>
          <w:tcPr>
            <w:tcW w:w="1105" w:type="dxa"/>
            <w:shd w:val="clear" w:color="auto" w:fill="E2F0D8"/>
          </w:tcPr>
          <w:p w:rsidR="00D840DF" w:rsidRDefault="00D840DF">
            <w:pPr>
              <w:pStyle w:val="TableParagraph"/>
              <w:spacing w:before="0"/>
              <w:rPr>
                <w:rFonts w:ascii="Times New Roman"/>
                <w:sz w:val="16"/>
              </w:rPr>
            </w:pPr>
          </w:p>
        </w:tc>
        <w:tc>
          <w:tcPr>
            <w:tcW w:w="1098" w:type="dxa"/>
            <w:shd w:val="clear" w:color="auto" w:fill="E2F0D8"/>
          </w:tcPr>
          <w:p w:rsidR="00D840DF" w:rsidRDefault="00D840DF">
            <w:pPr>
              <w:pStyle w:val="TableParagraph"/>
              <w:spacing w:before="0"/>
              <w:rPr>
                <w:rFonts w:ascii="Times New Roman"/>
                <w:sz w:val="16"/>
              </w:rPr>
            </w:pPr>
          </w:p>
        </w:tc>
        <w:tc>
          <w:tcPr>
            <w:tcW w:w="988" w:type="dxa"/>
            <w:shd w:val="clear" w:color="auto" w:fill="E2F0D8"/>
          </w:tcPr>
          <w:p w:rsidR="00D840DF" w:rsidRDefault="00D840DF">
            <w:pPr>
              <w:pStyle w:val="TableParagraph"/>
              <w:spacing w:before="0"/>
              <w:rPr>
                <w:rFonts w:ascii="Times New Roman"/>
                <w:sz w:val="16"/>
              </w:rPr>
            </w:pPr>
          </w:p>
        </w:tc>
      </w:tr>
      <w:tr w:rsidR="00D840DF">
        <w:trPr>
          <w:trHeight w:val="240"/>
        </w:trPr>
        <w:tc>
          <w:tcPr>
            <w:tcW w:w="3171"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Changes in asset revaluation surplus</w:t>
            </w:r>
          </w:p>
        </w:tc>
        <w:tc>
          <w:tcPr>
            <w:tcW w:w="1163"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05" w:type="dxa"/>
            <w:tcBorders>
              <w:bottom w:val="single" w:sz="4" w:space="0" w:color="C7C8CA"/>
            </w:tcBorders>
            <w:shd w:val="clear" w:color="auto" w:fill="E6E7E8"/>
          </w:tcPr>
          <w:p w:rsidR="00D840DF" w:rsidRDefault="00961020">
            <w:pPr>
              <w:pStyle w:val="TableParagraph"/>
              <w:spacing w:before="21" w:line="200" w:lineRule="exact"/>
              <w:ind w:right="302"/>
              <w:jc w:val="right"/>
              <w:rPr>
                <w:rFonts w:ascii="Futura PT Medium"/>
                <w:sz w:val="16"/>
              </w:rPr>
            </w:pPr>
            <w:r>
              <w:rPr>
                <w:rFonts w:ascii="Futura PT Medium"/>
                <w:sz w:val="16"/>
              </w:rPr>
              <w:t>72</w:t>
            </w:r>
          </w:p>
        </w:tc>
        <w:tc>
          <w:tcPr>
            <w:tcW w:w="1098"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w:t>
            </w:r>
          </w:p>
        </w:tc>
      </w:tr>
      <w:tr w:rsidR="00D840DF">
        <w:trPr>
          <w:trHeight w:val="220"/>
        </w:trPr>
        <w:tc>
          <w:tcPr>
            <w:tcW w:w="3171"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Total comprehensive surplus</w:t>
            </w:r>
          </w:p>
        </w:tc>
        <w:tc>
          <w:tcPr>
            <w:tcW w:w="1163" w:type="dxa"/>
            <w:tcBorders>
              <w:top w:val="single" w:sz="4" w:space="0" w:color="C7C8CA"/>
              <w:bottom w:val="single" w:sz="4" w:space="0" w:color="C7C8CA"/>
            </w:tcBorders>
            <w:shd w:val="clear" w:color="auto" w:fill="E6E7E8"/>
          </w:tcPr>
          <w:p w:rsidR="00D840DF" w:rsidRDefault="00D840DF">
            <w:pPr>
              <w:pStyle w:val="TableParagraph"/>
              <w:spacing w:before="0"/>
              <w:rPr>
                <w:rFonts w:ascii="Times New Roman"/>
                <w:sz w:val="16"/>
              </w:rPr>
            </w:pPr>
          </w:p>
        </w:tc>
        <w:tc>
          <w:tcPr>
            <w:tcW w:w="1105"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92"/>
              <w:jc w:val="right"/>
              <w:rPr>
                <w:rFonts w:ascii="Futura PT Medium"/>
                <w:sz w:val="16"/>
              </w:rPr>
            </w:pPr>
            <w:r>
              <w:rPr>
                <w:rFonts w:ascii="Futura PT Medium"/>
                <w:sz w:val="16"/>
              </w:rPr>
              <w:t>2,758</w:t>
            </w:r>
          </w:p>
        </w:tc>
        <w:tc>
          <w:tcPr>
            <w:tcW w:w="109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57"/>
              <w:jc w:val="right"/>
              <w:rPr>
                <w:rFonts w:ascii="Futura PT Medium"/>
                <w:sz w:val="16"/>
              </w:rPr>
            </w:pPr>
            <w:r>
              <w:rPr>
                <w:rFonts w:ascii="Futura PT Medium"/>
                <w:sz w:val="16"/>
              </w:rPr>
              <w:t>3,980</w:t>
            </w:r>
          </w:p>
        </w:tc>
        <w:tc>
          <w:tcPr>
            <w:tcW w:w="98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w:t>
            </w:r>
          </w:p>
        </w:tc>
      </w:tr>
    </w:tbl>
    <w:p w:rsidR="00D840DF" w:rsidRDefault="00961020" w:rsidP="008F7C36">
      <w:pPr>
        <w:spacing w:before="223"/>
        <w:rPr>
          <w:sz w:val="16"/>
        </w:rPr>
      </w:pPr>
      <w:r>
        <w:rPr>
          <w:color w:val="636466"/>
          <w:sz w:val="16"/>
        </w:rPr>
        <w:t>The above statement should be read in conjunction with the accompanying notes.</w:t>
      </w:r>
    </w:p>
    <w:p w:rsidR="00D840DF" w:rsidRDefault="00961020" w:rsidP="008D2169">
      <w:pPr>
        <w:pStyle w:val="Heading4"/>
      </w:pPr>
      <w:r>
        <w:t>Budget</w:t>
      </w:r>
      <w:r w:rsidR="00E314B6">
        <w:t xml:space="preserve"> </w:t>
      </w:r>
      <w:r>
        <w:t>Variances Commentary</w:t>
      </w:r>
    </w:p>
    <w:p w:rsidR="00D840DF" w:rsidRPr="008D2169" w:rsidRDefault="008D2169" w:rsidP="008F7C36">
      <w:pPr>
        <w:pStyle w:val="Heading5"/>
      </w:pPr>
      <w:r>
        <w:t xml:space="preserve">Statement of </w:t>
      </w:r>
      <w:r w:rsidR="00961020" w:rsidRPr="008D2169">
        <w:t>Comprehensive Income</w:t>
      </w:r>
    </w:p>
    <w:p w:rsidR="00D840DF" w:rsidRDefault="00961020" w:rsidP="008F7C36">
      <w:pPr>
        <w:spacing w:before="4" w:line="244" w:lineRule="auto"/>
        <w:rPr>
          <w:sz w:val="16"/>
        </w:rPr>
      </w:pPr>
      <w:r>
        <w:rPr>
          <w:color w:val="636466"/>
          <w:sz w:val="16"/>
        </w:rPr>
        <w:t xml:space="preserve">Employee benefits of $5.728m were lower than the budgeted amount of $5.975m due to lower than budgeted staffing levels. Supplier expenses of $11.015m were also down from the budgeted amount of $16.282m principally through a reduction in expenditure on contractors and consultants. These reductions were attributable to more mature business processes as well as a </w:t>
      </w:r>
      <w:proofErr w:type="spellStart"/>
      <w:r>
        <w:rPr>
          <w:color w:val="636466"/>
          <w:sz w:val="16"/>
        </w:rPr>
        <w:t>rephasing</w:t>
      </w:r>
      <w:proofErr w:type="spellEnd"/>
      <w:r>
        <w:rPr>
          <w:color w:val="636466"/>
          <w:sz w:val="16"/>
        </w:rPr>
        <w:t xml:space="preserve"> of activities into the 2017–18 year. This also contributed to the reduction of total own- source revenue, being $6.519m in comparison to the budgeted amount of $23.057m.</w:t>
      </w:r>
    </w:p>
    <w:p w:rsidR="00D840DF" w:rsidRDefault="00961020" w:rsidP="008F7C36">
      <w:pPr>
        <w:spacing w:before="113"/>
        <w:rPr>
          <w:sz w:val="16"/>
        </w:rPr>
      </w:pPr>
      <w:r>
        <w:rPr>
          <w:color w:val="636466"/>
          <w:sz w:val="16"/>
        </w:rPr>
        <w:t>The 2016–17 free of charge services contributed by the Department of Health was lower than the budgeted level by</w:t>
      </w:r>
      <w:r w:rsidR="008F7C36">
        <w:rPr>
          <w:sz w:val="16"/>
        </w:rPr>
        <w:t xml:space="preserve"> </w:t>
      </w:r>
      <w:r>
        <w:rPr>
          <w:color w:val="636466"/>
          <w:sz w:val="16"/>
        </w:rPr>
        <w:t>$1.55m which is disclosed as other revenue (Note 1.2B).</w:t>
      </w:r>
    </w:p>
    <w:p w:rsidR="00D840DF" w:rsidRDefault="00D840DF">
      <w:pPr>
        <w:rPr>
          <w:sz w:val="16"/>
        </w:rPr>
        <w:sectPr w:rsidR="00D840DF">
          <w:pgSz w:w="9980" w:h="14180"/>
          <w:pgMar w:top="1320" w:right="1220" w:bottom="0" w:left="1020" w:header="720" w:footer="720" w:gutter="0"/>
          <w:cols w:space="720"/>
        </w:sectPr>
      </w:pPr>
    </w:p>
    <w:p w:rsidR="00D840DF" w:rsidRDefault="00961020" w:rsidP="008D2169">
      <w:pPr>
        <w:pStyle w:val="Heading3"/>
      </w:pPr>
      <w:bookmarkStart w:id="129" w:name="Statement_of_financial_position"/>
      <w:bookmarkStart w:id="130" w:name="_bookmark35"/>
      <w:bookmarkStart w:id="131" w:name="_Statement_of_financial"/>
      <w:bookmarkEnd w:id="129"/>
      <w:bookmarkEnd w:id="130"/>
      <w:bookmarkEnd w:id="131"/>
      <w:r>
        <w:lastRenderedPageBreak/>
        <w:t>Statement of financial position</w:t>
      </w:r>
      <w:r w:rsidR="008D2169">
        <w:t xml:space="preserve"> </w:t>
      </w:r>
      <w:r w:rsidR="008D2169">
        <w:br/>
      </w:r>
      <w:r>
        <w:t>as at 30 June 2017</w:t>
      </w:r>
    </w:p>
    <w:p w:rsidR="00D840DF" w:rsidRDefault="00D840DF">
      <w:pPr>
        <w:pStyle w:val="BodyText"/>
        <w:spacing w:before="7" w:after="1"/>
        <w:rPr>
          <w:sz w:val="16"/>
        </w:rPr>
      </w:pPr>
    </w:p>
    <w:tbl>
      <w:tblPr>
        <w:tblW w:w="0" w:type="auto"/>
        <w:tblInd w:w="103" w:type="dxa"/>
        <w:tblLayout w:type="fixed"/>
        <w:tblCellMar>
          <w:left w:w="0" w:type="dxa"/>
          <w:right w:w="0" w:type="dxa"/>
        </w:tblCellMar>
        <w:tblLook w:val="01E0" w:firstRow="1" w:lastRow="1" w:firstColumn="1" w:lastColumn="1" w:noHBand="0" w:noVBand="0"/>
      </w:tblPr>
      <w:tblGrid>
        <w:gridCol w:w="2864"/>
        <w:gridCol w:w="1504"/>
        <w:gridCol w:w="1122"/>
        <w:gridCol w:w="1062"/>
        <w:gridCol w:w="988"/>
      </w:tblGrid>
      <w:tr w:rsidR="00D840DF">
        <w:trPr>
          <w:trHeight w:val="680"/>
        </w:trPr>
        <w:tc>
          <w:tcPr>
            <w:tcW w:w="2864" w:type="dxa"/>
            <w:shd w:val="clear" w:color="auto" w:fill="008F54"/>
          </w:tcPr>
          <w:p w:rsidR="00D840DF" w:rsidRDefault="00D840DF">
            <w:pPr>
              <w:pStyle w:val="TableParagraph"/>
              <w:spacing w:before="0"/>
              <w:rPr>
                <w:rFonts w:ascii="Times New Roman"/>
                <w:sz w:val="16"/>
              </w:rPr>
            </w:pPr>
          </w:p>
        </w:tc>
        <w:tc>
          <w:tcPr>
            <w:tcW w:w="1504" w:type="dxa"/>
            <w:shd w:val="clear" w:color="auto" w:fill="008F54"/>
          </w:tcPr>
          <w:p w:rsidR="00D840DF" w:rsidRDefault="00D840DF">
            <w:pPr>
              <w:pStyle w:val="TableParagraph"/>
              <w:spacing w:before="0"/>
              <w:rPr>
                <w:sz w:val="18"/>
              </w:rPr>
            </w:pPr>
          </w:p>
          <w:p w:rsidR="00D840DF" w:rsidRDefault="00961020">
            <w:pPr>
              <w:pStyle w:val="TableParagraph"/>
              <w:spacing w:before="0"/>
              <w:ind w:right="339"/>
              <w:jc w:val="right"/>
              <w:rPr>
                <w:rFonts w:ascii="Futura PT Demi"/>
                <w:sz w:val="17"/>
              </w:rPr>
            </w:pPr>
            <w:r>
              <w:rPr>
                <w:rFonts w:ascii="Futura PT Demi"/>
                <w:color w:val="FFFFFF"/>
                <w:sz w:val="17"/>
              </w:rPr>
              <w:t>Notes</w:t>
            </w:r>
          </w:p>
        </w:tc>
        <w:tc>
          <w:tcPr>
            <w:tcW w:w="1122" w:type="dxa"/>
            <w:shd w:val="clear" w:color="auto" w:fill="008F54"/>
          </w:tcPr>
          <w:p w:rsidR="00D840DF" w:rsidRDefault="00961020">
            <w:pPr>
              <w:pStyle w:val="TableParagraph"/>
              <w:spacing w:before="130" w:line="209" w:lineRule="exact"/>
              <w:ind w:left="415"/>
              <w:rPr>
                <w:rFonts w:ascii="Futura PT Demi"/>
                <w:sz w:val="17"/>
              </w:rPr>
            </w:pPr>
            <w:r>
              <w:rPr>
                <w:rFonts w:ascii="Futura PT Demi"/>
                <w:color w:val="FFFFFF"/>
                <w:sz w:val="17"/>
              </w:rPr>
              <w:t>2017</w:t>
            </w:r>
          </w:p>
          <w:p w:rsidR="00D840DF" w:rsidRDefault="00961020">
            <w:pPr>
              <w:pStyle w:val="TableParagraph"/>
              <w:spacing w:before="0" w:line="209" w:lineRule="exact"/>
              <w:ind w:left="340"/>
              <w:rPr>
                <w:rFonts w:ascii="Futura PT Demi" w:hAnsi="Futura PT Demi"/>
                <w:sz w:val="17"/>
              </w:rPr>
            </w:pPr>
            <w:r>
              <w:rPr>
                <w:rFonts w:ascii="Futura PT Demi" w:hAnsi="Futura PT Demi"/>
                <w:color w:val="FFFFFF"/>
                <w:sz w:val="17"/>
              </w:rPr>
              <w:t>$’000</w:t>
            </w:r>
          </w:p>
        </w:tc>
        <w:tc>
          <w:tcPr>
            <w:tcW w:w="1062" w:type="dxa"/>
            <w:shd w:val="clear" w:color="auto" w:fill="008F54"/>
          </w:tcPr>
          <w:p w:rsidR="00D840DF" w:rsidRDefault="00961020">
            <w:pPr>
              <w:pStyle w:val="TableParagraph"/>
              <w:spacing w:before="130" w:line="209" w:lineRule="exact"/>
              <w:ind w:left="427"/>
              <w:rPr>
                <w:rFonts w:ascii="Futura PT Demi"/>
                <w:sz w:val="17"/>
              </w:rPr>
            </w:pPr>
            <w:r>
              <w:rPr>
                <w:rFonts w:ascii="Futura PT Demi"/>
                <w:color w:val="FFFFFF"/>
                <w:sz w:val="17"/>
              </w:rPr>
              <w:t>2016</w:t>
            </w:r>
          </w:p>
          <w:p w:rsidR="00D840DF" w:rsidRDefault="00961020">
            <w:pPr>
              <w:pStyle w:val="TableParagraph"/>
              <w:spacing w:before="0" w:line="209" w:lineRule="exact"/>
              <w:ind w:left="352"/>
              <w:rPr>
                <w:rFonts w:ascii="Futura PT Demi" w:hAnsi="Futura PT Demi"/>
                <w:sz w:val="17"/>
              </w:rPr>
            </w:pPr>
            <w:r>
              <w:rPr>
                <w:rFonts w:ascii="Futura PT Demi" w:hAnsi="Futura PT Demi"/>
                <w:color w:val="FFFFFF"/>
                <w:sz w:val="17"/>
              </w:rPr>
              <w:t>$’000</w:t>
            </w:r>
          </w:p>
        </w:tc>
        <w:tc>
          <w:tcPr>
            <w:tcW w:w="988" w:type="dxa"/>
            <w:shd w:val="clear" w:color="auto" w:fill="008F54"/>
          </w:tcPr>
          <w:p w:rsidR="00D840DF" w:rsidRDefault="00961020">
            <w:pPr>
              <w:pStyle w:val="TableParagraph"/>
              <w:spacing w:before="48" w:line="220" w:lineRule="auto"/>
              <w:ind w:left="251" w:right="111" w:hanging="1"/>
              <w:jc w:val="center"/>
              <w:rPr>
                <w:rFonts w:ascii="Futura PT Demi"/>
                <w:sz w:val="17"/>
              </w:rPr>
            </w:pPr>
            <w:r>
              <w:rPr>
                <w:rFonts w:ascii="Futura PT Demi"/>
                <w:color w:val="FFFFFF"/>
                <w:sz w:val="17"/>
              </w:rPr>
              <w:t>Original Budget</w:t>
            </w:r>
          </w:p>
          <w:p w:rsidR="00D840DF" w:rsidRDefault="00961020">
            <w:pPr>
              <w:pStyle w:val="TableParagraph"/>
              <w:spacing w:before="0" w:line="200" w:lineRule="exact"/>
              <w:ind w:left="414" w:right="96"/>
              <w:jc w:val="center"/>
              <w:rPr>
                <w:rFonts w:ascii="Futura PT Demi" w:hAnsi="Futura PT Demi"/>
                <w:sz w:val="17"/>
              </w:rPr>
            </w:pPr>
            <w:r>
              <w:rPr>
                <w:rFonts w:ascii="Futura PT Demi" w:hAnsi="Futura PT Demi"/>
                <w:color w:val="FFFFFF"/>
                <w:sz w:val="17"/>
              </w:rPr>
              <w:t>$’000</w:t>
            </w:r>
          </w:p>
        </w:tc>
      </w:tr>
      <w:tr w:rsidR="00D840DF">
        <w:trPr>
          <w:trHeight w:val="260"/>
        </w:trPr>
        <w:tc>
          <w:tcPr>
            <w:tcW w:w="2864" w:type="dxa"/>
          </w:tcPr>
          <w:p w:rsidR="00D840DF" w:rsidRDefault="00961020" w:rsidP="00A928A7">
            <w:pPr>
              <w:pStyle w:val="TableParagraph"/>
              <w:spacing w:before="33"/>
              <w:rPr>
                <w:rFonts w:ascii="Futura PT Bold"/>
                <w:b/>
                <w:sz w:val="16"/>
              </w:rPr>
            </w:pPr>
            <w:r>
              <w:rPr>
                <w:rFonts w:ascii="Futura PT Bold"/>
                <w:b/>
                <w:color w:val="003E2D"/>
                <w:sz w:val="16"/>
              </w:rPr>
              <w:t>ASSETS</w:t>
            </w:r>
          </w:p>
        </w:tc>
        <w:tc>
          <w:tcPr>
            <w:tcW w:w="1504" w:type="dxa"/>
          </w:tcPr>
          <w:p w:rsidR="00D840DF" w:rsidRDefault="00D840DF">
            <w:pPr>
              <w:pStyle w:val="TableParagraph"/>
              <w:spacing w:before="0"/>
              <w:rPr>
                <w:rFonts w:ascii="Times New Roman"/>
                <w:sz w:val="16"/>
              </w:rPr>
            </w:pPr>
          </w:p>
        </w:tc>
        <w:tc>
          <w:tcPr>
            <w:tcW w:w="1122" w:type="dxa"/>
          </w:tcPr>
          <w:p w:rsidR="00D840DF" w:rsidRDefault="00D840DF">
            <w:pPr>
              <w:pStyle w:val="TableParagraph"/>
              <w:spacing w:before="0"/>
              <w:rPr>
                <w:rFonts w:ascii="Times New Roman"/>
                <w:sz w:val="16"/>
              </w:rPr>
            </w:pPr>
          </w:p>
        </w:tc>
        <w:tc>
          <w:tcPr>
            <w:tcW w:w="1062" w:type="dxa"/>
          </w:tcPr>
          <w:p w:rsidR="00D840DF" w:rsidRDefault="00D840DF">
            <w:pPr>
              <w:pStyle w:val="TableParagraph"/>
              <w:spacing w:before="0"/>
              <w:rPr>
                <w:rFonts w:ascii="Times New Roman"/>
                <w:sz w:val="16"/>
              </w:rPr>
            </w:pPr>
          </w:p>
        </w:tc>
        <w:tc>
          <w:tcPr>
            <w:tcW w:w="988" w:type="dxa"/>
          </w:tcPr>
          <w:p w:rsidR="00D840DF" w:rsidRDefault="00D840DF">
            <w:pPr>
              <w:pStyle w:val="TableParagraph"/>
              <w:spacing w:before="0"/>
              <w:rPr>
                <w:rFonts w:ascii="Times New Roman"/>
                <w:sz w:val="16"/>
              </w:rPr>
            </w:pPr>
          </w:p>
        </w:tc>
      </w:tr>
      <w:tr w:rsidR="00D840DF">
        <w:trPr>
          <w:trHeight w:val="260"/>
        </w:trPr>
        <w:tc>
          <w:tcPr>
            <w:tcW w:w="7540" w:type="dxa"/>
            <w:gridSpan w:val="5"/>
          </w:tcPr>
          <w:p w:rsidR="00D840DF" w:rsidRDefault="00E314B6">
            <w:pPr>
              <w:pStyle w:val="TableParagraph"/>
              <w:tabs>
                <w:tab w:val="left" w:pos="7540"/>
              </w:tabs>
              <w:spacing w:before="38"/>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Financial</w:t>
            </w:r>
            <w:r w:rsidR="00961020">
              <w:rPr>
                <w:rFonts w:ascii="Futura PT Bold"/>
                <w:b/>
                <w:color w:val="003E2D"/>
                <w:spacing w:val="35"/>
                <w:sz w:val="16"/>
                <w:shd w:val="clear" w:color="auto" w:fill="E2F0D8"/>
              </w:rPr>
              <w:t xml:space="preserve"> </w:t>
            </w:r>
            <w:r w:rsidR="00961020">
              <w:rPr>
                <w:rFonts w:ascii="Futura PT Bold"/>
                <w:b/>
                <w:color w:val="003E2D"/>
                <w:sz w:val="16"/>
                <w:shd w:val="clear" w:color="auto" w:fill="E2F0D8"/>
              </w:rPr>
              <w:t>assets</w:t>
            </w:r>
            <w:r w:rsidR="00961020">
              <w:rPr>
                <w:rFonts w:ascii="Futura PT Bold"/>
                <w:b/>
                <w:color w:val="003E2D"/>
                <w:sz w:val="16"/>
                <w:shd w:val="clear" w:color="auto" w:fill="E2F0D8"/>
              </w:rPr>
              <w:tab/>
            </w:r>
          </w:p>
        </w:tc>
      </w:tr>
      <w:tr w:rsidR="00D840DF">
        <w:trPr>
          <w:trHeight w:val="240"/>
        </w:trPr>
        <w:tc>
          <w:tcPr>
            <w:tcW w:w="2864"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Cash and cash equivalents</w:t>
            </w:r>
          </w:p>
        </w:tc>
        <w:tc>
          <w:tcPr>
            <w:tcW w:w="1504" w:type="dxa"/>
            <w:tcBorders>
              <w:bottom w:val="single" w:sz="4" w:space="0" w:color="C7C8CA"/>
            </w:tcBorders>
          </w:tcPr>
          <w:p w:rsidR="00D840DF" w:rsidRDefault="00961020">
            <w:pPr>
              <w:pStyle w:val="TableParagraph"/>
              <w:spacing w:before="28" w:line="200" w:lineRule="exact"/>
              <w:ind w:right="341"/>
              <w:jc w:val="right"/>
              <w:rPr>
                <w:sz w:val="16"/>
              </w:rPr>
            </w:pPr>
            <w:r>
              <w:rPr>
                <w:color w:val="636466"/>
                <w:sz w:val="16"/>
              </w:rPr>
              <w:t>2.1A</w:t>
            </w:r>
          </w:p>
        </w:tc>
        <w:tc>
          <w:tcPr>
            <w:tcW w:w="1122" w:type="dxa"/>
            <w:tcBorders>
              <w:bottom w:val="single" w:sz="4" w:space="0" w:color="C7C8CA"/>
            </w:tcBorders>
          </w:tcPr>
          <w:p w:rsidR="00D840DF" w:rsidRDefault="00961020">
            <w:pPr>
              <w:pStyle w:val="TableParagraph"/>
              <w:spacing w:before="28" w:line="200" w:lineRule="exact"/>
              <w:ind w:right="329"/>
              <w:jc w:val="right"/>
              <w:rPr>
                <w:rFonts w:ascii="Futura PT Medium"/>
                <w:sz w:val="16"/>
              </w:rPr>
            </w:pPr>
            <w:r>
              <w:rPr>
                <w:rFonts w:ascii="Futura PT Medium"/>
                <w:color w:val="636466"/>
                <w:sz w:val="16"/>
              </w:rPr>
              <w:t>9,793</w:t>
            </w:r>
          </w:p>
        </w:tc>
        <w:tc>
          <w:tcPr>
            <w:tcW w:w="1062"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8,400</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3,593</w:t>
            </w:r>
          </w:p>
        </w:tc>
      </w:tr>
      <w:tr w:rsidR="00D840DF">
        <w:trPr>
          <w:trHeight w:val="240"/>
        </w:trPr>
        <w:tc>
          <w:tcPr>
            <w:tcW w:w="2864" w:type="dxa"/>
            <w:tcBorders>
              <w:top w:val="single" w:sz="4" w:space="0" w:color="C7C8CA"/>
            </w:tcBorders>
          </w:tcPr>
          <w:p w:rsidR="00D840DF" w:rsidRDefault="00961020">
            <w:pPr>
              <w:pStyle w:val="TableParagraph"/>
              <w:ind w:left="113"/>
              <w:rPr>
                <w:sz w:val="16"/>
              </w:rPr>
            </w:pPr>
            <w:r>
              <w:rPr>
                <w:color w:val="636466"/>
                <w:sz w:val="16"/>
              </w:rPr>
              <w:t>Trade and other receivables</w:t>
            </w:r>
          </w:p>
        </w:tc>
        <w:tc>
          <w:tcPr>
            <w:tcW w:w="1504" w:type="dxa"/>
            <w:tcBorders>
              <w:top w:val="single" w:sz="4" w:space="0" w:color="C7C8CA"/>
            </w:tcBorders>
          </w:tcPr>
          <w:p w:rsidR="00D840DF" w:rsidRDefault="00961020">
            <w:pPr>
              <w:pStyle w:val="TableParagraph"/>
              <w:ind w:right="341"/>
              <w:jc w:val="right"/>
              <w:rPr>
                <w:sz w:val="16"/>
              </w:rPr>
            </w:pPr>
            <w:r>
              <w:rPr>
                <w:color w:val="636466"/>
                <w:sz w:val="16"/>
              </w:rPr>
              <w:t>2.1B</w:t>
            </w:r>
          </w:p>
        </w:tc>
        <w:tc>
          <w:tcPr>
            <w:tcW w:w="1122" w:type="dxa"/>
            <w:tcBorders>
              <w:top w:val="single" w:sz="4" w:space="0" w:color="C7C8CA"/>
            </w:tcBorders>
          </w:tcPr>
          <w:p w:rsidR="00D840DF" w:rsidRDefault="00961020">
            <w:pPr>
              <w:pStyle w:val="TableParagraph"/>
              <w:ind w:right="345"/>
              <w:jc w:val="right"/>
              <w:rPr>
                <w:rFonts w:ascii="Futura PT Medium"/>
                <w:sz w:val="16"/>
              </w:rPr>
            </w:pPr>
            <w:r>
              <w:rPr>
                <w:rFonts w:ascii="Futura PT Medium"/>
                <w:color w:val="636466"/>
                <w:sz w:val="16"/>
              </w:rPr>
              <w:t>211</w:t>
            </w:r>
          </w:p>
        </w:tc>
        <w:tc>
          <w:tcPr>
            <w:tcW w:w="1062" w:type="dxa"/>
            <w:tcBorders>
              <w:top w:val="single" w:sz="4" w:space="0" w:color="C7C8CA"/>
            </w:tcBorders>
          </w:tcPr>
          <w:p w:rsidR="00D840DF" w:rsidRDefault="00961020">
            <w:pPr>
              <w:pStyle w:val="TableParagraph"/>
              <w:ind w:right="266"/>
              <w:jc w:val="right"/>
              <w:rPr>
                <w:sz w:val="16"/>
              </w:rPr>
            </w:pPr>
            <w:r>
              <w:rPr>
                <w:color w:val="636466"/>
                <w:sz w:val="16"/>
              </w:rPr>
              <w:t>18,515</w:t>
            </w:r>
          </w:p>
        </w:tc>
        <w:tc>
          <w:tcPr>
            <w:tcW w:w="988" w:type="dxa"/>
            <w:tcBorders>
              <w:top w:val="single" w:sz="4" w:space="0" w:color="C7C8CA"/>
            </w:tcBorders>
          </w:tcPr>
          <w:p w:rsidR="00D840DF" w:rsidRDefault="00961020">
            <w:pPr>
              <w:pStyle w:val="TableParagraph"/>
              <w:ind w:right="114"/>
              <w:jc w:val="right"/>
              <w:rPr>
                <w:sz w:val="16"/>
              </w:rPr>
            </w:pPr>
            <w:r>
              <w:rPr>
                <w:color w:val="636466"/>
                <w:sz w:val="16"/>
              </w:rPr>
              <w:t>20,287</w:t>
            </w:r>
          </w:p>
        </w:tc>
      </w:tr>
      <w:tr w:rsidR="00D840DF">
        <w:trPr>
          <w:trHeight w:val="240"/>
        </w:trPr>
        <w:tc>
          <w:tcPr>
            <w:tcW w:w="2864"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financial assets</w:t>
            </w:r>
          </w:p>
        </w:tc>
        <w:tc>
          <w:tcPr>
            <w:tcW w:w="1504"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bottom w:val="single" w:sz="4" w:space="0" w:color="C7C8CA"/>
            </w:tcBorders>
            <w:shd w:val="clear" w:color="auto" w:fill="E6E7E8"/>
          </w:tcPr>
          <w:p w:rsidR="00D840DF" w:rsidRDefault="00961020">
            <w:pPr>
              <w:pStyle w:val="TableParagraph"/>
              <w:spacing w:before="21" w:line="200" w:lineRule="exact"/>
              <w:ind w:right="328"/>
              <w:jc w:val="right"/>
              <w:rPr>
                <w:rFonts w:ascii="Futura PT Medium"/>
                <w:sz w:val="16"/>
              </w:rPr>
            </w:pPr>
            <w:r>
              <w:rPr>
                <w:rFonts w:ascii="Futura PT Medium"/>
                <w:sz w:val="16"/>
              </w:rPr>
              <w:t>10,004</w:t>
            </w:r>
          </w:p>
        </w:tc>
        <w:tc>
          <w:tcPr>
            <w:tcW w:w="1062"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26,915</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23,880</w:t>
            </w:r>
          </w:p>
        </w:tc>
      </w:tr>
      <w:tr w:rsidR="00D840DF">
        <w:trPr>
          <w:trHeight w:val="440"/>
        </w:trPr>
        <w:tc>
          <w:tcPr>
            <w:tcW w:w="7540" w:type="dxa"/>
            <w:gridSpan w:val="5"/>
            <w:tcBorders>
              <w:top w:val="single" w:sz="4" w:space="0" w:color="C7C8CA"/>
            </w:tcBorders>
          </w:tcPr>
          <w:p w:rsidR="00D840DF" w:rsidRDefault="00D840DF">
            <w:pPr>
              <w:pStyle w:val="TableParagraph"/>
              <w:spacing w:before="1"/>
              <w:rPr>
                <w:sz w:val="16"/>
              </w:rPr>
            </w:pPr>
          </w:p>
          <w:p w:rsidR="00D840DF" w:rsidRDefault="00E314B6">
            <w:pPr>
              <w:pStyle w:val="TableParagraph"/>
              <w:tabs>
                <w:tab w:val="left" w:pos="7540"/>
              </w:tabs>
              <w:spacing w:before="0"/>
              <w:rPr>
                <w:rFonts w:ascii="Futura PT Bold"/>
                <w:b/>
                <w:sz w:val="16"/>
              </w:rPr>
            </w:pPr>
            <w:r>
              <w:rPr>
                <w:rFonts w:ascii="Futura PT Bold"/>
                <w:b/>
                <w:color w:val="003E2D"/>
                <w:sz w:val="16"/>
                <w:shd w:val="clear" w:color="auto" w:fill="E2F0D8"/>
              </w:rPr>
              <w:t xml:space="preserve"> </w:t>
            </w:r>
            <w:r w:rsidR="00961020">
              <w:rPr>
                <w:rFonts w:ascii="Futura PT Bold"/>
                <w:b/>
                <w:color w:val="003E2D"/>
                <w:spacing w:val="1"/>
                <w:sz w:val="16"/>
                <w:shd w:val="clear" w:color="auto" w:fill="E2F0D8"/>
              </w:rPr>
              <w:t>Non-financial</w:t>
            </w:r>
            <w:r w:rsidR="00961020">
              <w:rPr>
                <w:rFonts w:ascii="Futura PT Bold"/>
                <w:b/>
                <w:color w:val="003E2D"/>
                <w:spacing w:val="20"/>
                <w:sz w:val="16"/>
                <w:shd w:val="clear" w:color="auto" w:fill="E2F0D8"/>
              </w:rPr>
              <w:t xml:space="preserve"> </w:t>
            </w:r>
            <w:r w:rsidR="00961020">
              <w:rPr>
                <w:rFonts w:ascii="Futura PT Bold"/>
                <w:b/>
                <w:color w:val="003E2D"/>
                <w:sz w:val="16"/>
                <w:shd w:val="clear" w:color="auto" w:fill="E2F0D8"/>
              </w:rPr>
              <w:t>assets</w:t>
            </w:r>
            <w:r w:rsidR="00961020">
              <w:rPr>
                <w:rFonts w:ascii="Futura PT Bold"/>
                <w:b/>
                <w:color w:val="003E2D"/>
                <w:sz w:val="16"/>
                <w:shd w:val="clear" w:color="auto" w:fill="E2F0D8"/>
              </w:rPr>
              <w:tab/>
            </w:r>
          </w:p>
        </w:tc>
      </w:tr>
      <w:tr w:rsidR="00D840DF">
        <w:trPr>
          <w:trHeight w:val="240"/>
        </w:trPr>
        <w:tc>
          <w:tcPr>
            <w:tcW w:w="2864"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Buildings</w:t>
            </w:r>
          </w:p>
        </w:tc>
        <w:tc>
          <w:tcPr>
            <w:tcW w:w="1504" w:type="dxa"/>
            <w:tcBorders>
              <w:bottom w:val="single" w:sz="4" w:space="0" w:color="C7C8CA"/>
            </w:tcBorders>
          </w:tcPr>
          <w:p w:rsidR="00D840DF" w:rsidRDefault="00961020">
            <w:pPr>
              <w:pStyle w:val="TableParagraph"/>
              <w:spacing w:before="28" w:line="200" w:lineRule="exact"/>
              <w:ind w:right="338"/>
              <w:jc w:val="right"/>
              <w:rPr>
                <w:sz w:val="16"/>
              </w:rPr>
            </w:pPr>
            <w:r>
              <w:rPr>
                <w:color w:val="636466"/>
                <w:sz w:val="16"/>
              </w:rPr>
              <w:t>2.2A</w:t>
            </w:r>
          </w:p>
        </w:tc>
        <w:tc>
          <w:tcPr>
            <w:tcW w:w="1122" w:type="dxa"/>
            <w:tcBorders>
              <w:bottom w:val="single" w:sz="4" w:space="0" w:color="C7C8CA"/>
            </w:tcBorders>
          </w:tcPr>
          <w:p w:rsidR="00D840DF" w:rsidRDefault="00961020">
            <w:pPr>
              <w:pStyle w:val="TableParagraph"/>
              <w:spacing w:before="28" w:line="200" w:lineRule="exact"/>
              <w:ind w:right="336"/>
              <w:jc w:val="right"/>
              <w:rPr>
                <w:rFonts w:ascii="Futura PT Medium"/>
                <w:sz w:val="16"/>
              </w:rPr>
            </w:pPr>
            <w:r>
              <w:rPr>
                <w:rFonts w:ascii="Futura PT Medium"/>
                <w:color w:val="636466"/>
                <w:sz w:val="16"/>
              </w:rPr>
              <w:t>201</w:t>
            </w:r>
          </w:p>
        </w:tc>
        <w:tc>
          <w:tcPr>
            <w:tcW w:w="1062" w:type="dxa"/>
            <w:tcBorders>
              <w:bottom w:val="single" w:sz="4" w:space="0" w:color="C7C8CA"/>
            </w:tcBorders>
          </w:tcPr>
          <w:p w:rsidR="00D840DF" w:rsidRDefault="00961020">
            <w:pPr>
              <w:pStyle w:val="TableParagraph"/>
              <w:spacing w:before="28" w:line="200" w:lineRule="exact"/>
              <w:ind w:right="260"/>
              <w:jc w:val="right"/>
              <w:rPr>
                <w:sz w:val="16"/>
              </w:rPr>
            </w:pPr>
            <w:r>
              <w:rPr>
                <w:color w:val="636466"/>
                <w:sz w:val="16"/>
              </w:rPr>
              <w:t>395</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68</w:t>
            </w:r>
          </w:p>
        </w:tc>
      </w:tr>
      <w:tr w:rsidR="00D840DF">
        <w:trPr>
          <w:trHeight w:val="220"/>
        </w:trPr>
        <w:tc>
          <w:tcPr>
            <w:tcW w:w="2864"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Plant</w:t>
            </w:r>
            <w:r w:rsidR="00E314B6">
              <w:rPr>
                <w:color w:val="636466"/>
                <w:sz w:val="16"/>
              </w:rPr>
              <w:t xml:space="preserve"> </w:t>
            </w:r>
            <w:r>
              <w:rPr>
                <w:color w:val="636466"/>
                <w:sz w:val="16"/>
              </w:rPr>
              <w:t>and equipment</w:t>
            </w:r>
          </w:p>
        </w:tc>
        <w:tc>
          <w:tcPr>
            <w:tcW w:w="1504" w:type="dxa"/>
            <w:tcBorders>
              <w:top w:val="single" w:sz="4" w:space="0" w:color="C7C8CA"/>
              <w:bottom w:val="single" w:sz="4" w:space="0" w:color="C7C8CA"/>
            </w:tcBorders>
          </w:tcPr>
          <w:p w:rsidR="00D840DF" w:rsidRDefault="00961020">
            <w:pPr>
              <w:pStyle w:val="TableParagraph"/>
              <w:spacing w:line="200" w:lineRule="exact"/>
              <w:ind w:right="338"/>
              <w:jc w:val="right"/>
              <w:rPr>
                <w:sz w:val="16"/>
              </w:rPr>
            </w:pPr>
            <w:r>
              <w:rPr>
                <w:color w:val="636466"/>
                <w:sz w:val="16"/>
              </w:rPr>
              <w:t>2.2A</w:t>
            </w:r>
          </w:p>
        </w:tc>
        <w:tc>
          <w:tcPr>
            <w:tcW w:w="1122" w:type="dxa"/>
            <w:tcBorders>
              <w:top w:val="single" w:sz="4" w:space="0" w:color="C7C8CA"/>
              <w:bottom w:val="single" w:sz="4" w:space="0" w:color="C7C8CA"/>
            </w:tcBorders>
          </w:tcPr>
          <w:p w:rsidR="00D840DF" w:rsidRDefault="00961020">
            <w:pPr>
              <w:pStyle w:val="TableParagraph"/>
              <w:spacing w:line="200" w:lineRule="exact"/>
              <w:ind w:right="329"/>
              <w:jc w:val="right"/>
              <w:rPr>
                <w:rFonts w:ascii="Futura PT Medium"/>
                <w:sz w:val="16"/>
              </w:rPr>
            </w:pPr>
            <w:r>
              <w:rPr>
                <w:rFonts w:ascii="Futura PT Medium"/>
                <w:color w:val="636466"/>
                <w:sz w:val="16"/>
              </w:rPr>
              <w:t>342</w:t>
            </w:r>
          </w:p>
        </w:tc>
        <w:tc>
          <w:tcPr>
            <w:tcW w:w="1062"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360</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262</w:t>
            </w:r>
          </w:p>
        </w:tc>
      </w:tr>
      <w:tr w:rsidR="00D840DF">
        <w:trPr>
          <w:trHeight w:val="220"/>
        </w:trPr>
        <w:tc>
          <w:tcPr>
            <w:tcW w:w="2864"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Computer software</w:t>
            </w:r>
          </w:p>
        </w:tc>
        <w:tc>
          <w:tcPr>
            <w:tcW w:w="1504" w:type="dxa"/>
            <w:tcBorders>
              <w:top w:val="single" w:sz="4" w:space="0" w:color="C7C8CA"/>
              <w:bottom w:val="single" w:sz="4" w:space="0" w:color="C7C8CA"/>
            </w:tcBorders>
          </w:tcPr>
          <w:p w:rsidR="00D840DF" w:rsidRDefault="00961020">
            <w:pPr>
              <w:pStyle w:val="TableParagraph"/>
              <w:spacing w:line="200" w:lineRule="exact"/>
              <w:ind w:right="338"/>
              <w:jc w:val="right"/>
              <w:rPr>
                <w:sz w:val="16"/>
              </w:rPr>
            </w:pPr>
            <w:r>
              <w:rPr>
                <w:color w:val="636466"/>
                <w:sz w:val="16"/>
              </w:rPr>
              <w:t>2.2A</w:t>
            </w:r>
          </w:p>
        </w:tc>
        <w:tc>
          <w:tcPr>
            <w:tcW w:w="1122" w:type="dxa"/>
            <w:tcBorders>
              <w:top w:val="single" w:sz="4" w:space="0" w:color="C7C8CA"/>
              <w:bottom w:val="single" w:sz="4" w:space="0" w:color="C7C8CA"/>
            </w:tcBorders>
          </w:tcPr>
          <w:p w:rsidR="00D840DF" w:rsidRDefault="00961020">
            <w:pPr>
              <w:pStyle w:val="TableParagraph"/>
              <w:spacing w:line="200" w:lineRule="exact"/>
              <w:ind w:right="328"/>
              <w:jc w:val="right"/>
              <w:rPr>
                <w:rFonts w:ascii="Futura PT Medium"/>
                <w:sz w:val="16"/>
              </w:rPr>
            </w:pPr>
            <w:r>
              <w:rPr>
                <w:rFonts w:ascii="Futura PT Medium"/>
                <w:color w:val="636466"/>
                <w:sz w:val="16"/>
              </w:rPr>
              <w:t>2</w:t>
            </w:r>
          </w:p>
        </w:tc>
        <w:tc>
          <w:tcPr>
            <w:tcW w:w="1062"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184</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w:t>
            </w:r>
          </w:p>
        </w:tc>
      </w:tr>
      <w:tr w:rsidR="00D840DF">
        <w:trPr>
          <w:trHeight w:val="220"/>
        </w:trPr>
        <w:tc>
          <w:tcPr>
            <w:tcW w:w="2864"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Internally</w:t>
            </w:r>
            <w:r w:rsidR="00E314B6">
              <w:rPr>
                <w:color w:val="636466"/>
                <w:sz w:val="16"/>
              </w:rPr>
              <w:t xml:space="preserve"> </w:t>
            </w:r>
            <w:r>
              <w:rPr>
                <w:color w:val="636466"/>
                <w:sz w:val="16"/>
              </w:rPr>
              <w:t>developed software</w:t>
            </w:r>
          </w:p>
        </w:tc>
        <w:tc>
          <w:tcPr>
            <w:tcW w:w="1504" w:type="dxa"/>
            <w:tcBorders>
              <w:top w:val="single" w:sz="4" w:space="0" w:color="C7C8CA"/>
              <w:bottom w:val="single" w:sz="4" w:space="0" w:color="C7C8CA"/>
            </w:tcBorders>
          </w:tcPr>
          <w:p w:rsidR="00D840DF" w:rsidRDefault="00961020">
            <w:pPr>
              <w:pStyle w:val="TableParagraph"/>
              <w:spacing w:line="200" w:lineRule="exact"/>
              <w:ind w:right="338"/>
              <w:jc w:val="right"/>
              <w:rPr>
                <w:sz w:val="16"/>
              </w:rPr>
            </w:pPr>
            <w:r>
              <w:rPr>
                <w:color w:val="636466"/>
                <w:sz w:val="16"/>
              </w:rPr>
              <w:t>2.2A</w:t>
            </w:r>
          </w:p>
        </w:tc>
        <w:tc>
          <w:tcPr>
            <w:tcW w:w="1122" w:type="dxa"/>
            <w:tcBorders>
              <w:top w:val="single" w:sz="4" w:space="0" w:color="C7C8CA"/>
              <w:bottom w:val="single" w:sz="4" w:space="0" w:color="C7C8CA"/>
            </w:tcBorders>
          </w:tcPr>
          <w:p w:rsidR="00D840DF" w:rsidRDefault="00961020">
            <w:pPr>
              <w:pStyle w:val="TableParagraph"/>
              <w:spacing w:line="200" w:lineRule="exact"/>
              <w:ind w:right="331"/>
              <w:jc w:val="right"/>
              <w:rPr>
                <w:rFonts w:ascii="Futura PT Medium"/>
                <w:sz w:val="16"/>
              </w:rPr>
            </w:pPr>
            <w:r>
              <w:rPr>
                <w:rFonts w:ascii="Futura PT Medium"/>
                <w:color w:val="636466"/>
                <w:sz w:val="16"/>
              </w:rPr>
              <w:t>732</w:t>
            </w:r>
          </w:p>
        </w:tc>
        <w:tc>
          <w:tcPr>
            <w:tcW w:w="1062"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w:t>
            </w:r>
          </w:p>
        </w:tc>
      </w:tr>
      <w:tr w:rsidR="00D840DF">
        <w:trPr>
          <w:trHeight w:val="220"/>
        </w:trPr>
        <w:tc>
          <w:tcPr>
            <w:tcW w:w="2864"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Other intangibles</w:t>
            </w:r>
          </w:p>
        </w:tc>
        <w:tc>
          <w:tcPr>
            <w:tcW w:w="1504" w:type="dxa"/>
            <w:tcBorders>
              <w:top w:val="single" w:sz="4" w:space="0" w:color="C7C8CA"/>
              <w:bottom w:val="single" w:sz="4" w:space="0" w:color="C7C8CA"/>
            </w:tcBorders>
          </w:tcPr>
          <w:p w:rsidR="00D840DF" w:rsidRDefault="00961020">
            <w:pPr>
              <w:pStyle w:val="TableParagraph"/>
              <w:spacing w:line="200" w:lineRule="exact"/>
              <w:ind w:right="338"/>
              <w:jc w:val="right"/>
              <w:rPr>
                <w:sz w:val="16"/>
              </w:rPr>
            </w:pPr>
            <w:r>
              <w:rPr>
                <w:color w:val="636466"/>
                <w:sz w:val="16"/>
              </w:rPr>
              <w:t>2.2A</w:t>
            </w:r>
          </w:p>
        </w:tc>
        <w:tc>
          <w:tcPr>
            <w:tcW w:w="1122" w:type="dxa"/>
            <w:tcBorders>
              <w:top w:val="single" w:sz="4" w:space="0" w:color="C7C8CA"/>
              <w:bottom w:val="single" w:sz="4" w:space="0" w:color="C7C8CA"/>
            </w:tcBorders>
          </w:tcPr>
          <w:p w:rsidR="00D840DF" w:rsidRDefault="00961020">
            <w:pPr>
              <w:pStyle w:val="TableParagraph"/>
              <w:spacing w:line="200" w:lineRule="exact"/>
              <w:ind w:right="329"/>
              <w:jc w:val="right"/>
              <w:rPr>
                <w:rFonts w:ascii="Futura PT Medium"/>
                <w:sz w:val="16"/>
              </w:rPr>
            </w:pPr>
            <w:r>
              <w:rPr>
                <w:rFonts w:ascii="Futura PT Medium"/>
                <w:color w:val="636466"/>
                <w:sz w:val="16"/>
              </w:rPr>
              <w:t>114</w:t>
            </w:r>
          </w:p>
        </w:tc>
        <w:tc>
          <w:tcPr>
            <w:tcW w:w="1062"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172</w:t>
            </w:r>
          </w:p>
        </w:tc>
        <w:tc>
          <w:tcPr>
            <w:tcW w:w="988" w:type="dxa"/>
            <w:tcBorders>
              <w:top w:val="single" w:sz="4" w:space="0" w:color="C7C8CA"/>
              <w:bottom w:val="single" w:sz="4" w:space="0" w:color="C7C8CA"/>
            </w:tcBorders>
          </w:tcPr>
          <w:p w:rsidR="00D840DF" w:rsidRDefault="00961020">
            <w:pPr>
              <w:pStyle w:val="TableParagraph"/>
              <w:spacing w:line="200" w:lineRule="exact"/>
              <w:ind w:right="115"/>
              <w:jc w:val="right"/>
              <w:rPr>
                <w:sz w:val="16"/>
              </w:rPr>
            </w:pPr>
            <w:r>
              <w:rPr>
                <w:color w:val="636466"/>
                <w:sz w:val="16"/>
              </w:rPr>
              <w:t>307</w:t>
            </w:r>
          </w:p>
        </w:tc>
      </w:tr>
      <w:tr w:rsidR="00D840DF">
        <w:trPr>
          <w:trHeight w:val="240"/>
        </w:trPr>
        <w:tc>
          <w:tcPr>
            <w:tcW w:w="2864" w:type="dxa"/>
            <w:tcBorders>
              <w:top w:val="single" w:sz="4" w:space="0" w:color="C7C8CA"/>
            </w:tcBorders>
          </w:tcPr>
          <w:p w:rsidR="00D840DF" w:rsidRDefault="00961020">
            <w:pPr>
              <w:pStyle w:val="TableParagraph"/>
              <w:ind w:left="113"/>
              <w:rPr>
                <w:sz w:val="16"/>
              </w:rPr>
            </w:pPr>
            <w:r>
              <w:rPr>
                <w:color w:val="636466"/>
                <w:sz w:val="16"/>
              </w:rPr>
              <w:t>Other</w:t>
            </w:r>
            <w:r w:rsidR="00E314B6">
              <w:rPr>
                <w:color w:val="636466"/>
                <w:sz w:val="16"/>
              </w:rPr>
              <w:t xml:space="preserve"> </w:t>
            </w:r>
            <w:r>
              <w:rPr>
                <w:color w:val="636466"/>
                <w:sz w:val="16"/>
              </w:rPr>
              <w:t>– prepayments</w:t>
            </w:r>
          </w:p>
        </w:tc>
        <w:tc>
          <w:tcPr>
            <w:tcW w:w="1504" w:type="dxa"/>
            <w:tcBorders>
              <w:top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tcBorders>
          </w:tcPr>
          <w:p w:rsidR="00D840DF" w:rsidRDefault="00961020">
            <w:pPr>
              <w:pStyle w:val="TableParagraph"/>
              <w:ind w:right="329"/>
              <w:jc w:val="right"/>
              <w:rPr>
                <w:rFonts w:ascii="Futura PT Medium"/>
                <w:sz w:val="16"/>
              </w:rPr>
            </w:pPr>
            <w:r>
              <w:rPr>
                <w:rFonts w:ascii="Futura PT Medium"/>
                <w:color w:val="636466"/>
                <w:sz w:val="16"/>
              </w:rPr>
              <w:t>255</w:t>
            </w:r>
          </w:p>
        </w:tc>
        <w:tc>
          <w:tcPr>
            <w:tcW w:w="1062" w:type="dxa"/>
            <w:tcBorders>
              <w:top w:val="single" w:sz="4" w:space="0" w:color="C7C8CA"/>
            </w:tcBorders>
          </w:tcPr>
          <w:p w:rsidR="00D840DF" w:rsidRDefault="00961020">
            <w:pPr>
              <w:pStyle w:val="TableParagraph"/>
              <w:ind w:right="257"/>
              <w:jc w:val="right"/>
              <w:rPr>
                <w:sz w:val="16"/>
              </w:rPr>
            </w:pPr>
            <w:r>
              <w:rPr>
                <w:color w:val="636466"/>
                <w:sz w:val="16"/>
              </w:rPr>
              <w:t>49</w:t>
            </w:r>
          </w:p>
        </w:tc>
        <w:tc>
          <w:tcPr>
            <w:tcW w:w="988" w:type="dxa"/>
            <w:tcBorders>
              <w:top w:val="single" w:sz="4" w:space="0" w:color="C7C8CA"/>
            </w:tcBorders>
          </w:tcPr>
          <w:p w:rsidR="00D840DF" w:rsidRDefault="00961020">
            <w:pPr>
              <w:pStyle w:val="TableParagraph"/>
              <w:ind w:right="111"/>
              <w:jc w:val="right"/>
              <w:rPr>
                <w:sz w:val="16"/>
              </w:rPr>
            </w:pPr>
            <w:r>
              <w:rPr>
                <w:color w:val="636466"/>
                <w:sz w:val="16"/>
              </w:rPr>
              <w:t>48</w:t>
            </w:r>
          </w:p>
        </w:tc>
      </w:tr>
      <w:tr w:rsidR="00D840DF">
        <w:trPr>
          <w:trHeight w:val="240"/>
        </w:trPr>
        <w:tc>
          <w:tcPr>
            <w:tcW w:w="2864"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non-financial assets</w:t>
            </w:r>
          </w:p>
        </w:tc>
        <w:tc>
          <w:tcPr>
            <w:tcW w:w="1504"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bottom w:val="single" w:sz="4" w:space="0" w:color="C7C8CA"/>
            </w:tcBorders>
            <w:shd w:val="clear" w:color="auto" w:fill="E6E7E8"/>
          </w:tcPr>
          <w:p w:rsidR="00D840DF" w:rsidRDefault="00961020">
            <w:pPr>
              <w:pStyle w:val="TableParagraph"/>
              <w:spacing w:before="21" w:line="200" w:lineRule="exact"/>
              <w:ind w:right="328"/>
              <w:jc w:val="right"/>
              <w:rPr>
                <w:rFonts w:ascii="Futura PT Medium"/>
                <w:sz w:val="16"/>
              </w:rPr>
            </w:pPr>
            <w:r>
              <w:rPr>
                <w:rFonts w:ascii="Futura PT Medium"/>
                <w:sz w:val="16"/>
              </w:rPr>
              <w:t>1,646</w:t>
            </w:r>
          </w:p>
        </w:tc>
        <w:tc>
          <w:tcPr>
            <w:tcW w:w="1062"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1,160</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685</w:t>
            </w:r>
          </w:p>
        </w:tc>
      </w:tr>
      <w:tr w:rsidR="00D840DF">
        <w:trPr>
          <w:trHeight w:val="220"/>
        </w:trPr>
        <w:tc>
          <w:tcPr>
            <w:tcW w:w="2864"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Total assets</w:t>
            </w:r>
          </w:p>
        </w:tc>
        <w:tc>
          <w:tcPr>
            <w:tcW w:w="1504" w:type="dxa"/>
            <w:tcBorders>
              <w:top w:val="single" w:sz="4" w:space="0" w:color="C7C8CA"/>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shd w:val="clear" w:color="auto" w:fill="E6E7E8"/>
          </w:tcPr>
          <w:p w:rsidR="00D840DF" w:rsidRDefault="00961020">
            <w:pPr>
              <w:pStyle w:val="TableParagraph"/>
              <w:spacing w:line="200" w:lineRule="exact"/>
              <w:ind w:right="328"/>
              <w:jc w:val="right"/>
              <w:rPr>
                <w:rFonts w:ascii="Futura PT Medium"/>
                <w:sz w:val="16"/>
              </w:rPr>
            </w:pPr>
            <w:r>
              <w:rPr>
                <w:rFonts w:ascii="Futura PT Medium"/>
                <w:sz w:val="16"/>
              </w:rPr>
              <w:t>11,650</w:t>
            </w:r>
          </w:p>
        </w:tc>
        <w:tc>
          <w:tcPr>
            <w:tcW w:w="1062"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57"/>
              <w:jc w:val="right"/>
              <w:rPr>
                <w:rFonts w:ascii="Futura PT Medium"/>
                <w:sz w:val="16"/>
              </w:rPr>
            </w:pPr>
            <w:r>
              <w:rPr>
                <w:rFonts w:ascii="Futura PT Medium"/>
                <w:sz w:val="16"/>
              </w:rPr>
              <w:t>28,075</w:t>
            </w:r>
          </w:p>
        </w:tc>
        <w:tc>
          <w:tcPr>
            <w:tcW w:w="98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24,565</w:t>
            </w:r>
          </w:p>
        </w:tc>
      </w:tr>
      <w:tr w:rsidR="00D840DF">
        <w:trPr>
          <w:trHeight w:val="440"/>
        </w:trPr>
        <w:tc>
          <w:tcPr>
            <w:tcW w:w="2864" w:type="dxa"/>
            <w:tcBorders>
              <w:top w:val="single" w:sz="4" w:space="0" w:color="C7C8CA"/>
            </w:tcBorders>
          </w:tcPr>
          <w:p w:rsidR="00D840DF" w:rsidRDefault="00D840DF">
            <w:pPr>
              <w:pStyle w:val="TableParagraph"/>
              <w:spacing w:before="1"/>
              <w:rPr>
                <w:sz w:val="16"/>
              </w:rPr>
            </w:pPr>
          </w:p>
          <w:p w:rsidR="00D840DF" w:rsidRDefault="00961020" w:rsidP="00A928A7">
            <w:pPr>
              <w:pStyle w:val="TableParagraph"/>
              <w:spacing w:before="0"/>
              <w:rPr>
                <w:rFonts w:ascii="Futura PT Bold"/>
                <w:b/>
                <w:sz w:val="16"/>
              </w:rPr>
            </w:pPr>
            <w:r>
              <w:rPr>
                <w:rFonts w:ascii="Futura PT Bold"/>
                <w:b/>
                <w:color w:val="003E2D"/>
                <w:sz w:val="16"/>
              </w:rPr>
              <w:t>LIABILITIES</w:t>
            </w:r>
          </w:p>
        </w:tc>
        <w:tc>
          <w:tcPr>
            <w:tcW w:w="1504" w:type="dxa"/>
            <w:tcBorders>
              <w:top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tcBorders>
          </w:tcPr>
          <w:p w:rsidR="00D840DF" w:rsidRDefault="00D840DF">
            <w:pPr>
              <w:pStyle w:val="TableParagraph"/>
              <w:spacing w:before="0"/>
              <w:rPr>
                <w:rFonts w:ascii="Times New Roman"/>
                <w:sz w:val="16"/>
              </w:rPr>
            </w:pPr>
          </w:p>
        </w:tc>
        <w:tc>
          <w:tcPr>
            <w:tcW w:w="1062" w:type="dxa"/>
            <w:tcBorders>
              <w:top w:val="single" w:sz="4" w:space="0" w:color="C7C8CA"/>
            </w:tcBorders>
          </w:tcPr>
          <w:p w:rsidR="00D840DF" w:rsidRDefault="00D840DF">
            <w:pPr>
              <w:pStyle w:val="TableParagraph"/>
              <w:spacing w:before="0"/>
              <w:rPr>
                <w:rFonts w:ascii="Times New Roman"/>
                <w:sz w:val="16"/>
              </w:rPr>
            </w:pPr>
          </w:p>
        </w:tc>
        <w:tc>
          <w:tcPr>
            <w:tcW w:w="988" w:type="dxa"/>
            <w:tcBorders>
              <w:top w:val="single" w:sz="4" w:space="0" w:color="C7C8CA"/>
            </w:tcBorders>
          </w:tcPr>
          <w:p w:rsidR="00D840DF" w:rsidRDefault="00D840DF">
            <w:pPr>
              <w:pStyle w:val="TableParagraph"/>
              <w:spacing w:before="0"/>
              <w:rPr>
                <w:rFonts w:ascii="Times New Roman"/>
                <w:sz w:val="16"/>
              </w:rPr>
            </w:pPr>
          </w:p>
        </w:tc>
      </w:tr>
      <w:tr w:rsidR="00A928A7" w:rsidTr="00A928A7">
        <w:trPr>
          <w:trHeight w:val="260"/>
        </w:trPr>
        <w:tc>
          <w:tcPr>
            <w:tcW w:w="7540" w:type="dxa"/>
            <w:gridSpan w:val="5"/>
            <w:shd w:val="clear" w:color="auto" w:fill="E1EFD8"/>
          </w:tcPr>
          <w:p w:rsidR="00A928A7" w:rsidRDefault="00A928A7" w:rsidP="00A928A7">
            <w:pPr>
              <w:pStyle w:val="TableParagraph"/>
              <w:spacing w:before="0"/>
              <w:rPr>
                <w:rFonts w:ascii="Times New Roman"/>
                <w:sz w:val="16"/>
              </w:rPr>
            </w:pPr>
            <w:r>
              <w:rPr>
                <w:rFonts w:ascii="Futura PT Bold"/>
                <w:b/>
                <w:color w:val="003E2D"/>
                <w:sz w:val="16"/>
                <w:shd w:val="clear" w:color="auto" w:fill="E2F0D8"/>
              </w:rPr>
              <w:t xml:space="preserve"> Payables</w:t>
            </w:r>
          </w:p>
        </w:tc>
      </w:tr>
      <w:tr w:rsidR="00D840DF">
        <w:trPr>
          <w:trHeight w:val="240"/>
        </w:trPr>
        <w:tc>
          <w:tcPr>
            <w:tcW w:w="2864"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Suppliers</w:t>
            </w:r>
          </w:p>
        </w:tc>
        <w:tc>
          <w:tcPr>
            <w:tcW w:w="1504" w:type="dxa"/>
            <w:tcBorders>
              <w:bottom w:val="single" w:sz="4" w:space="0" w:color="C7C8CA"/>
            </w:tcBorders>
          </w:tcPr>
          <w:p w:rsidR="00D840DF" w:rsidRDefault="00961020">
            <w:pPr>
              <w:pStyle w:val="TableParagraph"/>
              <w:spacing w:before="28" w:line="200" w:lineRule="exact"/>
              <w:ind w:right="344"/>
              <w:jc w:val="right"/>
              <w:rPr>
                <w:sz w:val="16"/>
              </w:rPr>
            </w:pPr>
            <w:r>
              <w:rPr>
                <w:color w:val="636466"/>
                <w:sz w:val="16"/>
              </w:rPr>
              <w:t>2.3A</w:t>
            </w:r>
          </w:p>
        </w:tc>
        <w:tc>
          <w:tcPr>
            <w:tcW w:w="1122" w:type="dxa"/>
            <w:tcBorders>
              <w:bottom w:val="single" w:sz="4" w:space="0" w:color="C7C8CA"/>
            </w:tcBorders>
          </w:tcPr>
          <w:p w:rsidR="00D840DF" w:rsidRDefault="00961020">
            <w:pPr>
              <w:pStyle w:val="TableParagraph"/>
              <w:spacing w:before="28" w:line="200" w:lineRule="exact"/>
              <w:ind w:right="328"/>
              <w:jc w:val="right"/>
              <w:rPr>
                <w:rFonts w:ascii="Futura PT Medium"/>
                <w:sz w:val="16"/>
              </w:rPr>
            </w:pPr>
            <w:r>
              <w:rPr>
                <w:rFonts w:ascii="Futura PT Medium"/>
                <w:color w:val="636466"/>
                <w:sz w:val="16"/>
              </w:rPr>
              <w:t>2,543</w:t>
            </w:r>
          </w:p>
        </w:tc>
        <w:tc>
          <w:tcPr>
            <w:tcW w:w="1062" w:type="dxa"/>
            <w:tcBorders>
              <w:bottom w:val="single" w:sz="4" w:space="0" w:color="C7C8CA"/>
            </w:tcBorders>
          </w:tcPr>
          <w:p w:rsidR="00D840DF" w:rsidRDefault="00961020">
            <w:pPr>
              <w:pStyle w:val="TableParagraph"/>
              <w:spacing w:before="28" w:line="200" w:lineRule="exact"/>
              <w:ind w:right="268"/>
              <w:jc w:val="right"/>
              <w:rPr>
                <w:sz w:val="16"/>
              </w:rPr>
            </w:pPr>
            <w:r>
              <w:rPr>
                <w:color w:val="636466"/>
                <w:sz w:val="16"/>
              </w:rPr>
              <w:t>1,931</w:t>
            </w:r>
          </w:p>
        </w:tc>
        <w:tc>
          <w:tcPr>
            <w:tcW w:w="988" w:type="dxa"/>
            <w:tcBorders>
              <w:bottom w:val="single" w:sz="4" w:space="0" w:color="C7C8CA"/>
            </w:tcBorders>
          </w:tcPr>
          <w:p w:rsidR="00D840DF" w:rsidRDefault="00961020">
            <w:pPr>
              <w:pStyle w:val="TableParagraph"/>
              <w:spacing w:before="28" w:line="200" w:lineRule="exact"/>
              <w:ind w:right="113"/>
              <w:jc w:val="right"/>
              <w:rPr>
                <w:sz w:val="16"/>
              </w:rPr>
            </w:pPr>
            <w:r>
              <w:rPr>
                <w:color w:val="636466"/>
                <w:sz w:val="16"/>
              </w:rPr>
              <w:t>3,397</w:t>
            </w:r>
          </w:p>
        </w:tc>
      </w:tr>
      <w:tr w:rsidR="00D840DF">
        <w:trPr>
          <w:trHeight w:val="240"/>
        </w:trPr>
        <w:tc>
          <w:tcPr>
            <w:tcW w:w="2864" w:type="dxa"/>
            <w:tcBorders>
              <w:top w:val="single" w:sz="4" w:space="0" w:color="C7C8CA"/>
            </w:tcBorders>
          </w:tcPr>
          <w:p w:rsidR="00D840DF" w:rsidRDefault="00961020">
            <w:pPr>
              <w:pStyle w:val="TableParagraph"/>
              <w:ind w:left="113"/>
              <w:rPr>
                <w:sz w:val="16"/>
              </w:rPr>
            </w:pPr>
            <w:r>
              <w:rPr>
                <w:color w:val="636466"/>
                <w:sz w:val="16"/>
              </w:rPr>
              <w:t>Other payables</w:t>
            </w:r>
          </w:p>
        </w:tc>
        <w:tc>
          <w:tcPr>
            <w:tcW w:w="1504" w:type="dxa"/>
            <w:tcBorders>
              <w:top w:val="single" w:sz="4" w:space="0" w:color="C7C8CA"/>
            </w:tcBorders>
          </w:tcPr>
          <w:p w:rsidR="00D840DF" w:rsidRDefault="00961020">
            <w:pPr>
              <w:pStyle w:val="TableParagraph"/>
              <w:ind w:right="341"/>
              <w:jc w:val="right"/>
              <w:rPr>
                <w:sz w:val="16"/>
              </w:rPr>
            </w:pPr>
            <w:r>
              <w:rPr>
                <w:color w:val="636466"/>
                <w:sz w:val="16"/>
              </w:rPr>
              <w:t>2.3B</w:t>
            </w:r>
          </w:p>
        </w:tc>
        <w:tc>
          <w:tcPr>
            <w:tcW w:w="1122" w:type="dxa"/>
            <w:tcBorders>
              <w:top w:val="single" w:sz="4" w:space="0" w:color="C7C8CA"/>
            </w:tcBorders>
          </w:tcPr>
          <w:p w:rsidR="00D840DF" w:rsidRDefault="00961020">
            <w:pPr>
              <w:pStyle w:val="TableParagraph"/>
              <w:ind w:right="329"/>
              <w:jc w:val="right"/>
              <w:rPr>
                <w:rFonts w:ascii="Futura PT Medium"/>
                <w:sz w:val="16"/>
              </w:rPr>
            </w:pPr>
            <w:r>
              <w:rPr>
                <w:rFonts w:ascii="Futura PT Medium"/>
                <w:color w:val="636466"/>
                <w:sz w:val="16"/>
              </w:rPr>
              <w:t>109</w:t>
            </w:r>
          </w:p>
        </w:tc>
        <w:tc>
          <w:tcPr>
            <w:tcW w:w="1062" w:type="dxa"/>
            <w:tcBorders>
              <w:top w:val="single" w:sz="4" w:space="0" w:color="C7C8CA"/>
            </w:tcBorders>
          </w:tcPr>
          <w:p w:rsidR="00D840DF" w:rsidRDefault="00961020">
            <w:pPr>
              <w:pStyle w:val="TableParagraph"/>
              <w:ind w:right="260"/>
              <w:jc w:val="right"/>
              <w:rPr>
                <w:sz w:val="16"/>
              </w:rPr>
            </w:pPr>
            <w:r>
              <w:rPr>
                <w:color w:val="636466"/>
                <w:sz w:val="16"/>
              </w:rPr>
              <w:t>787</w:t>
            </w:r>
          </w:p>
        </w:tc>
        <w:tc>
          <w:tcPr>
            <w:tcW w:w="988" w:type="dxa"/>
            <w:tcBorders>
              <w:top w:val="single" w:sz="4" w:space="0" w:color="C7C8CA"/>
            </w:tcBorders>
          </w:tcPr>
          <w:p w:rsidR="00D840DF" w:rsidRDefault="00961020">
            <w:pPr>
              <w:pStyle w:val="TableParagraph"/>
              <w:ind w:right="111"/>
              <w:jc w:val="right"/>
              <w:rPr>
                <w:sz w:val="16"/>
              </w:rPr>
            </w:pPr>
            <w:r>
              <w:rPr>
                <w:color w:val="636466"/>
                <w:sz w:val="16"/>
              </w:rPr>
              <w:t>677</w:t>
            </w:r>
          </w:p>
        </w:tc>
      </w:tr>
      <w:tr w:rsidR="00D840DF">
        <w:trPr>
          <w:trHeight w:val="240"/>
        </w:trPr>
        <w:tc>
          <w:tcPr>
            <w:tcW w:w="2864"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payables</w:t>
            </w:r>
          </w:p>
        </w:tc>
        <w:tc>
          <w:tcPr>
            <w:tcW w:w="1504"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bottom w:val="single" w:sz="4" w:space="0" w:color="C7C8CA"/>
            </w:tcBorders>
            <w:shd w:val="clear" w:color="auto" w:fill="E6E7E8"/>
          </w:tcPr>
          <w:p w:rsidR="00D840DF" w:rsidRDefault="00961020">
            <w:pPr>
              <w:pStyle w:val="TableParagraph"/>
              <w:spacing w:before="21" w:line="200" w:lineRule="exact"/>
              <w:ind w:right="328"/>
              <w:jc w:val="right"/>
              <w:rPr>
                <w:rFonts w:ascii="Futura PT Medium"/>
                <w:sz w:val="16"/>
              </w:rPr>
            </w:pPr>
            <w:r>
              <w:rPr>
                <w:rFonts w:ascii="Futura PT Medium"/>
                <w:sz w:val="16"/>
              </w:rPr>
              <w:t>2,652</w:t>
            </w:r>
          </w:p>
        </w:tc>
        <w:tc>
          <w:tcPr>
            <w:tcW w:w="1062"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2,718</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4,074</w:t>
            </w:r>
          </w:p>
        </w:tc>
      </w:tr>
      <w:tr w:rsidR="00D840DF">
        <w:trPr>
          <w:trHeight w:val="440"/>
        </w:trPr>
        <w:tc>
          <w:tcPr>
            <w:tcW w:w="7540" w:type="dxa"/>
            <w:gridSpan w:val="5"/>
            <w:tcBorders>
              <w:top w:val="single" w:sz="4" w:space="0" w:color="C7C8CA"/>
            </w:tcBorders>
          </w:tcPr>
          <w:p w:rsidR="00D840DF" w:rsidRDefault="00D840DF">
            <w:pPr>
              <w:pStyle w:val="TableParagraph"/>
              <w:spacing w:before="1"/>
              <w:rPr>
                <w:sz w:val="16"/>
              </w:rPr>
            </w:pPr>
          </w:p>
          <w:p w:rsidR="00D840DF" w:rsidRDefault="00E314B6">
            <w:pPr>
              <w:pStyle w:val="TableParagraph"/>
              <w:tabs>
                <w:tab w:val="left" w:pos="7540"/>
              </w:tabs>
              <w:spacing w:before="0"/>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Provisions</w:t>
            </w:r>
            <w:r w:rsidR="00961020">
              <w:rPr>
                <w:rFonts w:ascii="Futura PT Bold"/>
                <w:b/>
                <w:color w:val="003E2D"/>
                <w:sz w:val="16"/>
                <w:shd w:val="clear" w:color="auto" w:fill="E2F0D8"/>
              </w:rPr>
              <w:tab/>
            </w:r>
          </w:p>
        </w:tc>
      </w:tr>
      <w:tr w:rsidR="00D840DF">
        <w:trPr>
          <w:trHeight w:val="240"/>
        </w:trPr>
        <w:tc>
          <w:tcPr>
            <w:tcW w:w="2864"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Employee provisions</w:t>
            </w:r>
          </w:p>
        </w:tc>
        <w:tc>
          <w:tcPr>
            <w:tcW w:w="1504" w:type="dxa"/>
            <w:tcBorders>
              <w:bottom w:val="single" w:sz="4" w:space="0" w:color="C7C8CA"/>
            </w:tcBorders>
          </w:tcPr>
          <w:p w:rsidR="00D840DF" w:rsidRDefault="00961020">
            <w:pPr>
              <w:pStyle w:val="TableParagraph"/>
              <w:spacing w:before="28" w:line="200" w:lineRule="exact"/>
              <w:ind w:right="341"/>
              <w:jc w:val="right"/>
              <w:rPr>
                <w:sz w:val="16"/>
              </w:rPr>
            </w:pPr>
            <w:r>
              <w:rPr>
                <w:color w:val="636466"/>
                <w:sz w:val="16"/>
              </w:rPr>
              <w:t>4.1A</w:t>
            </w:r>
          </w:p>
        </w:tc>
        <w:tc>
          <w:tcPr>
            <w:tcW w:w="1122" w:type="dxa"/>
            <w:tcBorders>
              <w:bottom w:val="single" w:sz="4" w:space="0" w:color="C7C8CA"/>
            </w:tcBorders>
          </w:tcPr>
          <w:p w:rsidR="00D840DF" w:rsidRDefault="00961020">
            <w:pPr>
              <w:pStyle w:val="TableParagraph"/>
              <w:spacing w:before="28" w:line="200" w:lineRule="exact"/>
              <w:ind w:right="328"/>
              <w:jc w:val="right"/>
              <w:rPr>
                <w:rFonts w:ascii="Futura PT Medium"/>
                <w:sz w:val="16"/>
              </w:rPr>
            </w:pPr>
            <w:r>
              <w:rPr>
                <w:rFonts w:ascii="Futura PT Medium"/>
                <w:color w:val="636466"/>
                <w:sz w:val="16"/>
              </w:rPr>
              <w:t>123</w:t>
            </w:r>
          </w:p>
        </w:tc>
        <w:tc>
          <w:tcPr>
            <w:tcW w:w="1062"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1,085</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w:t>
            </w:r>
          </w:p>
        </w:tc>
      </w:tr>
      <w:tr w:rsidR="00D840DF">
        <w:trPr>
          <w:trHeight w:val="240"/>
        </w:trPr>
        <w:tc>
          <w:tcPr>
            <w:tcW w:w="2864" w:type="dxa"/>
            <w:tcBorders>
              <w:top w:val="single" w:sz="4" w:space="0" w:color="C7C8CA"/>
            </w:tcBorders>
          </w:tcPr>
          <w:p w:rsidR="00D840DF" w:rsidRDefault="00961020">
            <w:pPr>
              <w:pStyle w:val="TableParagraph"/>
              <w:ind w:left="113"/>
              <w:rPr>
                <w:sz w:val="16"/>
              </w:rPr>
            </w:pPr>
            <w:r>
              <w:rPr>
                <w:color w:val="636466"/>
                <w:sz w:val="16"/>
              </w:rPr>
              <w:t>Other provisions</w:t>
            </w:r>
          </w:p>
        </w:tc>
        <w:tc>
          <w:tcPr>
            <w:tcW w:w="1504" w:type="dxa"/>
            <w:tcBorders>
              <w:top w:val="single" w:sz="4" w:space="0" w:color="C7C8CA"/>
            </w:tcBorders>
          </w:tcPr>
          <w:p w:rsidR="00D840DF" w:rsidRDefault="00961020">
            <w:pPr>
              <w:pStyle w:val="TableParagraph"/>
              <w:ind w:right="341"/>
              <w:jc w:val="right"/>
              <w:rPr>
                <w:sz w:val="16"/>
              </w:rPr>
            </w:pPr>
            <w:r>
              <w:rPr>
                <w:color w:val="636466"/>
                <w:sz w:val="16"/>
              </w:rPr>
              <w:t>2.4</w:t>
            </w:r>
          </w:p>
        </w:tc>
        <w:tc>
          <w:tcPr>
            <w:tcW w:w="1122" w:type="dxa"/>
            <w:tcBorders>
              <w:top w:val="single" w:sz="4" w:space="0" w:color="C7C8CA"/>
            </w:tcBorders>
          </w:tcPr>
          <w:p w:rsidR="00D840DF" w:rsidRDefault="00961020">
            <w:pPr>
              <w:pStyle w:val="TableParagraph"/>
              <w:ind w:right="328"/>
              <w:jc w:val="right"/>
              <w:rPr>
                <w:rFonts w:ascii="Futura PT Medium"/>
                <w:sz w:val="16"/>
              </w:rPr>
            </w:pPr>
            <w:r>
              <w:rPr>
                <w:rFonts w:ascii="Futura PT Medium"/>
                <w:color w:val="636466"/>
                <w:sz w:val="16"/>
              </w:rPr>
              <w:t>186</w:t>
            </w:r>
          </w:p>
        </w:tc>
        <w:tc>
          <w:tcPr>
            <w:tcW w:w="1062" w:type="dxa"/>
            <w:tcBorders>
              <w:top w:val="single" w:sz="4" w:space="0" w:color="C7C8CA"/>
            </w:tcBorders>
          </w:tcPr>
          <w:p w:rsidR="00D840DF" w:rsidRDefault="00961020">
            <w:pPr>
              <w:pStyle w:val="TableParagraph"/>
              <w:ind w:right="257"/>
              <w:jc w:val="right"/>
              <w:rPr>
                <w:sz w:val="16"/>
              </w:rPr>
            </w:pPr>
            <w:r>
              <w:rPr>
                <w:color w:val="636466"/>
                <w:sz w:val="16"/>
              </w:rPr>
              <w:t>165</w:t>
            </w:r>
          </w:p>
        </w:tc>
        <w:tc>
          <w:tcPr>
            <w:tcW w:w="988" w:type="dxa"/>
            <w:tcBorders>
              <w:top w:val="single" w:sz="4" w:space="0" w:color="C7C8CA"/>
            </w:tcBorders>
          </w:tcPr>
          <w:p w:rsidR="00D840DF" w:rsidRDefault="00961020">
            <w:pPr>
              <w:pStyle w:val="TableParagraph"/>
              <w:ind w:right="111"/>
              <w:jc w:val="right"/>
              <w:rPr>
                <w:sz w:val="16"/>
              </w:rPr>
            </w:pPr>
            <w:r>
              <w:rPr>
                <w:color w:val="636466"/>
                <w:sz w:val="16"/>
              </w:rPr>
              <w:t>170</w:t>
            </w:r>
          </w:p>
        </w:tc>
      </w:tr>
      <w:tr w:rsidR="00D840DF">
        <w:trPr>
          <w:trHeight w:val="240"/>
        </w:trPr>
        <w:tc>
          <w:tcPr>
            <w:tcW w:w="2864"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provisions</w:t>
            </w:r>
          </w:p>
        </w:tc>
        <w:tc>
          <w:tcPr>
            <w:tcW w:w="1504"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bottom w:val="single" w:sz="4" w:space="0" w:color="C7C8CA"/>
            </w:tcBorders>
            <w:shd w:val="clear" w:color="auto" w:fill="E6E7E8"/>
          </w:tcPr>
          <w:p w:rsidR="00D840DF" w:rsidRDefault="00961020">
            <w:pPr>
              <w:pStyle w:val="TableParagraph"/>
              <w:spacing w:before="21" w:line="200" w:lineRule="exact"/>
              <w:ind w:right="328"/>
              <w:jc w:val="right"/>
              <w:rPr>
                <w:rFonts w:ascii="Futura PT Medium"/>
                <w:sz w:val="16"/>
              </w:rPr>
            </w:pPr>
            <w:r>
              <w:rPr>
                <w:rFonts w:ascii="Futura PT Medium"/>
                <w:sz w:val="16"/>
              </w:rPr>
              <w:t>309</w:t>
            </w:r>
          </w:p>
        </w:tc>
        <w:tc>
          <w:tcPr>
            <w:tcW w:w="1062"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1,250</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170</w:t>
            </w:r>
          </w:p>
        </w:tc>
      </w:tr>
      <w:tr w:rsidR="00D840DF">
        <w:trPr>
          <w:trHeight w:val="220"/>
        </w:trPr>
        <w:tc>
          <w:tcPr>
            <w:tcW w:w="2864"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Total liabilities</w:t>
            </w:r>
          </w:p>
        </w:tc>
        <w:tc>
          <w:tcPr>
            <w:tcW w:w="1504" w:type="dxa"/>
            <w:tcBorders>
              <w:top w:val="single" w:sz="4" w:space="0" w:color="C7C8CA"/>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shd w:val="clear" w:color="auto" w:fill="E6E7E8"/>
          </w:tcPr>
          <w:p w:rsidR="00D840DF" w:rsidRDefault="00961020">
            <w:pPr>
              <w:pStyle w:val="TableParagraph"/>
              <w:spacing w:line="200" w:lineRule="exact"/>
              <w:ind w:right="328"/>
              <w:jc w:val="right"/>
              <w:rPr>
                <w:rFonts w:ascii="Futura PT Medium"/>
                <w:sz w:val="16"/>
              </w:rPr>
            </w:pPr>
            <w:r>
              <w:rPr>
                <w:rFonts w:ascii="Futura PT Medium"/>
                <w:sz w:val="16"/>
              </w:rPr>
              <w:t>2,961</w:t>
            </w:r>
          </w:p>
        </w:tc>
        <w:tc>
          <w:tcPr>
            <w:tcW w:w="1062"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57"/>
              <w:jc w:val="right"/>
              <w:rPr>
                <w:rFonts w:ascii="Futura PT Medium"/>
                <w:sz w:val="16"/>
              </w:rPr>
            </w:pPr>
            <w:r>
              <w:rPr>
                <w:rFonts w:ascii="Futura PT Medium"/>
                <w:sz w:val="16"/>
              </w:rPr>
              <w:t>3,968</w:t>
            </w:r>
          </w:p>
        </w:tc>
        <w:tc>
          <w:tcPr>
            <w:tcW w:w="98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4,244</w:t>
            </w:r>
          </w:p>
        </w:tc>
      </w:tr>
      <w:tr w:rsidR="00D840DF">
        <w:trPr>
          <w:trHeight w:val="220"/>
        </w:trPr>
        <w:tc>
          <w:tcPr>
            <w:tcW w:w="2864"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Net assets</w:t>
            </w:r>
          </w:p>
        </w:tc>
        <w:tc>
          <w:tcPr>
            <w:tcW w:w="1504" w:type="dxa"/>
            <w:tcBorders>
              <w:top w:val="single" w:sz="4" w:space="0" w:color="C7C8CA"/>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shd w:val="clear" w:color="auto" w:fill="E6E7E8"/>
          </w:tcPr>
          <w:p w:rsidR="00D840DF" w:rsidRDefault="00961020">
            <w:pPr>
              <w:pStyle w:val="TableParagraph"/>
              <w:spacing w:line="200" w:lineRule="exact"/>
              <w:ind w:right="328"/>
              <w:jc w:val="right"/>
              <w:rPr>
                <w:rFonts w:ascii="Futura PT Medium"/>
                <w:sz w:val="16"/>
              </w:rPr>
            </w:pPr>
            <w:r>
              <w:rPr>
                <w:rFonts w:ascii="Futura PT Medium"/>
                <w:sz w:val="16"/>
              </w:rPr>
              <w:t>8,689</w:t>
            </w:r>
          </w:p>
        </w:tc>
        <w:tc>
          <w:tcPr>
            <w:tcW w:w="1062"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57"/>
              <w:jc w:val="right"/>
              <w:rPr>
                <w:rFonts w:ascii="Futura PT Medium"/>
                <w:sz w:val="16"/>
              </w:rPr>
            </w:pPr>
            <w:r>
              <w:rPr>
                <w:rFonts w:ascii="Futura PT Medium"/>
                <w:sz w:val="16"/>
              </w:rPr>
              <w:t>24,107</w:t>
            </w:r>
          </w:p>
        </w:tc>
        <w:tc>
          <w:tcPr>
            <w:tcW w:w="98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20,321</w:t>
            </w:r>
          </w:p>
        </w:tc>
      </w:tr>
      <w:tr w:rsidR="00D840DF">
        <w:trPr>
          <w:trHeight w:val="440"/>
        </w:trPr>
        <w:tc>
          <w:tcPr>
            <w:tcW w:w="2864" w:type="dxa"/>
            <w:tcBorders>
              <w:top w:val="single" w:sz="4" w:space="0" w:color="C7C8CA"/>
            </w:tcBorders>
          </w:tcPr>
          <w:p w:rsidR="00D840DF" w:rsidRDefault="00D840DF">
            <w:pPr>
              <w:pStyle w:val="TableParagraph"/>
              <w:spacing w:before="1"/>
              <w:rPr>
                <w:sz w:val="16"/>
              </w:rPr>
            </w:pPr>
          </w:p>
          <w:p w:rsidR="00D840DF" w:rsidRDefault="00961020" w:rsidP="00A928A7">
            <w:pPr>
              <w:pStyle w:val="TableParagraph"/>
              <w:spacing w:before="0"/>
              <w:rPr>
                <w:rFonts w:ascii="Futura PT Bold"/>
                <w:b/>
                <w:sz w:val="16"/>
              </w:rPr>
            </w:pPr>
            <w:r>
              <w:rPr>
                <w:rFonts w:ascii="Futura PT Bold"/>
                <w:b/>
                <w:color w:val="003E2D"/>
                <w:sz w:val="16"/>
              </w:rPr>
              <w:t>EQUITY</w:t>
            </w:r>
          </w:p>
        </w:tc>
        <w:tc>
          <w:tcPr>
            <w:tcW w:w="1504" w:type="dxa"/>
            <w:tcBorders>
              <w:top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tcBorders>
          </w:tcPr>
          <w:p w:rsidR="00D840DF" w:rsidRDefault="00D840DF">
            <w:pPr>
              <w:pStyle w:val="TableParagraph"/>
              <w:spacing w:before="0"/>
              <w:rPr>
                <w:rFonts w:ascii="Times New Roman"/>
                <w:sz w:val="16"/>
              </w:rPr>
            </w:pPr>
          </w:p>
        </w:tc>
        <w:tc>
          <w:tcPr>
            <w:tcW w:w="1062" w:type="dxa"/>
            <w:tcBorders>
              <w:top w:val="single" w:sz="4" w:space="0" w:color="C7C8CA"/>
            </w:tcBorders>
          </w:tcPr>
          <w:p w:rsidR="00D840DF" w:rsidRDefault="00D840DF">
            <w:pPr>
              <w:pStyle w:val="TableParagraph"/>
              <w:spacing w:before="0"/>
              <w:rPr>
                <w:rFonts w:ascii="Times New Roman"/>
                <w:sz w:val="16"/>
              </w:rPr>
            </w:pPr>
          </w:p>
        </w:tc>
        <w:tc>
          <w:tcPr>
            <w:tcW w:w="988" w:type="dxa"/>
            <w:tcBorders>
              <w:top w:val="single" w:sz="4" w:space="0" w:color="C7C8CA"/>
            </w:tcBorders>
          </w:tcPr>
          <w:p w:rsidR="00D840DF" w:rsidRDefault="00D840DF">
            <w:pPr>
              <w:pStyle w:val="TableParagraph"/>
              <w:spacing w:before="0"/>
              <w:rPr>
                <w:rFonts w:ascii="Times New Roman"/>
                <w:sz w:val="16"/>
              </w:rPr>
            </w:pPr>
          </w:p>
        </w:tc>
      </w:tr>
      <w:tr w:rsidR="00D840DF">
        <w:trPr>
          <w:trHeight w:val="240"/>
        </w:trPr>
        <w:tc>
          <w:tcPr>
            <w:tcW w:w="2864"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Contributed equity</w:t>
            </w:r>
          </w:p>
        </w:tc>
        <w:tc>
          <w:tcPr>
            <w:tcW w:w="1504" w:type="dxa"/>
            <w:tcBorders>
              <w:bottom w:val="single" w:sz="4" w:space="0" w:color="C7C8CA"/>
            </w:tcBorders>
          </w:tcPr>
          <w:p w:rsidR="00D840DF" w:rsidRDefault="00D840DF">
            <w:pPr>
              <w:pStyle w:val="TableParagraph"/>
              <w:spacing w:before="0"/>
              <w:rPr>
                <w:rFonts w:ascii="Times New Roman"/>
                <w:sz w:val="16"/>
              </w:rPr>
            </w:pPr>
          </w:p>
        </w:tc>
        <w:tc>
          <w:tcPr>
            <w:tcW w:w="1122" w:type="dxa"/>
            <w:tcBorders>
              <w:bottom w:val="single" w:sz="4" w:space="0" w:color="C7C8CA"/>
            </w:tcBorders>
          </w:tcPr>
          <w:p w:rsidR="00D840DF" w:rsidRDefault="00961020">
            <w:pPr>
              <w:pStyle w:val="TableParagraph"/>
              <w:spacing w:before="28" w:line="200" w:lineRule="exact"/>
              <w:ind w:right="328"/>
              <w:jc w:val="right"/>
              <w:rPr>
                <w:sz w:val="16"/>
              </w:rPr>
            </w:pPr>
            <w:r>
              <w:rPr>
                <w:color w:val="636466"/>
                <w:sz w:val="16"/>
              </w:rPr>
              <w:t>400</w:t>
            </w:r>
          </w:p>
        </w:tc>
        <w:tc>
          <w:tcPr>
            <w:tcW w:w="1062"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400</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400</w:t>
            </w:r>
          </w:p>
        </w:tc>
      </w:tr>
      <w:tr w:rsidR="00D840DF">
        <w:trPr>
          <w:trHeight w:val="220"/>
        </w:trPr>
        <w:tc>
          <w:tcPr>
            <w:tcW w:w="2864"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Reserves</w:t>
            </w:r>
          </w:p>
        </w:tc>
        <w:tc>
          <w:tcPr>
            <w:tcW w:w="1504"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tcPr>
          <w:p w:rsidR="00D840DF" w:rsidRDefault="00961020">
            <w:pPr>
              <w:pStyle w:val="TableParagraph"/>
              <w:spacing w:line="200" w:lineRule="exact"/>
              <w:ind w:right="328"/>
              <w:jc w:val="right"/>
              <w:rPr>
                <w:sz w:val="16"/>
              </w:rPr>
            </w:pPr>
            <w:r>
              <w:rPr>
                <w:color w:val="636466"/>
                <w:sz w:val="16"/>
              </w:rPr>
              <w:t>88</w:t>
            </w:r>
          </w:p>
        </w:tc>
        <w:tc>
          <w:tcPr>
            <w:tcW w:w="1062" w:type="dxa"/>
            <w:tcBorders>
              <w:top w:val="single" w:sz="4" w:space="0" w:color="C7C8CA"/>
              <w:bottom w:val="single" w:sz="4" w:space="0" w:color="C7C8CA"/>
            </w:tcBorders>
          </w:tcPr>
          <w:p w:rsidR="00D840DF" w:rsidRDefault="00961020">
            <w:pPr>
              <w:pStyle w:val="TableParagraph"/>
              <w:spacing w:line="200" w:lineRule="exact"/>
              <w:ind w:right="266"/>
              <w:jc w:val="right"/>
              <w:rPr>
                <w:sz w:val="16"/>
              </w:rPr>
            </w:pPr>
            <w:r>
              <w:rPr>
                <w:color w:val="636466"/>
                <w:sz w:val="16"/>
              </w:rPr>
              <w:t>16</w:t>
            </w:r>
          </w:p>
        </w:tc>
        <w:tc>
          <w:tcPr>
            <w:tcW w:w="988" w:type="dxa"/>
            <w:tcBorders>
              <w:top w:val="single" w:sz="4" w:space="0" w:color="C7C8CA"/>
              <w:bottom w:val="single" w:sz="4" w:space="0" w:color="C7C8CA"/>
            </w:tcBorders>
          </w:tcPr>
          <w:p w:rsidR="00D840DF" w:rsidRDefault="00961020">
            <w:pPr>
              <w:pStyle w:val="TableParagraph"/>
              <w:spacing w:line="200" w:lineRule="exact"/>
              <w:ind w:right="120"/>
              <w:jc w:val="right"/>
              <w:rPr>
                <w:sz w:val="16"/>
              </w:rPr>
            </w:pPr>
            <w:r>
              <w:rPr>
                <w:color w:val="636466"/>
                <w:sz w:val="16"/>
              </w:rPr>
              <w:t>16</w:t>
            </w:r>
          </w:p>
        </w:tc>
      </w:tr>
      <w:tr w:rsidR="00D840DF">
        <w:trPr>
          <w:trHeight w:val="240"/>
        </w:trPr>
        <w:tc>
          <w:tcPr>
            <w:tcW w:w="2864" w:type="dxa"/>
            <w:tcBorders>
              <w:top w:val="single" w:sz="4" w:space="0" w:color="C7C8CA"/>
            </w:tcBorders>
          </w:tcPr>
          <w:p w:rsidR="00D840DF" w:rsidRDefault="00961020">
            <w:pPr>
              <w:pStyle w:val="TableParagraph"/>
              <w:ind w:left="113"/>
              <w:rPr>
                <w:sz w:val="16"/>
              </w:rPr>
            </w:pPr>
            <w:r>
              <w:rPr>
                <w:color w:val="636466"/>
                <w:sz w:val="16"/>
              </w:rPr>
              <w:t>Retained surplus</w:t>
            </w:r>
          </w:p>
        </w:tc>
        <w:tc>
          <w:tcPr>
            <w:tcW w:w="1504" w:type="dxa"/>
            <w:tcBorders>
              <w:top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tcBorders>
          </w:tcPr>
          <w:p w:rsidR="00D840DF" w:rsidRDefault="00961020">
            <w:pPr>
              <w:pStyle w:val="TableParagraph"/>
              <w:ind w:right="337"/>
              <w:jc w:val="right"/>
              <w:rPr>
                <w:sz w:val="16"/>
              </w:rPr>
            </w:pPr>
            <w:r>
              <w:rPr>
                <w:color w:val="636466"/>
                <w:sz w:val="16"/>
              </w:rPr>
              <w:t>8,201</w:t>
            </w:r>
          </w:p>
        </w:tc>
        <w:tc>
          <w:tcPr>
            <w:tcW w:w="1062" w:type="dxa"/>
            <w:tcBorders>
              <w:top w:val="single" w:sz="4" w:space="0" w:color="C7C8CA"/>
            </w:tcBorders>
          </w:tcPr>
          <w:p w:rsidR="00D840DF" w:rsidRDefault="00961020">
            <w:pPr>
              <w:pStyle w:val="TableParagraph"/>
              <w:ind w:right="265"/>
              <w:jc w:val="right"/>
              <w:rPr>
                <w:sz w:val="16"/>
              </w:rPr>
            </w:pPr>
            <w:r>
              <w:rPr>
                <w:color w:val="636466"/>
                <w:sz w:val="16"/>
              </w:rPr>
              <w:t>23,691</w:t>
            </w:r>
          </w:p>
        </w:tc>
        <w:tc>
          <w:tcPr>
            <w:tcW w:w="988" w:type="dxa"/>
            <w:tcBorders>
              <w:top w:val="single" w:sz="4" w:space="0" w:color="C7C8CA"/>
            </w:tcBorders>
          </w:tcPr>
          <w:p w:rsidR="00D840DF" w:rsidRDefault="00961020">
            <w:pPr>
              <w:pStyle w:val="TableParagraph"/>
              <w:ind w:right="111"/>
              <w:jc w:val="right"/>
              <w:rPr>
                <w:sz w:val="16"/>
              </w:rPr>
            </w:pPr>
            <w:r>
              <w:rPr>
                <w:color w:val="636466"/>
                <w:sz w:val="16"/>
              </w:rPr>
              <w:t>19,905</w:t>
            </w:r>
          </w:p>
        </w:tc>
      </w:tr>
      <w:tr w:rsidR="00D840DF">
        <w:trPr>
          <w:trHeight w:val="240"/>
        </w:trPr>
        <w:tc>
          <w:tcPr>
            <w:tcW w:w="2864"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equity</w:t>
            </w:r>
          </w:p>
        </w:tc>
        <w:tc>
          <w:tcPr>
            <w:tcW w:w="1504"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bottom w:val="single" w:sz="4" w:space="0" w:color="C7C8CA"/>
            </w:tcBorders>
            <w:shd w:val="clear" w:color="auto" w:fill="E6E7E8"/>
          </w:tcPr>
          <w:p w:rsidR="00D840DF" w:rsidRDefault="00961020">
            <w:pPr>
              <w:pStyle w:val="TableParagraph"/>
              <w:spacing w:before="21" w:line="200" w:lineRule="exact"/>
              <w:ind w:right="328"/>
              <w:jc w:val="right"/>
              <w:rPr>
                <w:rFonts w:ascii="Futura PT Medium"/>
                <w:sz w:val="16"/>
              </w:rPr>
            </w:pPr>
            <w:r>
              <w:rPr>
                <w:rFonts w:ascii="Futura PT Medium"/>
                <w:sz w:val="16"/>
              </w:rPr>
              <w:t>8,689</w:t>
            </w:r>
          </w:p>
        </w:tc>
        <w:tc>
          <w:tcPr>
            <w:tcW w:w="1062"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24,107</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20,321</w:t>
            </w:r>
          </w:p>
        </w:tc>
      </w:tr>
    </w:tbl>
    <w:p w:rsidR="008D2169" w:rsidRPr="00F706F7" w:rsidRDefault="008D2169" w:rsidP="008D2169">
      <w:pPr>
        <w:rPr>
          <w:color w:val="7F7F7F"/>
          <w:sz w:val="21"/>
          <w:szCs w:val="19"/>
        </w:rPr>
      </w:pPr>
    </w:p>
    <w:p w:rsidR="00D840DF" w:rsidRDefault="00961020" w:rsidP="008D2169">
      <w:pPr>
        <w:rPr>
          <w:sz w:val="16"/>
        </w:rPr>
      </w:pPr>
      <w:r>
        <w:rPr>
          <w:color w:val="636466"/>
          <w:sz w:val="16"/>
        </w:rPr>
        <w:t>The above statement should be read in conjunction with the accompanying notes.</w:t>
      </w:r>
    </w:p>
    <w:p w:rsidR="00D840DF" w:rsidRDefault="00D840DF">
      <w:pPr>
        <w:rPr>
          <w:sz w:val="16"/>
        </w:rPr>
        <w:sectPr w:rsidR="00D840DF">
          <w:pgSz w:w="9980" w:h="14180"/>
          <w:pgMar w:top="1320" w:right="1020" w:bottom="280" w:left="1200" w:header="720" w:footer="720" w:gutter="0"/>
          <w:cols w:space="720"/>
        </w:sectPr>
      </w:pPr>
    </w:p>
    <w:p w:rsidR="00D840DF" w:rsidRDefault="00961020" w:rsidP="008D2169">
      <w:pPr>
        <w:pStyle w:val="Heading4"/>
      </w:pPr>
      <w:r>
        <w:lastRenderedPageBreak/>
        <w:t>Budget</w:t>
      </w:r>
      <w:r w:rsidR="00E314B6">
        <w:t xml:space="preserve"> </w:t>
      </w:r>
      <w:r>
        <w:t>Variances Commentary</w:t>
      </w:r>
    </w:p>
    <w:p w:rsidR="00D840DF" w:rsidRDefault="00961020" w:rsidP="008F7C36">
      <w:pPr>
        <w:pStyle w:val="Heading5"/>
      </w:pPr>
      <w:r>
        <w:t>Statement of Financial</w:t>
      </w:r>
      <w:r w:rsidR="00E314B6">
        <w:t xml:space="preserve"> </w:t>
      </w:r>
      <w:r>
        <w:t>Position</w:t>
      </w:r>
    </w:p>
    <w:p w:rsidR="00D840DF" w:rsidRDefault="00961020" w:rsidP="008F7C36">
      <w:pPr>
        <w:spacing w:before="4" w:line="244" w:lineRule="auto"/>
        <w:ind w:right="436"/>
        <w:jc w:val="both"/>
        <w:rPr>
          <w:sz w:val="16"/>
        </w:rPr>
      </w:pPr>
      <w:r>
        <w:rPr>
          <w:color w:val="636466"/>
          <w:sz w:val="16"/>
        </w:rPr>
        <w:t>Total financial assets of $10.004m were lower than the budget of $23.880m principally as a result of the lapsing receivable from Government of $18.176m which was partially offset by the increase in cash and cash equivalents balances of $6.200m compared to</w:t>
      </w:r>
      <w:r w:rsidR="00E314B6">
        <w:rPr>
          <w:color w:val="636466"/>
          <w:sz w:val="16"/>
        </w:rPr>
        <w:t xml:space="preserve"> </w:t>
      </w:r>
      <w:r>
        <w:rPr>
          <w:color w:val="636466"/>
          <w:sz w:val="16"/>
        </w:rPr>
        <w:t>budget</w:t>
      </w:r>
    </w:p>
    <w:p w:rsidR="00D840DF" w:rsidRDefault="00961020" w:rsidP="008F7C36">
      <w:pPr>
        <w:spacing w:before="114" w:line="244" w:lineRule="auto"/>
        <w:ind w:right="246"/>
        <w:rPr>
          <w:sz w:val="16"/>
        </w:rPr>
      </w:pPr>
      <w:r>
        <w:rPr>
          <w:color w:val="636466"/>
          <w:sz w:val="16"/>
        </w:rPr>
        <w:t xml:space="preserve">Non-financial assets at $1.646m were higher than budget principally due to the development and the </w:t>
      </w:r>
      <w:proofErr w:type="spellStart"/>
      <w:r>
        <w:rPr>
          <w:color w:val="636466"/>
          <w:sz w:val="16"/>
        </w:rPr>
        <w:t>capitalisation</w:t>
      </w:r>
      <w:proofErr w:type="spellEnd"/>
      <w:r>
        <w:rPr>
          <w:color w:val="636466"/>
          <w:sz w:val="16"/>
        </w:rPr>
        <w:t xml:space="preserve"> of new</w:t>
      </w:r>
      <w:r w:rsidR="00E314B6">
        <w:rPr>
          <w:color w:val="636466"/>
          <w:sz w:val="16"/>
        </w:rPr>
        <w:t xml:space="preserve"> </w:t>
      </w:r>
      <w:r>
        <w:rPr>
          <w:color w:val="636466"/>
          <w:sz w:val="16"/>
        </w:rPr>
        <w:t>information</w:t>
      </w:r>
      <w:r w:rsidR="00E314B6">
        <w:rPr>
          <w:color w:val="636466"/>
          <w:sz w:val="16"/>
        </w:rPr>
        <w:t xml:space="preserve"> </w:t>
      </w:r>
      <w:r>
        <w:rPr>
          <w:color w:val="636466"/>
          <w:sz w:val="16"/>
        </w:rPr>
        <w:t>technology infrastructure.</w:t>
      </w:r>
    </w:p>
    <w:p w:rsidR="00D840DF" w:rsidRDefault="00961020" w:rsidP="008F7C36">
      <w:pPr>
        <w:spacing w:before="114" w:line="244" w:lineRule="auto"/>
        <w:rPr>
          <w:sz w:val="16"/>
        </w:rPr>
      </w:pPr>
      <w:r>
        <w:rPr>
          <w:color w:val="636466"/>
          <w:sz w:val="16"/>
        </w:rPr>
        <w:t>Total equity of $8.689m compared to a budget of $20.321m is impacted by the lapsing receivable from Government, offset in part by the surplus for the reporting period.</w:t>
      </w:r>
    </w:p>
    <w:p w:rsidR="00D840DF" w:rsidRDefault="00D840DF">
      <w:pPr>
        <w:spacing w:line="244" w:lineRule="auto"/>
        <w:rPr>
          <w:sz w:val="16"/>
        </w:rPr>
        <w:sectPr w:rsidR="00D840DF">
          <w:pgSz w:w="9980" w:h="14180"/>
          <w:pgMar w:top="1320" w:right="1220" w:bottom="280" w:left="1020" w:header="720" w:footer="720" w:gutter="0"/>
          <w:cols w:space="720"/>
        </w:sectPr>
      </w:pPr>
    </w:p>
    <w:p w:rsidR="00D840DF" w:rsidRDefault="00961020" w:rsidP="008D2169">
      <w:pPr>
        <w:pStyle w:val="Heading3"/>
      </w:pPr>
      <w:bookmarkStart w:id="132" w:name="Statement_of_changes_in_equity"/>
      <w:bookmarkStart w:id="133" w:name="_bookmark36"/>
      <w:bookmarkStart w:id="134" w:name="_Statement_of_changes"/>
      <w:bookmarkEnd w:id="132"/>
      <w:bookmarkEnd w:id="133"/>
      <w:bookmarkEnd w:id="134"/>
      <w:r>
        <w:lastRenderedPageBreak/>
        <w:t>Statement of changes in equity</w:t>
      </w:r>
      <w:r w:rsidR="008D2169">
        <w:br/>
      </w:r>
      <w:r>
        <w:t>for the period ended 30 June 2017</w:t>
      </w:r>
    </w:p>
    <w:p w:rsidR="00D840DF" w:rsidRDefault="00D840DF">
      <w:pPr>
        <w:pStyle w:val="BodyText"/>
        <w:spacing w:before="7" w:after="1"/>
        <w:rPr>
          <w:sz w:val="16"/>
        </w:rPr>
      </w:pPr>
    </w:p>
    <w:tbl>
      <w:tblPr>
        <w:tblW w:w="0" w:type="auto"/>
        <w:tblInd w:w="103" w:type="dxa"/>
        <w:tblLayout w:type="fixed"/>
        <w:tblCellMar>
          <w:left w:w="0" w:type="dxa"/>
          <w:right w:w="0" w:type="dxa"/>
        </w:tblCellMar>
        <w:tblLook w:val="01E0" w:firstRow="1" w:lastRow="1" w:firstColumn="1" w:lastColumn="1" w:noHBand="0" w:noVBand="0"/>
      </w:tblPr>
      <w:tblGrid>
        <w:gridCol w:w="4318"/>
        <w:gridCol w:w="1176"/>
        <w:gridCol w:w="1058"/>
        <w:gridCol w:w="988"/>
      </w:tblGrid>
      <w:tr w:rsidR="00D840DF">
        <w:trPr>
          <w:trHeight w:val="680"/>
        </w:trPr>
        <w:tc>
          <w:tcPr>
            <w:tcW w:w="4318" w:type="dxa"/>
            <w:shd w:val="clear" w:color="auto" w:fill="008F54"/>
          </w:tcPr>
          <w:p w:rsidR="00D840DF" w:rsidRDefault="00D840DF">
            <w:pPr>
              <w:pStyle w:val="TableParagraph"/>
              <w:spacing w:before="0"/>
              <w:rPr>
                <w:sz w:val="18"/>
              </w:rPr>
            </w:pPr>
          </w:p>
          <w:p w:rsidR="00D840DF" w:rsidRDefault="00961020">
            <w:pPr>
              <w:pStyle w:val="TableParagraph"/>
              <w:spacing w:before="0"/>
              <w:ind w:right="289"/>
              <w:jc w:val="right"/>
              <w:rPr>
                <w:rFonts w:ascii="Futura PT Demi"/>
                <w:sz w:val="17"/>
              </w:rPr>
            </w:pPr>
            <w:r>
              <w:rPr>
                <w:rFonts w:ascii="Futura PT Demi"/>
                <w:color w:val="FFFFFF"/>
                <w:sz w:val="17"/>
              </w:rPr>
              <w:t>Notes</w:t>
            </w:r>
          </w:p>
        </w:tc>
        <w:tc>
          <w:tcPr>
            <w:tcW w:w="1176" w:type="dxa"/>
            <w:shd w:val="clear" w:color="auto" w:fill="008F54"/>
          </w:tcPr>
          <w:p w:rsidR="00D840DF" w:rsidRDefault="00961020">
            <w:pPr>
              <w:pStyle w:val="TableParagraph"/>
              <w:spacing w:before="130" w:line="209" w:lineRule="exact"/>
              <w:ind w:left="466"/>
              <w:rPr>
                <w:rFonts w:ascii="Futura PT Demi"/>
                <w:sz w:val="17"/>
              </w:rPr>
            </w:pPr>
            <w:r>
              <w:rPr>
                <w:rFonts w:ascii="Futura PT Demi"/>
                <w:color w:val="FFFFFF"/>
                <w:sz w:val="17"/>
              </w:rPr>
              <w:t>2017</w:t>
            </w:r>
          </w:p>
          <w:p w:rsidR="00D840DF" w:rsidRDefault="00961020">
            <w:pPr>
              <w:pStyle w:val="TableParagraph"/>
              <w:spacing w:before="0" w:line="209" w:lineRule="exact"/>
              <w:ind w:left="390"/>
              <w:rPr>
                <w:rFonts w:ascii="Futura PT Demi" w:hAnsi="Futura PT Demi"/>
                <w:sz w:val="17"/>
              </w:rPr>
            </w:pPr>
            <w:r>
              <w:rPr>
                <w:rFonts w:ascii="Futura PT Demi" w:hAnsi="Futura PT Demi"/>
                <w:color w:val="FFFFFF"/>
                <w:sz w:val="17"/>
              </w:rPr>
              <w:t>$’000</w:t>
            </w:r>
          </w:p>
        </w:tc>
        <w:tc>
          <w:tcPr>
            <w:tcW w:w="1058" w:type="dxa"/>
            <w:shd w:val="clear" w:color="auto" w:fill="008F54"/>
          </w:tcPr>
          <w:p w:rsidR="00D840DF" w:rsidRDefault="00961020">
            <w:pPr>
              <w:pStyle w:val="TableParagraph"/>
              <w:spacing w:before="130" w:line="209" w:lineRule="exact"/>
              <w:ind w:left="424"/>
              <w:rPr>
                <w:rFonts w:ascii="Futura PT Demi"/>
                <w:sz w:val="17"/>
              </w:rPr>
            </w:pPr>
            <w:r>
              <w:rPr>
                <w:rFonts w:ascii="Futura PT Demi"/>
                <w:color w:val="FFFFFF"/>
                <w:sz w:val="17"/>
              </w:rPr>
              <w:t>2016</w:t>
            </w:r>
          </w:p>
          <w:p w:rsidR="00D840DF" w:rsidRDefault="00961020">
            <w:pPr>
              <w:pStyle w:val="TableParagraph"/>
              <w:spacing w:before="0" w:line="209" w:lineRule="exact"/>
              <w:ind w:left="348"/>
              <w:rPr>
                <w:rFonts w:ascii="Futura PT Demi" w:hAnsi="Futura PT Demi"/>
                <w:sz w:val="17"/>
              </w:rPr>
            </w:pPr>
            <w:r>
              <w:rPr>
                <w:rFonts w:ascii="Futura PT Demi" w:hAnsi="Futura PT Demi"/>
                <w:color w:val="FFFFFF"/>
                <w:sz w:val="17"/>
              </w:rPr>
              <w:t>$’000</w:t>
            </w:r>
          </w:p>
        </w:tc>
        <w:tc>
          <w:tcPr>
            <w:tcW w:w="988" w:type="dxa"/>
            <w:shd w:val="clear" w:color="auto" w:fill="008F54"/>
          </w:tcPr>
          <w:p w:rsidR="00D840DF" w:rsidRDefault="00961020">
            <w:pPr>
              <w:pStyle w:val="TableParagraph"/>
              <w:spacing w:before="48" w:line="220" w:lineRule="auto"/>
              <w:ind w:left="251" w:right="111" w:hanging="1"/>
              <w:jc w:val="center"/>
              <w:rPr>
                <w:rFonts w:ascii="Futura PT Demi"/>
                <w:sz w:val="17"/>
              </w:rPr>
            </w:pPr>
            <w:r>
              <w:rPr>
                <w:rFonts w:ascii="Futura PT Demi"/>
                <w:color w:val="FFFFFF"/>
                <w:sz w:val="17"/>
              </w:rPr>
              <w:t>Original Budget</w:t>
            </w:r>
          </w:p>
          <w:p w:rsidR="00D840DF" w:rsidRDefault="00961020">
            <w:pPr>
              <w:pStyle w:val="TableParagraph"/>
              <w:spacing w:before="0" w:line="200" w:lineRule="exact"/>
              <w:ind w:left="414" w:right="96"/>
              <w:jc w:val="center"/>
              <w:rPr>
                <w:rFonts w:ascii="Futura PT Demi" w:hAnsi="Futura PT Demi"/>
                <w:sz w:val="17"/>
              </w:rPr>
            </w:pPr>
            <w:r>
              <w:rPr>
                <w:rFonts w:ascii="Futura PT Demi" w:hAnsi="Futura PT Demi"/>
                <w:color w:val="FFFFFF"/>
                <w:sz w:val="17"/>
              </w:rPr>
              <w:t>$’000</w:t>
            </w:r>
          </w:p>
        </w:tc>
      </w:tr>
      <w:tr w:rsidR="00D840DF">
        <w:trPr>
          <w:trHeight w:val="260"/>
        </w:trPr>
        <w:tc>
          <w:tcPr>
            <w:tcW w:w="4318" w:type="dxa"/>
          </w:tcPr>
          <w:p w:rsidR="00D840DF" w:rsidRDefault="00961020" w:rsidP="00A928A7">
            <w:pPr>
              <w:pStyle w:val="TableParagraph"/>
              <w:spacing w:before="33"/>
              <w:rPr>
                <w:rFonts w:ascii="Futura PT Bold"/>
                <w:b/>
                <w:sz w:val="16"/>
              </w:rPr>
            </w:pPr>
            <w:r>
              <w:rPr>
                <w:rFonts w:ascii="Futura PT Bold"/>
                <w:b/>
                <w:color w:val="003E2D"/>
                <w:sz w:val="16"/>
              </w:rPr>
              <w:t>CONTRIBUTED EQUITY</w:t>
            </w:r>
          </w:p>
        </w:tc>
        <w:tc>
          <w:tcPr>
            <w:tcW w:w="1176" w:type="dxa"/>
          </w:tcPr>
          <w:p w:rsidR="00D840DF" w:rsidRDefault="00D840DF">
            <w:pPr>
              <w:pStyle w:val="TableParagraph"/>
              <w:spacing w:before="0"/>
              <w:rPr>
                <w:rFonts w:ascii="Times New Roman"/>
                <w:sz w:val="16"/>
              </w:rPr>
            </w:pPr>
          </w:p>
        </w:tc>
        <w:tc>
          <w:tcPr>
            <w:tcW w:w="1058" w:type="dxa"/>
          </w:tcPr>
          <w:p w:rsidR="00D840DF" w:rsidRDefault="00D840DF">
            <w:pPr>
              <w:pStyle w:val="TableParagraph"/>
              <w:spacing w:before="0"/>
              <w:rPr>
                <w:rFonts w:ascii="Times New Roman"/>
                <w:sz w:val="16"/>
              </w:rPr>
            </w:pPr>
          </w:p>
        </w:tc>
        <w:tc>
          <w:tcPr>
            <w:tcW w:w="988" w:type="dxa"/>
          </w:tcPr>
          <w:p w:rsidR="00D840DF" w:rsidRDefault="00D840DF">
            <w:pPr>
              <w:pStyle w:val="TableParagraph"/>
              <w:spacing w:before="0"/>
              <w:rPr>
                <w:rFonts w:ascii="Times New Roman"/>
                <w:sz w:val="16"/>
              </w:rPr>
            </w:pPr>
          </w:p>
        </w:tc>
      </w:tr>
      <w:tr w:rsidR="00D840DF">
        <w:trPr>
          <w:trHeight w:val="260"/>
        </w:trPr>
        <w:tc>
          <w:tcPr>
            <w:tcW w:w="7540" w:type="dxa"/>
            <w:gridSpan w:val="4"/>
          </w:tcPr>
          <w:p w:rsidR="00D840DF" w:rsidRDefault="00E314B6">
            <w:pPr>
              <w:pStyle w:val="TableParagraph"/>
              <w:tabs>
                <w:tab w:val="left" w:pos="7540"/>
              </w:tabs>
              <w:spacing w:before="38"/>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Opening</w:t>
            </w:r>
            <w:r w:rsidR="00961020">
              <w:rPr>
                <w:rFonts w:ascii="Futura PT Bold"/>
                <w:b/>
                <w:color w:val="003E2D"/>
                <w:spacing w:val="31"/>
                <w:sz w:val="16"/>
                <w:shd w:val="clear" w:color="auto" w:fill="E2F0D8"/>
              </w:rPr>
              <w:t xml:space="preserve"> </w:t>
            </w:r>
            <w:r w:rsidR="00961020">
              <w:rPr>
                <w:rFonts w:ascii="Futura PT Bold"/>
                <w:b/>
                <w:color w:val="003E2D"/>
                <w:sz w:val="16"/>
                <w:shd w:val="clear" w:color="auto" w:fill="E2F0D8"/>
              </w:rPr>
              <w:t>balance</w:t>
            </w:r>
            <w:r w:rsidR="00961020">
              <w:rPr>
                <w:rFonts w:ascii="Futura PT Bold"/>
                <w:b/>
                <w:color w:val="003E2D"/>
                <w:sz w:val="16"/>
                <w:shd w:val="clear" w:color="auto" w:fill="E2F0D8"/>
              </w:rPr>
              <w:tab/>
            </w:r>
          </w:p>
        </w:tc>
      </w:tr>
      <w:tr w:rsidR="00D840DF">
        <w:trPr>
          <w:trHeight w:val="240"/>
        </w:trPr>
        <w:tc>
          <w:tcPr>
            <w:tcW w:w="4318" w:type="dxa"/>
          </w:tcPr>
          <w:p w:rsidR="00D840DF" w:rsidRDefault="00961020">
            <w:pPr>
              <w:pStyle w:val="TableParagraph"/>
              <w:spacing w:before="28"/>
              <w:ind w:left="113"/>
              <w:rPr>
                <w:sz w:val="16"/>
              </w:rPr>
            </w:pPr>
            <w:r>
              <w:rPr>
                <w:color w:val="636466"/>
                <w:sz w:val="16"/>
              </w:rPr>
              <w:t>Balance carried forward from previous period</w:t>
            </w:r>
          </w:p>
        </w:tc>
        <w:tc>
          <w:tcPr>
            <w:tcW w:w="1176" w:type="dxa"/>
          </w:tcPr>
          <w:p w:rsidR="00D840DF" w:rsidRDefault="00961020">
            <w:pPr>
              <w:pStyle w:val="TableParagraph"/>
              <w:spacing w:before="28"/>
              <w:ind w:right="332"/>
              <w:jc w:val="right"/>
              <w:rPr>
                <w:rFonts w:ascii="Futura PT Medium"/>
                <w:sz w:val="16"/>
              </w:rPr>
            </w:pPr>
            <w:r>
              <w:rPr>
                <w:rFonts w:ascii="Futura PT Medium"/>
                <w:color w:val="636466"/>
                <w:sz w:val="16"/>
              </w:rPr>
              <w:t>400</w:t>
            </w:r>
          </w:p>
        </w:tc>
        <w:tc>
          <w:tcPr>
            <w:tcW w:w="1058" w:type="dxa"/>
          </w:tcPr>
          <w:p w:rsidR="00D840DF" w:rsidRDefault="00961020">
            <w:pPr>
              <w:pStyle w:val="TableParagraph"/>
              <w:spacing w:before="28"/>
              <w:ind w:right="257"/>
              <w:jc w:val="right"/>
              <w:rPr>
                <w:sz w:val="16"/>
              </w:rPr>
            </w:pPr>
            <w:r>
              <w:rPr>
                <w:color w:val="636466"/>
                <w:sz w:val="16"/>
              </w:rPr>
              <w:t>400</w:t>
            </w:r>
          </w:p>
        </w:tc>
        <w:tc>
          <w:tcPr>
            <w:tcW w:w="988" w:type="dxa"/>
          </w:tcPr>
          <w:p w:rsidR="00D840DF" w:rsidRDefault="00961020">
            <w:pPr>
              <w:pStyle w:val="TableParagraph"/>
              <w:spacing w:before="28"/>
              <w:ind w:right="111"/>
              <w:jc w:val="right"/>
              <w:rPr>
                <w:sz w:val="16"/>
              </w:rPr>
            </w:pPr>
            <w:r>
              <w:rPr>
                <w:color w:val="636466"/>
                <w:sz w:val="16"/>
              </w:rPr>
              <w:t>400</w:t>
            </w:r>
          </w:p>
        </w:tc>
      </w:tr>
      <w:tr w:rsidR="00D840DF">
        <w:trPr>
          <w:trHeight w:val="240"/>
        </w:trPr>
        <w:tc>
          <w:tcPr>
            <w:tcW w:w="4318"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Closing balance as at 30 June</w:t>
            </w:r>
          </w:p>
        </w:tc>
        <w:tc>
          <w:tcPr>
            <w:tcW w:w="1176" w:type="dxa"/>
            <w:tcBorders>
              <w:bottom w:val="single" w:sz="4" w:space="0" w:color="C7C8CA"/>
            </w:tcBorders>
            <w:shd w:val="clear" w:color="auto" w:fill="E6E7E8"/>
          </w:tcPr>
          <w:p w:rsidR="00D840DF" w:rsidRDefault="00961020">
            <w:pPr>
              <w:pStyle w:val="TableParagraph"/>
              <w:spacing w:before="21" w:line="200" w:lineRule="exact"/>
              <w:ind w:right="332"/>
              <w:jc w:val="right"/>
              <w:rPr>
                <w:rFonts w:ascii="Futura PT Medium"/>
                <w:sz w:val="16"/>
              </w:rPr>
            </w:pPr>
            <w:r>
              <w:rPr>
                <w:rFonts w:ascii="Futura PT Medium"/>
                <w:sz w:val="16"/>
              </w:rPr>
              <w:t>400</w:t>
            </w:r>
          </w:p>
        </w:tc>
        <w:tc>
          <w:tcPr>
            <w:tcW w:w="1058"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400</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400</w:t>
            </w:r>
          </w:p>
        </w:tc>
      </w:tr>
      <w:tr w:rsidR="00D840DF">
        <w:trPr>
          <w:trHeight w:val="440"/>
        </w:trPr>
        <w:tc>
          <w:tcPr>
            <w:tcW w:w="4318" w:type="dxa"/>
            <w:tcBorders>
              <w:top w:val="single" w:sz="4" w:space="0" w:color="C7C8CA"/>
            </w:tcBorders>
          </w:tcPr>
          <w:p w:rsidR="00D840DF" w:rsidRDefault="00D840DF">
            <w:pPr>
              <w:pStyle w:val="TableParagraph"/>
              <w:spacing w:before="1"/>
              <w:rPr>
                <w:sz w:val="16"/>
              </w:rPr>
            </w:pPr>
          </w:p>
          <w:p w:rsidR="00D840DF" w:rsidRDefault="00961020" w:rsidP="00A928A7">
            <w:pPr>
              <w:pStyle w:val="TableParagraph"/>
              <w:spacing w:before="0"/>
              <w:rPr>
                <w:rFonts w:ascii="Futura PT Bold"/>
                <w:b/>
                <w:sz w:val="16"/>
              </w:rPr>
            </w:pPr>
            <w:r>
              <w:rPr>
                <w:rFonts w:ascii="Futura PT Bold"/>
                <w:b/>
                <w:color w:val="003E2D"/>
                <w:sz w:val="16"/>
              </w:rPr>
              <w:t>RETAINED EARNINGS</w:t>
            </w:r>
          </w:p>
        </w:tc>
        <w:tc>
          <w:tcPr>
            <w:tcW w:w="1176" w:type="dxa"/>
            <w:tcBorders>
              <w:top w:val="single" w:sz="4" w:space="0" w:color="C7C8CA"/>
            </w:tcBorders>
          </w:tcPr>
          <w:p w:rsidR="00D840DF" w:rsidRDefault="00D840DF">
            <w:pPr>
              <w:pStyle w:val="TableParagraph"/>
              <w:spacing w:before="0"/>
              <w:rPr>
                <w:rFonts w:ascii="Times New Roman"/>
                <w:sz w:val="16"/>
              </w:rPr>
            </w:pPr>
          </w:p>
        </w:tc>
        <w:tc>
          <w:tcPr>
            <w:tcW w:w="1058" w:type="dxa"/>
            <w:tcBorders>
              <w:top w:val="single" w:sz="4" w:space="0" w:color="C7C8CA"/>
            </w:tcBorders>
          </w:tcPr>
          <w:p w:rsidR="00D840DF" w:rsidRDefault="00D840DF">
            <w:pPr>
              <w:pStyle w:val="TableParagraph"/>
              <w:spacing w:before="0"/>
              <w:rPr>
                <w:rFonts w:ascii="Times New Roman"/>
                <w:sz w:val="16"/>
              </w:rPr>
            </w:pPr>
          </w:p>
        </w:tc>
        <w:tc>
          <w:tcPr>
            <w:tcW w:w="988" w:type="dxa"/>
            <w:tcBorders>
              <w:top w:val="single" w:sz="4" w:space="0" w:color="C7C8CA"/>
            </w:tcBorders>
          </w:tcPr>
          <w:p w:rsidR="00D840DF" w:rsidRDefault="00D840DF">
            <w:pPr>
              <w:pStyle w:val="TableParagraph"/>
              <w:spacing w:before="0"/>
              <w:rPr>
                <w:rFonts w:ascii="Times New Roman"/>
                <w:sz w:val="16"/>
              </w:rPr>
            </w:pPr>
          </w:p>
        </w:tc>
      </w:tr>
      <w:tr w:rsidR="00D840DF">
        <w:trPr>
          <w:trHeight w:val="260"/>
        </w:trPr>
        <w:tc>
          <w:tcPr>
            <w:tcW w:w="7540" w:type="dxa"/>
            <w:gridSpan w:val="4"/>
          </w:tcPr>
          <w:p w:rsidR="00D840DF" w:rsidRDefault="00E314B6">
            <w:pPr>
              <w:pStyle w:val="TableParagraph"/>
              <w:tabs>
                <w:tab w:val="left" w:pos="7540"/>
              </w:tabs>
              <w:spacing w:before="38"/>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Opening</w:t>
            </w:r>
            <w:r w:rsidR="00961020">
              <w:rPr>
                <w:rFonts w:ascii="Futura PT Bold"/>
                <w:b/>
                <w:color w:val="003E2D"/>
                <w:spacing w:val="31"/>
                <w:sz w:val="16"/>
                <w:shd w:val="clear" w:color="auto" w:fill="E2F0D8"/>
              </w:rPr>
              <w:t xml:space="preserve"> </w:t>
            </w:r>
            <w:r w:rsidR="00961020">
              <w:rPr>
                <w:rFonts w:ascii="Futura PT Bold"/>
                <w:b/>
                <w:color w:val="003E2D"/>
                <w:sz w:val="16"/>
                <w:shd w:val="clear" w:color="auto" w:fill="E2F0D8"/>
              </w:rPr>
              <w:t>balance</w:t>
            </w:r>
            <w:r w:rsidR="00961020">
              <w:rPr>
                <w:rFonts w:ascii="Futura PT Bold"/>
                <w:b/>
                <w:color w:val="003E2D"/>
                <w:sz w:val="16"/>
                <w:shd w:val="clear" w:color="auto" w:fill="E2F0D8"/>
              </w:rPr>
              <w:tab/>
            </w:r>
          </w:p>
        </w:tc>
      </w:tr>
      <w:tr w:rsidR="00D840DF">
        <w:trPr>
          <w:trHeight w:val="240"/>
        </w:trPr>
        <w:tc>
          <w:tcPr>
            <w:tcW w:w="4318"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Balance carried forward from previous period</w:t>
            </w:r>
          </w:p>
        </w:tc>
        <w:tc>
          <w:tcPr>
            <w:tcW w:w="1176" w:type="dxa"/>
            <w:tcBorders>
              <w:bottom w:val="single" w:sz="4" w:space="0" w:color="C7C8CA"/>
            </w:tcBorders>
          </w:tcPr>
          <w:p w:rsidR="00D840DF" w:rsidRDefault="00961020">
            <w:pPr>
              <w:pStyle w:val="TableParagraph"/>
              <w:spacing w:before="28" w:line="200" w:lineRule="exact"/>
              <w:ind w:right="338"/>
              <w:jc w:val="right"/>
              <w:rPr>
                <w:rFonts w:ascii="Futura PT Medium"/>
                <w:sz w:val="16"/>
              </w:rPr>
            </w:pPr>
            <w:r>
              <w:rPr>
                <w:rFonts w:ascii="Futura PT Medium"/>
                <w:color w:val="636466"/>
                <w:sz w:val="16"/>
              </w:rPr>
              <w:t>23,691</w:t>
            </w:r>
          </w:p>
        </w:tc>
        <w:tc>
          <w:tcPr>
            <w:tcW w:w="1058" w:type="dxa"/>
            <w:tcBorders>
              <w:bottom w:val="single" w:sz="4" w:space="0" w:color="C7C8CA"/>
            </w:tcBorders>
          </w:tcPr>
          <w:p w:rsidR="00D840DF" w:rsidRDefault="00961020">
            <w:pPr>
              <w:pStyle w:val="TableParagraph"/>
              <w:spacing w:before="28" w:line="200" w:lineRule="exact"/>
              <w:ind w:right="275"/>
              <w:jc w:val="right"/>
              <w:rPr>
                <w:sz w:val="16"/>
              </w:rPr>
            </w:pPr>
            <w:r>
              <w:rPr>
                <w:color w:val="636466"/>
                <w:sz w:val="16"/>
              </w:rPr>
              <w:t>19,711</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19,905</w:t>
            </w:r>
          </w:p>
        </w:tc>
      </w:tr>
      <w:tr w:rsidR="00A928A7" w:rsidTr="00A928A7">
        <w:trPr>
          <w:trHeight w:val="281"/>
        </w:trPr>
        <w:tc>
          <w:tcPr>
            <w:tcW w:w="7540" w:type="dxa"/>
            <w:gridSpan w:val="4"/>
            <w:tcBorders>
              <w:top w:val="single" w:sz="4" w:space="0" w:color="C7C8CA"/>
            </w:tcBorders>
            <w:shd w:val="clear" w:color="auto" w:fill="E1EFD8"/>
          </w:tcPr>
          <w:p w:rsidR="00A928A7" w:rsidRDefault="00A928A7">
            <w:pPr>
              <w:pStyle w:val="TableParagraph"/>
              <w:spacing w:before="0"/>
              <w:rPr>
                <w:rFonts w:ascii="Times New Roman"/>
                <w:sz w:val="16"/>
              </w:rPr>
            </w:pPr>
            <w:r>
              <w:rPr>
                <w:rFonts w:ascii="Futura PT Bold"/>
                <w:b/>
                <w:color w:val="003E2D"/>
                <w:sz w:val="16"/>
                <w:shd w:val="clear" w:color="auto" w:fill="E2F0D8"/>
              </w:rPr>
              <w:t xml:space="preserve">Transaction </w:t>
            </w:r>
            <w:r>
              <w:rPr>
                <w:rFonts w:ascii="Futura PT Bold"/>
                <w:b/>
                <w:color w:val="003E2D"/>
                <w:spacing w:val="1"/>
                <w:sz w:val="16"/>
                <w:shd w:val="clear" w:color="auto" w:fill="E2F0D8"/>
              </w:rPr>
              <w:t xml:space="preserve">with </w:t>
            </w:r>
            <w:r>
              <w:rPr>
                <w:rFonts w:ascii="Futura PT Bold"/>
                <w:b/>
                <w:color w:val="003E2D"/>
                <w:sz w:val="16"/>
                <w:shd w:val="clear" w:color="auto" w:fill="E2F0D8"/>
              </w:rPr>
              <w:t>owners</w:t>
            </w:r>
            <w:r>
              <w:rPr>
                <w:rFonts w:ascii="Futura PT Bold"/>
                <w:b/>
                <w:color w:val="003E2D"/>
                <w:sz w:val="16"/>
                <w:shd w:val="clear" w:color="auto" w:fill="E2F0D8"/>
              </w:rPr>
              <w:tab/>
            </w:r>
          </w:p>
        </w:tc>
      </w:tr>
      <w:tr w:rsidR="00D840DF">
        <w:trPr>
          <w:trHeight w:val="240"/>
        </w:trPr>
        <w:tc>
          <w:tcPr>
            <w:tcW w:w="4318"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Reduction in receivable from</w:t>
            </w:r>
            <w:r w:rsidR="00E314B6">
              <w:rPr>
                <w:color w:val="636466"/>
                <w:sz w:val="16"/>
              </w:rPr>
              <w:t xml:space="preserve"> </w:t>
            </w:r>
            <w:r>
              <w:rPr>
                <w:color w:val="636466"/>
                <w:sz w:val="16"/>
              </w:rPr>
              <w:t>Government</w:t>
            </w:r>
          </w:p>
        </w:tc>
        <w:tc>
          <w:tcPr>
            <w:tcW w:w="1176" w:type="dxa"/>
            <w:tcBorders>
              <w:bottom w:val="single" w:sz="4" w:space="0" w:color="C7C8CA"/>
            </w:tcBorders>
          </w:tcPr>
          <w:p w:rsidR="00D840DF" w:rsidRDefault="00961020">
            <w:pPr>
              <w:pStyle w:val="TableParagraph"/>
              <w:spacing w:before="28" w:line="200" w:lineRule="exact"/>
              <w:ind w:right="332"/>
              <w:jc w:val="right"/>
              <w:rPr>
                <w:rFonts w:ascii="Futura PT Medium"/>
                <w:sz w:val="16"/>
              </w:rPr>
            </w:pPr>
            <w:r>
              <w:rPr>
                <w:rFonts w:ascii="Futura PT Medium"/>
                <w:color w:val="636466"/>
                <w:sz w:val="16"/>
              </w:rPr>
              <w:t>(18,176)</w:t>
            </w:r>
          </w:p>
        </w:tc>
        <w:tc>
          <w:tcPr>
            <w:tcW w:w="1058"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w:t>
            </w:r>
          </w:p>
        </w:tc>
      </w:tr>
      <w:tr w:rsidR="00D840DF">
        <w:trPr>
          <w:trHeight w:val="440"/>
        </w:trPr>
        <w:tc>
          <w:tcPr>
            <w:tcW w:w="7540" w:type="dxa"/>
            <w:gridSpan w:val="4"/>
            <w:tcBorders>
              <w:top w:val="single" w:sz="4" w:space="0" w:color="C7C8CA"/>
            </w:tcBorders>
          </w:tcPr>
          <w:p w:rsidR="00D840DF" w:rsidRDefault="00D840DF">
            <w:pPr>
              <w:pStyle w:val="TableParagraph"/>
              <w:spacing w:before="1"/>
              <w:rPr>
                <w:sz w:val="16"/>
              </w:rPr>
            </w:pPr>
          </w:p>
          <w:p w:rsidR="00D840DF" w:rsidRDefault="00E314B6">
            <w:pPr>
              <w:pStyle w:val="TableParagraph"/>
              <w:tabs>
                <w:tab w:val="left" w:pos="7540"/>
              </w:tabs>
              <w:spacing w:before="0"/>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Comprehensive</w:t>
            </w:r>
            <w:r>
              <w:rPr>
                <w:rFonts w:ascii="Futura PT Bold"/>
                <w:b/>
                <w:color w:val="003E2D"/>
                <w:sz w:val="16"/>
                <w:shd w:val="clear" w:color="auto" w:fill="E2F0D8"/>
              </w:rPr>
              <w:t xml:space="preserve"> </w:t>
            </w:r>
            <w:r w:rsidR="00961020">
              <w:rPr>
                <w:rFonts w:ascii="Futura PT Bold"/>
                <w:b/>
                <w:color w:val="003E2D"/>
                <w:sz w:val="16"/>
                <w:shd w:val="clear" w:color="auto" w:fill="E2F0D8"/>
              </w:rPr>
              <w:t>income</w:t>
            </w:r>
            <w:r w:rsidR="00961020">
              <w:rPr>
                <w:rFonts w:ascii="Futura PT Bold"/>
                <w:b/>
                <w:color w:val="003E2D"/>
                <w:sz w:val="16"/>
                <w:shd w:val="clear" w:color="auto" w:fill="E2F0D8"/>
              </w:rPr>
              <w:tab/>
            </w:r>
          </w:p>
        </w:tc>
      </w:tr>
      <w:tr w:rsidR="00D840DF">
        <w:trPr>
          <w:trHeight w:val="240"/>
        </w:trPr>
        <w:tc>
          <w:tcPr>
            <w:tcW w:w="4318" w:type="dxa"/>
          </w:tcPr>
          <w:p w:rsidR="00D840DF" w:rsidRDefault="00961020">
            <w:pPr>
              <w:pStyle w:val="TableParagraph"/>
              <w:spacing w:before="28"/>
              <w:ind w:left="113"/>
              <w:rPr>
                <w:sz w:val="16"/>
              </w:rPr>
            </w:pPr>
            <w:r>
              <w:rPr>
                <w:color w:val="636466"/>
                <w:sz w:val="16"/>
              </w:rPr>
              <w:t>Surplus for the period</w:t>
            </w:r>
          </w:p>
        </w:tc>
        <w:tc>
          <w:tcPr>
            <w:tcW w:w="1176" w:type="dxa"/>
          </w:tcPr>
          <w:p w:rsidR="00D840DF" w:rsidRDefault="00961020">
            <w:pPr>
              <w:pStyle w:val="TableParagraph"/>
              <w:spacing w:before="28"/>
              <w:ind w:right="332"/>
              <w:jc w:val="right"/>
              <w:rPr>
                <w:rFonts w:ascii="Futura PT Medium"/>
                <w:sz w:val="16"/>
              </w:rPr>
            </w:pPr>
            <w:r>
              <w:rPr>
                <w:rFonts w:ascii="Futura PT Medium"/>
                <w:color w:val="636466"/>
                <w:sz w:val="16"/>
              </w:rPr>
              <w:t>2,686</w:t>
            </w:r>
          </w:p>
        </w:tc>
        <w:tc>
          <w:tcPr>
            <w:tcW w:w="1058" w:type="dxa"/>
          </w:tcPr>
          <w:p w:rsidR="00D840DF" w:rsidRDefault="00961020">
            <w:pPr>
              <w:pStyle w:val="TableParagraph"/>
              <w:spacing w:before="28"/>
              <w:ind w:right="257"/>
              <w:jc w:val="right"/>
              <w:rPr>
                <w:sz w:val="16"/>
              </w:rPr>
            </w:pPr>
            <w:r>
              <w:rPr>
                <w:color w:val="636466"/>
                <w:sz w:val="16"/>
              </w:rPr>
              <w:t>3,980</w:t>
            </w:r>
          </w:p>
        </w:tc>
        <w:tc>
          <w:tcPr>
            <w:tcW w:w="988" w:type="dxa"/>
          </w:tcPr>
          <w:p w:rsidR="00D840DF" w:rsidRDefault="00961020">
            <w:pPr>
              <w:pStyle w:val="TableParagraph"/>
              <w:spacing w:before="28"/>
              <w:ind w:right="111"/>
              <w:jc w:val="right"/>
              <w:rPr>
                <w:sz w:val="16"/>
              </w:rPr>
            </w:pPr>
            <w:r>
              <w:rPr>
                <w:color w:val="636466"/>
                <w:sz w:val="16"/>
              </w:rPr>
              <w:t>-</w:t>
            </w:r>
          </w:p>
        </w:tc>
      </w:tr>
      <w:tr w:rsidR="00D840DF">
        <w:trPr>
          <w:trHeight w:val="240"/>
        </w:trPr>
        <w:tc>
          <w:tcPr>
            <w:tcW w:w="4318"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Closing balance as at 30 June</w:t>
            </w:r>
          </w:p>
        </w:tc>
        <w:tc>
          <w:tcPr>
            <w:tcW w:w="1176" w:type="dxa"/>
            <w:tcBorders>
              <w:bottom w:val="single" w:sz="4" w:space="0" w:color="C7C8CA"/>
            </w:tcBorders>
            <w:shd w:val="clear" w:color="auto" w:fill="E6E7E8"/>
          </w:tcPr>
          <w:p w:rsidR="00D840DF" w:rsidRDefault="00961020">
            <w:pPr>
              <w:pStyle w:val="TableParagraph"/>
              <w:spacing w:before="21" w:line="200" w:lineRule="exact"/>
              <w:ind w:right="332"/>
              <w:jc w:val="right"/>
              <w:rPr>
                <w:rFonts w:ascii="Futura PT Medium"/>
                <w:sz w:val="16"/>
              </w:rPr>
            </w:pPr>
            <w:r>
              <w:rPr>
                <w:rFonts w:ascii="Futura PT Medium"/>
                <w:sz w:val="16"/>
              </w:rPr>
              <w:t>8,201</w:t>
            </w:r>
          </w:p>
        </w:tc>
        <w:tc>
          <w:tcPr>
            <w:tcW w:w="1058"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23,691</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19,905</w:t>
            </w:r>
          </w:p>
        </w:tc>
      </w:tr>
      <w:tr w:rsidR="00D840DF">
        <w:trPr>
          <w:trHeight w:val="440"/>
        </w:trPr>
        <w:tc>
          <w:tcPr>
            <w:tcW w:w="4318" w:type="dxa"/>
            <w:tcBorders>
              <w:top w:val="single" w:sz="4" w:space="0" w:color="C7C8CA"/>
            </w:tcBorders>
          </w:tcPr>
          <w:p w:rsidR="00D840DF" w:rsidRDefault="00D840DF">
            <w:pPr>
              <w:pStyle w:val="TableParagraph"/>
              <w:spacing w:before="1"/>
              <w:rPr>
                <w:sz w:val="16"/>
              </w:rPr>
            </w:pPr>
          </w:p>
          <w:p w:rsidR="00D840DF" w:rsidRDefault="00961020" w:rsidP="00A928A7">
            <w:pPr>
              <w:pStyle w:val="TableParagraph"/>
              <w:spacing w:before="0"/>
              <w:rPr>
                <w:rFonts w:ascii="Futura PT Bold"/>
                <w:b/>
                <w:sz w:val="16"/>
              </w:rPr>
            </w:pPr>
            <w:r>
              <w:rPr>
                <w:rFonts w:ascii="Futura PT Bold"/>
                <w:b/>
                <w:color w:val="003E2D"/>
                <w:sz w:val="16"/>
              </w:rPr>
              <w:t>ASSET</w:t>
            </w:r>
            <w:r w:rsidR="00E314B6">
              <w:rPr>
                <w:rFonts w:ascii="Futura PT Bold"/>
                <w:b/>
                <w:color w:val="003E2D"/>
                <w:sz w:val="16"/>
              </w:rPr>
              <w:t xml:space="preserve"> </w:t>
            </w:r>
            <w:r>
              <w:rPr>
                <w:rFonts w:ascii="Futura PT Bold"/>
                <w:b/>
                <w:color w:val="003E2D"/>
                <w:sz w:val="16"/>
              </w:rPr>
              <w:t>REVALUATION RESERVE</w:t>
            </w:r>
          </w:p>
        </w:tc>
        <w:tc>
          <w:tcPr>
            <w:tcW w:w="1176" w:type="dxa"/>
            <w:tcBorders>
              <w:top w:val="single" w:sz="4" w:space="0" w:color="C7C8CA"/>
            </w:tcBorders>
          </w:tcPr>
          <w:p w:rsidR="00D840DF" w:rsidRDefault="00D840DF">
            <w:pPr>
              <w:pStyle w:val="TableParagraph"/>
              <w:spacing w:before="0"/>
              <w:rPr>
                <w:rFonts w:ascii="Times New Roman"/>
                <w:sz w:val="16"/>
              </w:rPr>
            </w:pPr>
          </w:p>
        </w:tc>
        <w:tc>
          <w:tcPr>
            <w:tcW w:w="1058" w:type="dxa"/>
            <w:tcBorders>
              <w:top w:val="single" w:sz="4" w:space="0" w:color="C7C8CA"/>
            </w:tcBorders>
          </w:tcPr>
          <w:p w:rsidR="00D840DF" w:rsidRDefault="00D840DF">
            <w:pPr>
              <w:pStyle w:val="TableParagraph"/>
              <w:spacing w:before="0"/>
              <w:rPr>
                <w:rFonts w:ascii="Times New Roman"/>
                <w:sz w:val="16"/>
              </w:rPr>
            </w:pPr>
          </w:p>
        </w:tc>
        <w:tc>
          <w:tcPr>
            <w:tcW w:w="988" w:type="dxa"/>
            <w:tcBorders>
              <w:top w:val="single" w:sz="4" w:space="0" w:color="C7C8CA"/>
            </w:tcBorders>
          </w:tcPr>
          <w:p w:rsidR="00D840DF" w:rsidRDefault="00D840DF">
            <w:pPr>
              <w:pStyle w:val="TableParagraph"/>
              <w:spacing w:before="0"/>
              <w:rPr>
                <w:rFonts w:ascii="Times New Roman"/>
                <w:sz w:val="16"/>
              </w:rPr>
            </w:pPr>
          </w:p>
        </w:tc>
      </w:tr>
      <w:tr w:rsidR="00D840DF">
        <w:trPr>
          <w:trHeight w:val="260"/>
        </w:trPr>
        <w:tc>
          <w:tcPr>
            <w:tcW w:w="7540" w:type="dxa"/>
            <w:gridSpan w:val="4"/>
          </w:tcPr>
          <w:p w:rsidR="00D840DF" w:rsidRDefault="00E314B6">
            <w:pPr>
              <w:pStyle w:val="TableParagraph"/>
              <w:tabs>
                <w:tab w:val="left" w:pos="7540"/>
              </w:tabs>
              <w:spacing w:before="38"/>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Opening</w:t>
            </w:r>
            <w:r w:rsidR="00961020">
              <w:rPr>
                <w:rFonts w:ascii="Futura PT Bold"/>
                <w:b/>
                <w:color w:val="003E2D"/>
                <w:spacing w:val="31"/>
                <w:sz w:val="16"/>
                <w:shd w:val="clear" w:color="auto" w:fill="E2F0D8"/>
              </w:rPr>
              <w:t xml:space="preserve"> </w:t>
            </w:r>
            <w:r w:rsidR="00961020">
              <w:rPr>
                <w:rFonts w:ascii="Futura PT Bold"/>
                <w:b/>
                <w:color w:val="003E2D"/>
                <w:sz w:val="16"/>
                <w:shd w:val="clear" w:color="auto" w:fill="E2F0D8"/>
              </w:rPr>
              <w:t>balance</w:t>
            </w:r>
            <w:r w:rsidR="00961020">
              <w:rPr>
                <w:rFonts w:ascii="Futura PT Bold"/>
                <w:b/>
                <w:color w:val="003E2D"/>
                <w:sz w:val="16"/>
                <w:shd w:val="clear" w:color="auto" w:fill="E2F0D8"/>
              </w:rPr>
              <w:tab/>
            </w:r>
          </w:p>
        </w:tc>
      </w:tr>
      <w:tr w:rsidR="00D840DF">
        <w:trPr>
          <w:trHeight w:val="240"/>
        </w:trPr>
        <w:tc>
          <w:tcPr>
            <w:tcW w:w="4318"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Balance carried forward from previous period</w:t>
            </w:r>
          </w:p>
        </w:tc>
        <w:tc>
          <w:tcPr>
            <w:tcW w:w="1176" w:type="dxa"/>
            <w:tcBorders>
              <w:bottom w:val="single" w:sz="4" w:space="0" w:color="C7C8CA"/>
            </w:tcBorders>
          </w:tcPr>
          <w:p w:rsidR="00D840DF" w:rsidRDefault="00961020">
            <w:pPr>
              <w:pStyle w:val="TableParagraph"/>
              <w:spacing w:before="28" w:line="200" w:lineRule="exact"/>
              <w:ind w:right="341"/>
              <w:jc w:val="right"/>
              <w:rPr>
                <w:rFonts w:ascii="Futura PT Medium"/>
                <w:sz w:val="16"/>
              </w:rPr>
            </w:pPr>
            <w:r>
              <w:rPr>
                <w:rFonts w:ascii="Futura PT Medium"/>
                <w:color w:val="636466"/>
                <w:sz w:val="16"/>
              </w:rPr>
              <w:t>16</w:t>
            </w:r>
          </w:p>
        </w:tc>
        <w:tc>
          <w:tcPr>
            <w:tcW w:w="1058" w:type="dxa"/>
            <w:tcBorders>
              <w:bottom w:val="single" w:sz="4" w:space="0" w:color="C7C8CA"/>
            </w:tcBorders>
          </w:tcPr>
          <w:p w:rsidR="00D840DF" w:rsidRDefault="00961020">
            <w:pPr>
              <w:pStyle w:val="TableParagraph"/>
              <w:spacing w:before="28" w:line="200" w:lineRule="exact"/>
              <w:ind w:right="266"/>
              <w:jc w:val="right"/>
              <w:rPr>
                <w:sz w:val="16"/>
              </w:rPr>
            </w:pPr>
            <w:r>
              <w:rPr>
                <w:color w:val="636466"/>
                <w:sz w:val="16"/>
              </w:rPr>
              <w:t>16</w:t>
            </w:r>
          </w:p>
        </w:tc>
        <w:tc>
          <w:tcPr>
            <w:tcW w:w="988" w:type="dxa"/>
            <w:tcBorders>
              <w:bottom w:val="single" w:sz="4" w:space="0" w:color="C7C8CA"/>
            </w:tcBorders>
          </w:tcPr>
          <w:p w:rsidR="00D840DF" w:rsidRDefault="00961020">
            <w:pPr>
              <w:pStyle w:val="TableParagraph"/>
              <w:spacing w:before="28" w:line="200" w:lineRule="exact"/>
              <w:ind w:right="120"/>
              <w:jc w:val="right"/>
              <w:rPr>
                <w:sz w:val="16"/>
              </w:rPr>
            </w:pPr>
            <w:r>
              <w:rPr>
                <w:color w:val="636466"/>
                <w:sz w:val="16"/>
              </w:rPr>
              <w:t>16</w:t>
            </w:r>
          </w:p>
        </w:tc>
      </w:tr>
      <w:tr w:rsidR="00D840DF">
        <w:trPr>
          <w:trHeight w:val="440"/>
        </w:trPr>
        <w:tc>
          <w:tcPr>
            <w:tcW w:w="7540" w:type="dxa"/>
            <w:gridSpan w:val="4"/>
            <w:tcBorders>
              <w:top w:val="single" w:sz="4" w:space="0" w:color="C7C8CA"/>
            </w:tcBorders>
          </w:tcPr>
          <w:p w:rsidR="00D840DF" w:rsidRDefault="00D840DF">
            <w:pPr>
              <w:pStyle w:val="TableParagraph"/>
              <w:spacing w:before="1"/>
              <w:rPr>
                <w:sz w:val="16"/>
              </w:rPr>
            </w:pPr>
          </w:p>
          <w:p w:rsidR="00D840DF" w:rsidRDefault="00E314B6">
            <w:pPr>
              <w:pStyle w:val="TableParagraph"/>
              <w:tabs>
                <w:tab w:val="left" w:pos="7540"/>
              </w:tabs>
              <w:spacing w:before="0"/>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Comprehensive</w:t>
            </w:r>
            <w:r>
              <w:rPr>
                <w:rFonts w:ascii="Futura PT Bold"/>
                <w:b/>
                <w:color w:val="003E2D"/>
                <w:sz w:val="16"/>
                <w:shd w:val="clear" w:color="auto" w:fill="E2F0D8"/>
              </w:rPr>
              <w:t xml:space="preserve"> </w:t>
            </w:r>
            <w:r w:rsidR="00961020">
              <w:rPr>
                <w:rFonts w:ascii="Futura PT Bold"/>
                <w:b/>
                <w:color w:val="003E2D"/>
                <w:sz w:val="16"/>
                <w:shd w:val="clear" w:color="auto" w:fill="E2F0D8"/>
              </w:rPr>
              <w:t>income</w:t>
            </w:r>
            <w:r w:rsidR="00961020">
              <w:rPr>
                <w:rFonts w:ascii="Futura PT Bold"/>
                <w:b/>
                <w:color w:val="003E2D"/>
                <w:sz w:val="16"/>
                <w:shd w:val="clear" w:color="auto" w:fill="E2F0D8"/>
              </w:rPr>
              <w:tab/>
            </w:r>
          </w:p>
        </w:tc>
      </w:tr>
      <w:tr w:rsidR="00D840DF">
        <w:trPr>
          <w:trHeight w:val="240"/>
        </w:trPr>
        <w:tc>
          <w:tcPr>
            <w:tcW w:w="4318"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Other</w:t>
            </w:r>
            <w:r w:rsidR="00E314B6">
              <w:rPr>
                <w:color w:val="636466"/>
                <w:sz w:val="16"/>
              </w:rPr>
              <w:t xml:space="preserve"> </w:t>
            </w:r>
            <w:r>
              <w:rPr>
                <w:color w:val="636466"/>
                <w:sz w:val="16"/>
              </w:rPr>
              <w:t>comprehensive income</w:t>
            </w:r>
          </w:p>
        </w:tc>
        <w:tc>
          <w:tcPr>
            <w:tcW w:w="1176" w:type="dxa"/>
            <w:tcBorders>
              <w:bottom w:val="single" w:sz="4" w:space="0" w:color="C7C8CA"/>
            </w:tcBorders>
          </w:tcPr>
          <w:p w:rsidR="00D840DF" w:rsidRDefault="00961020">
            <w:pPr>
              <w:pStyle w:val="TableParagraph"/>
              <w:spacing w:before="28" w:line="200" w:lineRule="exact"/>
              <w:ind w:right="333"/>
              <w:jc w:val="right"/>
              <w:rPr>
                <w:rFonts w:ascii="Futura PT Medium"/>
                <w:sz w:val="16"/>
              </w:rPr>
            </w:pPr>
            <w:r>
              <w:rPr>
                <w:rFonts w:ascii="Futura PT Medium"/>
                <w:color w:val="636466"/>
                <w:sz w:val="16"/>
              </w:rPr>
              <w:t>72</w:t>
            </w:r>
          </w:p>
        </w:tc>
        <w:tc>
          <w:tcPr>
            <w:tcW w:w="1058"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w:t>
            </w:r>
          </w:p>
        </w:tc>
      </w:tr>
      <w:tr w:rsidR="00D840DF">
        <w:trPr>
          <w:trHeight w:val="160"/>
        </w:trPr>
        <w:tc>
          <w:tcPr>
            <w:tcW w:w="4318" w:type="dxa"/>
            <w:tcBorders>
              <w:top w:val="single" w:sz="4" w:space="0" w:color="C7C8CA"/>
            </w:tcBorders>
          </w:tcPr>
          <w:p w:rsidR="00D840DF" w:rsidRDefault="00D840DF">
            <w:pPr>
              <w:pStyle w:val="TableParagraph"/>
              <w:spacing w:before="0"/>
              <w:rPr>
                <w:rFonts w:ascii="Times New Roman"/>
                <w:sz w:val="10"/>
              </w:rPr>
            </w:pPr>
          </w:p>
        </w:tc>
        <w:tc>
          <w:tcPr>
            <w:tcW w:w="1176" w:type="dxa"/>
            <w:tcBorders>
              <w:top w:val="single" w:sz="4" w:space="0" w:color="C7C8CA"/>
            </w:tcBorders>
          </w:tcPr>
          <w:p w:rsidR="00D840DF" w:rsidRDefault="00D840DF">
            <w:pPr>
              <w:pStyle w:val="TableParagraph"/>
              <w:spacing w:before="0"/>
              <w:rPr>
                <w:rFonts w:ascii="Times New Roman"/>
                <w:sz w:val="10"/>
              </w:rPr>
            </w:pPr>
          </w:p>
        </w:tc>
        <w:tc>
          <w:tcPr>
            <w:tcW w:w="1058" w:type="dxa"/>
            <w:tcBorders>
              <w:top w:val="single" w:sz="4" w:space="0" w:color="C7C8CA"/>
            </w:tcBorders>
          </w:tcPr>
          <w:p w:rsidR="00D840DF" w:rsidRDefault="00D840DF">
            <w:pPr>
              <w:pStyle w:val="TableParagraph"/>
              <w:spacing w:before="0"/>
              <w:rPr>
                <w:rFonts w:ascii="Times New Roman"/>
                <w:sz w:val="10"/>
              </w:rPr>
            </w:pPr>
          </w:p>
        </w:tc>
        <w:tc>
          <w:tcPr>
            <w:tcW w:w="988" w:type="dxa"/>
            <w:tcBorders>
              <w:top w:val="single" w:sz="4" w:space="0" w:color="C7C8CA"/>
            </w:tcBorders>
          </w:tcPr>
          <w:p w:rsidR="00D840DF" w:rsidRDefault="00D840DF">
            <w:pPr>
              <w:pStyle w:val="TableParagraph"/>
              <w:spacing w:before="0"/>
              <w:rPr>
                <w:rFonts w:ascii="Times New Roman"/>
                <w:sz w:val="10"/>
              </w:rPr>
            </w:pPr>
          </w:p>
        </w:tc>
      </w:tr>
      <w:tr w:rsidR="00D840DF">
        <w:trPr>
          <w:trHeight w:val="240"/>
        </w:trPr>
        <w:tc>
          <w:tcPr>
            <w:tcW w:w="4318"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Closing balance as at 30 June</w:t>
            </w:r>
          </w:p>
        </w:tc>
        <w:tc>
          <w:tcPr>
            <w:tcW w:w="1176" w:type="dxa"/>
            <w:tcBorders>
              <w:bottom w:val="single" w:sz="4" w:space="0" w:color="C7C8CA"/>
            </w:tcBorders>
            <w:shd w:val="clear" w:color="auto" w:fill="E6E7E8"/>
          </w:tcPr>
          <w:p w:rsidR="00D840DF" w:rsidRDefault="00961020">
            <w:pPr>
              <w:pStyle w:val="TableParagraph"/>
              <w:spacing w:before="21" w:line="200" w:lineRule="exact"/>
              <w:ind w:right="332"/>
              <w:jc w:val="right"/>
              <w:rPr>
                <w:rFonts w:ascii="Futura PT Medium"/>
                <w:sz w:val="16"/>
              </w:rPr>
            </w:pPr>
            <w:r>
              <w:rPr>
                <w:rFonts w:ascii="Futura PT Medium"/>
                <w:sz w:val="16"/>
              </w:rPr>
              <w:t>88</w:t>
            </w:r>
          </w:p>
        </w:tc>
        <w:tc>
          <w:tcPr>
            <w:tcW w:w="1058" w:type="dxa"/>
            <w:tcBorders>
              <w:bottom w:val="single" w:sz="4" w:space="0" w:color="C7C8CA"/>
            </w:tcBorders>
            <w:shd w:val="clear" w:color="auto" w:fill="E6E7E8"/>
          </w:tcPr>
          <w:p w:rsidR="00D840DF" w:rsidRDefault="00961020">
            <w:pPr>
              <w:pStyle w:val="TableParagraph"/>
              <w:spacing w:before="21" w:line="200" w:lineRule="exact"/>
              <w:ind w:right="275"/>
              <w:jc w:val="right"/>
              <w:rPr>
                <w:rFonts w:ascii="Futura PT Medium"/>
                <w:sz w:val="16"/>
              </w:rPr>
            </w:pPr>
            <w:r>
              <w:rPr>
                <w:rFonts w:ascii="Futura PT Medium"/>
                <w:sz w:val="16"/>
              </w:rPr>
              <w:t>16</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29"/>
              <w:jc w:val="right"/>
              <w:rPr>
                <w:rFonts w:ascii="Futura PT Medium"/>
                <w:sz w:val="16"/>
              </w:rPr>
            </w:pPr>
            <w:r>
              <w:rPr>
                <w:rFonts w:ascii="Futura PT Medium"/>
                <w:sz w:val="16"/>
              </w:rPr>
              <w:t>16</w:t>
            </w:r>
          </w:p>
        </w:tc>
      </w:tr>
      <w:tr w:rsidR="00D840DF">
        <w:trPr>
          <w:trHeight w:val="440"/>
        </w:trPr>
        <w:tc>
          <w:tcPr>
            <w:tcW w:w="4318" w:type="dxa"/>
            <w:tcBorders>
              <w:top w:val="single" w:sz="4" w:space="0" w:color="C7C8CA"/>
            </w:tcBorders>
          </w:tcPr>
          <w:p w:rsidR="00A928A7" w:rsidRDefault="00A928A7" w:rsidP="00A928A7">
            <w:pPr>
              <w:pStyle w:val="TableParagraph"/>
              <w:spacing w:before="0"/>
              <w:rPr>
                <w:sz w:val="16"/>
              </w:rPr>
            </w:pPr>
          </w:p>
          <w:p w:rsidR="00D840DF" w:rsidRDefault="00961020" w:rsidP="00A928A7">
            <w:pPr>
              <w:pStyle w:val="TableParagraph"/>
              <w:spacing w:before="0"/>
              <w:rPr>
                <w:rFonts w:ascii="Futura PT Bold"/>
                <w:b/>
                <w:sz w:val="16"/>
              </w:rPr>
            </w:pPr>
            <w:r>
              <w:rPr>
                <w:rFonts w:ascii="Futura PT Bold"/>
                <w:b/>
                <w:color w:val="003E2D"/>
                <w:sz w:val="16"/>
              </w:rPr>
              <w:t>TOTAL EQUITY</w:t>
            </w:r>
          </w:p>
        </w:tc>
        <w:tc>
          <w:tcPr>
            <w:tcW w:w="1176" w:type="dxa"/>
            <w:tcBorders>
              <w:top w:val="single" w:sz="4" w:space="0" w:color="C7C8CA"/>
            </w:tcBorders>
          </w:tcPr>
          <w:p w:rsidR="00D840DF" w:rsidRDefault="00D840DF">
            <w:pPr>
              <w:pStyle w:val="TableParagraph"/>
              <w:spacing w:before="0"/>
              <w:rPr>
                <w:rFonts w:ascii="Times New Roman"/>
                <w:sz w:val="16"/>
              </w:rPr>
            </w:pPr>
          </w:p>
        </w:tc>
        <w:tc>
          <w:tcPr>
            <w:tcW w:w="1058" w:type="dxa"/>
            <w:tcBorders>
              <w:top w:val="single" w:sz="4" w:space="0" w:color="C7C8CA"/>
            </w:tcBorders>
          </w:tcPr>
          <w:p w:rsidR="00D840DF" w:rsidRDefault="00D840DF">
            <w:pPr>
              <w:pStyle w:val="TableParagraph"/>
              <w:spacing w:before="0"/>
              <w:rPr>
                <w:rFonts w:ascii="Times New Roman"/>
                <w:sz w:val="16"/>
              </w:rPr>
            </w:pPr>
          </w:p>
        </w:tc>
        <w:tc>
          <w:tcPr>
            <w:tcW w:w="988" w:type="dxa"/>
            <w:tcBorders>
              <w:top w:val="single" w:sz="4" w:space="0" w:color="C7C8CA"/>
            </w:tcBorders>
          </w:tcPr>
          <w:p w:rsidR="00D840DF" w:rsidRDefault="00D840DF">
            <w:pPr>
              <w:pStyle w:val="TableParagraph"/>
              <w:spacing w:before="0"/>
              <w:rPr>
                <w:rFonts w:ascii="Times New Roman"/>
                <w:sz w:val="16"/>
              </w:rPr>
            </w:pPr>
          </w:p>
        </w:tc>
      </w:tr>
      <w:tr w:rsidR="00D840DF">
        <w:trPr>
          <w:trHeight w:val="260"/>
        </w:trPr>
        <w:tc>
          <w:tcPr>
            <w:tcW w:w="7540" w:type="dxa"/>
            <w:gridSpan w:val="4"/>
          </w:tcPr>
          <w:p w:rsidR="00D840DF" w:rsidRDefault="00961020">
            <w:pPr>
              <w:pStyle w:val="TableParagraph"/>
              <w:tabs>
                <w:tab w:val="left" w:pos="7540"/>
              </w:tabs>
              <w:spacing w:before="38"/>
              <w:rPr>
                <w:rFonts w:ascii="Futura PT Bold"/>
                <w:b/>
                <w:sz w:val="16"/>
              </w:rPr>
            </w:pPr>
            <w:r>
              <w:rPr>
                <w:rFonts w:ascii="Futura PT Bold"/>
                <w:b/>
                <w:color w:val="003E2D"/>
                <w:sz w:val="16"/>
                <w:shd w:val="clear" w:color="auto" w:fill="E2F0D8"/>
              </w:rPr>
              <w:t>Opening</w:t>
            </w:r>
            <w:r>
              <w:rPr>
                <w:rFonts w:ascii="Futura PT Bold"/>
                <w:b/>
                <w:color w:val="003E2D"/>
                <w:spacing w:val="31"/>
                <w:sz w:val="16"/>
                <w:shd w:val="clear" w:color="auto" w:fill="E2F0D8"/>
              </w:rPr>
              <w:t xml:space="preserve"> </w:t>
            </w:r>
            <w:r>
              <w:rPr>
                <w:rFonts w:ascii="Futura PT Bold"/>
                <w:b/>
                <w:color w:val="003E2D"/>
                <w:sz w:val="16"/>
                <w:shd w:val="clear" w:color="auto" w:fill="E2F0D8"/>
              </w:rPr>
              <w:t>balance</w:t>
            </w:r>
            <w:r>
              <w:rPr>
                <w:rFonts w:ascii="Futura PT Bold"/>
                <w:b/>
                <w:color w:val="003E2D"/>
                <w:sz w:val="16"/>
                <w:shd w:val="clear" w:color="auto" w:fill="E2F0D8"/>
              </w:rPr>
              <w:tab/>
            </w:r>
          </w:p>
        </w:tc>
      </w:tr>
      <w:tr w:rsidR="00D840DF">
        <w:trPr>
          <w:trHeight w:val="240"/>
        </w:trPr>
        <w:tc>
          <w:tcPr>
            <w:tcW w:w="4318"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Balance carried forward from previous period</w:t>
            </w:r>
          </w:p>
        </w:tc>
        <w:tc>
          <w:tcPr>
            <w:tcW w:w="1176" w:type="dxa"/>
            <w:tcBorders>
              <w:bottom w:val="single" w:sz="4" w:space="0" w:color="C7C8CA"/>
            </w:tcBorders>
          </w:tcPr>
          <w:p w:rsidR="00D840DF" w:rsidRDefault="00961020">
            <w:pPr>
              <w:pStyle w:val="TableParagraph"/>
              <w:spacing w:before="28" w:line="200" w:lineRule="exact"/>
              <w:ind w:right="332"/>
              <w:jc w:val="right"/>
              <w:rPr>
                <w:rFonts w:ascii="Futura PT Medium"/>
                <w:sz w:val="16"/>
              </w:rPr>
            </w:pPr>
            <w:r>
              <w:rPr>
                <w:rFonts w:ascii="Futura PT Medium"/>
                <w:color w:val="636466"/>
                <w:sz w:val="16"/>
              </w:rPr>
              <w:t>24,107</w:t>
            </w:r>
          </w:p>
        </w:tc>
        <w:tc>
          <w:tcPr>
            <w:tcW w:w="1058"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20,127</w:t>
            </w:r>
          </w:p>
        </w:tc>
        <w:tc>
          <w:tcPr>
            <w:tcW w:w="988" w:type="dxa"/>
            <w:tcBorders>
              <w:bottom w:val="single" w:sz="4" w:space="0" w:color="C7C8CA"/>
            </w:tcBorders>
          </w:tcPr>
          <w:p w:rsidR="00D840DF" w:rsidRDefault="00961020">
            <w:pPr>
              <w:pStyle w:val="TableParagraph"/>
              <w:spacing w:before="28" w:line="200" w:lineRule="exact"/>
              <w:ind w:right="121"/>
              <w:jc w:val="right"/>
              <w:rPr>
                <w:sz w:val="16"/>
              </w:rPr>
            </w:pPr>
            <w:r>
              <w:rPr>
                <w:color w:val="636466"/>
                <w:sz w:val="16"/>
              </w:rPr>
              <w:t>20,321</w:t>
            </w:r>
          </w:p>
        </w:tc>
      </w:tr>
      <w:tr w:rsidR="00D840DF">
        <w:trPr>
          <w:trHeight w:val="440"/>
        </w:trPr>
        <w:tc>
          <w:tcPr>
            <w:tcW w:w="4318" w:type="dxa"/>
            <w:tcBorders>
              <w:top w:val="single" w:sz="4" w:space="0" w:color="C7C8CA"/>
            </w:tcBorders>
          </w:tcPr>
          <w:p w:rsidR="00D840DF" w:rsidRDefault="00D840DF">
            <w:pPr>
              <w:pStyle w:val="TableParagraph"/>
              <w:spacing w:before="1"/>
              <w:rPr>
                <w:sz w:val="16"/>
              </w:rPr>
            </w:pPr>
          </w:p>
          <w:p w:rsidR="00D840DF" w:rsidRDefault="00961020">
            <w:pPr>
              <w:pStyle w:val="TableParagraph"/>
              <w:tabs>
                <w:tab w:val="left" w:pos="7540"/>
              </w:tabs>
              <w:spacing w:before="0"/>
              <w:ind w:right="-3223"/>
              <w:jc w:val="right"/>
              <w:rPr>
                <w:rFonts w:ascii="Futura PT Bold"/>
                <w:b/>
                <w:sz w:val="16"/>
              </w:rPr>
            </w:pPr>
            <w:r>
              <w:rPr>
                <w:rFonts w:ascii="Futura PT Bold"/>
                <w:b/>
                <w:color w:val="003E2D"/>
                <w:sz w:val="16"/>
                <w:shd w:val="clear" w:color="auto" w:fill="E2F0D8"/>
              </w:rPr>
              <w:t>Transaction</w:t>
            </w:r>
            <w:r w:rsidR="00E314B6">
              <w:rPr>
                <w:rFonts w:ascii="Futura PT Bold"/>
                <w:b/>
                <w:color w:val="003E2D"/>
                <w:sz w:val="16"/>
                <w:shd w:val="clear" w:color="auto" w:fill="E2F0D8"/>
              </w:rPr>
              <w:t xml:space="preserve"> </w:t>
            </w:r>
            <w:r>
              <w:rPr>
                <w:rFonts w:ascii="Futura PT Bold"/>
                <w:b/>
                <w:color w:val="003E2D"/>
                <w:spacing w:val="1"/>
                <w:sz w:val="16"/>
                <w:shd w:val="clear" w:color="auto" w:fill="E2F0D8"/>
              </w:rPr>
              <w:t xml:space="preserve">with </w:t>
            </w:r>
            <w:r>
              <w:rPr>
                <w:rFonts w:ascii="Futura PT Bold"/>
                <w:b/>
                <w:color w:val="003E2D"/>
                <w:sz w:val="16"/>
                <w:shd w:val="clear" w:color="auto" w:fill="E2F0D8"/>
              </w:rPr>
              <w:t>owners</w:t>
            </w:r>
            <w:r>
              <w:rPr>
                <w:rFonts w:ascii="Futura PT Bold"/>
                <w:b/>
                <w:color w:val="003E2D"/>
                <w:sz w:val="16"/>
                <w:shd w:val="clear" w:color="auto" w:fill="E2F0D8"/>
              </w:rPr>
              <w:tab/>
            </w:r>
          </w:p>
        </w:tc>
        <w:tc>
          <w:tcPr>
            <w:tcW w:w="1176" w:type="dxa"/>
            <w:tcBorders>
              <w:top w:val="single" w:sz="4" w:space="0" w:color="C7C8CA"/>
            </w:tcBorders>
          </w:tcPr>
          <w:p w:rsidR="00D840DF" w:rsidRDefault="00D840DF">
            <w:pPr>
              <w:pStyle w:val="TableParagraph"/>
              <w:spacing w:before="0"/>
              <w:rPr>
                <w:rFonts w:ascii="Times New Roman"/>
                <w:sz w:val="16"/>
              </w:rPr>
            </w:pPr>
          </w:p>
        </w:tc>
        <w:tc>
          <w:tcPr>
            <w:tcW w:w="1058" w:type="dxa"/>
            <w:tcBorders>
              <w:top w:val="single" w:sz="4" w:space="0" w:color="C7C8CA"/>
            </w:tcBorders>
          </w:tcPr>
          <w:p w:rsidR="00D840DF" w:rsidRDefault="00D840DF">
            <w:pPr>
              <w:pStyle w:val="TableParagraph"/>
              <w:spacing w:before="0"/>
              <w:rPr>
                <w:rFonts w:ascii="Times New Roman"/>
                <w:sz w:val="16"/>
              </w:rPr>
            </w:pPr>
          </w:p>
        </w:tc>
        <w:tc>
          <w:tcPr>
            <w:tcW w:w="988" w:type="dxa"/>
            <w:tcBorders>
              <w:top w:val="single" w:sz="4" w:space="0" w:color="C7C8CA"/>
            </w:tcBorders>
          </w:tcPr>
          <w:p w:rsidR="00D840DF" w:rsidRDefault="00D840DF">
            <w:pPr>
              <w:pStyle w:val="TableParagraph"/>
              <w:spacing w:before="0"/>
              <w:rPr>
                <w:rFonts w:ascii="Times New Roman"/>
                <w:sz w:val="16"/>
              </w:rPr>
            </w:pPr>
          </w:p>
        </w:tc>
      </w:tr>
      <w:tr w:rsidR="00D840DF">
        <w:trPr>
          <w:trHeight w:val="240"/>
        </w:trPr>
        <w:tc>
          <w:tcPr>
            <w:tcW w:w="4318"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Reduction in receivable from</w:t>
            </w:r>
            <w:r w:rsidR="00E314B6">
              <w:rPr>
                <w:color w:val="636466"/>
                <w:sz w:val="16"/>
              </w:rPr>
              <w:t xml:space="preserve"> </w:t>
            </w:r>
            <w:r>
              <w:rPr>
                <w:color w:val="636466"/>
                <w:sz w:val="16"/>
              </w:rPr>
              <w:t>Government</w:t>
            </w:r>
          </w:p>
        </w:tc>
        <w:tc>
          <w:tcPr>
            <w:tcW w:w="1176" w:type="dxa"/>
            <w:tcBorders>
              <w:bottom w:val="single" w:sz="4" w:space="0" w:color="C7C8CA"/>
            </w:tcBorders>
          </w:tcPr>
          <w:p w:rsidR="00D840DF" w:rsidRDefault="00961020">
            <w:pPr>
              <w:pStyle w:val="TableParagraph"/>
              <w:spacing w:before="28" w:line="200" w:lineRule="exact"/>
              <w:ind w:right="332"/>
              <w:jc w:val="right"/>
              <w:rPr>
                <w:rFonts w:ascii="Futura PT Medium"/>
                <w:sz w:val="16"/>
              </w:rPr>
            </w:pPr>
            <w:r>
              <w:rPr>
                <w:rFonts w:ascii="Futura PT Medium"/>
                <w:color w:val="636466"/>
                <w:sz w:val="16"/>
              </w:rPr>
              <w:t>(18,176)</w:t>
            </w:r>
          </w:p>
        </w:tc>
        <w:tc>
          <w:tcPr>
            <w:tcW w:w="1058"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w:t>
            </w:r>
          </w:p>
        </w:tc>
      </w:tr>
      <w:tr w:rsidR="00D840DF">
        <w:trPr>
          <w:trHeight w:val="440"/>
        </w:trPr>
        <w:tc>
          <w:tcPr>
            <w:tcW w:w="7540" w:type="dxa"/>
            <w:gridSpan w:val="4"/>
            <w:tcBorders>
              <w:top w:val="single" w:sz="4" w:space="0" w:color="C7C8CA"/>
            </w:tcBorders>
          </w:tcPr>
          <w:p w:rsidR="00D840DF" w:rsidRDefault="00D840DF">
            <w:pPr>
              <w:pStyle w:val="TableParagraph"/>
              <w:spacing w:before="1"/>
              <w:rPr>
                <w:sz w:val="16"/>
              </w:rPr>
            </w:pPr>
          </w:p>
          <w:p w:rsidR="00D840DF" w:rsidRDefault="00961020">
            <w:pPr>
              <w:pStyle w:val="TableParagraph"/>
              <w:tabs>
                <w:tab w:val="left" w:pos="7540"/>
              </w:tabs>
              <w:spacing w:before="0"/>
              <w:rPr>
                <w:rFonts w:ascii="Futura PT Bold"/>
                <w:b/>
                <w:sz w:val="16"/>
              </w:rPr>
            </w:pPr>
            <w:r>
              <w:rPr>
                <w:rFonts w:ascii="Futura PT Bold"/>
                <w:b/>
                <w:color w:val="003E2D"/>
                <w:sz w:val="16"/>
                <w:shd w:val="clear" w:color="auto" w:fill="E2F0D8"/>
              </w:rPr>
              <w:t>Comprehensive</w:t>
            </w:r>
            <w:r w:rsidR="00E314B6">
              <w:rPr>
                <w:rFonts w:ascii="Futura PT Bold"/>
                <w:b/>
                <w:color w:val="003E2D"/>
                <w:sz w:val="16"/>
                <w:shd w:val="clear" w:color="auto" w:fill="E2F0D8"/>
              </w:rPr>
              <w:t xml:space="preserve"> </w:t>
            </w:r>
            <w:r>
              <w:rPr>
                <w:rFonts w:ascii="Futura PT Bold"/>
                <w:b/>
                <w:color w:val="003E2D"/>
                <w:sz w:val="16"/>
                <w:shd w:val="clear" w:color="auto" w:fill="E2F0D8"/>
              </w:rPr>
              <w:t>income</w:t>
            </w:r>
            <w:r>
              <w:rPr>
                <w:rFonts w:ascii="Futura PT Bold"/>
                <w:b/>
                <w:color w:val="003E2D"/>
                <w:sz w:val="16"/>
                <w:shd w:val="clear" w:color="auto" w:fill="E2F0D8"/>
              </w:rPr>
              <w:tab/>
            </w:r>
          </w:p>
        </w:tc>
      </w:tr>
      <w:tr w:rsidR="00D840DF">
        <w:trPr>
          <w:trHeight w:val="240"/>
        </w:trPr>
        <w:tc>
          <w:tcPr>
            <w:tcW w:w="4318"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Surplus for the period</w:t>
            </w:r>
          </w:p>
        </w:tc>
        <w:tc>
          <w:tcPr>
            <w:tcW w:w="1176" w:type="dxa"/>
            <w:tcBorders>
              <w:bottom w:val="single" w:sz="4" w:space="0" w:color="C7C8CA"/>
            </w:tcBorders>
          </w:tcPr>
          <w:p w:rsidR="00D840DF" w:rsidRDefault="00961020">
            <w:pPr>
              <w:pStyle w:val="TableParagraph"/>
              <w:spacing w:before="28" w:line="200" w:lineRule="exact"/>
              <w:ind w:right="332"/>
              <w:jc w:val="right"/>
              <w:rPr>
                <w:rFonts w:ascii="Futura PT Medium"/>
                <w:sz w:val="16"/>
              </w:rPr>
            </w:pPr>
            <w:r>
              <w:rPr>
                <w:rFonts w:ascii="Futura PT Medium"/>
                <w:color w:val="636466"/>
                <w:sz w:val="16"/>
              </w:rPr>
              <w:t>2,686</w:t>
            </w:r>
          </w:p>
        </w:tc>
        <w:tc>
          <w:tcPr>
            <w:tcW w:w="1058"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3,980</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w:t>
            </w:r>
          </w:p>
        </w:tc>
      </w:tr>
      <w:tr w:rsidR="00D840DF">
        <w:trPr>
          <w:trHeight w:val="240"/>
        </w:trPr>
        <w:tc>
          <w:tcPr>
            <w:tcW w:w="4318" w:type="dxa"/>
            <w:tcBorders>
              <w:top w:val="single" w:sz="4" w:space="0" w:color="C7C8CA"/>
            </w:tcBorders>
          </w:tcPr>
          <w:p w:rsidR="00D840DF" w:rsidRDefault="00961020">
            <w:pPr>
              <w:pStyle w:val="TableParagraph"/>
              <w:ind w:left="113"/>
              <w:rPr>
                <w:sz w:val="16"/>
              </w:rPr>
            </w:pPr>
            <w:r>
              <w:rPr>
                <w:color w:val="636466"/>
                <w:sz w:val="16"/>
              </w:rPr>
              <w:t>Other</w:t>
            </w:r>
            <w:r w:rsidR="00E314B6">
              <w:rPr>
                <w:color w:val="636466"/>
                <w:sz w:val="16"/>
              </w:rPr>
              <w:t xml:space="preserve"> </w:t>
            </w:r>
            <w:r>
              <w:rPr>
                <w:color w:val="636466"/>
                <w:sz w:val="16"/>
              </w:rPr>
              <w:t>comprehensive income</w:t>
            </w:r>
          </w:p>
        </w:tc>
        <w:tc>
          <w:tcPr>
            <w:tcW w:w="1176" w:type="dxa"/>
            <w:tcBorders>
              <w:top w:val="single" w:sz="4" w:space="0" w:color="C7C8CA"/>
            </w:tcBorders>
          </w:tcPr>
          <w:p w:rsidR="00D840DF" w:rsidRDefault="00961020">
            <w:pPr>
              <w:pStyle w:val="TableParagraph"/>
              <w:ind w:right="333"/>
              <w:jc w:val="right"/>
              <w:rPr>
                <w:rFonts w:ascii="Futura PT Medium"/>
                <w:sz w:val="16"/>
              </w:rPr>
            </w:pPr>
            <w:r>
              <w:rPr>
                <w:rFonts w:ascii="Futura PT Medium"/>
                <w:color w:val="636466"/>
                <w:sz w:val="16"/>
              </w:rPr>
              <w:t>72</w:t>
            </w:r>
          </w:p>
        </w:tc>
        <w:tc>
          <w:tcPr>
            <w:tcW w:w="1058" w:type="dxa"/>
            <w:tcBorders>
              <w:top w:val="single" w:sz="4" w:space="0" w:color="C7C8CA"/>
            </w:tcBorders>
          </w:tcPr>
          <w:p w:rsidR="00D840DF" w:rsidRDefault="00961020">
            <w:pPr>
              <w:pStyle w:val="TableParagraph"/>
              <w:ind w:right="257"/>
              <w:jc w:val="right"/>
              <w:rPr>
                <w:sz w:val="16"/>
              </w:rPr>
            </w:pPr>
            <w:r>
              <w:rPr>
                <w:color w:val="636466"/>
                <w:sz w:val="16"/>
              </w:rPr>
              <w:t>-</w:t>
            </w:r>
          </w:p>
        </w:tc>
        <w:tc>
          <w:tcPr>
            <w:tcW w:w="988" w:type="dxa"/>
            <w:tcBorders>
              <w:top w:val="single" w:sz="4" w:space="0" w:color="C7C8CA"/>
            </w:tcBorders>
          </w:tcPr>
          <w:p w:rsidR="00D840DF" w:rsidRDefault="00961020">
            <w:pPr>
              <w:pStyle w:val="TableParagraph"/>
              <w:ind w:right="111"/>
              <w:jc w:val="right"/>
              <w:rPr>
                <w:sz w:val="16"/>
              </w:rPr>
            </w:pPr>
            <w:r>
              <w:rPr>
                <w:color w:val="636466"/>
                <w:sz w:val="16"/>
              </w:rPr>
              <w:t>-</w:t>
            </w:r>
          </w:p>
        </w:tc>
      </w:tr>
      <w:tr w:rsidR="00D840DF">
        <w:trPr>
          <w:trHeight w:val="240"/>
        </w:trPr>
        <w:tc>
          <w:tcPr>
            <w:tcW w:w="4318"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Closing balance as at 30 June</w:t>
            </w:r>
          </w:p>
        </w:tc>
        <w:tc>
          <w:tcPr>
            <w:tcW w:w="1176" w:type="dxa"/>
            <w:tcBorders>
              <w:bottom w:val="single" w:sz="4" w:space="0" w:color="C7C8CA"/>
            </w:tcBorders>
            <w:shd w:val="clear" w:color="auto" w:fill="E6E7E8"/>
          </w:tcPr>
          <w:p w:rsidR="00D840DF" w:rsidRDefault="00961020">
            <w:pPr>
              <w:pStyle w:val="TableParagraph"/>
              <w:spacing w:before="21" w:line="200" w:lineRule="exact"/>
              <w:ind w:right="332"/>
              <w:jc w:val="right"/>
              <w:rPr>
                <w:rFonts w:ascii="Futura PT Medium"/>
                <w:sz w:val="16"/>
              </w:rPr>
            </w:pPr>
            <w:r>
              <w:rPr>
                <w:rFonts w:ascii="Futura PT Medium"/>
                <w:sz w:val="16"/>
              </w:rPr>
              <w:t>8,689</w:t>
            </w:r>
          </w:p>
        </w:tc>
        <w:tc>
          <w:tcPr>
            <w:tcW w:w="1058"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24,107</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20,321</w:t>
            </w:r>
          </w:p>
        </w:tc>
      </w:tr>
    </w:tbl>
    <w:p w:rsidR="00D840DF" w:rsidRDefault="00D840DF">
      <w:pPr>
        <w:pStyle w:val="BodyText"/>
        <w:spacing w:before="10"/>
        <w:rPr>
          <w:sz w:val="21"/>
        </w:rPr>
      </w:pPr>
    </w:p>
    <w:p w:rsidR="00D840DF" w:rsidRDefault="00961020" w:rsidP="008F7C36">
      <w:pPr>
        <w:rPr>
          <w:sz w:val="16"/>
        </w:rPr>
      </w:pPr>
      <w:r>
        <w:rPr>
          <w:color w:val="636466"/>
          <w:sz w:val="16"/>
        </w:rPr>
        <w:t>The above statement should be read in conjunction with the accompanying notes.</w:t>
      </w:r>
    </w:p>
    <w:p w:rsidR="00D840DF" w:rsidRDefault="00D840DF">
      <w:pPr>
        <w:rPr>
          <w:sz w:val="16"/>
        </w:rPr>
        <w:sectPr w:rsidR="00D840DF">
          <w:pgSz w:w="9980" w:h="14180"/>
          <w:pgMar w:top="1320" w:right="1020" w:bottom="280" w:left="1200" w:header="720" w:footer="720" w:gutter="0"/>
          <w:cols w:space="720"/>
        </w:sectPr>
      </w:pPr>
    </w:p>
    <w:p w:rsidR="00D840DF" w:rsidRDefault="00961020" w:rsidP="008D2169">
      <w:pPr>
        <w:pStyle w:val="Heading4"/>
      </w:pPr>
      <w:r>
        <w:lastRenderedPageBreak/>
        <w:t>Accounting Policy</w:t>
      </w:r>
    </w:p>
    <w:p w:rsidR="00D840DF" w:rsidRDefault="00961020" w:rsidP="008F7C36">
      <w:pPr>
        <w:pStyle w:val="Heading5"/>
      </w:pPr>
      <w:r>
        <w:t>Receivable</w:t>
      </w:r>
      <w:r w:rsidR="00E314B6">
        <w:t xml:space="preserve"> </w:t>
      </w:r>
      <w:r>
        <w:t>from Government</w:t>
      </w:r>
    </w:p>
    <w:p w:rsidR="00D840DF" w:rsidRPr="008D2169" w:rsidRDefault="00961020" w:rsidP="008F7C36">
      <w:pPr>
        <w:spacing w:before="4" w:line="244" w:lineRule="auto"/>
        <w:rPr>
          <w:sz w:val="16"/>
        </w:rPr>
      </w:pPr>
      <w:r>
        <w:rPr>
          <w:color w:val="636466"/>
          <w:sz w:val="16"/>
        </w:rPr>
        <w:t xml:space="preserve">Funding receivable from non-corporate Commonwealth entities was </w:t>
      </w:r>
      <w:proofErr w:type="spellStart"/>
      <w:r>
        <w:rPr>
          <w:color w:val="636466"/>
          <w:sz w:val="16"/>
        </w:rPr>
        <w:t>recognised</w:t>
      </w:r>
      <w:proofErr w:type="spellEnd"/>
      <w:r>
        <w:rPr>
          <w:color w:val="636466"/>
          <w:sz w:val="16"/>
        </w:rPr>
        <w:t xml:space="preserve"> as Revenue from Government. The receivable from Government has now lapsed and is therefore reported as a reduction to Retained Earnings.</w:t>
      </w:r>
    </w:p>
    <w:p w:rsidR="00D840DF" w:rsidRDefault="00961020" w:rsidP="008D2169">
      <w:pPr>
        <w:pStyle w:val="Heading4"/>
      </w:pPr>
      <w:r>
        <w:t>Budget</w:t>
      </w:r>
      <w:r w:rsidR="00E314B6">
        <w:t xml:space="preserve"> </w:t>
      </w:r>
      <w:r>
        <w:t>Variances Commentary</w:t>
      </w:r>
    </w:p>
    <w:p w:rsidR="00D840DF" w:rsidRDefault="00961020" w:rsidP="008F7C36">
      <w:pPr>
        <w:pStyle w:val="Heading5"/>
      </w:pPr>
      <w:r>
        <w:t>Statement of Changes in</w:t>
      </w:r>
      <w:r w:rsidR="00E314B6">
        <w:t xml:space="preserve"> </w:t>
      </w:r>
      <w:r>
        <w:t>Equity</w:t>
      </w:r>
    </w:p>
    <w:p w:rsidR="00D840DF" w:rsidRDefault="00961020" w:rsidP="008F7C36">
      <w:pPr>
        <w:spacing w:before="4" w:line="244" w:lineRule="auto"/>
        <w:ind w:right="126"/>
        <w:rPr>
          <w:sz w:val="16"/>
        </w:rPr>
      </w:pPr>
      <w:r>
        <w:rPr>
          <w:color w:val="636466"/>
          <w:sz w:val="16"/>
        </w:rPr>
        <w:t xml:space="preserve">Total equity of $8.689m compared to a budget of </w:t>
      </w:r>
      <w:r>
        <w:rPr>
          <w:color w:val="636466"/>
          <w:spacing w:val="-4"/>
          <w:sz w:val="16"/>
        </w:rPr>
        <w:t>$20.321m</w:t>
      </w:r>
      <w:r w:rsidR="00E314B6">
        <w:rPr>
          <w:color w:val="636466"/>
          <w:spacing w:val="-4"/>
          <w:sz w:val="16"/>
        </w:rPr>
        <w:t xml:space="preserve"> </w:t>
      </w:r>
      <w:r>
        <w:rPr>
          <w:color w:val="636466"/>
          <w:sz w:val="16"/>
        </w:rPr>
        <w:t>is impacted by the lapsing receivable from Government</w:t>
      </w:r>
      <w:r w:rsidR="00E314B6">
        <w:rPr>
          <w:color w:val="636466"/>
          <w:sz w:val="16"/>
        </w:rPr>
        <w:t xml:space="preserve"> </w:t>
      </w:r>
      <w:r>
        <w:rPr>
          <w:color w:val="636466"/>
          <w:sz w:val="16"/>
        </w:rPr>
        <w:t>of</w:t>
      </w:r>
      <w:r>
        <w:rPr>
          <w:color w:val="636466"/>
          <w:spacing w:val="6"/>
          <w:sz w:val="16"/>
        </w:rPr>
        <w:t xml:space="preserve"> </w:t>
      </w:r>
      <w:r>
        <w:rPr>
          <w:color w:val="636466"/>
          <w:spacing w:val="-7"/>
          <w:sz w:val="16"/>
        </w:rPr>
        <w:t>$18.176m</w:t>
      </w:r>
      <w:r>
        <w:rPr>
          <w:color w:val="636466"/>
          <w:spacing w:val="6"/>
          <w:sz w:val="16"/>
        </w:rPr>
        <w:t xml:space="preserve"> </w:t>
      </w:r>
      <w:r>
        <w:rPr>
          <w:color w:val="636466"/>
          <w:sz w:val="16"/>
        </w:rPr>
        <w:t>and</w:t>
      </w:r>
      <w:r>
        <w:rPr>
          <w:color w:val="636466"/>
          <w:spacing w:val="6"/>
          <w:sz w:val="16"/>
        </w:rPr>
        <w:t xml:space="preserve"> </w:t>
      </w:r>
      <w:r>
        <w:rPr>
          <w:color w:val="636466"/>
          <w:sz w:val="16"/>
        </w:rPr>
        <w:t>in</w:t>
      </w:r>
      <w:r>
        <w:rPr>
          <w:color w:val="636466"/>
          <w:spacing w:val="6"/>
          <w:sz w:val="16"/>
        </w:rPr>
        <w:t xml:space="preserve"> </w:t>
      </w:r>
      <w:r>
        <w:rPr>
          <w:color w:val="636466"/>
          <w:sz w:val="16"/>
        </w:rPr>
        <w:t>part</w:t>
      </w:r>
      <w:r>
        <w:rPr>
          <w:color w:val="636466"/>
          <w:spacing w:val="6"/>
          <w:sz w:val="16"/>
        </w:rPr>
        <w:t xml:space="preserve"> </w:t>
      </w:r>
      <w:r>
        <w:rPr>
          <w:color w:val="636466"/>
          <w:sz w:val="16"/>
        </w:rPr>
        <w:t>offset</w:t>
      </w:r>
      <w:r>
        <w:rPr>
          <w:color w:val="636466"/>
          <w:spacing w:val="6"/>
          <w:sz w:val="16"/>
        </w:rPr>
        <w:t xml:space="preserve"> </w:t>
      </w:r>
      <w:r>
        <w:rPr>
          <w:color w:val="636466"/>
          <w:sz w:val="16"/>
        </w:rPr>
        <w:t>by</w:t>
      </w:r>
      <w:r>
        <w:rPr>
          <w:color w:val="636466"/>
          <w:spacing w:val="6"/>
          <w:sz w:val="16"/>
        </w:rPr>
        <w:t xml:space="preserve"> </w:t>
      </w:r>
      <w:r>
        <w:rPr>
          <w:color w:val="636466"/>
          <w:sz w:val="16"/>
        </w:rPr>
        <w:t>the</w:t>
      </w:r>
      <w:r>
        <w:rPr>
          <w:color w:val="636466"/>
          <w:spacing w:val="6"/>
          <w:sz w:val="16"/>
        </w:rPr>
        <w:t xml:space="preserve"> </w:t>
      </w:r>
      <w:r>
        <w:rPr>
          <w:color w:val="636466"/>
          <w:sz w:val="16"/>
        </w:rPr>
        <w:t>surplus</w:t>
      </w:r>
      <w:r>
        <w:rPr>
          <w:color w:val="636466"/>
          <w:spacing w:val="6"/>
          <w:sz w:val="16"/>
        </w:rPr>
        <w:t xml:space="preserve"> </w:t>
      </w:r>
      <w:r>
        <w:rPr>
          <w:color w:val="636466"/>
          <w:sz w:val="16"/>
        </w:rPr>
        <w:t>for</w:t>
      </w:r>
      <w:r>
        <w:rPr>
          <w:color w:val="636466"/>
          <w:spacing w:val="6"/>
          <w:sz w:val="16"/>
        </w:rPr>
        <w:t xml:space="preserve"> </w:t>
      </w:r>
      <w:r>
        <w:rPr>
          <w:color w:val="636466"/>
          <w:sz w:val="16"/>
        </w:rPr>
        <w:t>the</w:t>
      </w:r>
      <w:r>
        <w:rPr>
          <w:color w:val="636466"/>
          <w:spacing w:val="6"/>
          <w:sz w:val="16"/>
        </w:rPr>
        <w:t xml:space="preserve"> </w:t>
      </w:r>
      <w:r>
        <w:rPr>
          <w:color w:val="636466"/>
          <w:sz w:val="16"/>
        </w:rPr>
        <w:t>period.</w:t>
      </w:r>
    </w:p>
    <w:p w:rsidR="00D840DF" w:rsidRDefault="00D840DF">
      <w:pPr>
        <w:spacing w:line="244" w:lineRule="auto"/>
        <w:rPr>
          <w:sz w:val="16"/>
        </w:rPr>
        <w:sectPr w:rsidR="00D840DF">
          <w:pgSz w:w="9980" w:h="14180"/>
          <w:pgMar w:top="1320" w:right="1300" w:bottom="280" w:left="1040" w:header="720" w:footer="720" w:gutter="0"/>
          <w:cols w:space="720"/>
        </w:sectPr>
      </w:pPr>
    </w:p>
    <w:p w:rsidR="00D840DF" w:rsidRPr="008F7C36" w:rsidRDefault="00961020" w:rsidP="008F7C36">
      <w:pPr>
        <w:pStyle w:val="Heading3"/>
      </w:pPr>
      <w:bookmarkStart w:id="135" w:name="Cash_Flow_Statement"/>
      <w:bookmarkStart w:id="136" w:name="_bookmark37"/>
      <w:bookmarkStart w:id="137" w:name="_Cash_Flow_Statement"/>
      <w:bookmarkEnd w:id="135"/>
      <w:bookmarkEnd w:id="136"/>
      <w:bookmarkEnd w:id="137"/>
      <w:r>
        <w:lastRenderedPageBreak/>
        <w:t>Cash Flow Statement</w:t>
      </w:r>
      <w:r w:rsidR="008D2169">
        <w:t xml:space="preserve"> </w:t>
      </w:r>
      <w:r w:rsidR="008D2169">
        <w:br/>
      </w:r>
      <w:r>
        <w:t>for the period ended 30 June 2017</w:t>
      </w:r>
    </w:p>
    <w:tbl>
      <w:tblPr>
        <w:tblW w:w="0" w:type="auto"/>
        <w:tblInd w:w="103" w:type="dxa"/>
        <w:tblLayout w:type="fixed"/>
        <w:tblCellMar>
          <w:left w:w="0" w:type="dxa"/>
          <w:right w:w="0" w:type="dxa"/>
        </w:tblCellMar>
        <w:tblLook w:val="01E0" w:firstRow="1" w:lastRow="1" w:firstColumn="1" w:lastColumn="1" w:noHBand="0" w:noVBand="0"/>
      </w:tblPr>
      <w:tblGrid>
        <w:gridCol w:w="3302"/>
        <w:gridCol w:w="1066"/>
        <w:gridCol w:w="1122"/>
        <w:gridCol w:w="1063"/>
        <w:gridCol w:w="988"/>
      </w:tblGrid>
      <w:tr w:rsidR="00D840DF">
        <w:trPr>
          <w:trHeight w:val="680"/>
        </w:trPr>
        <w:tc>
          <w:tcPr>
            <w:tcW w:w="3302" w:type="dxa"/>
            <w:shd w:val="clear" w:color="auto" w:fill="008F54"/>
          </w:tcPr>
          <w:p w:rsidR="00D840DF" w:rsidRDefault="00D840DF">
            <w:pPr>
              <w:pStyle w:val="TableParagraph"/>
              <w:spacing w:before="0"/>
              <w:rPr>
                <w:rFonts w:ascii="Times New Roman"/>
                <w:sz w:val="16"/>
              </w:rPr>
            </w:pPr>
          </w:p>
        </w:tc>
        <w:tc>
          <w:tcPr>
            <w:tcW w:w="1066" w:type="dxa"/>
            <w:shd w:val="clear" w:color="auto" w:fill="008F54"/>
          </w:tcPr>
          <w:p w:rsidR="00D840DF" w:rsidRDefault="00D840DF">
            <w:pPr>
              <w:pStyle w:val="TableParagraph"/>
              <w:spacing w:before="0"/>
              <w:rPr>
                <w:sz w:val="18"/>
              </w:rPr>
            </w:pPr>
          </w:p>
          <w:p w:rsidR="00D840DF" w:rsidRDefault="00961020">
            <w:pPr>
              <w:pStyle w:val="TableParagraph"/>
              <w:spacing w:before="0"/>
              <w:ind w:right="339"/>
              <w:jc w:val="right"/>
              <w:rPr>
                <w:rFonts w:ascii="Futura PT Demi"/>
                <w:sz w:val="17"/>
              </w:rPr>
            </w:pPr>
            <w:r>
              <w:rPr>
                <w:rFonts w:ascii="Futura PT Demi"/>
                <w:color w:val="FFFFFF"/>
                <w:sz w:val="17"/>
              </w:rPr>
              <w:t>Notes</w:t>
            </w:r>
          </w:p>
        </w:tc>
        <w:tc>
          <w:tcPr>
            <w:tcW w:w="1122" w:type="dxa"/>
            <w:shd w:val="clear" w:color="auto" w:fill="008F54"/>
          </w:tcPr>
          <w:p w:rsidR="00D840DF" w:rsidRDefault="00961020">
            <w:pPr>
              <w:pStyle w:val="TableParagraph"/>
              <w:spacing w:before="130" w:line="209" w:lineRule="exact"/>
              <w:ind w:left="416"/>
              <w:rPr>
                <w:rFonts w:ascii="Futura PT Demi"/>
                <w:sz w:val="17"/>
              </w:rPr>
            </w:pPr>
            <w:r>
              <w:rPr>
                <w:rFonts w:ascii="Futura PT Demi"/>
                <w:color w:val="FFFFFF"/>
                <w:sz w:val="17"/>
              </w:rPr>
              <w:t>2017</w:t>
            </w:r>
          </w:p>
          <w:p w:rsidR="00D840DF" w:rsidRDefault="00961020">
            <w:pPr>
              <w:pStyle w:val="TableParagraph"/>
              <w:spacing w:before="0" w:line="209" w:lineRule="exact"/>
              <w:ind w:left="341"/>
              <w:rPr>
                <w:rFonts w:ascii="Futura PT Demi" w:hAnsi="Futura PT Demi"/>
                <w:sz w:val="17"/>
              </w:rPr>
            </w:pPr>
            <w:r>
              <w:rPr>
                <w:rFonts w:ascii="Futura PT Demi" w:hAnsi="Futura PT Demi"/>
                <w:color w:val="FFFFFF"/>
                <w:sz w:val="17"/>
              </w:rPr>
              <w:t>$’000</w:t>
            </w:r>
          </w:p>
        </w:tc>
        <w:tc>
          <w:tcPr>
            <w:tcW w:w="1063" w:type="dxa"/>
            <w:shd w:val="clear" w:color="auto" w:fill="008F54"/>
          </w:tcPr>
          <w:p w:rsidR="00D840DF" w:rsidRDefault="00961020">
            <w:pPr>
              <w:pStyle w:val="TableParagraph"/>
              <w:spacing w:before="130" w:line="209" w:lineRule="exact"/>
              <w:ind w:left="428"/>
              <w:rPr>
                <w:rFonts w:ascii="Futura PT Demi"/>
                <w:sz w:val="17"/>
              </w:rPr>
            </w:pPr>
            <w:r>
              <w:rPr>
                <w:rFonts w:ascii="Futura PT Demi"/>
                <w:color w:val="FFFFFF"/>
                <w:sz w:val="17"/>
              </w:rPr>
              <w:t>2016</w:t>
            </w:r>
          </w:p>
          <w:p w:rsidR="00D840DF" w:rsidRDefault="00961020">
            <w:pPr>
              <w:pStyle w:val="TableParagraph"/>
              <w:spacing w:before="0" w:line="209" w:lineRule="exact"/>
              <w:ind w:left="353"/>
              <w:rPr>
                <w:rFonts w:ascii="Futura PT Demi" w:hAnsi="Futura PT Demi"/>
                <w:sz w:val="17"/>
              </w:rPr>
            </w:pPr>
            <w:r>
              <w:rPr>
                <w:rFonts w:ascii="Futura PT Demi" w:hAnsi="Futura PT Demi"/>
                <w:color w:val="FFFFFF"/>
                <w:sz w:val="17"/>
              </w:rPr>
              <w:t>$’000</w:t>
            </w:r>
          </w:p>
        </w:tc>
        <w:tc>
          <w:tcPr>
            <w:tcW w:w="988" w:type="dxa"/>
            <w:shd w:val="clear" w:color="auto" w:fill="008F54"/>
          </w:tcPr>
          <w:p w:rsidR="00D840DF" w:rsidRDefault="00961020">
            <w:pPr>
              <w:pStyle w:val="TableParagraph"/>
              <w:spacing w:before="48" w:line="220" w:lineRule="auto"/>
              <w:ind w:left="251" w:right="111" w:hanging="1"/>
              <w:jc w:val="center"/>
              <w:rPr>
                <w:rFonts w:ascii="Futura PT Demi"/>
                <w:sz w:val="17"/>
              </w:rPr>
            </w:pPr>
            <w:r>
              <w:rPr>
                <w:rFonts w:ascii="Futura PT Demi"/>
                <w:color w:val="FFFFFF"/>
                <w:sz w:val="17"/>
              </w:rPr>
              <w:t>Original Budget</w:t>
            </w:r>
          </w:p>
          <w:p w:rsidR="00D840DF" w:rsidRDefault="00961020">
            <w:pPr>
              <w:pStyle w:val="TableParagraph"/>
              <w:spacing w:before="0" w:line="200" w:lineRule="exact"/>
              <w:ind w:left="414" w:right="96"/>
              <w:jc w:val="center"/>
              <w:rPr>
                <w:rFonts w:ascii="Futura PT Demi" w:hAnsi="Futura PT Demi"/>
                <w:sz w:val="17"/>
              </w:rPr>
            </w:pPr>
            <w:r>
              <w:rPr>
                <w:rFonts w:ascii="Futura PT Demi" w:hAnsi="Futura PT Demi"/>
                <w:color w:val="FFFFFF"/>
                <w:sz w:val="17"/>
              </w:rPr>
              <w:t>$’000</w:t>
            </w:r>
          </w:p>
        </w:tc>
      </w:tr>
      <w:tr w:rsidR="00D840DF">
        <w:trPr>
          <w:trHeight w:val="260"/>
        </w:trPr>
        <w:tc>
          <w:tcPr>
            <w:tcW w:w="3302" w:type="dxa"/>
          </w:tcPr>
          <w:p w:rsidR="00D840DF" w:rsidRDefault="00961020" w:rsidP="00A928A7">
            <w:pPr>
              <w:pStyle w:val="TableParagraph"/>
              <w:spacing w:before="33"/>
              <w:rPr>
                <w:rFonts w:ascii="Futura PT Bold"/>
                <w:b/>
                <w:sz w:val="16"/>
              </w:rPr>
            </w:pPr>
            <w:r>
              <w:rPr>
                <w:rFonts w:ascii="Futura PT Bold"/>
                <w:b/>
                <w:color w:val="003E2D"/>
                <w:sz w:val="16"/>
              </w:rPr>
              <w:t>OPERATING ACTIVITIES</w:t>
            </w:r>
          </w:p>
        </w:tc>
        <w:tc>
          <w:tcPr>
            <w:tcW w:w="1066" w:type="dxa"/>
          </w:tcPr>
          <w:p w:rsidR="00D840DF" w:rsidRDefault="00D840DF">
            <w:pPr>
              <w:pStyle w:val="TableParagraph"/>
              <w:spacing w:before="0"/>
              <w:rPr>
                <w:rFonts w:ascii="Times New Roman"/>
                <w:sz w:val="16"/>
              </w:rPr>
            </w:pPr>
          </w:p>
        </w:tc>
        <w:tc>
          <w:tcPr>
            <w:tcW w:w="1122" w:type="dxa"/>
          </w:tcPr>
          <w:p w:rsidR="00D840DF" w:rsidRDefault="00D840DF">
            <w:pPr>
              <w:pStyle w:val="TableParagraph"/>
              <w:spacing w:before="0"/>
              <w:rPr>
                <w:rFonts w:ascii="Times New Roman"/>
                <w:sz w:val="16"/>
              </w:rPr>
            </w:pPr>
          </w:p>
        </w:tc>
        <w:tc>
          <w:tcPr>
            <w:tcW w:w="1063" w:type="dxa"/>
          </w:tcPr>
          <w:p w:rsidR="00D840DF" w:rsidRDefault="00D840DF">
            <w:pPr>
              <w:pStyle w:val="TableParagraph"/>
              <w:spacing w:before="0"/>
              <w:rPr>
                <w:rFonts w:ascii="Times New Roman"/>
                <w:sz w:val="16"/>
              </w:rPr>
            </w:pPr>
          </w:p>
        </w:tc>
        <w:tc>
          <w:tcPr>
            <w:tcW w:w="988" w:type="dxa"/>
          </w:tcPr>
          <w:p w:rsidR="00D840DF" w:rsidRDefault="00D840DF">
            <w:pPr>
              <w:pStyle w:val="TableParagraph"/>
              <w:spacing w:before="0"/>
              <w:rPr>
                <w:rFonts w:ascii="Times New Roman"/>
                <w:sz w:val="16"/>
              </w:rPr>
            </w:pPr>
          </w:p>
        </w:tc>
      </w:tr>
      <w:tr w:rsidR="00A928A7" w:rsidTr="00A928A7">
        <w:trPr>
          <w:trHeight w:val="260"/>
        </w:trPr>
        <w:tc>
          <w:tcPr>
            <w:tcW w:w="7541" w:type="dxa"/>
            <w:gridSpan w:val="5"/>
            <w:shd w:val="clear" w:color="auto" w:fill="E1EFD8"/>
          </w:tcPr>
          <w:p w:rsidR="00A928A7" w:rsidRDefault="00A928A7">
            <w:pPr>
              <w:pStyle w:val="TableParagraph"/>
              <w:spacing w:before="0"/>
              <w:rPr>
                <w:rFonts w:ascii="Times New Roman"/>
                <w:sz w:val="16"/>
              </w:rPr>
            </w:pPr>
            <w:r>
              <w:rPr>
                <w:rFonts w:ascii="Futura PT Bold"/>
                <w:b/>
                <w:color w:val="003E2D"/>
                <w:sz w:val="16"/>
                <w:shd w:val="clear" w:color="auto" w:fill="E2F0D8"/>
              </w:rPr>
              <w:t xml:space="preserve"> Cash</w:t>
            </w:r>
            <w:r>
              <w:rPr>
                <w:rFonts w:ascii="Futura PT Bold"/>
                <w:b/>
                <w:color w:val="003E2D"/>
                <w:spacing w:val="23"/>
                <w:sz w:val="16"/>
                <w:shd w:val="clear" w:color="auto" w:fill="E2F0D8"/>
              </w:rPr>
              <w:t xml:space="preserve"> </w:t>
            </w:r>
            <w:r>
              <w:rPr>
                <w:rFonts w:ascii="Futura PT Bold"/>
                <w:b/>
                <w:color w:val="003E2D"/>
                <w:sz w:val="16"/>
                <w:shd w:val="clear" w:color="auto" w:fill="E2F0D8"/>
              </w:rPr>
              <w:t>received</w:t>
            </w:r>
            <w:r>
              <w:rPr>
                <w:rFonts w:ascii="Futura PT Bold"/>
                <w:b/>
                <w:color w:val="003E2D"/>
                <w:sz w:val="16"/>
                <w:shd w:val="clear" w:color="auto" w:fill="E2F0D8"/>
              </w:rPr>
              <w:tab/>
            </w:r>
          </w:p>
        </w:tc>
      </w:tr>
      <w:tr w:rsidR="00D840DF">
        <w:trPr>
          <w:trHeight w:val="240"/>
        </w:trPr>
        <w:tc>
          <w:tcPr>
            <w:tcW w:w="3302"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Receipts</w:t>
            </w:r>
            <w:r w:rsidR="00E314B6">
              <w:rPr>
                <w:color w:val="636466"/>
                <w:sz w:val="16"/>
              </w:rPr>
              <w:t xml:space="preserve"> </w:t>
            </w:r>
            <w:r>
              <w:rPr>
                <w:color w:val="636466"/>
                <w:sz w:val="16"/>
              </w:rPr>
              <w:t>from Government</w:t>
            </w:r>
          </w:p>
        </w:tc>
        <w:tc>
          <w:tcPr>
            <w:tcW w:w="1066" w:type="dxa"/>
            <w:tcBorders>
              <w:bottom w:val="single" w:sz="4" w:space="0" w:color="C7C8CA"/>
            </w:tcBorders>
          </w:tcPr>
          <w:p w:rsidR="00D840DF" w:rsidRDefault="00D840DF">
            <w:pPr>
              <w:pStyle w:val="TableParagraph"/>
              <w:spacing w:before="0"/>
              <w:rPr>
                <w:rFonts w:ascii="Times New Roman"/>
                <w:sz w:val="16"/>
              </w:rPr>
            </w:pPr>
          </w:p>
        </w:tc>
        <w:tc>
          <w:tcPr>
            <w:tcW w:w="1122" w:type="dxa"/>
            <w:tcBorders>
              <w:bottom w:val="single" w:sz="4" w:space="0" w:color="C7C8CA"/>
            </w:tcBorders>
          </w:tcPr>
          <w:p w:rsidR="00D840DF" w:rsidRDefault="00961020">
            <w:pPr>
              <w:pStyle w:val="TableParagraph"/>
              <w:spacing w:before="28" w:line="200" w:lineRule="exact"/>
              <w:ind w:right="328"/>
              <w:jc w:val="right"/>
              <w:rPr>
                <w:rFonts w:ascii="Futura PT Medium"/>
                <w:sz w:val="16"/>
              </w:rPr>
            </w:pPr>
            <w:r>
              <w:rPr>
                <w:rFonts w:ascii="Futura PT Medium"/>
                <w:color w:val="636466"/>
                <w:sz w:val="16"/>
              </w:rPr>
              <w:t>13,538</w:t>
            </w:r>
          </w:p>
        </w:tc>
        <w:tc>
          <w:tcPr>
            <w:tcW w:w="1063"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26,120</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15,296</w:t>
            </w:r>
          </w:p>
        </w:tc>
      </w:tr>
      <w:tr w:rsidR="00D840DF">
        <w:trPr>
          <w:trHeight w:val="220"/>
        </w:trPr>
        <w:tc>
          <w:tcPr>
            <w:tcW w:w="3302"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Sale of goods and rendering of services</w:t>
            </w:r>
          </w:p>
        </w:tc>
        <w:tc>
          <w:tcPr>
            <w:tcW w:w="1066"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tcPr>
          <w:p w:rsidR="00D840DF" w:rsidRDefault="00961020">
            <w:pPr>
              <w:pStyle w:val="TableParagraph"/>
              <w:spacing w:line="200" w:lineRule="exact"/>
              <w:ind w:right="335"/>
              <w:jc w:val="right"/>
              <w:rPr>
                <w:rFonts w:ascii="Futura PT Medium"/>
                <w:sz w:val="16"/>
              </w:rPr>
            </w:pPr>
            <w:r>
              <w:rPr>
                <w:rFonts w:ascii="Futura PT Medium"/>
                <w:color w:val="636466"/>
                <w:sz w:val="16"/>
              </w:rPr>
              <w:t>851</w:t>
            </w:r>
          </w:p>
        </w:tc>
        <w:tc>
          <w:tcPr>
            <w:tcW w:w="1063" w:type="dxa"/>
            <w:tcBorders>
              <w:top w:val="single" w:sz="4" w:space="0" w:color="C7C8CA"/>
              <w:bottom w:val="single" w:sz="4" w:space="0" w:color="C7C8CA"/>
            </w:tcBorders>
          </w:tcPr>
          <w:p w:rsidR="00D840DF" w:rsidRDefault="00961020">
            <w:pPr>
              <w:pStyle w:val="TableParagraph"/>
              <w:spacing w:line="200" w:lineRule="exact"/>
              <w:ind w:right="264"/>
              <w:jc w:val="right"/>
              <w:rPr>
                <w:sz w:val="16"/>
              </w:rPr>
            </w:pPr>
            <w:r>
              <w:rPr>
                <w:color w:val="636466"/>
                <w:sz w:val="16"/>
              </w:rPr>
              <w:t>1,994</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526</w:t>
            </w:r>
          </w:p>
        </w:tc>
      </w:tr>
      <w:tr w:rsidR="00D840DF">
        <w:trPr>
          <w:trHeight w:val="220"/>
        </w:trPr>
        <w:tc>
          <w:tcPr>
            <w:tcW w:w="3302"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Interest</w:t>
            </w:r>
          </w:p>
        </w:tc>
        <w:tc>
          <w:tcPr>
            <w:tcW w:w="1066"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tcPr>
          <w:p w:rsidR="00D840DF" w:rsidRDefault="00961020">
            <w:pPr>
              <w:pStyle w:val="TableParagraph"/>
              <w:spacing w:line="200" w:lineRule="exact"/>
              <w:ind w:right="328"/>
              <w:jc w:val="right"/>
              <w:rPr>
                <w:rFonts w:ascii="Futura PT Medium"/>
                <w:sz w:val="16"/>
              </w:rPr>
            </w:pPr>
            <w:r>
              <w:rPr>
                <w:rFonts w:ascii="Futura PT Medium"/>
                <w:color w:val="636466"/>
                <w:sz w:val="16"/>
              </w:rPr>
              <w:t>125</w:t>
            </w:r>
          </w:p>
        </w:tc>
        <w:tc>
          <w:tcPr>
            <w:tcW w:w="1063"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133</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34</w:t>
            </w:r>
          </w:p>
        </w:tc>
      </w:tr>
      <w:tr w:rsidR="00D840DF">
        <w:trPr>
          <w:trHeight w:val="220"/>
        </w:trPr>
        <w:tc>
          <w:tcPr>
            <w:tcW w:w="3302"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Net GST received</w:t>
            </w:r>
          </w:p>
        </w:tc>
        <w:tc>
          <w:tcPr>
            <w:tcW w:w="1066"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tcPr>
          <w:p w:rsidR="00D840DF" w:rsidRDefault="00961020">
            <w:pPr>
              <w:pStyle w:val="TableParagraph"/>
              <w:spacing w:line="200" w:lineRule="exact"/>
              <w:ind w:right="328"/>
              <w:jc w:val="right"/>
              <w:rPr>
                <w:rFonts w:ascii="Futura PT Medium"/>
                <w:sz w:val="16"/>
              </w:rPr>
            </w:pPr>
            <w:r>
              <w:rPr>
                <w:rFonts w:ascii="Futura PT Medium"/>
                <w:color w:val="636466"/>
                <w:sz w:val="16"/>
              </w:rPr>
              <w:t>186</w:t>
            </w:r>
          </w:p>
        </w:tc>
        <w:tc>
          <w:tcPr>
            <w:tcW w:w="1063"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1,132</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1,628</w:t>
            </w:r>
          </w:p>
        </w:tc>
      </w:tr>
      <w:tr w:rsidR="00D840DF">
        <w:trPr>
          <w:trHeight w:val="240"/>
        </w:trPr>
        <w:tc>
          <w:tcPr>
            <w:tcW w:w="3302" w:type="dxa"/>
            <w:tcBorders>
              <w:top w:val="single" w:sz="4" w:space="0" w:color="C7C8CA"/>
            </w:tcBorders>
          </w:tcPr>
          <w:p w:rsidR="00D840DF" w:rsidRDefault="00961020">
            <w:pPr>
              <w:pStyle w:val="TableParagraph"/>
              <w:ind w:left="113"/>
              <w:rPr>
                <w:sz w:val="16"/>
              </w:rPr>
            </w:pPr>
            <w:r>
              <w:rPr>
                <w:color w:val="636466"/>
                <w:sz w:val="16"/>
              </w:rPr>
              <w:t>Other</w:t>
            </w:r>
          </w:p>
        </w:tc>
        <w:tc>
          <w:tcPr>
            <w:tcW w:w="1066" w:type="dxa"/>
            <w:tcBorders>
              <w:top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tcBorders>
          </w:tcPr>
          <w:p w:rsidR="00D840DF" w:rsidRDefault="00961020">
            <w:pPr>
              <w:pStyle w:val="TableParagraph"/>
              <w:ind w:right="330"/>
              <w:jc w:val="right"/>
              <w:rPr>
                <w:rFonts w:ascii="Futura PT Medium"/>
                <w:sz w:val="16"/>
              </w:rPr>
            </w:pPr>
            <w:r>
              <w:rPr>
                <w:rFonts w:ascii="Futura PT Medium"/>
                <w:color w:val="636466"/>
                <w:sz w:val="16"/>
              </w:rPr>
              <w:t>62</w:t>
            </w:r>
          </w:p>
        </w:tc>
        <w:tc>
          <w:tcPr>
            <w:tcW w:w="1063" w:type="dxa"/>
            <w:tcBorders>
              <w:top w:val="single" w:sz="4" w:space="0" w:color="C7C8CA"/>
            </w:tcBorders>
          </w:tcPr>
          <w:p w:rsidR="00D840DF" w:rsidRDefault="00961020">
            <w:pPr>
              <w:pStyle w:val="TableParagraph"/>
              <w:ind w:right="257"/>
              <w:jc w:val="right"/>
              <w:rPr>
                <w:sz w:val="16"/>
              </w:rPr>
            </w:pPr>
            <w:r>
              <w:rPr>
                <w:color w:val="636466"/>
                <w:sz w:val="16"/>
              </w:rPr>
              <w:t>105</w:t>
            </w:r>
          </w:p>
        </w:tc>
        <w:tc>
          <w:tcPr>
            <w:tcW w:w="988" w:type="dxa"/>
            <w:tcBorders>
              <w:top w:val="single" w:sz="4" w:space="0" w:color="C7C8CA"/>
            </w:tcBorders>
          </w:tcPr>
          <w:p w:rsidR="00D840DF" w:rsidRDefault="00961020">
            <w:pPr>
              <w:pStyle w:val="TableParagraph"/>
              <w:ind w:right="111"/>
              <w:jc w:val="right"/>
              <w:rPr>
                <w:rFonts w:ascii="Futura PT Medium"/>
                <w:sz w:val="16"/>
              </w:rPr>
            </w:pPr>
            <w:r>
              <w:rPr>
                <w:rFonts w:ascii="Futura PT Medium"/>
                <w:color w:val="636466"/>
                <w:sz w:val="16"/>
              </w:rPr>
              <w:t>-</w:t>
            </w:r>
          </w:p>
        </w:tc>
      </w:tr>
      <w:tr w:rsidR="00D840DF">
        <w:trPr>
          <w:trHeight w:val="240"/>
        </w:trPr>
        <w:tc>
          <w:tcPr>
            <w:tcW w:w="3302" w:type="dxa"/>
            <w:tcBorders>
              <w:bottom w:val="single" w:sz="4" w:space="0" w:color="C7C8CA"/>
            </w:tcBorders>
            <w:shd w:val="clear" w:color="auto" w:fill="E6E7E8"/>
          </w:tcPr>
          <w:p w:rsidR="00D840DF" w:rsidRDefault="00961020" w:rsidP="00A928A7">
            <w:pPr>
              <w:pStyle w:val="TableParagraph"/>
              <w:spacing w:before="21" w:line="200" w:lineRule="exact"/>
              <w:rPr>
                <w:rFonts w:ascii="Futura PT Medium"/>
                <w:sz w:val="16"/>
              </w:rPr>
            </w:pPr>
            <w:r>
              <w:rPr>
                <w:rFonts w:ascii="Futura PT Medium"/>
                <w:sz w:val="16"/>
              </w:rPr>
              <w:t>Total cash received</w:t>
            </w:r>
          </w:p>
        </w:tc>
        <w:tc>
          <w:tcPr>
            <w:tcW w:w="1066"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bottom w:val="single" w:sz="4" w:space="0" w:color="C7C8CA"/>
            </w:tcBorders>
            <w:shd w:val="clear" w:color="auto" w:fill="E6E7E8"/>
          </w:tcPr>
          <w:p w:rsidR="00D840DF" w:rsidRDefault="00961020">
            <w:pPr>
              <w:pStyle w:val="TableParagraph"/>
              <w:spacing w:before="21" w:line="200" w:lineRule="exact"/>
              <w:ind w:right="328"/>
              <w:jc w:val="right"/>
              <w:rPr>
                <w:rFonts w:ascii="Futura PT Medium"/>
                <w:sz w:val="16"/>
              </w:rPr>
            </w:pPr>
            <w:r>
              <w:rPr>
                <w:rFonts w:ascii="Futura PT Medium"/>
                <w:sz w:val="16"/>
              </w:rPr>
              <w:t>14,762</w:t>
            </w:r>
          </w:p>
        </w:tc>
        <w:tc>
          <w:tcPr>
            <w:tcW w:w="1063"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29,484</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17,484</w:t>
            </w:r>
          </w:p>
        </w:tc>
      </w:tr>
      <w:tr w:rsidR="00D840DF">
        <w:trPr>
          <w:trHeight w:val="440"/>
        </w:trPr>
        <w:tc>
          <w:tcPr>
            <w:tcW w:w="3302" w:type="dxa"/>
            <w:tcBorders>
              <w:top w:val="single" w:sz="4" w:space="0" w:color="C7C8CA"/>
            </w:tcBorders>
          </w:tcPr>
          <w:p w:rsidR="00D840DF" w:rsidRDefault="00D840DF">
            <w:pPr>
              <w:pStyle w:val="TableParagraph"/>
              <w:spacing w:before="1"/>
              <w:rPr>
                <w:sz w:val="16"/>
              </w:rPr>
            </w:pPr>
          </w:p>
          <w:p w:rsidR="00D840DF" w:rsidRDefault="00E314B6">
            <w:pPr>
              <w:pStyle w:val="TableParagraph"/>
              <w:tabs>
                <w:tab w:val="left" w:pos="7540"/>
              </w:tabs>
              <w:spacing w:before="0"/>
              <w:ind w:right="-4239"/>
              <w:jc w:val="right"/>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Cash</w:t>
            </w:r>
            <w:r w:rsidR="00961020">
              <w:rPr>
                <w:rFonts w:ascii="Futura PT Bold"/>
                <w:b/>
                <w:color w:val="003E2D"/>
                <w:spacing w:val="15"/>
                <w:sz w:val="16"/>
                <w:shd w:val="clear" w:color="auto" w:fill="E2F0D8"/>
              </w:rPr>
              <w:t xml:space="preserve"> </w:t>
            </w:r>
            <w:r w:rsidR="00961020">
              <w:rPr>
                <w:rFonts w:ascii="Futura PT Bold"/>
                <w:b/>
                <w:color w:val="003E2D"/>
                <w:sz w:val="16"/>
                <w:shd w:val="clear" w:color="auto" w:fill="E2F0D8"/>
              </w:rPr>
              <w:t>used</w:t>
            </w:r>
            <w:r w:rsidR="00961020">
              <w:rPr>
                <w:rFonts w:ascii="Futura PT Bold"/>
                <w:b/>
                <w:color w:val="003E2D"/>
                <w:sz w:val="16"/>
                <w:shd w:val="clear" w:color="auto" w:fill="E2F0D8"/>
              </w:rPr>
              <w:tab/>
            </w:r>
          </w:p>
        </w:tc>
        <w:tc>
          <w:tcPr>
            <w:tcW w:w="1066" w:type="dxa"/>
            <w:tcBorders>
              <w:top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tcBorders>
          </w:tcPr>
          <w:p w:rsidR="00D840DF" w:rsidRDefault="00D840DF">
            <w:pPr>
              <w:pStyle w:val="TableParagraph"/>
              <w:spacing w:before="0"/>
              <w:rPr>
                <w:rFonts w:ascii="Times New Roman"/>
                <w:sz w:val="16"/>
              </w:rPr>
            </w:pPr>
          </w:p>
        </w:tc>
        <w:tc>
          <w:tcPr>
            <w:tcW w:w="1063" w:type="dxa"/>
            <w:tcBorders>
              <w:top w:val="single" w:sz="4" w:space="0" w:color="C7C8CA"/>
            </w:tcBorders>
          </w:tcPr>
          <w:p w:rsidR="00D840DF" w:rsidRDefault="00D840DF">
            <w:pPr>
              <w:pStyle w:val="TableParagraph"/>
              <w:spacing w:before="0"/>
              <w:rPr>
                <w:rFonts w:ascii="Times New Roman"/>
                <w:sz w:val="16"/>
              </w:rPr>
            </w:pPr>
          </w:p>
        </w:tc>
        <w:tc>
          <w:tcPr>
            <w:tcW w:w="988" w:type="dxa"/>
            <w:tcBorders>
              <w:top w:val="single" w:sz="4" w:space="0" w:color="C7C8CA"/>
            </w:tcBorders>
          </w:tcPr>
          <w:p w:rsidR="00D840DF" w:rsidRDefault="00D840DF">
            <w:pPr>
              <w:pStyle w:val="TableParagraph"/>
              <w:spacing w:before="0"/>
              <w:rPr>
                <w:rFonts w:ascii="Times New Roman"/>
                <w:sz w:val="16"/>
              </w:rPr>
            </w:pPr>
          </w:p>
        </w:tc>
      </w:tr>
      <w:tr w:rsidR="00D840DF">
        <w:trPr>
          <w:trHeight w:val="240"/>
        </w:trPr>
        <w:tc>
          <w:tcPr>
            <w:tcW w:w="3302"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Employees</w:t>
            </w:r>
          </w:p>
        </w:tc>
        <w:tc>
          <w:tcPr>
            <w:tcW w:w="1066" w:type="dxa"/>
            <w:tcBorders>
              <w:bottom w:val="single" w:sz="4" w:space="0" w:color="C7C8CA"/>
            </w:tcBorders>
          </w:tcPr>
          <w:p w:rsidR="00D840DF" w:rsidRDefault="00D840DF">
            <w:pPr>
              <w:pStyle w:val="TableParagraph"/>
              <w:spacing w:before="0"/>
              <w:rPr>
                <w:rFonts w:ascii="Times New Roman"/>
                <w:sz w:val="16"/>
              </w:rPr>
            </w:pPr>
          </w:p>
        </w:tc>
        <w:tc>
          <w:tcPr>
            <w:tcW w:w="1122" w:type="dxa"/>
            <w:tcBorders>
              <w:bottom w:val="single" w:sz="4" w:space="0" w:color="C7C8CA"/>
            </w:tcBorders>
          </w:tcPr>
          <w:p w:rsidR="00D840DF" w:rsidRDefault="00961020">
            <w:pPr>
              <w:pStyle w:val="TableParagraph"/>
              <w:spacing w:before="28" w:line="200" w:lineRule="exact"/>
              <w:ind w:right="328"/>
              <w:jc w:val="right"/>
              <w:rPr>
                <w:rFonts w:ascii="Futura PT Medium"/>
                <w:sz w:val="16"/>
              </w:rPr>
            </w:pPr>
            <w:r>
              <w:rPr>
                <w:rFonts w:ascii="Futura PT Medium"/>
                <w:color w:val="636466"/>
                <w:sz w:val="16"/>
              </w:rPr>
              <w:t>1,283</w:t>
            </w:r>
          </w:p>
        </w:tc>
        <w:tc>
          <w:tcPr>
            <w:tcW w:w="1063" w:type="dxa"/>
            <w:tcBorders>
              <w:bottom w:val="single" w:sz="4" w:space="0" w:color="C7C8CA"/>
            </w:tcBorders>
          </w:tcPr>
          <w:p w:rsidR="00D840DF" w:rsidRDefault="00961020">
            <w:pPr>
              <w:pStyle w:val="TableParagraph"/>
              <w:spacing w:before="28" w:line="200" w:lineRule="exact"/>
              <w:ind w:right="261"/>
              <w:jc w:val="right"/>
              <w:rPr>
                <w:sz w:val="16"/>
              </w:rPr>
            </w:pPr>
            <w:r>
              <w:rPr>
                <w:color w:val="636466"/>
                <w:sz w:val="16"/>
              </w:rPr>
              <w:t>8,271</w:t>
            </w:r>
          </w:p>
        </w:tc>
        <w:tc>
          <w:tcPr>
            <w:tcW w:w="988"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6,920</w:t>
            </w:r>
          </w:p>
        </w:tc>
      </w:tr>
      <w:tr w:rsidR="00D840DF">
        <w:trPr>
          <w:trHeight w:val="220"/>
        </w:trPr>
        <w:tc>
          <w:tcPr>
            <w:tcW w:w="3302"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Suppliers</w:t>
            </w:r>
          </w:p>
        </w:tc>
        <w:tc>
          <w:tcPr>
            <w:tcW w:w="1066"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tcPr>
          <w:p w:rsidR="00D840DF" w:rsidRDefault="00961020">
            <w:pPr>
              <w:pStyle w:val="TableParagraph"/>
              <w:spacing w:line="200" w:lineRule="exact"/>
              <w:ind w:right="328"/>
              <w:jc w:val="right"/>
              <w:rPr>
                <w:rFonts w:ascii="Futura PT Medium"/>
                <w:sz w:val="16"/>
              </w:rPr>
            </w:pPr>
            <w:r>
              <w:rPr>
                <w:rFonts w:ascii="Futura PT Medium"/>
                <w:color w:val="636466"/>
                <w:sz w:val="16"/>
              </w:rPr>
              <w:t>11,249</w:t>
            </w:r>
          </w:p>
        </w:tc>
        <w:tc>
          <w:tcPr>
            <w:tcW w:w="1063"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17,020</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11,374</w:t>
            </w:r>
          </w:p>
        </w:tc>
      </w:tr>
      <w:tr w:rsidR="00D840DF">
        <w:trPr>
          <w:trHeight w:val="220"/>
        </w:trPr>
        <w:tc>
          <w:tcPr>
            <w:tcW w:w="3302"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Net GST paid</w:t>
            </w:r>
          </w:p>
        </w:tc>
        <w:tc>
          <w:tcPr>
            <w:tcW w:w="1066"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tcPr>
          <w:p w:rsidR="00D840DF" w:rsidRDefault="00961020">
            <w:pPr>
              <w:pStyle w:val="TableParagraph"/>
              <w:spacing w:line="200" w:lineRule="exact"/>
              <w:ind w:right="328"/>
              <w:jc w:val="right"/>
              <w:rPr>
                <w:rFonts w:ascii="Futura PT Medium"/>
                <w:sz w:val="16"/>
              </w:rPr>
            </w:pPr>
            <w:r>
              <w:rPr>
                <w:rFonts w:ascii="Futura PT Medium"/>
                <w:color w:val="636466"/>
                <w:sz w:val="16"/>
              </w:rPr>
              <w:t>-</w:t>
            </w:r>
          </w:p>
        </w:tc>
        <w:tc>
          <w:tcPr>
            <w:tcW w:w="1063"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105</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84</w:t>
            </w:r>
          </w:p>
        </w:tc>
      </w:tr>
      <w:tr w:rsidR="00D840DF">
        <w:trPr>
          <w:trHeight w:val="240"/>
        </w:trPr>
        <w:tc>
          <w:tcPr>
            <w:tcW w:w="3302" w:type="dxa"/>
            <w:tcBorders>
              <w:top w:val="single" w:sz="4" w:space="0" w:color="C7C8CA"/>
            </w:tcBorders>
          </w:tcPr>
          <w:p w:rsidR="00D840DF" w:rsidRDefault="00961020">
            <w:pPr>
              <w:pStyle w:val="TableParagraph"/>
              <w:ind w:left="113"/>
              <w:rPr>
                <w:sz w:val="16"/>
              </w:rPr>
            </w:pPr>
            <w:r>
              <w:rPr>
                <w:color w:val="636466"/>
                <w:sz w:val="16"/>
              </w:rPr>
              <w:t>Other</w:t>
            </w:r>
          </w:p>
        </w:tc>
        <w:tc>
          <w:tcPr>
            <w:tcW w:w="1066" w:type="dxa"/>
            <w:tcBorders>
              <w:top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tcBorders>
          </w:tcPr>
          <w:p w:rsidR="00D840DF" w:rsidRDefault="00961020">
            <w:pPr>
              <w:pStyle w:val="TableParagraph"/>
              <w:ind w:right="328"/>
              <w:jc w:val="right"/>
              <w:rPr>
                <w:rFonts w:ascii="Futura PT Medium"/>
                <w:sz w:val="16"/>
              </w:rPr>
            </w:pPr>
            <w:r>
              <w:rPr>
                <w:rFonts w:ascii="Futura PT Medium"/>
                <w:color w:val="636466"/>
                <w:sz w:val="16"/>
              </w:rPr>
              <w:t>-</w:t>
            </w:r>
          </w:p>
        </w:tc>
        <w:tc>
          <w:tcPr>
            <w:tcW w:w="1063" w:type="dxa"/>
            <w:tcBorders>
              <w:top w:val="single" w:sz="4" w:space="0" w:color="C7C8CA"/>
            </w:tcBorders>
          </w:tcPr>
          <w:p w:rsidR="00D840DF" w:rsidRDefault="00961020">
            <w:pPr>
              <w:pStyle w:val="TableParagraph"/>
              <w:ind w:right="257"/>
              <w:jc w:val="right"/>
              <w:rPr>
                <w:sz w:val="16"/>
              </w:rPr>
            </w:pPr>
            <w:r>
              <w:rPr>
                <w:color w:val="636466"/>
                <w:sz w:val="16"/>
              </w:rPr>
              <w:t>1</w:t>
            </w:r>
          </w:p>
        </w:tc>
        <w:tc>
          <w:tcPr>
            <w:tcW w:w="988" w:type="dxa"/>
            <w:tcBorders>
              <w:top w:val="single" w:sz="4" w:space="0" w:color="C7C8CA"/>
            </w:tcBorders>
          </w:tcPr>
          <w:p w:rsidR="00D840DF" w:rsidRDefault="00961020">
            <w:pPr>
              <w:pStyle w:val="TableParagraph"/>
              <w:ind w:right="121"/>
              <w:jc w:val="right"/>
              <w:rPr>
                <w:sz w:val="16"/>
              </w:rPr>
            </w:pPr>
            <w:r>
              <w:rPr>
                <w:color w:val="636466"/>
                <w:sz w:val="16"/>
              </w:rPr>
              <w:t>81</w:t>
            </w:r>
          </w:p>
        </w:tc>
      </w:tr>
      <w:tr w:rsidR="00D840DF">
        <w:trPr>
          <w:trHeight w:val="240"/>
        </w:trPr>
        <w:tc>
          <w:tcPr>
            <w:tcW w:w="3302" w:type="dxa"/>
            <w:tcBorders>
              <w:bottom w:val="single" w:sz="4" w:space="0" w:color="C7C8CA"/>
            </w:tcBorders>
            <w:shd w:val="clear" w:color="auto" w:fill="E6E7E8"/>
          </w:tcPr>
          <w:p w:rsidR="00D840DF" w:rsidRDefault="00961020" w:rsidP="00A928A7">
            <w:pPr>
              <w:pStyle w:val="TableParagraph"/>
              <w:spacing w:before="21" w:line="200" w:lineRule="exact"/>
              <w:rPr>
                <w:rFonts w:ascii="Futura PT Medium"/>
                <w:sz w:val="16"/>
              </w:rPr>
            </w:pPr>
            <w:r>
              <w:rPr>
                <w:rFonts w:ascii="Futura PT Medium"/>
                <w:sz w:val="16"/>
              </w:rPr>
              <w:t>Total cash used</w:t>
            </w:r>
          </w:p>
        </w:tc>
        <w:tc>
          <w:tcPr>
            <w:tcW w:w="1066"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bottom w:val="single" w:sz="4" w:space="0" w:color="C7C8CA"/>
            </w:tcBorders>
            <w:shd w:val="clear" w:color="auto" w:fill="E6E7E8"/>
          </w:tcPr>
          <w:p w:rsidR="00D840DF" w:rsidRDefault="00961020">
            <w:pPr>
              <w:pStyle w:val="TableParagraph"/>
              <w:spacing w:before="21" w:line="200" w:lineRule="exact"/>
              <w:ind w:right="328"/>
              <w:jc w:val="right"/>
              <w:rPr>
                <w:rFonts w:ascii="Futura PT Medium"/>
                <w:sz w:val="16"/>
              </w:rPr>
            </w:pPr>
            <w:r>
              <w:rPr>
                <w:rFonts w:ascii="Futura PT Medium"/>
                <w:sz w:val="16"/>
              </w:rPr>
              <w:t>12,553</w:t>
            </w:r>
          </w:p>
        </w:tc>
        <w:tc>
          <w:tcPr>
            <w:tcW w:w="1063"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25,397</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18,459</w:t>
            </w:r>
          </w:p>
        </w:tc>
      </w:tr>
      <w:tr w:rsidR="00D840DF">
        <w:trPr>
          <w:trHeight w:val="220"/>
        </w:trPr>
        <w:tc>
          <w:tcPr>
            <w:tcW w:w="3302" w:type="dxa"/>
            <w:tcBorders>
              <w:top w:val="single" w:sz="4" w:space="0" w:color="C7C8CA"/>
              <w:bottom w:val="single" w:sz="4" w:space="0" w:color="C7C8CA"/>
            </w:tcBorders>
            <w:shd w:val="clear" w:color="auto" w:fill="E6E7E8"/>
          </w:tcPr>
          <w:p w:rsidR="00D840DF" w:rsidRDefault="00961020" w:rsidP="00A928A7">
            <w:pPr>
              <w:pStyle w:val="TableParagraph"/>
              <w:spacing w:line="200" w:lineRule="exact"/>
              <w:rPr>
                <w:rFonts w:ascii="Futura PT Medium"/>
                <w:sz w:val="16"/>
              </w:rPr>
            </w:pPr>
            <w:r>
              <w:rPr>
                <w:rFonts w:ascii="Futura PT Medium"/>
                <w:sz w:val="16"/>
              </w:rPr>
              <w:t>Net cash from operating activities</w:t>
            </w:r>
          </w:p>
        </w:tc>
        <w:tc>
          <w:tcPr>
            <w:tcW w:w="1066" w:type="dxa"/>
            <w:tcBorders>
              <w:top w:val="single" w:sz="4" w:space="0" w:color="C7C8CA"/>
              <w:bottom w:val="single" w:sz="4" w:space="0" w:color="C7C8CA"/>
            </w:tcBorders>
            <w:shd w:val="clear" w:color="auto" w:fill="E6E7E8"/>
          </w:tcPr>
          <w:p w:rsidR="00D840DF" w:rsidRDefault="00961020">
            <w:pPr>
              <w:pStyle w:val="TableParagraph"/>
              <w:spacing w:line="200" w:lineRule="exact"/>
              <w:ind w:right="340"/>
              <w:jc w:val="right"/>
              <w:rPr>
                <w:rFonts w:ascii="Futura PT Medium"/>
                <w:sz w:val="16"/>
              </w:rPr>
            </w:pPr>
            <w:r>
              <w:rPr>
                <w:rFonts w:ascii="Futura PT Medium"/>
                <w:sz w:val="16"/>
              </w:rPr>
              <w:t>3</w:t>
            </w:r>
          </w:p>
        </w:tc>
        <w:tc>
          <w:tcPr>
            <w:tcW w:w="1122" w:type="dxa"/>
            <w:tcBorders>
              <w:top w:val="single" w:sz="4" w:space="0" w:color="C7C8CA"/>
              <w:bottom w:val="single" w:sz="4" w:space="0" w:color="C7C8CA"/>
            </w:tcBorders>
            <w:shd w:val="clear" w:color="auto" w:fill="E6E7E8"/>
          </w:tcPr>
          <w:p w:rsidR="00D840DF" w:rsidRDefault="00961020">
            <w:pPr>
              <w:pStyle w:val="TableParagraph"/>
              <w:spacing w:line="200" w:lineRule="exact"/>
              <w:ind w:right="328"/>
              <w:jc w:val="right"/>
              <w:rPr>
                <w:rFonts w:ascii="Futura PT Medium"/>
                <w:sz w:val="16"/>
              </w:rPr>
            </w:pPr>
            <w:r>
              <w:rPr>
                <w:rFonts w:ascii="Futura PT Medium"/>
                <w:sz w:val="16"/>
              </w:rPr>
              <w:t>2,209</w:t>
            </w:r>
          </w:p>
        </w:tc>
        <w:tc>
          <w:tcPr>
            <w:tcW w:w="1063"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57"/>
              <w:jc w:val="right"/>
              <w:rPr>
                <w:rFonts w:ascii="Futura PT Medium"/>
                <w:sz w:val="16"/>
              </w:rPr>
            </w:pPr>
            <w:r>
              <w:rPr>
                <w:rFonts w:ascii="Futura PT Medium"/>
                <w:sz w:val="16"/>
              </w:rPr>
              <w:t>4,087</w:t>
            </w:r>
          </w:p>
        </w:tc>
        <w:tc>
          <w:tcPr>
            <w:tcW w:w="98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(975)</w:t>
            </w:r>
          </w:p>
        </w:tc>
      </w:tr>
      <w:tr w:rsidR="00D840DF">
        <w:trPr>
          <w:trHeight w:val="440"/>
        </w:trPr>
        <w:tc>
          <w:tcPr>
            <w:tcW w:w="3302" w:type="dxa"/>
            <w:tcBorders>
              <w:top w:val="single" w:sz="4" w:space="0" w:color="C7C8CA"/>
            </w:tcBorders>
          </w:tcPr>
          <w:p w:rsidR="00D840DF" w:rsidRDefault="00D840DF">
            <w:pPr>
              <w:pStyle w:val="TableParagraph"/>
              <w:spacing w:before="1"/>
              <w:rPr>
                <w:sz w:val="16"/>
              </w:rPr>
            </w:pPr>
          </w:p>
          <w:p w:rsidR="00D840DF" w:rsidRDefault="00961020" w:rsidP="00A928A7">
            <w:pPr>
              <w:pStyle w:val="TableParagraph"/>
              <w:spacing w:before="0"/>
              <w:rPr>
                <w:rFonts w:ascii="Futura PT Bold"/>
                <w:b/>
                <w:sz w:val="16"/>
              </w:rPr>
            </w:pPr>
            <w:r>
              <w:rPr>
                <w:rFonts w:ascii="Futura PT Bold"/>
                <w:b/>
                <w:color w:val="003E2D"/>
                <w:sz w:val="16"/>
              </w:rPr>
              <w:t>INVESTING ACTIVITIES</w:t>
            </w:r>
          </w:p>
        </w:tc>
        <w:tc>
          <w:tcPr>
            <w:tcW w:w="1066" w:type="dxa"/>
            <w:tcBorders>
              <w:top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tcBorders>
          </w:tcPr>
          <w:p w:rsidR="00D840DF" w:rsidRDefault="00D840DF">
            <w:pPr>
              <w:pStyle w:val="TableParagraph"/>
              <w:spacing w:before="0"/>
              <w:rPr>
                <w:rFonts w:ascii="Times New Roman"/>
                <w:sz w:val="16"/>
              </w:rPr>
            </w:pPr>
          </w:p>
        </w:tc>
        <w:tc>
          <w:tcPr>
            <w:tcW w:w="1063" w:type="dxa"/>
            <w:tcBorders>
              <w:top w:val="single" w:sz="4" w:space="0" w:color="C7C8CA"/>
            </w:tcBorders>
          </w:tcPr>
          <w:p w:rsidR="00D840DF" w:rsidRDefault="00D840DF">
            <w:pPr>
              <w:pStyle w:val="TableParagraph"/>
              <w:spacing w:before="0"/>
              <w:rPr>
                <w:rFonts w:ascii="Times New Roman"/>
                <w:sz w:val="16"/>
              </w:rPr>
            </w:pPr>
          </w:p>
        </w:tc>
        <w:tc>
          <w:tcPr>
            <w:tcW w:w="988" w:type="dxa"/>
            <w:tcBorders>
              <w:top w:val="single" w:sz="4" w:space="0" w:color="C7C8CA"/>
            </w:tcBorders>
          </w:tcPr>
          <w:p w:rsidR="00D840DF" w:rsidRDefault="00D840DF">
            <w:pPr>
              <w:pStyle w:val="TableParagraph"/>
              <w:spacing w:before="0"/>
              <w:rPr>
                <w:rFonts w:ascii="Times New Roman"/>
                <w:sz w:val="16"/>
              </w:rPr>
            </w:pPr>
          </w:p>
        </w:tc>
      </w:tr>
      <w:tr w:rsidR="00A928A7" w:rsidTr="00A928A7">
        <w:trPr>
          <w:trHeight w:val="260"/>
        </w:trPr>
        <w:tc>
          <w:tcPr>
            <w:tcW w:w="7541" w:type="dxa"/>
            <w:gridSpan w:val="5"/>
            <w:shd w:val="clear" w:color="auto" w:fill="E1EFD8"/>
          </w:tcPr>
          <w:p w:rsidR="00A928A7" w:rsidRDefault="00A928A7">
            <w:pPr>
              <w:pStyle w:val="TableParagraph"/>
              <w:spacing w:before="0"/>
              <w:rPr>
                <w:rFonts w:ascii="Times New Roman"/>
                <w:sz w:val="16"/>
              </w:rPr>
            </w:pPr>
            <w:r>
              <w:rPr>
                <w:rFonts w:ascii="Futura PT Bold"/>
                <w:b/>
                <w:color w:val="003E2D"/>
                <w:sz w:val="16"/>
                <w:shd w:val="clear" w:color="auto" w:fill="E2F0D8"/>
              </w:rPr>
              <w:t xml:space="preserve"> Cash</w:t>
            </w:r>
            <w:r>
              <w:rPr>
                <w:rFonts w:ascii="Futura PT Bold"/>
                <w:b/>
                <w:color w:val="003E2D"/>
                <w:spacing w:val="15"/>
                <w:sz w:val="16"/>
                <w:shd w:val="clear" w:color="auto" w:fill="E2F0D8"/>
              </w:rPr>
              <w:t xml:space="preserve"> </w:t>
            </w:r>
            <w:r>
              <w:rPr>
                <w:rFonts w:ascii="Futura PT Bold"/>
                <w:b/>
                <w:color w:val="003E2D"/>
                <w:sz w:val="16"/>
                <w:shd w:val="clear" w:color="auto" w:fill="E2F0D8"/>
              </w:rPr>
              <w:t>used</w:t>
            </w:r>
            <w:r>
              <w:rPr>
                <w:rFonts w:ascii="Futura PT Bold"/>
                <w:b/>
                <w:color w:val="003E2D"/>
                <w:sz w:val="16"/>
                <w:shd w:val="clear" w:color="auto" w:fill="E2F0D8"/>
              </w:rPr>
              <w:tab/>
            </w:r>
          </w:p>
        </w:tc>
      </w:tr>
      <w:tr w:rsidR="00D840DF">
        <w:trPr>
          <w:trHeight w:val="240"/>
        </w:trPr>
        <w:tc>
          <w:tcPr>
            <w:tcW w:w="3302"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Purchase of property, plant and</w:t>
            </w:r>
            <w:r w:rsidR="00E314B6">
              <w:rPr>
                <w:color w:val="636466"/>
                <w:sz w:val="16"/>
              </w:rPr>
              <w:t xml:space="preserve"> </w:t>
            </w:r>
            <w:r>
              <w:rPr>
                <w:color w:val="636466"/>
                <w:sz w:val="16"/>
              </w:rPr>
              <w:t>equipment</w:t>
            </w:r>
          </w:p>
        </w:tc>
        <w:tc>
          <w:tcPr>
            <w:tcW w:w="1066" w:type="dxa"/>
            <w:tcBorders>
              <w:bottom w:val="single" w:sz="4" w:space="0" w:color="C7C8CA"/>
            </w:tcBorders>
          </w:tcPr>
          <w:p w:rsidR="00D840DF" w:rsidRDefault="00D840DF">
            <w:pPr>
              <w:pStyle w:val="TableParagraph"/>
              <w:spacing w:before="0"/>
              <w:rPr>
                <w:rFonts w:ascii="Times New Roman"/>
                <w:sz w:val="16"/>
              </w:rPr>
            </w:pPr>
          </w:p>
        </w:tc>
        <w:tc>
          <w:tcPr>
            <w:tcW w:w="1122" w:type="dxa"/>
            <w:tcBorders>
              <w:bottom w:val="single" w:sz="4" w:space="0" w:color="C7C8CA"/>
            </w:tcBorders>
          </w:tcPr>
          <w:p w:rsidR="00D840DF" w:rsidRDefault="00961020">
            <w:pPr>
              <w:pStyle w:val="TableParagraph"/>
              <w:spacing w:before="28" w:line="200" w:lineRule="exact"/>
              <w:ind w:right="328"/>
              <w:jc w:val="right"/>
              <w:rPr>
                <w:rFonts w:ascii="Futura PT Medium"/>
                <w:sz w:val="16"/>
              </w:rPr>
            </w:pPr>
            <w:r>
              <w:rPr>
                <w:rFonts w:ascii="Futura PT Medium"/>
                <w:color w:val="636466"/>
                <w:sz w:val="16"/>
              </w:rPr>
              <w:t>39</w:t>
            </w:r>
          </w:p>
        </w:tc>
        <w:tc>
          <w:tcPr>
            <w:tcW w:w="1063" w:type="dxa"/>
            <w:tcBorders>
              <w:bottom w:val="single" w:sz="4" w:space="0" w:color="C7C8CA"/>
            </w:tcBorders>
          </w:tcPr>
          <w:p w:rsidR="00D840DF" w:rsidRDefault="00961020">
            <w:pPr>
              <w:pStyle w:val="TableParagraph"/>
              <w:spacing w:before="28" w:line="200" w:lineRule="exact"/>
              <w:ind w:right="257"/>
              <w:jc w:val="right"/>
              <w:rPr>
                <w:sz w:val="16"/>
              </w:rPr>
            </w:pPr>
            <w:r>
              <w:rPr>
                <w:color w:val="636466"/>
                <w:sz w:val="16"/>
              </w:rPr>
              <w:t>199</w:t>
            </w:r>
          </w:p>
        </w:tc>
        <w:tc>
          <w:tcPr>
            <w:tcW w:w="988" w:type="dxa"/>
            <w:tcBorders>
              <w:bottom w:val="single" w:sz="4" w:space="0" w:color="C7C8CA"/>
            </w:tcBorders>
          </w:tcPr>
          <w:p w:rsidR="00D840DF" w:rsidRDefault="00961020">
            <w:pPr>
              <w:pStyle w:val="TableParagraph"/>
              <w:spacing w:before="28" w:line="200" w:lineRule="exact"/>
              <w:ind w:right="122"/>
              <w:jc w:val="right"/>
              <w:rPr>
                <w:sz w:val="16"/>
              </w:rPr>
            </w:pPr>
            <w:r>
              <w:rPr>
                <w:color w:val="636466"/>
                <w:sz w:val="16"/>
              </w:rPr>
              <w:t>417</w:t>
            </w:r>
          </w:p>
        </w:tc>
      </w:tr>
      <w:tr w:rsidR="00D840DF">
        <w:trPr>
          <w:trHeight w:val="220"/>
        </w:trPr>
        <w:tc>
          <w:tcPr>
            <w:tcW w:w="3302"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Purchase of internally developed</w:t>
            </w:r>
            <w:r w:rsidR="00E314B6">
              <w:rPr>
                <w:color w:val="636466"/>
                <w:sz w:val="16"/>
              </w:rPr>
              <w:t xml:space="preserve"> </w:t>
            </w:r>
            <w:r>
              <w:rPr>
                <w:color w:val="636466"/>
                <w:sz w:val="16"/>
              </w:rPr>
              <w:t>software</w:t>
            </w:r>
          </w:p>
        </w:tc>
        <w:tc>
          <w:tcPr>
            <w:tcW w:w="1066"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tcPr>
          <w:p w:rsidR="00D840DF" w:rsidRDefault="00961020">
            <w:pPr>
              <w:pStyle w:val="TableParagraph"/>
              <w:spacing w:line="200" w:lineRule="exact"/>
              <w:ind w:right="328"/>
              <w:jc w:val="right"/>
              <w:rPr>
                <w:rFonts w:ascii="Futura PT Medium"/>
                <w:sz w:val="16"/>
              </w:rPr>
            </w:pPr>
            <w:r>
              <w:rPr>
                <w:rFonts w:ascii="Futura PT Medium"/>
                <w:color w:val="636466"/>
                <w:sz w:val="16"/>
              </w:rPr>
              <w:t>777</w:t>
            </w:r>
          </w:p>
        </w:tc>
        <w:tc>
          <w:tcPr>
            <w:tcW w:w="1063" w:type="dxa"/>
            <w:tcBorders>
              <w:top w:val="single" w:sz="4" w:space="0" w:color="C7C8CA"/>
              <w:bottom w:val="single" w:sz="4" w:space="0" w:color="C7C8CA"/>
            </w:tcBorders>
          </w:tcPr>
          <w:p w:rsidR="00D840DF" w:rsidRDefault="00961020">
            <w:pPr>
              <w:pStyle w:val="TableParagraph"/>
              <w:spacing w:line="200" w:lineRule="exact"/>
              <w:ind w:right="257"/>
              <w:jc w:val="right"/>
              <w:rPr>
                <w:sz w:val="16"/>
              </w:rPr>
            </w:pPr>
            <w:r>
              <w:rPr>
                <w:color w:val="636466"/>
                <w:sz w:val="16"/>
              </w:rPr>
              <w:t>-</w:t>
            </w:r>
          </w:p>
        </w:tc>
        <w:tc>
          <w:tcPr>
            <w:tcW w:w="988"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w:t>
            </w:r>
          </w:p>
        </w:tc>
      </w:tr>
      <w:tr w:rsidR="00D840DF">
        <w:trPr>
          <w:trHeight w:val="240"/>
        </w:trPr>
        <w:tc>
          <w:tcPr>
            <w:tcW w:w="3302" w:type="dxa"/>
            <w:tcBorders>
              <w:top w:val="single" w:sz="4" w:space="0" w:color="C7C8CA"/>
            </w:tcBorders>
          </w:tcPr>
          <w:p w:rsidR="00D840DF" w:rsidRDefault="00961020">
            <w:pPr>
              <w:pStyle w:val="TableParagraph"/>
              <w:ind w:left="113"/>
              <w:rPr>
                <w:sz w:val="16"/>
              </w:rPr>
            </w:pPr>
            <w:r>
              <w:rPr>
                <w:color w:val="636466"/>
                <w:sz w:val="16"/>
              </w:rPr>
              <w:t>Purchase of computer software</w:t>
            </w:r>
          </w:p>
        </w:tc>
        <w:tc>
          <w:tcPr>
            <w:tcW w:w="1066" w:type="dxa"/>
            <w:tcBorders>
              <w:top w:val="single" w:sz="4" w:space="0" w:color="C7C8CA"/>
            </w:tcBorders>
          </w:tcPr>
          <w:p w:rsidR="00D840DF" w:rsidRDefault="00D840DF">
            <w:pPr>
              <w:pStyle w:val="TableParagraph"/>
              <w:spacing w:before="0"/>
              <w:rPr>
                <w:rFonts w:ascii="Times New Roman"/>
                <w:sz w:val="16"/>
              </w:rPr>
            </w:pPr>
          </w:p>
        </w:tc>
        <w:tc>
          <w:tcPr>
            <w:tcW w:w="1122" w:type="dxa"/>
            <w:tcBorders>
              <w:top w:val="single" w:sz="4" w:space="0" w:color="C7C8CA"/>
            </w:tcBorders>
          </w:tcPr>
          <w:p w:rsidR="00D840DF" w:rsidRDefault="00961020">
            <w:pPr>
              <w:pStyle w:val="TableParagraph"/>
              <w:ind w:right="328"/>
              <w:jc w:val="right"/>
              <w:rPr>
                <w:rFonts w:ascii="Futura PT Medium"/>
                <w:sz w:val="16"/>
              </w:rPr>
            </w:pPr>
            <w:r>
              <w:rPr>
                <w:rFonts w:ascii="Futura PT Medium"/>
                <w:color w:val="636466"/>
                <w:sz w:val="16"/>
              </w:rPr>
              <w:t>-</w:t>
            </w:r>
          </w:p>
        </w:tc>
        <w:tc>
          <w:tcPr>
            <w:tcW w:w="1063" w:type="dxa"/>
            <w:tcBorders>
              <w:top w:val="single" w:sz="4" w:space="0" w:color="C7C8CA"/>
            </w:tcBorders>
          </w:tcPr>
          <w:p w:rsidR="00D840DF" w:rsidRDefault="00961020">
            <w:pPr>
              <w:pStyle w:val="TableParagraph"/>
              <w:ind w:right="268"/>
              <w:jc w:val="right"/>
              <w:rPr>
                <w:sz w:val="16"/>
              </w:rPr>
            </w:pPr>
            <w:r>
              <w:rPr>
                <w:color w:val="636466"/>
                <w:sz w:val="16"/>
              </w:rPr>
              <w:t>231</w:t>
            </w:r>
          </w:p>
        </w:tc>
        <w:tc>
          <w:tcPr>
            <w:tcW w:w="988" w:type="dxa"/>
            <w:tcBorders>
              <w:top w:val="single" w:sz="4" w:space="0" w:color="C7C8CA"/>
            </w:tcBorders>
          </w:tcPr>
          <w:p w:rsidR="00D840DF" w:rsidRDefault="00961020">
            <w:pPr>
              <w:pStyle w:val="TableParagraph"/>
              <w:ind w:right="111"/>
              <w:jc w:val="right"/>
              <w:rPr>
                <w:sz w:val="16"/>
              </w:rPr>
            </w:pPr>
            <w:r>
              <w:rPr>
                <w:color w:val="636466"/>
                <w:sz w:val="16"/>
              </w:rPr>
              <w:t>-</w:t>
            </w:r>
          </w:p>
        </w:tc>
      </w:tr>
      <w:tr w:rsidR="00D840DF">
        <w:trPr>
          <w:trHeight w:val="240"/>
        </w:trPr>
        <w:tc>
          <w:tcPr>
            <w:tcW w:w="3302" w:type="dxa"/>
            <w:tcBorders>
              <w:bottom w:val="single" w:sz="4" w:space="0" w:color="C7C8CA"/>
            </w:tcBorders>
            <w:shd w:val="clear" w:color="auto" w:fill="E6E7E8"/>
          </w:tcPr>
          <w:p w:rsidR="00D840DF" w:rsidRDefault="00961020" w:rsidP="00A928A7">
            <w:pPr>
              <w:pStyle w:val="TableParagraph"/>
              <w:spacing w:before="21" w:line="200" w:lineRule="exact"/>
              <w:rPr>
                <w:rFonts w:ascii="Futura PT Medium"/>
                <w:sz w:val="16"/>
              </w:rPr>
            </w:pPr>
            <w:r>
              <w:rPr>
                <w:rFonts w:ascii="Futura PT Medium"/>
                <w:sz w:val="16"/>
              </w:rPr>
              <w:t>Total cash used</w:t>
            </w:r>
          </w:p>
        </w:tc>
        <w:tc>
          <w:tcPr>
            <w:tcW w:w="1066" w:type="dxa"/>
            <w:tcBorders>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bottom w:val="single" w:sz="4" w:space="0" w:color="C7C8CA"/>
            </w:tcBorders>
            <w:shd w:val="clear" w:color="auto" w:fill="E6E7E8"/>
          </w:tcPr>
          <w:p w:rsidR="00D840DF" w:rsidRDefault="00961020">
            <w:pPr>
              <w:pStyle w:val="TableParagraph"/>
              <w:spacing w:before="21" w:line="200" w:lineRule="exact"/>
              <w:ind w:right="328"/>
              <w:jc w:val="right"/>
              <w:rPr>
                <w:rFonts w:ascii="Futura PT Medium"/>
                <w:sz w:val="16"/>
              </w:rPr>
            </w:pPr>
            <w:r>
              <w:rPr>
                <w:rFonts w:ascii="Futura PT Medium"/>
                <w:sz w:val="16"/>
              </w:rPr>
              <w:t>816</w:t>
            </w:r>
          </w:p>
        </w:tc>
        <w:tc>
          <w:tcPr>
            <w:tcW w:w="1063" w:type="dxa"/>
            <w:tcBorders>
              <w:bottom w:val="single" w:sz="4" w:space="0" w:color="C7C8CA"/>
            </w:tcBorders>
            <w:shd w:val="clear" w:color="auto" w:fill="E6E7E8"/>
          </w:tcPr>
          <w:p w:rsidR="00D840DF" w:rsidRDefault="00961020">
            <w:pPr>
              <w:pStyle w:val="TableParagraph"/>
              <w:spacing w:before="21" w:line="200" w:lineRule="exact"/>
              <w:ind w:right="257"/>
              <w:jc w:val="right"/>
              <w:rPr>
                <w:rFonts w:ascii="Futura PT Medium"/>
                <w:sz w:val="16"/>
              </w:rPr>
            </w:pPr>
            <w:r>
              <w:rPr>
                <w:rFonts w:ascii="Futura PT Medium"/>
                <w:sz w:val="16"/>
              </w:rPr>
              <w:t>430</w:t>
            </w:r>
          </w:p>
        </w:tc>
        <w:tc>
          <w:tcPr>
            <w:tcW w:w="988" w:type="dxa"/>
            <w:tcBorders>
              <w:bottom w:val="single" w:sz="4" w:space="0" w:color="C7C8CA"/>
            </w:tcBorders>
            <w:shd w:val="clear" w:color="auto" w:fill="E6E7E8"/>
          </w:tcPr>
          <w:p w:rsidR="00D840DF" w:rsidRDefault="00961020">
            <w:pPr>
              <w:pStyle w:val="TableParagraph"/>
              <w:spacing w:before="21" w:line="200" w:lineRule="exact"/>
              <w:ind w:right="133"/>
              <w:jc w:val="right"/>
              <w:rPr>
                <w:rFonts w:ascii="Futura PT Medium"/>
                <w:sz w:val="16"/>
              </w:rPr>
            </w:pPr>
            <w:r>
              <w:rPr>
                <w:rFonts w:ascii="Futura PT Medium"/>
                <w:sz w:val="16"/>
              </w:rPr>
              <w:t>417</w:t>
            </w:r>
          </w:p>
        </w:tc>
      </w:tr>
      <w:tr w:rsidR="00D840DF">
        <w:trPr>
          <w:trHeight w:val="220"/>
        </w:trPr>
        <w:tc>
          <w:tcPr>
            <w:tcW w:w="3302" w:type="dxa"/>
            <w:tcBorders>
              <w:top w:val="single" w:sz="4" w:space="0" w:color="C7C8CA"/>
              <w:bottom w:val="single" w:sz="4" w:space="0" w:color="C7C8CA"/>
            </w:tcBorders>
            <w:shd w:val="clear" w:color="auto" w:fill="E6E7E8"/>
          </w:tcPr>
          <w:p w:rsidR="00D840DF" w:rsidRDefault="00961020" w:rsidP="00A928A7">
            <w:pPr>
              <w:pStyle w:val="TableParagraph"/>
              <w:spacing w:line="200" w:lineRule="exact"/>
              <w:rPr>
                <w:rFonts w:ascii="Futura PT Medium"/>
                <w:sz w:val="16"/>
              </w:rPr>
            </w:pPr>
            <w:r>
              <w:rPr>
                <w:rFonts w:ascii="Futura PT Medium"/>
                <w:sz w:val="16"/>
              </w:rPr>
              <w:t>Net cash used by investing activities</w:t>
            </w:r>
          </w:p>
        </w:tc>
        <w:tc>
          <w:tcPr>
            <w:tcW w:w="1066" w:type="dxa"/>
            <w:tcBorders>
              <w:top w:val="single" w:sz="4" w:space="0" w:color="C7C8CA"/>
              <w:bottom w:val="single" w:sz="4" w:space="0" w:color="C7C8CA"/>
            </w:tcBorders>
            <w:shd w:val="clear" w:color="auto" w:fill="E6E7E8"/>
          </w:tcPr>
          <w:p w:rsidR="00D840DF" w:rsidRDefault="00D840DF">
            <w:pPr>
              <w:pStyle w:val="TableParagraph"/>
              <w:spacing w:before="0"/>
              <w:rPr>
                <w:rFonts w:ascii="Times New Roman"/>
                <w:sz w:val="16"/>
              </w:rPr>
            </w:pPr>
          </w:p>
        </w:tc>
        <w:tc>
          <w:tcPr>
            <w:tcW w:w="1122" w:type="dxa"/>
            <w:tcBorders>
              <w:top w:val="single" w:sz="4" w:space="0" w:color="C7C8CA"/>
              <w:bottom w:val="single" w:sz="4" w:space="0" w:color="C7C8CA"/>
            </w:tcBorders>
            <w:shd w:val="clear" w:color="auto" w:fill="E6E7E8"/>
          </w:tcPr>
          <w:p w:rsidR="00D840DF" w:rsidRDefault="00961020">
            <w:pPr>
              <w:pStyle w:val="TableParagraph"/>
              <w:spacing w:line="200" w:lineRule="exact"/>
              <w:ind w:right="328"/>
              <w:jc w:val="right"/>
              <w:rPr>
                <w:rFonts w:ascii="Futura PT Medium"/>
                <w:sz w:val="16"/>
              </w:rPr>
            </w:pPr>
            <w:r>
              <w:rPr>
                <w:rFonts w:ascii="Futura PT Medium"/>
                <w:sz w:val="16"/>
              </w:rPr>
              <w:t>(816)</w:t>
            </w:r>
          </w:p>
        </w:tc>
        <w:tc>
          <w:tcPr>
            <w:tcW w:w="1063" w:type="dxa"/>
            <w:tcBorders>
              <w:top w:val="single" w:sz="4" w:space="0" w:color="C7C8CA"/>
              <w:bottom w:val="single" w:sz="4" w:space="0" w:color="C7C8CA"/>
            </w:tcBorders>
            <w:shd w:val="clear" w:color="auto" w:fill="E6E7E8"/>
          </w:tcPr>
          <w:p w:rsidR="00D840DF" w:rsidRDefault="00961020">
            <w:pPr>
              <w:pStyle w:val="TableParagraph"/>
              <w:spacing w:line="200" w:lineRule="exact"/>
              <w:ind w:right="257"/>
              <w:jc w:val="right"/>
              <w:rPr>
                <w:rFonts w:ascii="Futura PT Medium"/>
                <w:sz w:val="16"/>
              </w:rPr>
            </w:pPr>
            <w:r>
              <w:rPr>
                <w:rFonts w:ascii="Futura PT Medium"/>
                <w:sz w:val="16"/>
              </w:rPr>
              <w:t>(430)</w:t>
            </w:r>
          </w:p>
        </w:tc>
        <w:tc>
          <w:tcPr>
            <w:tcW w:w="988"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(417)</w:t>
            </w:r>
          </w:p>
        </w:tc>
      </w:tr>
      <w:tr w:rsidR="00D840DF">
        <w:trPr>
          <w:trHeight w:val="160"/>
        </w:trPr>
        <w:tc>
          <w:tcPr>
            <w:tcW w:w="3302" w:type="dxa"/>
            <w:tcBorders>
              <w:top w:val="single" w:sz="4" w:space="0" w:color="C7C8CA"/>
            </w:tcBorders>
          </w:tcPr>
          <w:p w:rsidR="00D840DF" w:rsidRDefault="00D840DF">
            <w:pPr>
              <w:pStyle w:val="TableParagraph"/>
              <w:spacing w:before="0"/>
              <w:rPr>
                <w:rFonts w:ascii="Times New Roman"/>
                <w:sz w:val="10"/>
              </w:rPr>
            </w:pPr>
          </w:p>
        </w:tc>
        <w:tc>
          <w:tcPr>
            <w:tcW w:w="1066" w:type="dxa"/>
            <w:tcBorders>
              <w:top w:val="single" w:sz="4" w:space="0" w:color="C7C8CA"/>
            </w:tcBorders>
          </w:tcPr>
          <w:p w:rsidR="00D840DF" w:rsidRDefault="00D840DF">
            <w:pPr>
              <w:pStyle w:val="TableParagraph"/>
              <w:spacing w:before="0"/>
              <w:rPr>
                <w:rFonts w:ascii="Times New Roman"/>
                <w:sz w:val="10"/>
              </w:rPr>
            </w:pPr>
          </w:p>
        </w:tc>
        <w:tc>
          <w:tcPr>
            <w:tcW w:w="1122" w:type="dxa"/>
            <w:tcBorders>
              <w:top w:val="single" w:sz="4" w:space="0" w:color="C7C8CA"/>
            </w:tcBorders>
          </w:tcPr>
          <w:p w:rsidR="00D840DF" w:rsidRDefault="00D840DF">
            <w:pPr>
              <w:pStyle w:val="TableParagraph"/>
              <w:spacing w:before="0"/>
              <w:rPr>
                <w:rFonts w:ascii="Times New Roman"/>
                <w:sz w:val="10"/>
              </w:rPr>
            </w:pPr>
          </w:p>
        </w:tc>
        <w:tc>
          <w:tcPr>
            <w:tcW w:w="1063" w:type="dxa"/>
            <w:tcBorders>
              <w:top w:val="single" w:sz="4" w:space="0" w:color="C7C8CA"/>
            </w:tcBorders>
          </w:tcPr>
          <w:p w:rsidR="00D840DF" w:rsidRDefault="00D840DF">
            <w:pPr>
              <w:pStyle w:val="TableParagraph"/>
              <w:spacing w:before="0"/>
              <w:rPr>
                <w:rFonts w:ascii="Times New Roman"/>
                <w:sz w:val="10"/>
              </w:rPr>
            </w:pPr>
          </w:p>
        </w:tc>
        <w:tc>
          <w:tcPr>
            <w:tcW w:w="988" w:type="dxa"/>
            <w:tcBorders>
              <w:top w:val="single" w:sz="4" w:space="0" w:color="C7C8CA"/>
            </w:tcBorders>
          </w:tcPr>
          <w:p w:rsidR="00D840DF" w:rsidRDefault="00D840DF">
            <w:pPr>
              <w:pStyle w:val="TableParagraph"/>
              <w:spacing w:before="0"/>
              <w:rPr>
                <w:rFonts w:ascii="Times New Roman"/>
                <w:sz w:val="10"/>
              </w:rPr>
            </w:pPr>
          </w:p>
        </w:tc>
      </w:tr>
      <w:tr w:rsidR="00D840DF">
        <w:trPr>
          <w:trHeight w:val="260"/>
        </w:trPr>
        <w:tc>
          <w:tcPr>
            <w:tcW w:w="3302" w:type="dxa"/>
            <w:shd w:val="clear" w:color="auto" w:fill="E2F0D8"/>
          </w:tcPr>
          <w:p w:rsidR="00D840DF" w:rsidRDefault="00961020" w:rsidP="00A928A7">
            <w:pPr>
              <w:pStyle w:val="TableParagraph"/>
              <w:spacing w:before="33"/>
              <w:rPr>
                <w:rFonts w:ascii="Futura PT Bold"/>
                <w:b/>
                <w:sz w:val="16"/>
              </w:rPr>
            </w:pPr>
            <w:r>
              <w:rPr>
                <w:rFonts w:ascii="Futura PT Bold"/>
                <w:b/>
                <w:color w:val="003E2D"/>
                <w:sz w:val="16"/>
              </w:rPr>
              <w:t>Net increase in cash</w:t>
            </w:r>
            <w:r w:rsidR="00E314B6">
              <w:rPr>
                <w:rFonts w:ascii="Futura PT Bold"/>
                <w:b/>
                <w:color w:val="003E2D"/>
                <w:sz w:val="16"/>
              </w:rPr>
              <w:t xml:space="preserve"> </w:t>
            </w:r>
            <w:r>
              <w:rPr>
                <w:rFonts w:ascii="Futura PT Bold"/>
                <w:b/>
                <w:color w:val="003E2D"/>
                <w:sz w:val="16"/>
              </w:rPr>
              <w:t>held</w:t>
            </w:r>
          </w:p>
        </w:tc>
        <w:tc>
          <w:tcPr>
            <w:tcW w:w="1066" w:type="dxa"/>
            <w:shd w:val="clear" w:color="auto" w:fill="E2F0D8"/>
          </w:tcPr>
          <w:p w:rsidR="00D840DF" w:rsidRDefault="00D840DF">
            <w:pPr>
              <w:pStyle w:val="TableParagraph"/>
              <w:spacing w:before="0"/>
              <w:rPr>
                <w:rFonts w:ascii="Times New Roman"/>
                <w:sz w:val="16"/>
              </w:rPr>
            </w:pPr>
          </w:p>
        </w:tc>
        <w:tc>
          <w:tcPr>
            <w:tcW w:w="1122" w:type="dxa"/>
            <w:shd w:val="clear" w:color="auto" w:fill="E2F0D8"/>
          </w:tcPr>
          <w:p w:rsidR="00D840DF" w:rsidRDefault="00961020">
            <w:pPr>
              <w:pStyle w:val="TableParagraph"/>
              <w:spacing w:before="33"/>
              <w:ind w:right="328"/>
              <w:jc w:val="right"/>
              <w:rPr>
                <w:rFonts w:ascii="Futura PT Medium"/>
                <w:sz w:val="16"/>
              </w:rPr>
            </w:pPr>
            <w:r>
              <w:rPr>
                <w:rFonts w:ascii="Futura PT Medium"/>
                <w:color w:val="003E2D"/>
                <w:sz w:val="16"/>
              </w:rPr>
              <w:t>1,393</w:t>
            </w:r>
          </w:p>
        </w:tc>
        <w:tc>
          <w:tcPr>
            <w:tcW w:w="1063" w:type="dxa"/>
            <w:shd w:val="clear" w:color="auto" w:fill="E2F0D8"/>
          </w:tcPr>
          <w:p w:rsidR="00D840DF" w:rsidRDefault="00961020">
            <w:pPr>
              <w:pStyle w:val="TableParagraph"/>
              <w:spacing w:before="33"/>
              <w:ind w:right="257"/>
              <w:jc w:val="right"/>
              <w:rPr>
                <w:rFonts w:ascii="Futura PT Bold"/>
                <w:b/>
                <w:sz w:val="16"/>
              </w:rPr>
            </w:pPr>
            <w:r>
              <w:rPr>
                <w:rFonts w:ascii="Futura PT Bold"/>
                <w:b/>
                <w:color w:val="003E2D"/>
                <w:sz w:val="16"/>
              </w:rPr>
              <w:t>3,657</w:t>
            </w:r>
          </w:p>
        </w:tc>
        <w:tc>
          <w:tcPr>
            <w:tcW w:w="988" w:type="dxa"/>
            <w:shd w:val="clear" w:color="auto" w:fill="E2F0D8"/>
          </w:tcPr>
          <w:p w:rsidR="00D840DF" w:rsidRDefault="00961020">
            <w:pPr>
              <w:pStyle w:val="TableParagraph"/>
              <w:spacing w:before="33"/>
              <w:ind w:right="111"/>
              <w:jc w:val="right"/>
              <w:rPr>
                <w:rFonts w:ascii="Futura PT Bold"/>
                <w:b/>
                <w:sz w:val="16"/>
              </w:rPr>
            </w:pPr>
            <w:r>
              <w:rPr>
                <w:rFonts w:ascii="Futura PT Bold"/>
                <w:b/>
                <w:color w:val="003E2D"/>
                <w:sz w:val="16"/>
              </w:rPr>
              <w:t>(1,392)</w:t>
            </w:r>
          </w:p>
        </w:tc>
      </w:tr>
      <w:tr w:rsidR="00D840DF">
        <w:trPr>
          <w:trHeight w:val="420"/>
        </w:trPr>
        <w:tc>
          <w:tcPr>
            <w:tcW w:w="3302" w:type="dxa"/>
          </w:tcPr>
          <w:p w:rsidR="00D840DF" w:rsidRDefault="00961020">
            <w:pPr>
              <w:pStyle w:val="TableParagraph"/>
              <w:spacing w:before="36" w:line="223" w:lineRule="auto"/>
              <w:ind w:left="113" w:right="391"/>
              <w:rPr>
                <w:sz w:val="16"/>
              </w:rPr>
            </w:pPr>
            <w:r>
              <w:rPr>
                <w:color w:val="636466"/>
                <w:sz w:val="16"/>
              </w:rPr>
              <w:t>Cash and cash equivalents at the beginning of the reporting</w:t>
            </w:r>
            <w:r w:rsidR="00E314B6">
              <w:rPr>
                <w:color w:val="636466"/>
                <w:sz w:val="16"/>
              </w:rPr>
              <w:t xml:space="preserve"> </w:t>
            </w:r>
            <w:r>
              <w:rPr>
                <w:color w:val="636466"/>
                <w:sz w:val="16"/>
              </w:rPr>
              <w:t>period</w:t>
            </w:r>
          </w:p>
        </w:tc>
        <w:tc>
          <w:tcPr>
            <w:tcW w:w="1066" w:type="dxa"/>
          </w:tcPr>
          <w:p w:rsidR="00D840DF" w:rsidRDefault="00D840DF">
            <w:pPr>
              <w:pStyle w:val="TableParagraph"/>
              <w:spacing w:before="0"/>
              <w:rPr>
                <w:rFonts w:ascii="Times New Roman"/>
                <w:sz w:val="16"/>
              </w:rPr>
            </w:pPr>
          </w:p>
        </w:tc>
        <w:tc>
          <w:tcPr>
            <w:tcW w:w="1122" w:type="dxa"/>
          </w:tcPr>
          <w:p w:rsidR="00D840DF" w:rsidRDefault="00961020">
            <w:pPr>
              <w:pStyle w:val="TableParagraph"/>
              <w:spacing w:before="21"/>
              <w:ind w:right="323"/>
              <w:jc w:val="right"/>
              <w:rPr>
                <w:rFonts w:ascii="Futura PT Medium"/>
                <w:sz w:val="16"/>
              </w:rPr>
            </w:pPr>
            <w:r>
              <w:rPr>
                <w:rFonts w:ascii="Futura PT Medium"/>
                <w:color w:val="636466"/>
                <w:sz w:val="16"/>
              </w:rPr>
              <w:t>8,400</w:t>
            </w:r>
          </w:p>
        </w:tc>
        <w:tc>
          <w:tcPr>
            <w:tcW w:w="1063" w:type="dxa"/>
          </w:tcPr>
          <w:p w:rsidR="00D840DF" w:rsidRDefault="00961020">
            <w:pPr>
              <w:pStyle w:val="TableParagraph"/>
              <w:spacing w:before="21"/>
              <w:ind w:right="257"/>
              <w:jc w:val="right"/>
              <w:rPr>
                <w:sz w:val="16"/>
              </w:rPr>
            </w:pPr>
            <w:r>
              <w:rPr>
                <w:color w:val="636466"/>
                <w:sz w:val="16"/>
              </w:rPr>
              <w:t>4,743</w:t>
            </w:r>
          </w:p>
        </w:tc>
        <w:tc>
          <w:tcPr>
            <w:tcW w:w="988" w:type="dxa"/>
          </w:tcPr>
          <w:p w:rsidR="00D840DF" w:rsidRDefault="00961020">
            <w:pPr>
              <w:pStyle w:val="TableParagraph"/>
              <w:spacing w:before="21"/>
              <w:ind w:right="111"/>
              <w:jc w:val="right"/>
              <w:rPr>
                <w:sz w:val="16"/>
              </w:rPr>
            </w:pPr>
            <w:r>
              <w:rPr>
                <w:color w:val="636466"/>
                <w:sz w:val="16"/>
              </w:rPr>
              <w:t>4,985</w:t>
            </w:r>
          </w:p>
        </w:tc>
      </w:tr>
      <w:tr w:rsidR="00D840DF">
        <w:trPr>
          <w:trHeight w:val="420"/>
        </w:trPr>
        <w:tc>
          <w:tcPr>
            <w:tcW w:w="3302" w:type="dxa"/>
            <w:tcBorders>
              <w:bottom w:val="single" w:sz="4" w:space="0" w:color="C7C8CA"/>
            </w:tcBorders>
            <w:shd w:val="clear" w:color="auto" w:fill="E6E7E8"/>
          </w:tcPr>
          <w:p w:rsidR="00D840DF" w:rsidRDefault="00961020" w:rsidP="00A928A7">
            <w:pPr>
              <w:pStyle w:val="TableParagraph"/>
              <w:spacing w:before="26" w:line="190" w:lineRule="exact"/>
              <w:rPr>
                <w:rFonts w:ascii="Futura PT Medium"/>
                <w:sz w:val="16"/>
              </w:rPr>
            </w:pPr>
            <w:r>
              <w:rPr>
                <w:rFonts w:ascii="Futura PT Medium"/>
                <w:sz w:val="16"/>
              </w:rPr>
              <w:t>Cash and cash equivalents at the end of the reporting period</w:t>
            </w:r>
          </w:p>
        </w:tc>
        <w:tc>
          <w:tcPr>
            <w:tcW w:w="1066" w:type="dxa"/>
            <w:tcBorders>
              <w:bottom w:val="single" w:sz="4" w:space="0" w:color="C7C8CA"/>
            </w:tcBorders>
            <w:shd w:val="clear" w:color="auto" w:fill="E6E7E8"/>
          </w:tcPr>
          <w:p w:rsidR="00D840DF" w:rsidRDefault="00961020">
            <w:pPr>
              <w:pStyle w:val="TableParagraph"/>
              <w:spacing w:before="116"/>
              <w:ind w:right="340"/>
              <w:jc w:val="right"/>
              <w:rPr>
                <w:rFonts w:ascii="Futura PT Medium"/>
                <w:sz w:val="16"/>
              </w:rPr>
            </w:pPr>
            <w:r>
              <w:rPr>
                <w:rFonts w:ascii="Futura PT Medium"/>
                <w:sz w:val="16"/>
              </w:rPr>
              <w:t>2.1A</w:t>
            </w:r>
          </w:p>
        </w:tc>
        <w:tc>
          <w:tcPr>
            <w:tcW w:w="1122" w:type="dxa"/>
            <w:tcBorders>
              <w:bottom w:val="single" w:sz="4" w:space="0" w:color="C7C8CA"/>
            </w:tcBorders>
            <w:shd w:val="clear" w:color="auto" w:fill="E6E7E8"/>
          </w:tcPr>
          <w:p w:rsidR="00D840DF" w:rsidRDefault="00961020">
            <w:pPr>
              <w:pStyle w:val="TableParagraph"/>
              <w:spacing w:before="116"/>
              <w:ind w:right="333"/>
              <w:jc w:val="right"/>
              <w:rPr>
                <w:rFonts w:ascii="Futura PT Medium"/>
                <w:sz w:val="16"/>
              </w:rPr>
            </w:pPr>
            <w:r>
              <w:rPr>
                <w:rFonts w:ascii="Futura PT Medium"/>
                <w:sz w:val="16"/>
              </w:rPr>
              <w:t>9,793</w:t>
            </w:r>
          </w:p>
        </w:tc>
        <w:tc>
          <w:tcPr>
            <w:tcW w:w="1063" w:type="dxa"/>
            <w:tcBorders>
              <w:bottom w:val="single" w:sz="4" w:space="0" w:color="C7C8CA"/>
            </w:tcBorders>
            <w:shd w:val="clear" w:color="auto" w:fill="E6E7E8"/>
          </w:tcPr>
          <w:p w:rsidR="00D840DF" w:rsidRDefault="00961020">
            <w:pPr>
              <w:pStyle w:val="TableParagraph"/>
              <w:spacing w:before="116"/>
              <w:ind w:right="257"/>
              <w:jc w:val="right"/>
              <w:rPr>
                <w:rFonts w:ascii="Futura PT Medium"/>
                <w:sz w:val="16"/>
              </w:rPr>
            </w:pPr>
            <w:r>
              <w:rPr>
                <w:rFonts w:ascii="Futura PT Medium"/>
                <w:sz w:val="16"/>
              </w:rPr>
              <w:t>8,400</w:t>
            </w:r>
          </w:p>
        </w:tc>
        <w:tc>
          <w:tcPr>
            <w:tcW w:w="988" w:type="dxa"/>
            <w:tcBorders>
              <w:bottom w:val="single" w:sz="4" w:space="0" w:color="C7C8CA"/>
            </w:tcBorders>
            <w:shd w:val="clear" w:color="auto" w:fill="E6E7E8"/>
          </w:tcPr>
          <w:p w:rsidR="00D840DF" w:rsidRDefault="00961020">
            <w:pPr>
              <w:pStyle w:val="TableParagraph"/>
              <w:spacing w:before="116"/>
              <w:ind w:right="111"/>
              <w:jc w:val="right"/>
              <w:rPr>
                <w:rFonts w:ascii="Futura PT Medium"/>
                <w:sz w:val="16"/>
              </w:rPr>
            </w:pPr>
            <w:r>
              <w:rPr>
                <w:rFonts w:ascii="Futura PT Medium"/>
                <w:sz w:val="16"/>
              </w:rPr>
              <w:t>3,593</w:t>
            </w:r>
          </w:p>
        </w:tc>
      </w:tr>
    </w:tbl>
    <w:p w:rsidR="008F7C36" w:rsidRPr="00F706F7" w:rsidRDefault="008F7C36" w:rsidP="008F7C36">
      <w:pPr>
        <w:rPr>
          <w:color w:val="7F7F7F"/>
          <w:sz w:val="21"/>
          <w:szCs w:val="19"/>
        </w:rPr>
      </w:pPr>
    </w:p>
    <w:p w:rsidR="00D840DF" w:rsidRDefault="00961020" w:rsidP="008F7C36">
      <w:pPr>
        <w:rPr>
          <w:sz w:val="16"/>
        </w:rPr>
      </w:pPr>
      <w:r>
        <w:rPr>
          <w:color w:val="636466"/>
          <w:sz w:val="16"/>
        </w:rPr>
        <w:t>The above statement should be read in conjunction with the accompanying notes.</w:t>
      </w:r>
    </w:p>
    <w:p w:rsidR="00D840DF" w:rsidRDefault="00D840DF">
      <w:pPr>
        <w:pStyle w:val="BodyText"/>
        <w:spacing w:before="2"/>
        <w:rPr>
          <w:sz w:val="15"/>
        </w:rPr>
      </w:pPr>
    </w:p>
    <w:p w:rsidR="00D840DF" w:rsidRDefault="00961020" w:rsidP="008D2169">
      <w:pPr>
        <w:pStyle w:val="Heading4"/>
      </w:pPr>
      <w:r>
        <w:t>Budget</w:t>
      </w:r>
      <w:r w:rsidR="00E314B6">
        <w:t xml:space="preserve"> </w:t>
      </w:r>
      <w:r>
        <w:t>Variances Commentary</w:t>
      </w:r>
    </w:p>
    <w:p w:rsidR="00D840DF" w:rsidRDefault="00961020" w:rsidP="008F7C36">
      <w:pPr>
        <w:pStyle w:val="Heading5"/>
      </w:pPr>
      <w:r>
        <w:t>Statement of Changes in Cash</w:t>
      </w:r>
      <w:r w:rsidR="00E314B6">
        <w:t xml:space="preserve"> </w:t>
      </w:r>
      <w:r>
        <w:t>Flow</w:t>
      </w:r>
    </w:p>
    <w:p w:rsidR="00D840DF" w:rsidRDefault="00961020" w:rsidP="008F7C36">
      <w:pPr>
        <w:pStyle w:val="BodyText"/>
      </w:pPr>
      <w:r>
        <w:t xml:space="preserve">The closing cash balance at 30 June </w:t>
      </w:r>
      <w:r>
        <w:rPr>
          <w:spacing w:val="-6"/>
        </w:rPr>
        <w:t>2017</w:t>
      </w:r>
      <w:r w:rsidR="00E314B6">
        <w:rPr>
          <w:spacing w:val="-6"/>
        </w:rPr>
        <w:t xml:space="preserve"> </w:t>
      </w:r>
      <w:r>
        <w:t>was $9.793m, being $6.200m higher than the budgeted amount</w:t>
      </w:r>
      <w:r w:rsidR="00E314B6">
        <w:t xml:space="preserve"> </w:t>
      </w:r>
      <w:r>
        <w:t xml:space="preserve">principally through net cash from operating activities of approximately </w:t>
      </w:r>
      <w:r>
        <w:rPr>
          <w:spacing w:val="-3"/>
        </w:rPr>
        <w:t>$3.184m</w:t>
      </w:r>
      <w:r w:rsidR="00E314B6">
        <w:rPr>
          <w:spacing w:val="-3"/>
        </w:rPr>
        <w:t xml:space="preserve"> </w:t>
      </w:r>
      <w:r>
        <w:t>and a higher amount of cash on hand</w:t>
      </w:r>
      <w:r w:rsidR="00E314B6">
        <w:t xml:space="preserve"> </w:t>
      </w:r>
      <w:r>
        <w:t xml:space="preserve">at the beginning of the reporting period of </w:t>
      </w:r>
      <w:r>
        <w:rPr>
          <w:spacing w:val="-3"/>
        </w:rPr>
        <w:t xml:space="preserve">$3.415m. </w:t>
      </w:r>
      <w:r>
        <w:t xml:space="preserve">These </w:t>
      </w:r>
      <w:r>
        <w:rPr>
          <w:spacing w:val="1"/>
        </w:rPr>
        <w:t xml:space="preserve">two </w:t>
      </w:r>
      <w:r>
        <w:t>factors were in part offset by higher cash used by investing</w:t>
      </w:r>
      <w:r>
        <w:rPr>
          <w:spacing w:val="11"/>
        </w:rPr>
        <w:t xml:space="preserve"> </w:t>
      </w:r>
      <w:r>
        <w:t>activities,</w:t>
      </w:r>
      <w:r>
        <w:rPr>
          <w:spacing w:val="11"/>
        </w:rPr>
        <w:t xml:space="preserve"> </w:t>
      </w:r>
      <w:r>
        <w:t>principally</w:t>
      </w:r>
      <w:r>
        <w:rPr>
          <w:spacing w:val="11"/>
        </w:rPr>
        <w:t xml:space="preserve"> </w:t>
      </w:r>
      <w:r>
        <w:t>as</w:t>
      </w:r>
      <w:r>
        <w:rPr>
          <w:spacing w:val="11"/>
        </w:rPr>
        <w:t xml:space="preserve"> </w:t>
      </w:r>
      <w:r>
        <w:t>a</w:t>
      </w:r>
      <w:r>
        <w:rPr>
          <w:spacing w:val="11"/>
        </w:rPr>
        <w:t xml:space="preserve"> </w:t>
      </w:r>
      <w:r>
        <w:t>result</w:t>
      </w:r>
      <w:r>
        <w:rPr>
          <w:spacing w:val="11"/>
        </w:rPr>
        <w:t xml:space="preserve"> </w:t>
      </w:r>
      <w:r>
        <w:t>of</w:t>
      </w:r>
      <w:r>
        <w:rPr>
          <w:spacing w:val="11"/>
        </w:rPr>
        <w:t xml:space="preserve"> </w:t>
      </w:r>
      <w:r>
        <w:t>the</w:t>
      </w:r>
      <w:r>
        <w:rPr>
          <w:spacing w:val="11"/>
        </w:rPr>
        <w:t xml:space="preserve"> </w:t>
      </w:r>
      <w:r>
        <w:t>investment</w:t>
      </w:r>
      <w:r>
        <w:rPr>
          <w:spacing w:val="11"/>
        </w:rPr>
        <w:t xml:space="preserve"> </w:t>
      </w:r>
      <w:r>
        <w:t>made</w:t>
      </w:r>
      <w:r>
        <w:rPr>
          <w:spacing w:val="11"/>
        </w:rPr>
        <w:t xml:space="preserve"> </w:t>
      </w:r>
      <w:r>
        <w:t>in</w:t>
      </w:r>
      <w:r>
        <w:rPr>
          <w:spacing w:val="11"/>
        </w:rPr>
        <w:t xml:space="preserve"> </w:t>
      </w:r>
      <w:r>
        <w:t>new</w:t>
      </w:r>
      <w:r>
        <w:rPr>
          <w:spacing w:val="11"/>
        </w:rPr>
        <w:t xml:space="preserve"> </w:t>
      </w:r>
      <w:r>
        <w:t>information</w:t>
      </w:r>
      <w:r>
        <w:rPr>
          <w:spacing w:val="11"/>
        </w:rPr>
        <w:t xml:space="preserve"> </w:t>
      </w:r>
      <w:r>
        <w:t>technology</w:t>
      </w:r>
      <w:r>
        <w:rPr>
          <w:spacing w:val="11"/>
        </w:rPr>
        <w:t xml:space="preserve"> </w:t>
      </w:r>
      <w:r>
        <w:t>infrastructure.</w:t>
      </w:r>
    </w:p>
    <w:p w:rsidR="00D840DF" w:rsidRDefault="00D840DF">
      <w:pPr>
        <w:spacing w:line="244" w:lineRule="auto"/>
        <w:rPr>
          <w:sz w:val="16"/>
        </w:rPr>
        <w:sectPr w:rsidR="00D840DF">
          <w:pgSz w:w="9980" w:h="14180"/>
          <w:pgMar w:top="1320" w:right="1020" w:bottom="280" w:left="1200" w:header="720" w:footer="720" w:gutter="0"/>
          <w:cols w:space="720"/>
        </w:sectPr>
      </w:pPr>
    </w:p>
    <w:p w:rsidR="00D840DF" w:rsidRDefault="00961020" w:rsidP="008D2169">
      <w:pPr>
        <w:pStyle w:val="Heading2"/>
      </w:pPr>
      <w:bookmarkStart w:id="138" w:name="Overview"/>
      <w:bookmarkStart w:id="139" w:name="_bookmark38"/>
      <w:bookmarkStart w:id="140" w:name="_Toc496088504"/>
      <w:bookmarkStart w:id="141" w:name="_Overview"/>
      <w:bookmarkEnd w:id="138"/>
      <w:bookmarkEnd w:id="139"/>
      <w:bookmarkEnd w:id="141"/>
      <w:r>
        <w:lastRenderedPageBreak/>
        <w:t>Overview</w:t>
      </w:r>
      <w:bookmarkEnd w:id="140"/>
    </w:p>
    <w:p w:rsidR="00D840DF" w:rsidRDefault="00961020" w:rsidP="008D2169">
      <w:pPr>
        <w:pStyle w:val="Heading3"/>
      </w:pPr>
      <w:bookmarkStart w:id="142" w:name="_Objectives_of_the"/>
      <w:bookmarkEnd w:id="142"/>
      <w:r>
        <w:t>Objectives of the Independent Hospital Pricing Authority</w:t>
      </w:r>
    </w:p>
    <w:p w:rsidR="00D840DF" w:rsidRPr="008D2169" w:rsidRDefault="00961020" w:rsidP="008D2169">
      <w:pPr>
        <w:pStyle w:val="BodyText"/>
      </w:pPr>
      <w:r>
        <w:t xml:space="preserve">The Independent Hospital Pricing Authority (IHPA) is an Australian Government controlled, not-for- profit entity and is a Corporate Commonwealth Entity under the </w:t>
      </w:r>
      <w:r>
        <w:rPr>
          <w:i/>
        </w:rPr>
        <w:t xml:space="preserve">Public Governance, Performance and Accountability Act 2013 </w:t>
      </w:r>
      <w:r>
        <w:t>(PGPA Act).</w:t>
      </w:r>
    </w:p>
    <w:p w:rsidR="00D840DF" w:rsidRDefault="00961020" w:rsidP="008D2169">
      <w:pPr>
        <w:pStyle w:val="BodyText"/>
      </w:pPr>
      <w:r>
        <w:t>IHPA’s role and functions are set out in the National Health Reform Act 2011. IHPA’s</w:t>
      </w:r>
      <w:r w:rsidR="00E314B6">
        <w:t xml:space="preserve"> </w:t>
      </w:r>
      <w:r>
        <w:t>functions include, to:</w:t>
      </w:r>
    </w:p>
    <w:p w:rsidR="00D840DF" w:rsidRDefault="00961020">
      <w:pPr>
        <w:pStyle w:val="ListParagraph"/>
        <w:numPr>
          <w:ilvl w:val="0"/>
          <w:numId w:val="23"/>
        </w:numPr>
        <w:tabs>
          <w:tab w:val="left" w:pos="341"/>
        </w:tabs>
        <w:spacing w:line="243" w:lineRule="exact"/>
        <w:rPr>
          <w:sz w:val="19"/>
        </w:rPr>
      </w:pPr>
      <w:r>
        <w:rPr>
          <w:color w:val="636466"/>
          <w:sz w:val="19"/>
        </w:rPr>
        <w:t>Determine</w:t>
      </w:r>
      <w:r>
        <w:rPr>
          <w:color w:val="636466"/>
          <w:spacing w:val="7"/>
          <w:sz w:val="19"/>
        </w:rPr>
        <w:t xml:space="preserve"> </w:t>
      </w:r>
      <w:r>
        <w:rPr>
          <w:color w:val="636466"/>
          <w:sz w:val="19"/>
        </w:rPr>
        <w:t>the</w:t>
      </w:r>
      <w:r>
        <w:rPr>
          <w:color w:val="636466"/>
          <w:spacing w:val="10"/>
          <w:sz w:val="19"/>
        </w:rPr>
        <w:t xml:space="preserve"> </w:t>
      </w:r>
      <w:r>
        <w:rPr>
          <w:color w:val="636466"/>
          <w:sz w:val="19"/>
        </w:rPr>
        <w:t>National</w:t>
      </w:r>
      <w:r>
        <w:rPr>
          <w:color w:val="636466"/>
          <w:spacing w:val="10"/>
          <w:sz w:val="19"/>
        </w:rPr>
        <w:t xml:space="preserve"> </w:t>
      </w:r>
      <w:r>
        <w:rPr>
          <w:color w:val="636466"/>
          <w:sz w:val="19"/>
        </w:rPr>
        <w:t>Efficient</w:t>
      </w:r>
      <w:r>
        <w:rPr>
          <w:color w:val="636466"/>
          <w:spacing w:val="10"/>
          <w:sz w:val="19"/>
        </w:rPr>
        <w:t xml:space="preserve"> </w:t>
      </w:r>
      <w:r>
        <w:rPr>
          <w:color w:val="636466"/>
          <w:sz w:val="19"/>
        </w:rPr>
        <w:t>Price</w:t>
      </w:r>
      <w:r>
        <w:rPr>
          <w:color w:val="636466"/>
          <w:spacing w:val="10"/>
          <w:sz w:val="19"/>
        </w:rPr>
        <w:t xml:space="preserve"> </w:t>
      </w:r>
      <w:r>
        <w:rPr>
          <w:color w:val="636466"/>
          <w:sz w:val="19"/>
        </w:rPr>
        <w:t>and</w:t>
      </w:r>
      <w:r>
        <w:rPr>
          <w:color w:val="636466"/>
          <w:spacing w:val="10"/>
          <w:sz w:val="19"/>
        </w:rPr>
        <w:t xml:space="preserve"> </w:t>
      </w:r>
      <w:r>
        <w:rPr>
          <w:color w:val="636466"/>
          <w:sz w:val="19"/>
        </w:rPr>
        <w:t>National</w:t>
      </w:r>
      <w:r>
        <w:rPr>
          <w:color w:val="636466"/>
          <w:spacing w:val="10"/>
          <w:sz w:val="19"/>
        </w:rPr>
        <w:t xml:space="preserve"> </w:t>
      </w:r>
      <w:r>
        <w:rPr>
          <w:color w:val="636466"/>
          <w:sz w:val="19"/>
        </w:rPr>
        <w:t>Efficient</w:t>
      </w:r>
      <w:r>
        <w:rPr>
          <w:color w:val="636466"/>
          <w:spacing w:val="10"/>
          <w:sz w:val="19"/>
        </w:rPr>
        <w:t xml:space="preserve"> </w:t>
      </w:r>
      <w:r>
        <w:rPr>
          <w:color w:val="636466"/>
          <w:sz w:val="19"/>
        </w:rPr>
        <w:t>Cost</w:t>
      </w:r>
      <w:r>
        <w:rPr>
          <w:color w:val="636466"/>
          <w:spacing w:val="10"/>
          <w:sz w:val="19"/>
        </w:rPr>
        <w:t xml:space="preserve"> </w:t>
      </w:r>
      <w:r>
        <w:rPr>
          <w:color w:val="636466"/>
          <w:sz w:val="19"/>
        </w:rPr>
        <w:t>for</w:t>
      </w:r>
      <w:r>
        <w:rPr>
          <w:color w:val="636466"/>
          <w:spacing w:val="7"/>
          <w:sz w:val="19"/>
        </w:rPr>
        <w:t xml:space="preserve"> </w:t>
      </w:r>
      <w:r>
        <w:rPr>
          <w:color w:val="636466"/>
          <w:sz w:val="19"/>
        </w:rPr>
        <w:t>public</w:t>
      </w:r>
      <w:r>
        <w:rPr>
          <w:color w:val="636466"/>
          <w:spacing w:val="10"/>
          <w:sz w:val="19"/>
        </w:rPr>
        <w:t xml:space="preserve"> </w:t>
      </w:r>
      <w:r>
        <w:rPr>
          <w:color w:val="636466"/>
          <w:sz w:val="19"/>
        </w:rPr>
        <w:t>hospital</w:t>
      </w:r>
      <w:r>
        <w:rPr>
          <w:color w:val="636466"/>
          <w:spacing w:val="10"/>
          <w:sz w:val="19"/>
        </w:rPr>
        <w:t xml:space="preserve"> </w:t>
      </w:r>
      <w:r>
        <w:rPr>
          <w:color w:val="636466"/>
          <w:sz w:val="19"/>
        </w:rPr>
        <w:t>services;</w:t>
      </w:r>
    </w:p>
    <w:p w:rsidR="00D840DF" w:rsidRDefault="00961020">
      <w:pPr>
        <w:pStyle w:val="ListParagraph"/>
        <w:numPr>
          <w:ilvl w:val="0"/>
          <w:numId w:val="23"/>
        </w:numPr>
        <w:tabs>
          <w:tab w:val="left" w:pos="341"/>
        </w:tabs>
        <w:spacing w:before="130"/>
        <w:rPr>
          <w:sz w:val="19"/>
        </w:rPr>
      </w:pPr>
      <w:r>
        <w:rPr>
          <w:color w:val="636466"/>
          <w:sz w:val="19"/>
        </w:rPr>
        <w:t>Develop</w:t>
      </w:r>
      <w:r>
        <w:rPr>
          <w:color w:val="636466"/>
          <w:spacing w:val="10"/>
          <w:sz w:val="19"/>
        </w:rPr>
        <w:t xml:space="preserve"> </w:t>
      </w:r>
      <w:r>
        <w:rPr>
          <w:color w:val="636466"/>
          <w:sz w:val="19"/>
        </w:rPr>
        <w:t>national</w:t>
      </w:r>
      <w:r>
        <w:rPr>
          <w:color w:val="636466"/>
          <w:spacing w:val="10"/>
          <w:sz w:val="19"/>
        </w:rPr>
        <w:t xml:space="preserve"> </w:t>
      </w:r>
      <w:r>
        <w:rPr>
          <w:color w:val="636466"/>
          <w:sz w:val="19"/>
        </w:rPr>
        <w:t>classifications</w:t>
      </w:r>
      <w:r>
        <w:rPr>
          <w:color w:val="636466"/>
          <w:spacing w:val="10"/>
          <w:sz w:val="19"/>
        </w:rPr>
        <w:t xml:space="preserve"> </w:t>
      </w:r>
      <w:r>
        <w:rPr>
          <w:color w:val="636466"/>
          <w:sz w:val="19"/>
        </w:rPr>
        <w:t>for</w:t>
      </w:r>
      <w:r>
        <w:rPr>
          <w:color w:val="636466"/>
          <w:spacing w:val="10"/>
          <w:sz w:val="19"/>
        </w:rPr>
        <w:t xml:space="preserve"> </w:t>
      </w:r>
      <w:r>
        <w:rPr>
          <w:color w:val="636466"/>
          <w:sz w:val="19"/>
        </w:rPr>
        <w:t>Activity</w:t>
      </w:r>
      <w:r>
        <w:rPr>
          <w:color w:val="636466"/>
          <w:spacing w:val="10"/>
          <w:sz w:val="19"/>
        </w:rPr>
        <w:t xml:space="preserve"> </w:t>
      </w:r>
      <w:r>
        <w:rPr>
          <w:color w:val="636466"/>
          <w:sz w:val="19"/>
        </w:rPr>
        <w:t>Based</w:t>
      </w:r>
      <w:r>
        <w:rPr>
          <w:color w:val="636466"/>
          <w:spacing w:val="10"/>
          <w:sz w:val="19"/>
        </w:rPr>
        <w:t xml:space="preserve"> </w:t>
      </w:r>
      <w:r>
        <w:rPr>
          <w:color w:val="636466"/>
          <w:sz w:val="19"/>
        </w:rPr>
        <w:t>Funding;</w:t>
      </w:r>
      <w:r>
        <w:rPr>
          <w:color w:val="636466"/>
          <w:spacing w:val="10"/>
          <w:sz w:val="19"/>
        </w:rPr>
        <w:t xml:space="preserve"> </w:t>
      </w:r>
      <w:r>
        <w:rPr>
          <w:color w:val="636466"/>
          <w:sz w:val="19"/>
        </w:rPr>
        <w:t>and</w:t>
      </w:r>
    </w:p>
    <w:p w:rsidR="00D840DF" w:rsidRPr="008D2169" w:rsidRDefault="00961020" w:rsidP="008D2169">
      <w:pPr>
        <w:pStyle w:val="ListParagraph"/>
        <w:numPr>
          <w:ilvl w:val="0"/>
          <w:numId w:val="23"/>
        </w:numPr>
        <w:tabs>
          <w:tab w:val="left" w:pos="341"/>
        </w:tabs>
        <w:rPr>
          <w:sz w:val="19"/>
        </w:rPr>
      </w:pPr>
      <w:r>
        <w:rPr>
          <w:color w:val="636466"/>
          <w:sz w:val="19"/>
        </w:rPr>
        <w:t>Resolve disputes on cost-shifting and cross-border</w:t>
      </w:r>
      <w:r w:rsidR="00E314B6">
        <w:rPr>
          <w:color w:val="636466"/>
          <w:sz w:val="19"/>
        </w:rPr>
        <w:t xml:space="preserve"> </w:t>
      </w:r>
      <w:r>
        <w:rPr>
          <w:color w:val="636466"/>
          <w:sz w:val="19"/>
        </w:rPr>
        <w:t>issues.</w:t>
      </w:r>
    </w:p>
    <w:p w:rsidR="00D840DF" w:rsidRPr="008D2169" w:rsidRDefault="00961020" w:rsidP="008D2169">
      <w:pPr>
        <w:pStyle w:val="BodyText"/>
      </w:pPr>
      <w:r>
        <w:t xml:space="preserve">IHPA is structured to meet the following outcome: promote improved efficiency in, and access to, public </w:t>
      </w:r>
      <w:r w:rsidRPr="008D2169">
        <w:t>hospital services primarily through setting efficient national prices and levels of block funding for</w:t>
      </w:r>
      <w:r w:rsidR="00E314B6">
        <w:t xml:space="preserve"> </w:t>
      </w:r>
      <w:r w:rsidRPr="008D2169">
        <w:t>hospital activities.</w:t>
      </w:r>
    </w:p>
    <w:p w:rsidR="00D840DF" w:rsidRPr="008D2169" w:rsidRDefault="00961020" w:rsidP="008D2169">
      <w:pPr>
        <w:pStyle w:val="BodyText"/>
      </w:pPr>
      <w:r w:rsidRPr="008D2169">
        <w:t xml:space="preserve">The continued existence of the entity in its present form, and with its present </w:t>
      </w:r>
      <w:proofErr w:type="spellStart"/>
      <w:r w:rsidRPr="008D2169">
        <w:t>programmes</w:t>
      </w:r>
      <w:proofErr w:type="spellEnd"/>
      <w:r w:rsidRPr="008D2169">
        <w:t>, is dependent</w:t>
      </w:r>
      <w:r>
        <w:t xml:space="preserve"> on Government policy and on continuing funding by Parliament for the entity’s administration</w:t>
      </w:r>
      <w:r w:rsidR="00E314B6">
        <w:t xml:space="preserve"> </w:t>
      </w:r>
      <w:r>
        <w:t xml:space="preserve">and </w:t>
      </w:r>
      <w:proofErr w:type="spellStart"/>
      <w:r>
        <w:t>programmes</w:t>
      </w:r>
      <w:proofErr w:type="spellEnd"/>
      <w:r>
        <w:t>.</w:t>
      </w:r>
    </w:p>
    <w:p w:rsidR="00D840DF" w:rsidRDefault="00961020" w:rsidP="008D2169">
      <w:pPr>
        <w:pStyle w:val="Heading3"/>
      </w:pPr>
      <w:r>
        <w:t>The Basis of preparation</w:t>
      </w:r>
    </w:p>
    <w:p w:rsidR="00D840DF" w:rsidRPr="008D2169" w:rsidRDefault="00961020" w:rsidP="008D2169">
      <w:pPr>
        <w:pStyle w:val="BodyText"/>
      </w:pPr>
      <w:r>
        <w:t xml:space="preserve">The </w:t>
      </w:r>
      <w:r w:rsidRPr="008D2169">
        <w:t>financial statements are general purpose financial statements and are required by section 42 of the PGPA Act.</w:t>
      </w:r>
    </w:p>
    <w:p w:rsidR="00D840DF" w:rsidRPr="008D2169" w:rsidRDefault="00961020" w:rsidP="008D2169">
      <w:pPr>
        <w:pStyle w:val="BodyText"/>
      </w:pPr>
      <w:r w:rsidRPr="008D2169">
        <w:t>The financial</w:t>
      </w:r>
      <w:r>
        <w:t xml:space="preserve"> statements have been prepared in accordance with the:</w:t>
      </w:r>
    </w:p>
    <w:p w:rsidR="00D840DF" w:rsidRDefault="00961020">
      <w:pPr>
        <w:pStyle w:val="ListParagraph"/>
        <w:numPr>
          <w:ilvl w:val="0"/>
          <w:numId w:val="6"/>
        </w:numPr>
        <w:tabs>
          <w:tab w:val="left" w:pos="341"/>
        </w:tabs>
        <w:spacing w:line="256" w:lineRule="auto"/>
        <w:ind w:right="394"/>
        <w:rPr>
          <w:sz w:val="19"/>
        </w:rPr>
      </w:pPr>
      <w:r>
        <w:rPr>
          <w:color w:val="636466"/>
          <w:sz w:val="19"/>
        </w:rPr>
        <w:t xml:space="preserve">Public Governance, Performance and Accountability (Financial Reporting) Rule </w:t>
      </w:r>
      <w:r>
        <w:rPr>
          <w:color w:val="636466"/>
          <w:spacing w:val="-7"/>
          <w:sz w:val="19"/>
        </w:rPr>
        <w:t xml:space="preserve">2015 </w:t>
      </w:r>
      <w:r>
        <w:rPr>
          <w:color w:val="636466"/>
          <w:sz w:val="19"/>
        </w:rPr>
        <w:t xml:space="preserve">(FRR) for reporting periods ending on or after 1 July </w:t>
      </w:r>
      <w:r>
        <w:rPr>
          <w:color w:val="636466"/>
          <w:spacing w:val="-6"/>
          <w:sz w:val="19"/>
        </w:rPr>
        <w:t>2015;</w:t>
      </w:r>
      <w:r w:rsidR="00E314B6">
        <w:rPr>
          <w:color w:val="636466"/>
          <w:spacing w:val="-6"/>
          <w:sz w:val="19"/>
        </w:rPr>
        <w:t xml:space="preserve"> </w:t>
      </w:r>
      <w:r>
        <w:rPr>
          <w:color w:val="636466"/>
          <w:sz w:val="19"/>
        </w:rPr>
        <w:t>and</w:t>
      </w:r>
    </w:p>
    <w:p w:rsidR="00D840DF" w:rsidRDefault="00961020">
      <w:pPr>
        <w:pStyle w:val="ListParagraph"/>
        <w:numPr>
          <w:ilvl w:val="0"/>
          <w:numId w:val="6"/>
        </w:numPr>
        <w:tabs>
          <w:tab w:val="left" w:pos="341"/>
        </w:tabs>
        <w:spacing w:before="112" w:line="256" w:lineRule="auto"/>
        <w:ind w:right="106"/>
        <w:rPr>
          <w:sz w:val="19"/>
        </w:rPr>
      </w:pPr>
      <w:r>
        <w:rPr>
          <w:color w:val="636466"/>
          <w:sz w:val="19"/>
        </w:rPr>
        <w:t>Australian Accounting Standards and Interpretations - Reduced Disclosure Requirements issued by the</w:t>
      </w:r>
      <w:r>
        <w:rPr>
          <w:color w:val="636466"/>
          <w:spacing w:val="7"/>
          <w:sz w:val="19"/>
        </w:rPr>
        <w:t xml:space="preserve"> </w:t>
      </w:r>
      <w:r>
        <w:rPr>
          <w:color w:val="636466"/>
          <w:sz w:val="19"/>
        </w:rPr>
        <w:t>Australian</w:t>
      </w:r>
      <w:r>
        <w:rPr>
          <w:color w:val="636466"/>
          <w:spacing w:val="7"/>
          <w:sz w:val="19"/>
        </w:rPr>
        <w:t xml:space="preserve"> </w:t>
      </w:r>
      <w:r>
        <w:rPr>
          <w:color w:val="636466"/>
          <w:sz w:val="19"/>
        </w:rPr>
        <w:t>Accounting</w:t>
      </w:r>
      <w:r>
        <w:rPr>
          <w:color w:val="636466"/>
          <w:spacing w:val="7"/>
          <w:sz w:val="19"/>
        </w:rPr>
        <w:t xml:space="preserve"> </w:t>
      </w:r>
      <w:r>
        <w:rPr>
          <w:color w:val="636466"/>
          <w:sz w:val="19"/>
        </w:rPr>
        <w:t>Standards</w:t>
      </w:r>
      <w:r>
        <w:rPr>
          <w:color w:val="636466"/>
          <w:spacing w:val="7"/>
          <w:sz w:val="19"/>
        </w:rPr>
        <w:t xml:space="preserve"> </w:t>
      </w:r>
      <w:r>
        <w:rPr>
          <w:color w:val="636466"/>
          <w:sz w:val="19"/>
        </w:rPr>
        <w:t>Board</w:t>
      </w:r>
      <w:r>
        <w:rPr>
          <w:color w:val="636466"/>
          <w:spacing w:val="7"/>
          <w:sz w:val="19"/>
        </w:rPr>
        <w:t xml:space="preserve"> </w:t>
      </w:r>
      <w:r>
        <w:rPr>
          <w:color w:val="636466"/>
          <w:sz w:val="19"/>
        </w:rPr>
        <w:t>(AASB)</w:t>
      </w:r>
      <w:r>
        <w:rPr>
          <w:color w:val="636466"/>
          <w:spacing w:val="7"/>
          <w:sz w:val="19"/>
        </w:rPr>
        <w:t xml:space="preserve"> </w:t>
      </w:r>
      <w:r>
        <w:rPr>
          <w:color w:val="636466"/>
          <w:sz w:val="19"/>
        </w:rPr>
        <w:t>that</w:t>
      </w:r>
      <w:r>
        <w:rPr>
          <w:color w:val="636466"/>
          <w:spacing w:val="7"/>
          <w:sz w:val="19"/>
        </w:rPr>
        <w:t xml:space="preserve"> </w:t>
      </w:r>
      <w:r>
        <w:rPr>
          <w:color w:val="636466"/>
          <w:sz w:val="19"/>
        </w:rPr>
        <w:t>apply</w:t>
      </w:r>
      <w:r>
        <w:rPr>
          <w:color w:val="636466"/>
          <w:spacing w:val="7"/>
          <w:sz w:val="19"/>
        </w:rPr>
        <w:t xml:space="preserve"> </w:t>
      </w:r>
      <w:r>
        <w:rPr>
          <w:color w:val="636466"/>
          <w:sz w:val="19"/>
        </w:rPr>
        <w:t>for</w:t>
      </w:r>
      <w:r>
        <w:rPr>
          <w:color w:val="636466"/>
          <w:spacing w:val="7"/>
          <w:sz w:val="19"/>
        </w:rPr>
        <w:t xml:space="preserve"> </w:t>
      </w:r>
      <w:r>
        <w:rPr>
          <w:color w:val="636466"/>
          <w:sz w:val="19"/>
        </w:rPr>
        <w:t>the</w:t>
      </w:r>
      <w:r>
        <w:rPr>
          <w:color w:val="636466"/>
          <w:spacing w:val="7"/>
          <w:sz w:val="19"/>
        </w:rPr>
        <w:t xml:space="preserve"> </w:t>
      </w:r>
      <w:r>
        <w:rPr>
          <w:color w:val="636466"/>
          <w:sz w:val="19"/>
        </w:rPr>
        <w:t>reporting</w:t>
      </w:r>
      <w:r>
        <w:rPr>
          <w:color w:val="636466"/>
          <w:spacing w:val="7"/>
          <w:sz w:val="19"/>
        </w:rPr>
        <w:t xml:space="preserve"> </w:t>
      </w:r>
      <w:r>
        <w:rPr>
          <w:color w:val="636466"/>
          <w:sz w:val="19"/>
        </w:rPr>
        <w:t>period.</w:t>
      </w:r>
    </w:p>
    <w:p w:rsidR="00D840DF" w:rsidRDefault="00D840DF">
      <w:pPr>
        <w:spacing w:line="256" w:lineRule="auto"/>
        <w:rPr>
          <w:sz w:val="19"/>
        </w:rPr>
        <w:sectPr w:rsidR="00D840DF">
          <w:pgSz w:w="9980" w:h="14180"/>
          <w:pgMar w:top="1320" w:right="1200" w:bottom="280" w:left="1020" w:header="720" w:footer="720" w:gutter="0"/>
          <w:cols w:space="720"/>
        </w:sectPr>
      </w:pPr>
    </w:p>
    <w:p w:rsidR="00D840DF" w:rsidRPr="008D2169" w:rsidRDefault="00961020" w:rsidP="008D2169">
      <w:pPr>
        <w:pStyle w:val="BodyText"/>
      </w:pPr>
      <w:r>
        <w:lastRenderedPageBreak/>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 The financial statements are presented in Australian dollars and values are rounded to the nearest thousand dollars, unless otherwise</w:t>
      </w:r>
      <w:r w:rsidR="00E314B6">
        <w:t xml:space="preserve"> </w:t>
      </w:r>
      <w:r>
        <w:t>specified.</w:t>
      </w:r>
    </w:p>
    <w:p w:rsidR="00D840DF" w:rsidRDefault="00961020" w:rsidP="008D2169">
      <w:pPr>
        <w:pStyle w:val="Heading3"/>
      </w:pPr>
      <w:r>
        <w:t>Significant changes affecting IHPA during 2016–17</w:t>
      </w:r>
    </w:p>
    <w:p w:rsidR="00D840DF" w:rsidRPr="008D2169" w:rsidRDefault="00961020" w:rsidP="008D2169">
      <w:pPr>
        <w:pStyle w:val="BodyText"/>
      </w:pPr>
      <w:r>
        <w:t xml:space="preserve">As announced in the in the </w:t>
      </w:r>
      <w:r>
        <w:rPr>
          <w:spacing w:val="-8"/>
        </w:rPr>
        <w:t xml:space="preserve">2015–16 </w:t>
      </w:r>
      <w:proofErr w:type="spellStart"/>
      <w:r>
        <w:rPr>
          <w:i/>
        </w:rPr>
        <w:t xml:space="preserve">Mid </w:t>
      </w:r>
      <w:r>
        <w:rPr>
          <w:i/>
          <w:spacing w:val="-3"/>
        </w:rPr>
        <w:t>Year</w:t>
      </w:r>
      <w:proofErr w:type="spellEnd"/>
      <w:r>
        <w:rPr>
          <w:i/>
          <w:spacing w:val="-3"/>
        </w:rPr>
        <w:t xml:space="preserve"> </w:t>
      </w:r>
      <w:r>
        <w:rPr>
          <w:i/>
        </w:rPr>
        <w:t>Economic and Fiscal Outlook</w:t>
      </w:r>
      <w:r>
        <w:t xml:space="preserve">, the Government </w:t>
      </w:r>
      <w:r w:rsidRPr="008D2169">
        <w:t>transferred</w:t>
      </w:r>
      <w:r>
        <w:t xml:space="preserve"> the operational functions of IHPA to the Department of Health from 1 July </w:t>
      </w:r>
      <w:r>
        <w:rPr>
          <w:spacing w:val="-6"/>
        </w:rPr>
        <w:t>2016.</w:t>
      </w:r>
      <w:r w:rsidR="00E314B6">
        <w:rPr>
          <w:spacing w:val="-6"/>
        </w:rPr>
        <w:t xml:space="preserve"> </w:t>
      </w:r>
      <w:r>
        <w:t>The</w:t>
      </w:r>
      <w:r>
        <w:rPr>
          <w:spacing w:val="7"/>
        </w:rPr>
        <w:t xml:space="preserve"> </w:t>
      </w:r>
      <w:r>
        <w:t>Board,</w:t>
      </w:r>
      <w:r>
        <w:rPr>
          <w:spacing w:val="7"/>
        </w:rPr>
        <w:t xml:space="preserve"> </w:t>
      </w:r>
      <w:r>
        <w:t>Chief</w:t>
      </w:r>
      <w:r>
        <w:rPr>
          <w:spacing w:val="7"/>
        </w:rPr>
        <w:t xml:space="preserve"> </w:t>
      </w:r>
      <w:r>
        <w:t>Executive</w:t>
      </w:r>
      <w:r>
        <w:rPr>
          <w:spacing w:val="7"/>
        </w:rPr>
        <w:t xml:space="preserve"> </w:t>
      </w:r>
      <w:r>
        <w:t>Officer</w:t>
      </w:r>
      <w:r>
        <w:rPr>
          <w:spacing w:val="7"/>
        </w:rPr>
        <w:t xml:space="preserve"> </w:t>
      </w:r>
      <w:r>
        <w:t>and</w:t>
      </w:r>
      <w:r>
        <w:rPr>
          <w:spacing w:val="7"/>
        </w:rPr>
        <w:t xml:space="preserve"> </w:t>
      </w:r>
      <w:r>
        <w:t>associated</w:t>
      </w:r>
      <w:r>
        <w:rPr>
          <w:spacing w:val="7"/>
        </w:rPr>
        <w:t xml:space="preserve"> </w:t>
      </w:r>
      <w:r>
        <w:t>functions</w:t>
      </w:r>
      <w:r>
        <w:rPr>
          <w:spacing w:val="7"/>
        </w:rPr>
        <w:t xml:space="preserve"> </w:t>
      </w:r>
      <w:r>
        <w:t>were</w:t>
      </w:r>
      <w:r>
        <w:rPr>
          <w:spacing w:val="7"/>
        </w:rPr>
        <w:t xml:space="preserve"> </w:t>
      </w:r>
      <w:r>
        <w:t>retained</w:t>
      </w:r>
      <w:r>
        <w:rPr>
          <w:spacing w:val="7"/>
        </w:rPr>
        <w:t xml:space="preserve"> </w:t>
      </w:r>
      <w:r>
        <w:t>by</w:t>
      </w:r>
      <w:r>
        <w:rPr>
          <w:spacing w:val="7"/>
        </w:rPr>
        <w:t xml:space="preserve"> </w:t>
      </w:r>
      <w:r>
        <w:t>IHPA.</w:t>
      </w:r>
    </w:p>
    <w:p w:rsidR="00D840DF" w:rsidRDefault="00961020" w:rsidP="008D2169">
      <w:pPr>
        <w:pStyle w:val="Heading3"/>
      </w:pPr>
      <w:r>
        <w:t>New Australian Accounting Standards</w:t>
      </w:r>
    </w:p>
    <w:p w:rsidR="00D840DF" w:rsidRDefault="00961020" w:rsidP="008D2169">
      <w:pPr>
        <w:pStyle w:val="Heading4"/>
      </w:pPr>
      <w:r>
        <w:t>Adoption of new Australian Accounting Standard requirements</w:t>
      </w:r>
    </w:p>
    <w:p w:rsidR="00D840DF" w:rsidRPr="008D2169" w:rsidRDefault="00961020" w:rsidP="008D2169">
      <w:pPr>
        <w:pStyle w:val="BodyText"/>
      </w:pPr>
      <w:r>
        <w:t xml:space="preserve">IHPA has adopted all new, revised and amending standards and interpretations that were issued by the </w:t>
      </w:r>
      <w:r w:rsidRPr="008D2169">
        <w:t>Australian Accounting Standards Board (AASB) prior to the sign-off date and which are applicable to the current reporting period. The adoption of these standards and interpretations</w:t>
      </w:r>
      <w:r w:rsidR="00E314B6">
        <w:t xml:space="preserve"> </w:t>
      </w:r>
      <w:r w:rsidRPr="008D2169">
        <w:t>did not have a material effect, and are not expected to have a future material effect, on the financial statements.</w:t>
      </w:r>
    </w:p>
    <w:p w:rsidR="00D840DF" w:rsidRPr="008D2169" w:rsidRDefault="00961020">
      <w:pPr>
        <w:pStyle w:val="BodyText"/>
      </w:pPr>
      <w:r w:rsidRPr="008D2169">
        <w:t>During the period, the Department adopted AASB 124 Related Party Transactions which is reported in Note 4.2: Key Management</w:t>
      </w:r>
      <w:r>
        <w:t xml:space="preserve"> Personnel and Note 4.3: Related Party Transactions.</w:t>
      </w:r>
    </w:p>
    <w:p w:rsidR="00D840DF" w:rsidRDefault="00961020" w:rsidP="008D2169">
      <w:pPr>
        <w:pStyle w:val="Heading4"/>
      </w:pPr>
      <w:r>
        <w:t>Future</w:t>
      </w:r>
      <w:r w:rsidR="00E314B6">
        <w:t xml:space="preserve"> </w:t>
      </w:r>
      <w:r>
        <w:t>Accounting Standard requirements</w:t>
      </w:r>
    </w:p>
    <w:p w:rsidR="00D840DF" w:rsidRPr="008D2169" w:rsidRDefault="00961020" w:rsidP="008D2169">
      <w:pPr>
        <w:pStyle w:val="BodyText"/>
      </w:pPr>
      <w:r>
        <w:t xml:space="preserve">The following new, revised and amending standards or interpretations were issued by the </w:t>
      </w:r>
      <w:r>
        <w:rPr>
          <w:spacing w:val="1"/>
        </w:rPr>
        <w:t xml:space="preserve">AASB </w:t>
      </w:r>
      <w:r>
        <w:t xml:space="preserve">prior to the </w:t>
      </w:r>
      <w:r w:rsidRPr="008D2169">
        <w:t>signing</w:t>
      </w:r>
      <w:r>
        <w:t xml:space="preserve"> of the statement by the Chief Executive Officer and Chief Financial Officer, for which</w:t>
      </w:r>
      <w:r w:rsidR="00E314B6">
        <w:t xml:space="preserve"> </w:t>
      </w:r>
      <w:r>
        <w:t>the</w:t>
      </w:r>
      <w:r>
        <w:rPr>
          <w:spacing w:val="8"/>
        </w:rPr>
        <w:t xml:space="preserve"> </w:t>
      </w:r>
      <w:r>
        <w:t>Pricing</w:t>
      </w:r>
      <w:r>
        <w:rPr>
          <w:spacing w:val="8"/>
        </w:rPr>
        <w:t xml:space="preserve"> </w:t>
      </w:r>
      <w:r>
        <w:t>Authority</w:t>
      </w:r>
      <w:r>
        <w:rPr>
          <w:spacing w:val="8"/>
        </w:rPr>
        <w:t xml:space="preserve"> </w:t>
      </w:r>
      <w:r>
        <w:t>is</w:t>
      </w:r>
      <w:r>
        <w:rPr>
          <w:spacing w:val="8"/>
        </w:rPr>
        <w:t xml:space="preserve"> </w:t>
      </w:r>
      <w:r>
        <w:t>still</w:t>
      </w:r>
      <w:r>
        <w:rPr>
          <w:spacing w:val="8"/>
        </w:rPr>
        <w:t xml:space="preserve"> </w:t>
      </w:r>
      <w:r>
        <w:t>assessing</w:t>
      </w:r>
      <w:r>
        <w:rPr>
          <w:spacing w:val="8"/>
        </w:rPr>
        <w:t xml:space="preserve"> </w:t>
      </w:r>
      <w:r>
        <w:t>the</w:t>
      </w:r>
      <w:r>
        <w:rPr>
          <w:spacing w:val="8"/>
        </w:rPr>
        <w:t xml:space="preserve"> </w:t>
      </w:r>
      <w:r>
        <w:t>potential</w:t>
      </w:r>
      <w:r>
        <w:rPr>
          <w:spacing w:val="8"/>
        </w:rPr>
        <w:t xml:space="preserve"> </w:t>
      </w:r>
      <w:r>
        <w:t>impact</w:t>
      </w:r>
      <w:r>
        <w:rPr>
          <w:spacing w:val="8"/>
        </w:rPr>
        <w:t xml:space="preserve"> </w:t>
      </w:r>
      <w:r>
        <w:t>on</w:t>
      </w:r>
      <w:r>
        <w:rPr>
          <w:spacing w:val="8"/>
        </w:rPr>
        <w:t xml:space="preserve"> </w:t>
      </w:r>
      <w:r>
        <w:t>the</w:t>
      </w:r>
      <w:r>
        <w:rPr>
          <w:spacing w:val="8"/>
        </w:rPr>
        <w:t xml:space="preserve"> </w:t>
      </w:r>
      <w:r>
        <w:t>financial</w:t>
      </w:r>
      <w:r>
        <w:rPr>
          <w:spacing w:val="8"/>
        </w:rPr>
        <w:t xml:space="preserve"> </w:t>
      </w:r>
      <w:r>
        <w:t>statements:</w:t>
      </w:r>
    </w:p>
    <w:p w:rsidR="00D840DF" w:rsidRDefault="00961020">
      <w:pPr>
        <w:pStyle w:val="ListParagraph"/>
        <w:numPr>
          <w:ilvl w:val="1"/>
          <w:numId w:val="6"/>
        </w:numPr>
        <w:tabs>
          <w:tab w:val="left" w:pos="331"/>
        </w:tabs>
        <w:spacing w:before="1"/>
        <w:rPr>
          <w:sz w:val="19"/>
        </w:rPr>
      </w:pPr>
      <w:r>
        <w:rPr>
          <w:color w:val="636466"/>
          <w:spacing w:val="1"/>
          <w:sz w:val="19"/>
        </w:rPr>
        <w:t xml:space="preserve">AASB </w:t>
      </w:r>
      <w:r>
        <w:rPr>
          <w:color w:val="636466"/>
          <w:sz w:val="19"/>
        </w:rPr>
        <w:t xml:space="preserve">9 </w:t>
      </w:r>
      <w:r>
        <w:rPr>
          <w:i/>
          <w:color w:val="636466"/>
          <w:sz w:val="19"/>
        </w:rPr>
        <w:t>Financial</w:t>
      </w:r>
      <w:r>
        <w:rPr>
          <w:i/>
          <w:color w:val="636466"/>
          <w:spacing w:val="28"/>
          <w:sz w:val="19"/>
        </w:rPr>
        <w:t xml:space="preserve"> </w:t>
      </w:r>
      <w:r>
        <w:rPr>
          <w:i/>
          <w:color w:val="636466"/>
          <w:sz w:val="19"/>
        </w:rPr>
        <w:t>Instruments</w:t>
      </w:r>
      <w:r>
        <w:rPr>
          <w:color w:val="636466"/>
          <w:sz w:val="19"/>
        </w:rPr>
        <w:t>;</w:t>
      </w:r>
    </w:p>
    <w:p w:rsidR="00D840DF" w:rsidRDefault="00961020">
      <w:pPr>
        <w:pStyle w:val="ListParagraph"/>
        <w:numPr>
          <w:ilvl w:val="1"/>
          <w:numId w:val="6"/>
        </w:numPr>
        <w:tabs>
          <w:tab w:val="left" w:pos="331"/>
        </w:tabs>
        <w:spacing w:before="130"/>
        <w:rPr>
          <w:sz w:val="19"/>
        </w:rPr>
      </w:pPr>
      <w:r>
        <w:rPr>
          <w:color w:val="636466"/>
          <w:spacing w:val="1"/>
          <w:sz w:val="19"/>
        </w:rPr>
        <w:t xml:space="preserve">AASB </w:t>
      </w:r>
      <w:r>
        <w:rPr>
          <w:color w:val="636466"/>
          <w:spacing w:val="-7"/>
          <w:sz w:val="19"/>
        </w:rPr>
        <w:t>15</w:t>
      </w:r>
      <w:r w:rsidR="00E314B6">
        <w:rPr>
          <w:color w:val="636466"/>
          <w:spacing w:val="-7"/>
          <w:sz w:val="19"/>
        </w:rPr>
        <w:t xml:space="preserve"> </w:t>
      </w:r>
      <w:r>
        <w:rPr>
          <w:i/>
          <w:color w:val="636466"/>
          <w:sz w:val="19"/>
        </w:rPr>
        <w:t>Revenue from Contracts with</w:t>
      </w:r>
      <w:r>
        <w:rPr>
          <w:i/>
          <w:color w:val="636466"/>
          <w:spacing w:val="6"/>
          <w:sz w:val="19"/>
        </w:rPr>
        <w:t xml:space="preserve"> </w:t>
      </w:r>
      <w:r>
        <w:rPr>
          <w:i/>
          <w:color w:val="636466"/>
          <w:sz w:val="19"/>
        </w:rPr>
        <w:t>Customers</w:t>
      </w:r>
      <w:r>
        <w:rPr>
          <w:color w:val="636466"/>
          <w:sz w:val="19"/>
        </w:rPr>
        <w:t>;</w:t>
      </w:r>
    </w:p>
    <w:p w:rsidR="00D840DF" w:rsidRDefault="00961020">
      <w:pPr>
        <w:pStyle w:val="ListParagraph"/>
        <w:numPr>
          <w:ilvl w:val="1"/>
          <w:numId w:val="6"/>
        </w:numPr>
        <w:tabs>
          <w:tab w:val="left" w:pos="331"/>
        </w:tabs>
        <w:spacing w:before="130"/>
        <w:rPr>
          <w:sz w:val="19"/>
        </w:rPr>
      </w:pPr>
      <w:r>
        <w:rPr>
          <w:color w:val="636466"/>
          <w:spacing w:val="1"/>
          <w:sz w:val="19"/>
        </w:rPr>
        <w:t xml:space="preserve">AASB </w:t>
      </w:r>
      <w:r>
        <w:rPr>
          <w:color w:val="636466"/>
          <w:spacing w:val="-7"/>
          <w:sz w:val="19"/>
        </w:rPr>
        <w:t>16</w:t>
      </w:r>
      <w:r w:rsidR="00E314B6">
        <w:rPr>
          <w:color w:val="636466"/>
          <w:spacing w:val="-7"/>
          <w:sz w:val="19"/>
        </w:rPr>
        <w:t xml:space="preserve"> </w:t>
      </w:r>
      <w:r>
        <w:rPr>
          <w:i/>
          <w:color w:val="636466"/>
          <w:sz w:val="19"/>
        </w:rPr>
        <w:t>Leases</w:t>
      </w:r>
      <w:r>
        <w:rPr>
          <w:color w:val="636466"/>
          <w:sz w:val="19"/>
        </w:rPr>
        <w:t>;</w:t>
      </w:r>
      <w:r>
        <w:rPr>
          <w:color w:val="636466"/>
          <w:spacing w:val="-17"/>
          <w:sz w:val="19"/>
        </w:rPr>
        <w:t xml:space="preserve"> </w:t>
      </w:r>
      <w:r>
        <w:rPr>
          <w:color w:val="636466"/>
          <w:sz w:val="19"/>
        </w:rPr>
        <w:t>and</w:t>
      </w:r>
    </w:p>
    <w:p w:rsidR="00D840DF" w:rsidRPr="008D2169" w:rsidRDefault="00961020" w:rsidP="008D2169">
      <w:pPr>
        <w:pStyle w:val="ListParagraph"/>
        <w:numPr>
          <w:ilvl w:val="1"/>
          <w:numId w:val="6"/>
        </w:numPr>
        <w:tabs>
          <w:tab w:val="left" w:pos="331"/>
        </w:tabs>
        <w:spacing w:before="130"/>
        <w:rPr>
          <w:sz w:val="19"/>
        </w:rPr>
      </w:pPr>
      <w:r>
        <w:rPr>
          <w:color w:val="636466"/>
          <w:spacing w:val="1"/>
          <w:sz w:val="19"/>
        </w:rPr>
        <w:t xml:space="preserve">AASB </w:t>
      </w:r>
      <w:r>
        <w:rPr>
          <w:color w:val="636466"/>
          <w:spacing w:val="-4"/>
          <w:sz w:val="19"/>
        </w:rPr>
        <w:t>1058</w:t>
      </w:r>
      <w:r w:rsidR="00E314B6">
        <w:rPr>
          <w:color w:val="636466"/>
          <w:spacing w:val="-4"/>
          <w:sz w:val="19"/>
        </w:rPr>
        <w:t xml:space="preserve"> </w:t>
      </w:r>
      <w:r>
        <w:rPr>
          <w:i/>
          <w:color w:val="636466"/>
          <w:sz w:val="19"/>
        </w:rPr>
        <w:t>Income of Not-for-Profit</w:t>
      </w:r>
      <w:r>
        <w:rPr>
          <w:i/>
          <w:color w:val="636466"/>
          <w:spacing w:val="10"/>
          <w:sz w:val="19"/>
        </w:rPr>
        <w:t xml:space="preserve"> </w:t>
      </w:r>
      <w:r>
        <w:rPr>
          <w:i/>
          <w:color w:val="636466"/>
          <w:sz w:val="19"/>
        </w:rPr>
        <w:t>Entities</w:t>
      </w:r>
      <w:r>
        <w:rPr>
          <w:color w:val="636466"/>
          <w:sz w:val="19"/>
        </w:rPr>
        <w:t>.</w:t>
      </w:r>
    </w:p>
    <w:p w:rsidR="00D840DF" w:rsidRPr="008D2169" w:rsidRDefault="00961020" w:rsidP="008D2169">
      <w:pPr>
        <w:pStyle w:val="BodyText"/>
      </w:pPr>
      <w:r>
        <w:t xml:space="preserve">All other new, revised and amending standards or interpretations that have been issued by the </w:t>
      </w:r>
      <w:r>
        <w:rPr>
          <w:spacing w:val="1"/>
        </w:rPr>
        <w:t xml:space="preserve">AASB </w:t>
      </w:r>
      <w:r>
        <w:t>prior to sign-off date that are applicable to future reporting period(s) are not expected to have a</w:t>
      </w:r>
      <w:r w:rsidR="00E314B6">
        <w:t xml:space="preserve"> </w:t>
      </w:r>
      <w:r>
        <w:t>future</w:t>
      </w:r>
      <w:r>
        <w:rPr>
          <w:spacing w:val="10"/>
        </w:rPr>
        <w:t xml:space="preserve"> </w:t>
      </w:r>
      <w:r w:rsidRPr="008D2169">
        <w:t>material</w:t>
      </w:r>
      <w:r>
        <w:rPr>
          <w:spacing w:val="10"/>
        </w:rPr>
        <w:t xml:space="preserve"> </w:t>
      </w:r>
      <w:r>
        <w:t>financial</w:t>
      </w:r>
      <w:r>
        <w:rPr>
          <w:spacing w:val="10"/>
        </w:rPr>
        <w:t xml:space="preserve"> </w:t>
      </w:r>
      <w:r>
        <w:t>impact</w:t>
      </w:r>
      <w:r>
        <w:rPr>
          <w:spacing w:val="10"/>
        </w:rPr>
        <w:t xml:space="preserve"> </w:t>
      </w:r>
      <w:r>
        <w:t>on</w:t>
      </w:r>
      <w:r>
        <w:rPr>
          <w:spacing w:val="8"/>
        </w:rPr>
        <w:t xml:space="preserve"> </w:t>
      </w:r>
      <w:r>
        <w:t>the</w:t>
      </w:r>
      <w:r>
        <w:rPr>
          <w:spacing w:val="10"/>
        </w:rPr>
        <w:t xml:space="preserve"> </w:t>
      </w:r>
      <w:r>
        <w:t>Pricing</w:t>
      </w:r>
      <w:r>
        <w:rPr>
          <w:spacing w:val="10"/>
        </w:rPr>
        <w:t xml:space="preserve"> </w:t>
      </w:r>
      <w:r>
        <w:t>Authority’s</w:t>
      </w:r>
      <w:r>
        <w:rPr>
          <w:spacing w:val="10"/>
        </w:rPr>
        <w:t xml:space="preserve"> </w:t>
      </w:r>
      <w:r>
        <w:t>financial</w:t>
      </w:r>
      <w:r>
        <w:rPr>
          <w:spacing w:val="10"/>
        </w:rPr>
        <w:t xml:space="preserve"> </w:t>
      </w:r>
      <w:r>
        <w:t>statements.</w:t>
      </w:r>
    </w:p>
    <w:p w:rsidR="00D840DF" w:rsidRPr="008D2169" w:rsidRDefault="00961020" w:rsidP="008D2169">
      <w:pPr>
        <w:pStyle w:val="Heading3"/>
      </w:pPr>
      <w:r>
        <w:t>Significant accounting judgements and estimates</w:t>
      </w:r>
    </w:p>
    <w:p w:rsidR="00D840DF" w:rsidRDefault="00961020" w:rsidP="008D2169">
      <w:pPr>
        <w:pStyle w:val="BodyText"/>
      </w:pPr>
      <w:bookmarkStart w:id="143" w:name="Financial_Performance"/>
      <w:bookmarkStart w:id="144" w:name="Note_1.1_Expenses"/>
      <w:bookmarkStart w:id="145" w:name="Notes_to_the_Financial_Statements"/>
      <w:bookmarkStart w:id="146" w:name="_bookmark39"/>
      <w:bookmarkEnd w:id="143"/>
      <w:bookmarkEnd w:id="144"/>
      <w:bookmarkEnd w:id="145"/>
      <w:bookmarkEnd w:id="146"/>
      <w:r>
        <w:t xml:space="preserve">Except where specifically identified and disclosed, the Pricing Authority has determined that no accounting assumptions and estimates have a significant risk of causing a material adjustment to carrying amounts of </w:t>
      </w:r>
      <w:r w:rsidRPr="008D2169">
        <w:t>assets</w:t>
      </w:r>
      <w:r>
        <w:t xml:space="preserve"> and liabilities within the next accounting period.</w:t>
      </w:r>
    </w:p>
    <w:p w:rsidR="00D840DF" w:rsidRDefault="00D840DF">
      <w:pPr>
        <w:pStyle w:val="BodyText"/>
        <w:spacing w:before="10"/>
        <w:rPr>
          <w:sz w:val="24"/>
        </w:rPr>
      </w:pPr>
    </w:p>
    <w:p w:rsidR="00D840DF" w:rsidRDefault="00961020" w:rsidP="008D2169">
      <w:pPr>
        <w:pStyle w:val="Heading3"/>
      </w:pPr>
      <w:r>
        <w:lastRenderedPageBreak/>
        <w:t>Comparative figures</w:t>
      </w:r>
    </w:p>
    <w:p w:rsidR="00D840DF" w:rsidRPr="008D2169" w:rsidRDefault="00961020" w:rsidP="008D2169">
      <w:pPr>
        <w:pStyle w:val="BodyText"/>
      </w:pPr>
      <w:r>
        <w:t>Comparative figures have been adjusted, where required, to conform to changes in presentation of the</w:t>
      </w:r>
      <w:r w:rsidR="00E314B6">
        <w:t xml:space="preserve"> </w:t>
      </w:r>
      <w:r w:rsidRPr="008D2169">
        <w:t>financial</w:t>
      </w:r>
      <w:r>
        <w:t xml:space="preserve"> statements.</w:t>
      </w:r>
    </w:p>
    <w:p w:rsidR="00D840DF" w:rsidRDefault="00961020" w:rsidP="008D2169">
      <w:pPr>
        <w:pStyle w:val="Heading3"/>
      </w:pPr>
      <w:r>
        <w:t>Taxation</w:t>
      </w:r>
    </w:p>
    <w:p w:rsidR="00D840DF" w:rsidRPr="008D2169" w:rsidRDefault="00961020" w:rsidP="008D2169">
      <w:pPr>
        <w:pStyle w:val="BodyText"/>
      </w:pPr>
      <w:r>
        <w:t xml:space="preserve">IHPA is exempt from all forms of taxation, except Fringe Benefits Tax (FBT) and the Goods and </w:t>
      </w:r>
      <w:r w:rsidRPr="008D2169">
        <w:t>Services Tax (GST).</w:t>
      </w:r>
    </w:p>
    <w:p w:rsidR="00D840DF" w:rsidRPr="008D2169" w:rsidRDefault="00961020" w:rsidP="008D2169">
      <w:pPr>
        <w:pStyle w:val="BodyText"/>
      </w:pPr>
      <w:r w:rsidRPr="008D2169">
        <w:t xml:space="preserve">Revenues, expenses, assets and liabilities are </w:t>
      </w:r>
      <w:proofErr w:type="spellStart"/>
      <w:r w:rsidRPr="008D2169">
        <w:t>recognised</w:t>
      </w:r>
      <w:proofErr w:type="spellEnd"/>
      <w:r w:rsidRPr="008D2169">
        <w:t xml:space="preserve"> net of GST, except where the amount of GST incurred is</w:t>
      </w:r>
      <w:r>
        <w:t xml:space="preserve"> not recoverable from the Australian Taxation</w:t>
      </w:r>
      <w:r w:rsidR="00E314B6">
        <w:t xml:space="preserve"> </w:t>
      </w:r>
      <w:r>
        <w:t>Office.</w:t>
      </w:r>
    </w:p>
    <w:p w:rsidR="00D840DF" w:rsidRDefault="00961020" w:rsidP="008D2169">
      <w:pPr>
        <w:pStyle w:val="Heading3"/>
      </w:pPr>
      <w:r>
        <w:t>Events after the reporting period</w:t>
      </w:r>
    </w:p>
    <w:p w:rsidR="00D840DF" w:rsidRDefault="00961020" w:rsidP="008D2169">
      <w:pPr>
        <w:pStyle w:val="BodyText"/>
      </w:pPr>
      <w:r>
        <w:t xml:space="preserve">No </w:t>
      </w:r>
      <w:r w:rsidRPr="008D2169">
        <w:t>events</w:t>
      </w:r>
      <w:r>
        <w:t xml:space="preserve"> have o</w:t>
      </w:r>
      <w:r w:rsidRPr="008D2169">
        <w:t>c</w:t>
      </w:r>
      <w:r>
        <w:t>curred since the reporting date which have had a material impact on the financial statements.</w:t>
      </w:r>
    </w:p>
    <w:p w:rsidR="00D840DF" w:rsidRDefault="00D840DF">
      <w:pPr>
        <w:spacing w:line="256" w:lineRule="auto"/>
        <w:sectPr w:rsidR="00D840DF">
          <w:pgSz w:w="9980" w:h="14180"/>
          <w:pgMar w:top="1320" w:right="1240" w:bottom="280" w:left="1020" w:header="720" w:footer="720" w:gutter="0"/>
          <w:cols w:space="720"/>
        </w:sectPr>
      </w:pPr>
    </w:p>
    <w:p w:rsidR="00D840DF" w:rsidRPr="008D2169" w:rsidRDefault="00961020" w:rsidP="008D2169">
      <w:pPr>
        <w:pStyle w:val="Heading2"/>
        <w:rPr>
          <w:sz w:val="20"/>
        </w:rPr>
      </w:pPr>
      <w:bookmarkStart w:id="147" w:name="_Toc496088505"/>
      <w:bookmarkStart w:id="148" w:name="_Notes_to_the"/>
      <w:bookmarkEnd w:id="148"/>
      <w:r>
        <w:lastRenderedPageBreak/>
        <w:t xml:space="preserve">Notes </w:t>
      </w:r>
      <w:r>
        <w:rPr>
          <w:spacing w:val="-7"/>
        </w:rPr>
        <w:t xml:space="preserve">to </w:t>
      </w:r>
      <w:r>
        <w:rPr>
          <w:spacing w:val="-9"/>
        </w:rPr>
        <w:t xml:space="preserve">the </w:t>
      </w:r>
      <w:r>
        <w:t xml:space="preserve">Financial </w:t>
      </w:r>
      <w:r>
        <w:rPr>
          <w:spacing w:val="-13"/>
        </w:rPr>
        <w:t>Statements</w:t>
      </w:r>
      <w:bookmarkEnd w:id="147"/>
    </w:p>
    <w:p w:rsidR="00D840DF" w:rsidRDefault="00961020" w:rsidP="008D2169">
      <w:pPr>
        <w:pStyle w:val="Heading3"/>
      </w:pPr>
      <w:bookmarkStart w:id="149" w:name="_Financial_Performance"/>
      <w:bookmarkEnd w:id="149"/>
      <w:r w:rsidRPr="008D2169">
        <w:t>Financial</w:t>
      </w:r>
      <w:r>
        <w:t xml:space="preserve"> Performance</w:t>
      </w:r>
    </w:p>
    <w:p w:rsidR="00D840DF" w:rsidRPr="008D2169" w:rsidRDefault="00961020">
      <w:pPr>
        <w:pStyle w:val="BodyText"/>
      </w:pPr>
      <w:r>
        <w:t xml:space="preserve">This section </w:t>
      </w:r>
      <w:r w:rsidRPr="008D2169">
        <w:t>analyses</w:t>
      </w:r>
      <w:r>
        <w:t xml:space="preserve"> the financial performance of IHPA for the year ended 2017.</w:t>
      </w:r>
    </w:p>
    <w:p w:rsidR="00D840DF" w:rsidRDefault="00961020" w:rsidP="008D2169">
      <w:pPr>
        <w:pStyle w:val="Heading4"/>
      </w:pPr>
      <w:bookmarkStart w:id="150" w:name="_Note_1.1_Expenses"/>
      <w:bookmarkEnd w:id="150"/>
      <w:r>
        <w:t>Note 1.1 Expenses</w:t>
      </w:r>
    </w:p>
    <w:tbl>
      <w:tblPr>
        <w:tblW w:w="0" w:type="auto"/>
        <w:tblInd w:w="123" w:type="dxa"/>
        <w:tblLayout w:type="fixed"/>
        <w:tblCellMar>
          <w:left w:w="0" w:type="dxa"/>
          <w:right w:w="0" w:type="dxa"/>
        </w:tblCellMar>
        <w:tblLook w:val="01E0" w:firstRow="1" w:lastRow="1" w:firstColumn="1" w:lastColumn="1" w:noHBand="0" w:noVBand="0"/>
      </w:tblPr>
      <w:tblGrid>
        <w:gridCol w:w="4867"/>
        <w:gridCol w:w="1632"/>
        <w:gridCol w:w="1043"/>
      </w:tblGrid>
      <w:tr w:rsidR="00D840DF">
        <w:trPr>
          <w:trHeight w:val="480"/>
        </w:trPr>
        <w:tc>
          <w:tcPr>
            <w:tcW w:w="4867" w:type="dxa"/>
            <w:shd w:val="clear" w:color="auto" w:fill="008F54"/>
          </w:tcPr>
          <w:p w:rsidR="00D840DF" w:rsidRDefault="00D840DF">
            <w:pPr>
              <w:pStyle w:val="TableParagraph"/>
              <w:spacing w:before="0"/>
              <w:rPr>
                <w:rFonts w:ascii="Times New Roman"/>
                <w:sz w:val="18"/>
              </w:rPr>
            </w:pPr>
          </w:p>
        </w:tc>
        <w:tc>
          <w:tcPr>
            <w:tcW w:w="1632" w:type="dxa"/>
            <w:shd w:val="clear" w:color="auto" w:fill="008F54"/>
          </w:tcPr>
          <w:p w:rsidR="00D840DF" w:rsidRDefault="00961020">
            <w:pPr>
              <w:pStyle w:val="TableParagraph"/>
              <w:spacing w:before="30" w:line="209" w:lineRule="exact"/>
              <w:ind w:left="770"/>
              <w:rPr>
                <w:rFonts w:ascii="Futura PT Demi"/>
                <w:sz w:val="17"/>
              </w:rPr>
            </w:pPr>
            <w:r>
              <w:rPr>
                <w:rFonts w:ascii="Futura PT Demi"/>
                <w:color w:val="FFFFFF"/>
                <w:sz w:val="17"/>
              </w:rPr>
              <w:t>2017</w:t>
            </w:r>
          </w:p>
          <w:p w:rsidR="00D840DF" w:rsidRDefault="00961020">
            <w:pPr>
              <w:pStyle w:val="TableParagraph"/>
              <w:spacing w:before="0" w:line="209" w:lineRule="exact"/>
              <w:ind w:left="694"/>
              <w:rPr>
                <w:rFonts w:ascii="Futura PT Demi" w:hAnsi="Futura PT Demi"/>
                <w:sz w:val="17"/>
              </w:rPr>
            </w:pPr>
            <w:r>
              <w:rPr>
                <w:rFonts w:ascii="Futura PT Demi" w:hAnsi="Futura PT Demi"/>
                <w:color w:val="FFFFFF"/>
                <w:sz w:val="17"/>
              </w:rPr>
              <w:t>$’000</w:t>
            </w:r>
          </w:p>
        </w:tc>
        <w:tc>
          <w:tcPr>
            <w:tcW w:w="1043" w:type="dxa"/>
            <w:shd w:val="clear" w:color="auto" w:fill="008F54"/>
          </w:tcPr>
          <w:p w:rsidR="00D840DF" w:rsidRDefault="00961020">
            <w:pPr>
              <w:pStyle w:val="TableParagraph"/>
              <w:spacing w:before="30" w:line="209" w:lineRule="exact"/>
              <w:ind w:left="554"/>
              <w:rPr>
                <w:rFonts w:ascii="Futura PT Demi"/>
                <w:sz w:val="17"/>
              </w:rPr>
            </w:pPr>
            <w:r>
              <w:rPr>
                <w:rFonts w:ascii="Futura PT Demi"/>
                <w:color w:val="FFFFFF"/>
                <w:sz w:val="17"/>
              </w:rPr>
              <w:t>2016</w:t>
            </w:r>
          </w:p>
          <w:p w:rsidR="00D840DF" w:rsidRDefault="00961020">
            <w:pPr>
              <w:pStyle w:val="TableParagraph"/>
              <w:spacing w:before="0" w:line="209" w:lineRule="exact"/>
              <w:ind w:left="479"/>
              <w:rPr>
                <w:rFonts w:ascii="Futura PT Demi" w:hAnsi="Futura PT Demi"/>
                <w:sz w:val="17"/>
              </w:rPr>
            </w:pPr>
            <w:r>
              <w:rPr>
                <w:rFonts w:ascii="Futura PT Demi" w:hAnsi="Futura PT Demi"/>
                <w:color w:val="FFFFFF"/>
                <w:sz w:val="17"/>
              </w:rPr>
              <w:t>$’000</w:t>
            </w:r>
          </w:p>
        </w:tc>
      </w:tr>
      <w:tr w:rsidR="00D840DF">
        <w:trPr>
          <w:trHeight w:val="260"/>
        </w:trPr>
        <w:tc>
          <w:tcPr>
            <w:tcW w:w="4867" w:type="dxa"/>
          </w:tcPr>
          <w:p w:rsidR="00D840DF" w:rsidRDefault="00961020">
            <w:pPr>
              <w:pStyle w:val="TableParagraph"/>
              <w:spacing w:before="33"/>
              <w:ind w:left="114"/>
              <w:rPr>
                <w:rFonts w:ascii="Futura PT Bold"/>
                <w:b/>
                <w:sz w:val="16"/>
              </w:rPr>
            </w:pPr>
            <w:r>
              <w:rPr>
                <w:rFonts w:ascii="Futura PT Bold"/>
                <w:b/>
                <w:color w:val="003E2D"/>
                <w:sz w:val="16"/>
              </w:rPr>
              <w:t>NOTE 1.1A:</w:t>
            </w:r>
            <w:r w:rsidR="00E314B6">
              <w:rPr>
                <w:rFonts w:ascii="Futura PT Bold"/>
                <w:b/>
                <w:color w:val="003E2D"/>
                <w:sz w:val="16"/>
              </w:rPr>
              <w:t xml:space="preserve"> </w:t>
            </w:r>
            <w:r>
              <w:rPr>
                <w:rFonts w:ascii="Futura PT Bold"/>
                <w:b/>
                <w:color w:val="003E2D"/>
                <w:sz w:val="16"/>
              </w:rPr>
              <w:t>EMPLOYEE BENEFITS</w:t>
            </w:r>
          </w:p>
        </w:tc>
        <w:tc>
          <w:tcPr>
            <w:tcW w:w="1632" w:type="dxa"/>
          </w:tcPr>
          <w:p w:rsidR="00D840DF" w:rsidRDefault="00D840DF">
            <w:pPr>
              <w:pStyle w:val="TableParagraph"/>
              <w:spacing w:before="0"/>
              <w:rPr>
                <w:rFonts w:ascii="Times New Roman"/>
                <w:sz w:val="18"/>
              </w:rPr>
            </w:pPr>
          </w:p>
        </w:tc>
        <w:tc>
          <w:tcPr>
            <w:tcW w:w="1043" w:type="dxa"/>
          </w:tcPr>
          <w:p w:rsidR="00D840DF" w:rsidRDefault="00D840DF">
            <w:pPr>
              <w:pStyle w:val="TableParagraph"/>
              <w:spacing w:before="0"/>
              <w:rPr>
                <w:rFonts w:ascii="Times New Roman"/>
                <w:sz w:val="18"/>
              </w:rPr>
            </w:pPr>
          </w:p>
        </w:tc>
      </w:tr>
      <w:tr w:rsidR="00D840DF">
        <w:trPr>
          <w:trHeight w:val="240"/>
        </w:trPr>
        <w:tc>
          <w:tcPr>
            <w:tcW w:w="4867"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Wages</w:t>
            </w:r>
            <w:r w:rsidR="00E314B6">
              <w:rPr>
                <w:color w:val="636466"/>
                <w:sz w:val="16"/>
              </w:rPr>
              <w:t xml:space="preserve"> </w:t>
            </w:r>
            <w:r>
              <w:rPr>
                <w:color w:val="636466"/>
                <w:sz w:val="16"/>
              </w:rPr>
              <w:t>and salaries</w:t>
            </w:r>
          </w:p>
        </w:tc>
        <w:tc>
          <w:tcPr>
            <w:tcW w:w="1632" w:type="dxa"/>
            <w:tcBorders>
              <w:bottom w:val="single" w:sz="4" w:space="0" w:color="C7C8CA"/>
            </w:tcBorders>
          </w:tcPr>
          <w:p w:rsidR="00D840DF" w:rsidRDefault="00961020">
            <w:pPr>
              <w:pStyle w:val="TableParagraph"/>
              <w:spacing w:before="28" w:line="200" w:lineRule="exact"/>
              <w:ind w:right="485"/>
              <w:jc w:val="right"/>
              <w:rPr>
                <w:rFonts w:ascii="Futura PT Medium"/>
                <w:sz w:val="16"/>
              </w:rPr>
            </w:pPr>
            <w:r>
              <w:rPr>
                <w:rFonts w:ascii="Futura PT Medium"/>
                <w:color w:val="636466"/>
                <w:sz w:val="16"/>
              </w:rPr>
              <w:t>526</w:t>
            </w:r>
          </w:p>
        </w:tc>
        <w:tc>
          <w:tcPr>
            <w:tcW w:w="1043"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5,597</w:t>
            </w:r>
          </w:p>
        </w:tc>
      </w:tr>
      <w:tr w:rsidR="00D840DF">
        <w:trPr>
          <w:trHeight w:val="220"/>
        </w:trPr>
        <w:tc>
          <w:tcPr>
            <w:tcW w:w="4867"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Superannuation</w:t>
            </w:r>
          </w:p>
        </w:tc>
        <w:tc>
          <w:tcPr>
            <w:tcW w:w="1632"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c>
          <w:tcPr>
            <w:tcW w:w="1043"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r>
      <w:tr w:rsidR="00D840DF">
        <w:trPr>
          <w:trHeight w:val="220"/>
        </w:trPr>
        <w:tc>
          <w:tcPr>
            <w:tcW w:w="4867" w:type="dxa"/>
            <w:tcBorders>
              <w:top w:val="single" w:sz="4" w:space="0" w:color="C7C8CA"/>
              <w:bottom w:val="single" w:sz="4" w:space="0" w:color="C7C8CA"/>
            </w:tcBorders>
          </w:tcPr>
          <w:p w:rsidR="00D840DF" w:rsidRDefault="00961020">
            <w:pPr>
              <w:pStyle w:val="TableParagraph"/>
              <w:spacing w:line="200" w:lineRule="exact"/>
              <w:ind w:left="396"/>
              <w:rPr>
                <w:sz w:val="16"/>
              </w:rPr>
            </w:pPr>
            <w:r>
              <w:rPr>
                <w:color w:val="636466"/>
                <w:sz w:val="16"/>
              </w:rPr>
              <w:t>Defined</w:t>
            </w:r>
            <w:r w:rsidR="00E314B6">
              <w:rPr>
                <w:color w:val="636466"/>
                <w:sz w:val="16"/>
              </w:rPr>
              <w:t xml:space="preserve"> </w:t>
            </w:r>
            <w:r>
              <w:rPr>
                <w:color w:val="636466"/>
                <w:sz w:val="16"/>
              </w:rPr>
              <w:t>contribution plans</w:t>
            </w:r>
          </w:p>
        </w:tc>
        <w:tc>
          <w:tcPr>
            <w:tcW w:w="1632" w:type="dxa"/>
            <w:tcBorders>
              <w:top w:val="single" w:sz="4" w:space="0" w:color="C7C8CA"/>
              <w:bottom w:val="single" w:sz="4" w:space="0" w:color="C7C8CA"/>
            </w:tcBorders>
          </w:tcPr>
          <w:p w:rsidR="00D840DF" w:rsidRDefault="00961020">
            <w:pPr>
              <w:pStyle w:val="TableParagraph"/>
              <w:spacing w:line="200" w:lineRule="exact"/>
              <w:ind w:right="486"/>
              <w:jc w:val="right"/>
              <w:rPr>
                <w:rFonts w:ascii="Futura PT Medium"/>
                <w:sz w:val="16"/>
              </w:rPr>
            </w:pPr>
            <w:r>
              <w:rPr>
                <w:rFonts w:ascii="Futura PT Medium"/>
                <w:color w:val="636466"/>
                <w:sz w:val="16"/>
              </w:rPr>
              <w:t>69</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848</w:t>
            </w:r>
          </w:p>
        </w:tc>
      </w:tr>
      <w:tr w:rsidR="00D840DF">
        <w:trPr>
          <w:trHeight w:val="220"/>
        </w:trPr>
        <w:tc>
          <w:tcPr>
            <w:tcW w:w="4867" w:type="dxa"/>
            <w:tcBorders>
              <w:top w:val="single" w:sz="4" w:space="0" w:color="C7C8CA"/>
              <w:bottom w:val="single" w:sz="4" w:space="0" w:color="C7C8CA"/>
            </w:tcBorders>
          </w:tcPr>
          <w:p w:rsidR="00D840DF" w:rsidRDefault="00961020">
            <w:pPr>
              <w:pStyle w:val="TableParagraph"/>
              <w:spacing w:line="200" w:lineRule="exact"/>
              <w:ind w:left="396"/>
              <w:rPr>
                <w:sz w:val="16"/>
              </w:rPr>
            </w:pPr>
            <w:r>
              <w:rPr>
                <w:color w:val="636466"/>
                <w:sz w:val="16"/>
              </w:rPr>
              <w:t>Defined</w:t>
            </w:r>
            <w:r w:rsidR="00E314B6">
              <w:rPr>
                <w:color w:val="636466"/>
                <w:sz w:val="16"/>
              </w:rPr>
              <w:t xml:space="preserve"> </w:t>
            </w:r>
            <w:r>
              <w:rPr>
                <w:color w:val="636466"/>
                <w:sz w:val="16"/>
              </w:rPr>
              <w:t>benefit plans</w:t>
            </w:r>
          </w:p>
        </w:tc>
        <w:tc>
          <w:tcPr>
            <w:tcW w:w="1632"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2</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135</w:t>
            </w:r>
          </w:p>
        </w:tc>
      </w:tr>
      <w:tr w:rsidR="00D840DF">
        <w:trPr>
          <w:trHeight w:val="220"/>
        </w:trPr>
        <w:tc>
          <w:tcPr>
            <w:tcW w:w="4867"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Leave and other</w:t>
            </w:r>
            <w:r w:rsidR="00E314B6">
              <w:rPr>
                <w:color w:val="636466"/>
                <w:sz w:val="16"/>
              </w:rPr>
              <w:t xml:space="preserve"> </w:t>
            </w:r>
            <w:r>
              <w:rPr>
                <w:color w:val="636466"/>
                <w:sz w:val="16"/>
              </w:rPr>
              <w:t>entitlements</w:t>
            </w:r>
          </w:p>
        </w:tc>
        <w:tc>
          <w:tcPr>
            <w:tcW w:w="1632"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123</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1,176</w:t>
            </w:r>
          </w:p>
        </w:tc>
      </w:tr>
      <w:tr w:rsidR="00D840DF">
        <w:trPr>
          <w:trHeight w:val="220"/>
        </w:trPr>
        <w:tc>
          <w:tcPr>
            <w:tcW w:w="4867"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Separation</w:t>
            </w:r>
            <w:r w:rsidR="00E314B6">
              <w:rPr>
                <w:color w:val="636466"/>
                <w:sz w:val="16"/>
              </w:rPr>
              <w:t xml:space="preserve"> </w:t>
            </w:r>
            <w:r>
              <w:rPr>
                <w:color w:val="636466"/>
                <w:sz w:val="16"/>
              </w:rPr>
              <w:t>and redundancies</w:t>
            </w:r>
          </w:p>
        </w:tc>
        <w:tc>
          <w:tcPr>
            <w:tcW w:w="1632"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263</w:t>
            </w:r>
          </w:p>
        </w:tc>
      </w:tr>
      <w:tr w:rsidR="00D840DF">
        <w:trPr>
          <w:trHeight w:val="240"/>
        </w:trPr>
        <w:tc>
          <w:tcPr>
            <w:tcW w:w="4867" w:type="dxa"/>
            <w:tcBorders>
              <w:top w:val="single" w:sz="4" w:space="0" w:color="C7C8CA"/>
            </w:tcBorders>
          </w:tcPr>
          <w:p w:rsidR="00D840DF" w:rsidRDefault="00961020">
            <w:pPr>
              <w:pStyle w:val="TableParagraph"/>
              <w:ind w:left="113"/>
              <w:rPr>
                <w:sz w:val="16"/>
              </w:rPr>
            </w:pPr>
            <w:r>
              <w:rPr>
                <w:color w:val="636466"/>
                <w:sz w:val="16"/>
              </w:rPr>
              <w:t>Wages and salaries for staff provided by Department of Health</w:t>
            </w:r>
          </w:p>
        </w:tc>
        <w:tc>
          <w:tcPr>
            <w:tcW w:w="1632" w:type="dxa"/>
            <w:tcBorders>
              <w:top w:val="single" w:sz="4" w:space="0" w:color="C7C8CA"/>
            </w:tcBorders>
          </w:tcPr>
          <w:p w:rsidR="00D840DF" w:rsidRDefault="00961020">
            <w:pPr>
              <w:pStyle w:val="TableParagraph"/>
              <w:ind w:right="485"/>
              <w:jc w:val="right"/>
              <w:rPr>
                <w:rFonts w:ascii="Futura PT Medium"/>
                <w:sz w:val="16"/>
              </w:rPr>
            </w:pPr>
            <w:r>
              <w:rPr>
                <w:rFonts w:ascii="Futura PT Medium"/>
                <w:color w:val="636466"/>
                <w:sz w:val="16"/>
              </w:rPr>
              <w:t>5,008</w:t>
            </w:r>
          </w:p>
        </w:tc>
        <w:tc>
          <w:tcPr>
            <w:tcW w:w="1043" w:type="dxa"/>
            <w:tcBorders>
              <w:top w:val="single" w:sz="4" w:space="0" w:color="C7C8CA"/>
            </w:tcBorders>
          </w:tcPr>
          <w:p w:rsidR="00D840DF" w:rsidRDefault="00961020">
            <w:pPr>
              <w:pStyle w:val="TableParagraph"/>
              <w:ind w:right="111"/>
              <w:jc w:val="right"/>
              <w:rPr>
                <w:sz w:val="16"/>
              </w:rPr>
            </w:pPr>
            <w:r>
              <w:rPr>
                <w:color w:val="636466"/>
                <w:sz w:val="16"/>
              </w:rPr>
              <w:t>-</w:t>
            </w:r>
          </w:p>
        </w:tc>
      </w:tr>
      <w:tr w:rsidR="00D840DF">
        <w:trPr>
          <w:trHeight w:val="240"/>
        </w:trPr>
        <w:tc>
          <w:tcPr>
            <w:tcW w:w="4867"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employee benefits</w:t>
            </w:r>
          </w:p>
        </w:tc>
        <w:tc>
          <w:tcPr>
            <w:tcW w:w="1632" w:type="dxa"/>
            <w:tcBorders>
              <w:bottom w:val="single" w:sz="4" w:space="0" w:color="C7C8CA"/>
            </w:tcBorders>
            <w:shd w:val="clear" w:color="auto" w:fill="E6E7E8"/>
          </w:tcPr>
          <w:p w:rsidR="00D840DF" w:rsidRDefault="00961020">
            <w:pPr>
              <w:pStyle w:val="TableParagraph"/>
              <w:spacing w:before="21" w:line="200" w:lineRule="exact"/>
              <w:ind w:right="485"/>
              <w:jc w:val="right"/>
              <w:rPr>
                <w:rFonts w:ascii="Futura PT Medium"/>
                <w:sz w:val="16"/>
              </w:rPr>
            </w:pPr>
            <w:r>
              <w:rPr>
                <w:rFonts w:ascii="Futura PT Medium"/>
                <w:sz w:val="16"/>
              </w:rPr>
              <w:t>5,728</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8,019</w:t>
            </w:r>
          </w:p>
        </w:tc>
      </w:tr>
    </w:tbl>
    <w:p w:rsidR="00D840DF" w:rsidRDefault="00961020" w:rsidP="008F7C36">
      <w:pPr>
        <w:pStyle w:val="Heading5"/>
      </w:pPr>
      <w:r>
        <w:t>Accounting Policy</w:t>
      </w:r>
    </w:p>
    <w:p w:rsidR="00D840DF" w:rsidRPr="008D2169" w:rsidRDefault="00961020" w:rsidP="00A928A7">
      <w:pPr>
        <w:pStyle w:val="Heading6"/>
        <w:ind w:left="0"/>
      </w:pPr>
      <w:r w:rsidRPr="008D2169">
        <w:t>Employee benefits</w:t>
      </w:r>
    </w:p>
    <w:p w:rsidR="00D840DF" w:rsidRDefault="00961020" w:rsidP="00A928A7">
      <w:pPr>
        <w:spacing w:before="5"/>
        <w:rPr>
          <w:sz w:val="16"/>
        </w:rPr>
      </w:pPr>
      <w:r>
        <w:rPr>
          <w:color w:val="636466"/>
          <w:sz w:val="16"/>
        </w:rPr>
        <w:t>Accounting policies for employee benefits is contained in Section 4.1 People and Relationships.</w:t>
      </w:r>
    </w:p>
    <w:p w:rsidR="00D840DF" w:rsidRDefault="00D840DF">
      <w:pPr>
        <w:pStyle w:val="BodyText"/>
        <w:spacing w:before="4"/>
        <w:rPr>
          <w:sz w:val="11"/>
        </w:rPr>
      </w:pPr>
    </w:p>
    <w:tbl>
      <w:tblPr>
        <w:tblW w:w="0" w:type="auto"/>
        <w:tblInd w:w="123" w:type="dxa"/>
        <w:tblLayout w:type="fixed"/>
        <w:tblCellMar>
          <w:top w:w="28" w:type="dxa"/>
          <w:left w:w="28" w:type="dxa"/>
          <w:bottom w:w="28" w:type="dxa"/>
          <w:right w:w="28" w:type="dxa"/>
        </w:tblCellMar>
        <w:tblLook w:val="01E0" w:firstRow="1" w:lastRow="1" w:firstColumn="1" w:lastColumn="1" w:noHBand="0" w:noVBand="0"/>
      </w:tblPr>
      <w:tblGrid>
        <w:gridCol w:w="4289"/>
        <w:gridCol w:w="2202"/>
        <w:gridCol w:w="1056"/>
      </w:tblGrid>
      <w:tr w:rsidR="00D840DF" w:rsidTr="00A928A7">
        <w:trPr>
          <w:trHeight w:val="480"/>
        </w:trPr>
        <w:tc>
          <w:tcPr>
            <w:tcW w:w="4289" w:type="dxa"/>
            <w:shd w:val="clear" w:color="auto" w:fill="008F54"/>
          </w:tcPr>
          <w:p w:rsidR="00D840DF" w:rsidRDefault="00D840DF">
            <w:pPr>
              <w:pStyle w:val="TableParagraph"/>
              <w:spacing w:before="0"/>
              <w:rPr>
                <w:rFonts w:ascii="Times New Roman"/>
                <w:sz w:val="18"/>
              </w:rPr>
            </w:pPr>
          </w:p>
        </w:tc>
        <w:tc>
          <w:tcPr>
            <w:tcW w:w="2202" w:type="dxa"/>
            <w:shd w:val="clear" w:color="auto" w:fill="008F54"/>
          </w:tcPr>
          <w:p w:rsidR="00D840DF" w:rsidRDefault="00961020">
            <w:pPr>
              <w:pStyle w:val="TableParagraph"/>
              <w:spacing w:before="31" w:line="209" w:lineRule="exact"/>
              <w:ind w:left="1352"/>
              <w:rPr>
                <w:rFonts w:ascii="Futura PT Demi"/>
                <w:sz w:val="17"/>
              </w:rPr>
            </w:pPr>
            <w:r>
              <w:rPr>
                <w:rFonts w:ascii="Futura PT Demi"/>
                <w:color w:val="FFFFFF"/>
                <w:sz w:val="17"/>
              </w:rPr>
              <w:t>2017</w:t>
            </w:r>
          </w:p>
          <w:p w:rsidR="00D840DF" w:rsidRDefault="00961020">
            <w:pPr>
              <w:pStyle w:val="TableParagraph"/>
              <w:spacing w:before="0" w:line="209" w:lineRule="exact"/>
              <w:ind w:left="1277"/>
              <w:rPr>
                <w:rFonts w:ascii="Futura PT Demi" w:hAnsi="Futura PT Demi"/>
                <w:sz w:val="17"/>
              </w:rPr>
            </w:pPr>
            <w:r>
              <w:rPr>
                <w:rFonts w:ascii="Futura PT Demi" w:hAnsi="Futura PT Demi"/>
                <w:color w:val="FFFFFF"/>
                <w:sz w:val="17"/>
              </w:rPr>
              <w:t>$’000</w:t>
            </w:r>
          </w:p>
        </w:tc>
        <w:tc>
          <w:tcPr>
            <w:tcW w:w="1056" w:type="dxa"/>
            <w:shd w:val="clear" w:color="auto" w:fill="008F54"/>
          </w:tcPr>
          <w:p w:rsidR="00D840DF" w:rsidRDefault="00961020">
            <w:pPr>
              <w:pStyle w:val="TableParagraph"/>
              <w:spacing w:before="31" w:line="209" w:lineRule="exact"/>
              <w:ind w:left="567"/>
              <w:rPr>
                <w:rFonts w:ascii="Futura PT Demi"/>
                <w:sz w:val="17"/>
              </w:rPr>
            </w:pPr>
            <w:r>
              <w:rPr>
                <w:rFonts w:ascii="Futura PT Demi"/>
                <w:color w:val="FFFFFF"/>
                <w:sz w:val="17"/>
              </w:rPr>
              <w:t>2016</w:t>
            </w:r>
          </w:p>
          <w:p w:rsidR="00D840DF" w:rsidRDefault="00961020">
            <w:pPr>
              <w:pStyle w:val="TableParagraph"/>
              <w:spacing w:before="0" w:line="209" w:lineRule="exact"/>
              <w:ind w:left="492"/>
              <w:rPr>
                <w:rFonts w:ascii="Futura PT Demi" w:hAnsi="Futura PT Demi"/>
                <w:sz w:val="17"/>
              </w:rPr>
            </w:pPr>
            <w:r>
              <w:rPr>
                <w:rFonts w:ascii="Futura PT Demi" w:hAnsi="Futura PT Demi"/>
                <w:color w:val="FFFFFF"/>
                <w:sz w:val="17"/>
              </w:rPr>
              <w:t>$’000</w:t>
            </w:r>
          </w:p>
        </w:tc>
      </w:tr>
      <w:tr w:rsidR="00D840DF" w:rsidTr="00A928A7">
        <w:trPr>
          <w:trHeight w:val="260"/>
        </w:trPr>
        <w:tc>
          <w:tcPr>
            <w:tcW w:w="4289" w:type="dxa"/>
          </w:tcPr>
          <w:p w:rsidR="00D840DF" w:rsidRDefault="00961020">
            <w:pPr>
              <w:pStyle w:val="TableParagraph"/>
              <w:spacing w:before="33"/>
              <w:ind w:left="114"/>
              <w:rPr>
                <w:rFonts w:ascii="Futura PT Bold"/>
                <w:b/>
                <w:sz w:val="16"/>
              </w:rPr>
            </w:pPr>
            <w:r>
              <w:rPr>
                <w:rFonts w:ascii="Futura PT Bold"/>
                <w:b/>
                <w:color w:val="003E2D"/>
                <w:sz w:val="16"/>
              </w:rPr>
              <w:t>NOTE 1.1B: SUPPLIERS</w:t>
            </w:r>
          </w:p>
        </w:tc>
        <w:tc>
          <w:tcPr>
            <w:tcW w:w="2202" w:type="dxa"/>
          </w:tcPr>
          <w:p w:rsidR="00D840DF" w:rsidRDefault="00D840DF">
            <w:pPr>
              <w:pStyle w:val="TableParagraph"/>
              <w:spacing w:before="0"/>
              <w:rPr>
                <w:rFonts w:ascii="Times New Roman"/>
                <w:sz w:val="18"/>
              </w:rPr>
            </w:pPr>
          </w:p>
        </w:tc>
        <w:tc>
          <w:tcPr>
            <w:tcW w:w="1056" w:type="dxa"/>
          </w:tcPr>
          <w:p w:rsidR="00D840DF" w:rsidRDefault="00D840DF">
            <w:pPr>
              <w:pStyle w:val="TableParagraph"/>
              <w:spacing w:before="0"/>
              <w:rPr>
                <w:rFonts w:ascii="Times New Roman"/>
                <w:sz w:val="18"/>
              </w:rPr>
            </w:pPr>
          </w:p>
        </w:tc>
      </w:tr>
      <w:tr w:rsidR="00D840DF" w:rsidTr="00A928A7">
        <w:trPr>
          <w:trHeight w:val="260"/>
        </w:trPr>
        <w:tc>
          <w:tcPr>
            <w:tcW w:w="4289" w:type="dxa"/>
          </w:tcPr>
          <w:p w:rsidR="00D840DF" w:rsidRDefault="00E314B6">
            <w:pPr>
              <w:pStyle w:val="TableParagraph"/>
              <w:tabs>
                <w:tab w:val="left" w:pos="7546"/>
              </w:tabs>
              <w:spacing w:before="38"/>
              <w:ind w:right="-3259"/>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Goods</w:t>
            </w:r>
            <w:r w:rsidR="00961020">
              <w:rPr>
                <w:rFonts w:ascii="Futura PT Bold"/>
                <w:b/>
                <w:color w:val="003E2D"/>
                <w:spacing w:val="13"/>
                <w:sz w:val="16"/>
                <w:shd w:val="clear" w:color="auto" w:fill="E2F0D8"/>
              </w:rPr>
              <w:t xml:space="preserve"> </w:t>
            </w:r>
            <w:r w:rsidR="00961020">
              <w:rPr>
                <w:rFonts w:ascii="Futura PT Bold"/>
                <w:b/>
                <w:color w:val="003E2D"/>
                <w:sz w:val="16"/>
                <w:shd w:val="clear" w:color="auto" w:fill="E2F0D8"/>
              </w:rPr>
              <w:t>and</w:t>
            </w:r>
            <w:r w:rsidR="00961020">
              <w:rPr>
                <w:rFonts w:ascii="Futura PT Bold"/>
                <w:b/>
                <w:color w:val="003E2D"/>
                <w:spacing w:val="13"/>
                <w:sz w:val="16"/>
                <w:shd w:val="clear" w:color="auto" w:fill="E2F0D8"/>
              </w:rPr>
              <w:t xml:space="preserve"> </w:t>
            </w:r>
            <w:r w:rsidR="00961020">
              <w:rPr>
                <w:rFonts w:ascii="Futura PT Bold"/>
                <w:b/>
                <w:color w:val="003E2D"/>
                <w:sz w:val="16"/>
                <w:shd w:val="clear" w:color="auto" w:fill="E2F0D8"/>
              </w:rPr>
              <w:t>services</w:t>
            </w:r>
            <w:r w:rsidR="00961020">
              <w:rPr>
                <w:rFonts w:ascii="Futura PT Bold"/>
                <w:b/>
                <w:color w:val="003E2D"/>
                <w:spacing w:val="13"/>
                <w:sz w:val="16"/>
                <w:shd w:val="clear" w:color="auto" w:fill="E2F0D8"/>
              </w:rPr>
              <w:t xml:space="preserve"> </w:t>
            </w:r>
            <w:r w:rsidR="00961020">
              <w:rPr>
                <w:rFonts w:ascii="Futura PT Bold"/>
                <w:b/>
                <w:color w:val="003E2D"/>
                <w:sz w:val="16"/>
                <w:shd w:val="clear" w:color="auto" w:fill="E2F0D8"/>
              </w:rPr>
              <w:t>supplied</w:t>
            </w:r>
            <w:r w:rsidR="00961020">
              <w:rPr>
                <w:rFonts w:ascii="Futura PT Bold"/>
                <w:b/>
                <w:color w:val="003E2D"/>
                <w:spacing w:val="13"/>
                <w:sz w:val="16"/>
                <w:shd w:val="clear" w:color="auto" w:fill="E2F0D8"/>
              </w:rPr>
              <w:t xml:space="preserve"> </w:t>
            </w:r>
            <w:r w:rsidR="00961020">
              <w:rPr>
                <w:rFonts w:ascii="Futura PT Bold"/>
                <w:b/>
                <w:color w:val="003E2D"/>
                <w:sz w:val="16"/>
                <w:shd w:val="clear" w:color="auto" w:fill="E2F0D8"/>
              </w:rPr>
              <w:t>or</w:t>
            </w:r>
            <w:r w:rsidR="00961020">
              <w:rPr>
                <w:rFonts w:ascii="Futura PT Bold"/>
                <w:b/>
                <w:color w:val="003E2D"/>
                <w:spacing w:val="13"/>
                <w:sz w:val="16"/>
                <w:shd w:val="clear" w:color="auto" w:fill="E2F0D8"/>
              </w:rPr>
              <w:t xml:space="preserve"> </w:t>
            </w:r>
            <w:r w:rsidR="00961020">
              <w:rPr>
                <w:rFonts w:ascii="Futura PT Bold"/>
                <w:b/>
                <w:color w:val="003E2D"/>
                <w:sz w:val="16"/>
                <w:shd w:val="clear" w:color="auto" w:fill="E2F0D8"/>
              </w:rPr>
              <w:t>rendered</w:t>
            </w:r>
            <w:r w:rsidR="00961020">
              <w:rPr>
                <w:rFonts w:ascii="Futura PT Bold"/>
                <w:b/>
                <w:color w:val="003E2D"/>
                <w:sz w:val="16"/>
                <w:shd w:val="clear" w:color="auto" w:fill="E2F0D8"/>
              </w:rPr>
              <w:tab/>
            </w:r>
          </w:p>
        </w:tc>
        <w:tc>
          <w:tcPr>
            <w:tcW w:w="2202" w:type="dxa"/>
          </w:tcPr>
          <w:p w:rsidR="00D840DF" w:rsidRDefault="00D840DF">
            <w:pPr>
              <w:pStyle w:val="TableParagraph"/>
              <w:spacing w:before="0"/>
              <w:rPr>
                <w:rFonts w:ascii="Times New Roman"/>
                <w:sz w:val="18"/>
              </w:rPr>
            </w:pPr>
          </w:p>
        </w:tc>
        <w:tc>
          <w:tcPr>
            <w:tcW w:w="1056" w:type="dxa"/>
          </w:tcPr>
          <w:p w:rsidR="00D840DF" w:rsidRDefault="00D840DF">
            <w:pPr>
              <w:pStyle w:val="TableParagraph"/>
              <w:spacing w:before="0"/>
              <w:rPr>
                <w:rFonts w:ascii="Times New Roman"/>
                <w:sz w:val="18"/>
              </w:rPr>
            </w:pPr>
          </w:p>
        </w:tc>
      </w:tr>
      <w:tr w:rsidR="00D840DF" w:rsidTr="00A928A7">
        <w:trPr>
          <w:trHeight w:val="240"/>
        </w:trPr>
        <w:tc>
          <w:tcPr>
            <w:tcW w:w="4289"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Consultants</w:t>
            </w:r>
          </w:p>
        </w:tc>
        <w:tc>
          <w:tcPr>
            <w:tcW w:w="2202" w:type="dxa"/>
            <w:tcBorders>
              <w:bottom w:val="single" w:sz="4" w:space="0" w:color="C7C8CA"/>
            </w:tcBorders>
          </w:tcPr>
          <w:p w:rsidR="00D840DF" w:rsidRDefault="00961020">
            <w:pPr>
              <w:pStyle w:val="TableParagraph"/>
              <w:spacing w:before="28" w:line="200" w:lineRule="exact"/>
              <w:ind w:right="472"/>
              <w:jc w:val="right"/>
              <w:rPr>
                <w:rFonts w:ascii="Futura PT Medium"/>
                <w:sz w:val="16"/>
              </w:rPr>
            </w:pPr>
            <w:r>
              <w:rPr>
                <w:rFonts w:ascii="Futura PT Medium"/>
                <w:color w:val="636466"/>
                <w:sz w:val="16"/>
              </w:rPr>
              <w:t>3,443</w:t>
            </w:r>
          </w:p>
        </w:tc>
        <w:tc>
          <w:tcPr>
            <w:tcW w:w="1056" w:type="dxa"/>
            <w:tcBorders>
              <w:bottom w:val="single" w:sz="4" w:space="0" w:color="C7C8CA"/>
            </w:tcBorders>
          </w:tcPr>
          <w:p w:rsidR="00D840DF" w:rsidRDefault="00961020">
            <w:pPr>
              <w:pStyle w:val="TableParagraph"/>
              <w:spacing w:before="28" w:line="200" w:lineRule="exact"/>
              <w:ind w:right="112"/>
              <w:jc w:val="right"/>
              <w:rPr>
                <w:sz w:val="16"/>
              </w:rPr>
            </w:pPr>
            <w:r>
              <w:rPr>
                <w:color w:val="636466"/>
                <w:sz w:val="16"/>
              </w:rPr>
              <w:t>3,653</w:t>
            </w:r>
          </w:p>
        </w:tc>
      </w:tr>
      <w:tr w:rsidR="00D840DF" w:rsidTr="00A928A7">
        <w:trPr>
          <w:trHeight w:val="220"/>
        </w:trPr>
        <w:tc>
          <w:tcPr>
            <w:tcW w:w="4289"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Contractors</w:t>
            </w:r>
          </w:p>
        </w:tc>
        <w:tc>
          <w:tcPr>
            <w:tcW w:w="2202" w:type="dxa"/>
            <w:tcBorders>
              <w:top w:val="single" w:sz="4" w:space="0" w:color="C7C8CA"/>
              <w:bottom w:val="single" w:sz="4" w:space="0" w:color="C7C8CA"/>
            </w:tcBorders>
          </w:tcPr>
          <w:p w:rsidR="00D840DF" w:rsidRDefault="00961020">
            <w:pPr>
              <w:pStyle w:val="TableParagraph"/>
              <w:spacing w:line="200" w:lineRule="exact"/>
              <w:ind w:right="472"/>
              <w:jc w:val="right"/>
              <w:rPr>
                <w:rFonts w:ascii="Futura PT Medium"/>
                <w:sz w:val="16"/>
              </w:rPr>
            </w:pPr>
            <w:r>
              <w:rPr>
                <w:rFonts w:ascii="Futura PT Medium"/>
                <w:color w:val="636466"/>
                <w:sz w:val="16"/>
              </w:rPr>
              <w:t>5,093</w:t>
            </w:r>
          </w:p>
        </w:tc>
        <w:tc>
          <w:tcPr>
            <w:tcW w:w="1056"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7,470</w:t>
            </w:r>
          </w:p>
        </w:tc>
      </w:tr>
      <w:tr w:rsidR="00D840DF" w:rsidTr="00A928A7">
        <w:trPr>
          <w:trHeight w:val="220"/>
        </w:trPr>
        <w:tc>
          <w:tcPr>
            <w:tcW w:w="4289"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Travel and training costs</w:t>
            </w:r>
          </w:p>
        </w:tc>
        <w:tc>
          <w:tcPr>
            <w:tcW w:w="2202" w:type="dxa"/>
            <w:tcBorders>
              <w:top w:val="single" w:sz="4" w:space="0" w:color="C7C8CA"/>
              <w:bottom w:val="single" w:sz="4" w:space="0" w:color="C7C8CA"/>
            </w:tcBorders>
          </w:tcPr>
          <w:p w:rsidR="00D840DF" w:rsidRDefault="00961020">
            <w:pPr>
              <w:pStyle w:val="TableParagraph"/>
              <w:spacing w:line="200" w:lineRule="exact"/>
              <w:ind w:right="472"/>
              <w:jc w:val="right"/>
              <w:rPr>
                <w:rFonts w:ascii="Futura PT Medium"/>
                <w:sz w:val="16"/>
              </w:rPr>
            </w:pPr>
            <w:r>
              <w:rPr>
                <w:rFonts w:ascii="Futura PT Medium"/>
                <w:color w:val="636466"/>
                <w:sz w:val="16"/>
              </w:rPr>
              <w:t>364</w:t>
            </w:r>
          </w:p>
        </w:tc>
        <w:tc>
          <w:tcPr>
            <w:tcW w:w="1056"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625</w:t>
            </w:r>
          </w:p>
        </w:tc>
      </w:tr>
      <w:tr w:rsidR="00D840DF" w:rsidTr="00A928A7">
        <w:trPr>
          <w:trHeight w:val="220"/>
        </w:trPr>
        <w:tc>
          <w:tcPr>
            <w:tcW w:w="4289"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IT services</w:t>
            </w:r>
          </w:p>
        </w:tc>
        <w:tc>
          <w:tcPr>
            <w:tcW w:w="2202" w:type="dxa"/>
            <w:tcBorders>
              <w:top w:val="single" w:sz="4" w:space="0" w:color="C7C8CA"/>
              <w:bottom w:val="single" w:sz="4" w:space="0" w:color="C7C8CA"/>
            </w:tcBorders>
          </w:tcPr>
          <w:p w:rsidR="00D840DF" w:rsidRDefault="00961020">
            <w:pPr>
              <w:pStyle w:val="TableParagraph"/>
              <w:spacing w:line="200" w:lineRule="exact"/>
              <w:ind w:right="472"/>
              <w:jc w:val="right"/>
              <w:rPr>
                <w:rFonts w:ascii="Futura PT Medium"/>
                <w:sz w:val="16"/>
              </w:rPr>
            </w:pPr>
            <w:r>
              <w:rPr>
                <w:rFonts w:ascii="Futura PT Medium"/>
                <w:color w:val="636466"/>
                <w:sz w:val="16"/>
              </w:rPr>
              <w:t>668</w:t>
            </w:r>
          </w:p>
        </w:tc>
        <w:tc>
          <w:tcPr>
            <w:tcW w:w="1056"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813</w:t>
            </w:r>
          </w:p>
        </w:tc>
      </w:tr>
      <w:tr w:rsidR="00D840DF" w:rsidTr="00A928A7">
        <w:trPr>
          <w:trHeight w:val="220"/>
        </w:trPr>
        <w:tc>
          <w:tcPr>
            <w:tcW w:w="4289"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Publishing materials</w:t>
            </w:r>
          </w:p>
        </w:tc>
        <w:tc>
          <w:tcPr>
            <w:tcW w:w="2202" w:type="dxa"/>
            <w:tcBorders>
              <w:top w:val="single" w:sz="4" w:space="0" w:color="C7C8CA"/>
              <w:bottom w:val="single" w:sz="4" w:space="0" w:color="C7C8CA"/>
            </w:tcBorders>
          </w:tcPr>
          <w:p w:rsidR="00D840DF" w:rsidRDefault="00961020">
            <w:pPr>
              <w:pStyle w:val="TableParagraph"/>
              <w:spacing w:line="200" w:lineRule="exact"/>
              <w:ind w:right="472"/>
              <w:jc w:val="right"/>
              <w:rPr>
                <w:rFonts w:ascii="Futura PT Medium"/>
                <w:sz w:val="16"/>
              </w:rPr>
            </w:pPr>
            <w:r>
              <w:rPr>
                <w:rFonts w:ascii="Futura PT Medium"/>
                <w:color w:val="636466"/>
                <w:sz w:val="16"/>
              </w:rPr>
              <w:t>377</w:t>
            </w:r>
          </w:p>
        </w:tc>
        <w:tc>
          <w:tcPr>
            <w:tcW w:w="1056"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203</w:t>
            </w:r>
          </w:p>
        </w:tc>
      </w:tr>
      <w:tr w:rsidR="00D840DF" w:rsidTr="00A928A7">
        <w:trPr>
          <w:trHeight w:val="220"/>
        </w:trPr>
        <w:tc>
          <w:tcPr>
            <w:tcW w:w="4289"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Legal expenses and audit</w:t>
            </w:r>
            <w:r w:rsidR="00E314B6">
              <w:rPr>
                <w:color w:val="636466"/>
                <w:sz w:val="16"/>
              </w:rPr>
              <w:t xml:space="preserve"> </w:t>
            </w:r>
            <w:r>
              <w:rPr>
                <w:color w:val="636466"/>
                <w:sz w:val="16"/>
              </w:rPr>
              <w:t>fees</w:t>
            </w:r>
          </w:p>
        </w:tc>
        <w:tc>
          <w:tcPr>
            <w:tcW w:w="2202" w:type="dxa"/>
            <w:tcBorders>
              <w:top w:val="single" w:sz="4" w:space="0" w:color="C7C8CA"/>
              <w:bottom w:val="single" w:sz="4" w:space="0" w:color="C7C8CA"/>
            </w:tcBorders>
          </w:tcPr>
          <w:p w:rsidR="00D840DF" w:rsidRDefault="00961020">
            <w:pPr>
              <w:pStyle w:val="TableParagraph"/>
              <w:spacing w:line="200" w:lineRule="exact"/>
              <w:ind w:right="472"/>
              <w:jc w:val="right"/>
              <w:rPr>
                <w:rFonts w:ascii="Futura PT Medium"/>
                <w:sz w:val="16"/>
              </w:rPr>
            </w:pPr>
            <w:r>
              <w:rPr>
                <w:rFonts w:ascii="Futura PT Medium"/>
                <w:color w:val="636466"/>
                <w:sz w:val="16"/>
              </w:rPr>
              <w:t>248</w:t>
            </w:r>
          </w:p>
        </w:tc>
        <w:tc>
          <w:tcPr>
            <w:tcW w:w="1056" w:type="dxa"/>
            <w:tcBorders>
              <w:top w:val="single" w:sz="4" w:space="0" w:color="C7C8CA"/>
              <w:bottom w:val="single" w:sz="4" w:space="0" w:color="C7C8CA"/>
            </w:tcBorders>
          </w:tcPr>
          <w:p w:rsidR="00D840DF" w:rsidRDefault="00961020">
            <w:pPr>
              <w:pStyle w:val="TableParagraph"/>
              <w:spacing w:line="200" w:lineRule="exact"/>
              <w:ind w:right="112"/>
              <w:jc w:val="right"/>
              <w:rPr>
                <w:sz w:val="16"/>
              </w:rPr>
            </w:pPr>
            <w:r>
              <w:rPr>
                <w:color w:val="636466"/>
                <w:sz w:val="16"/>
              </w:rPr>
              <w:t>224</w:t>
            </w:r>
          </w:p>
        </w:tc>
      </w:tr>
      <w:tr w:rsidR="00D840DF" w:rsidTr="00A928A7">
        <w:trPr>
          <w:trHeight w:val="240"/>
        </w:trPr>
        <w:tc>
          <w:tcPr>
            <w:tcW w:w="4289" w:type="dxa"/>
            <w:tcBorders>
              <w:top w:val="single" w:sz="4" w:space="0" w:color="C7C8CA"/>
            </w:tcBorders>
          </w:tcPr>
          <w:p w:rsidR="00D840DF" w:rsidRDefault="00961020">
            <w:pPr>
              <w:pStyle w:val="TableParagraph"/>
              <w:ind w:left="113"/>
              <w:rPr>
                <w:sz w:val="16"/>
              </w:rPr>
            </w:pPr>
            <w:r>
              <w:rPr>
                <w:color w:val="636466"/>
                <w:sz w:val="16"/>
              </w:rPr>
              <w:t>Other</w:t>
            </w:r>
          </w:p>
        </w:tc>
        <w:tc>
          <w:tcPr>
            <w:tcW w:w="2202" w:type="dxa"/>
            <w:tcBorders>
              <w:top w:val="single" w:sz="4" w:space="0" w:color="C7C8CA"/>
            </w:tcBorders>
          </w:tcPr>
          <w:p w:rsidR="00D840DF" w:rsidRDefault="00961020">
            <w:pPr>
              <w:pStyle w:val="TableParagraph"/>
              <w:ind w:right="473"/>
              <w:jc w:val="right"/>
              <w:rPr>
                <w:rFonts w:ascii="Futura PT Medium"/>
                <w:sz w:val="16"/>
              </w:rPr>
            </w:pPr>
            <w:r>
              <w:rPr>
                <w:rFonts w:ascii="Futura PT Medium"/>
                <w:color w:val="636466"/>
                <w:sz w:val="16"/>
              </w:rPr>
              <w:t>347</w:t>
            </w:r>
          </w:p>
        </w:tc>
        <w:tc>
          <w:tcPr>
            <w:tcW w:w="1056" w:type="dxa"/>
            <w:tcBorders>
              <w:top w:val="single" w:sz="4" w:space="0" w:color="C7C8CA"/>
            </w:tcBorders>
          </w:tcPr>
          <w:p w:rsidR="00D840DF" w:rsidRDefault="00961020">
            <w:pPr>
              <w:pStyle w:val="TableParagraph"/>
              <w:ind w:right="114"/>
              <w:jc w:val="right"/>
              <w:rPr>
                <w:sz w:val="16"/>
              </w:rPr>
            </w:pPr>
            <w:r>
              <w:rPr>
                <w:color w:val="636466"/>
                <w:sz w:val="16"/>
              </w:rPr>
              <w:t>895</w:t>
            </w:r>
          </w:p>
        </w:tc>
      </w:tr>
      <w:tr w:rsidR="00D840DF" w:rsidTr="00845352">
        <w:trPr>
          <w:trHeight w:val="420"/>
        </w:trPr>
        <w:tc>
          <w:tcPr>
            <w:tcW w:w="4289" w:type="dxa"/>
            <w:tcBorders>
              <w:bottom w:val="single" w:sz="4" w:space="0" w:color="C7C8CA"/>
            </w:tcBorders>
            <w:shd w:val="clear" w:color="auto" w:fill="D9D9D9" w:themeFill="background1" w:themeFillShade="D9"/>
          </w:tcPr>
          <w:p w:rsidR="00D840DF" w:rsidRDefault="00961020">
            <w:pPr>
              <w:pStyle w:val="TableParagraph"/>
              <w:spacing w:before="21"/>
              <w:ind w:left="113"/>
              <w:rPr>
                <w:rFonts w:ascii="Futura PT Medium"/>
                <w:sz w:val="16"/>
              </w:rPr>
            </w:pPr>
            <w:r>
              <w:rPr>
                <w:rFonts w:ascii="Futura PT Medium"/>
                <w:sz w:val="16"/>
              </w:rPr>
              <w:t>Total goods and services supplied or rendered</w:t>
            </w:r>
          </w:p>
        </w:tc>
        <w:tc>
          <w:tcPr>
            <w:tcW w:w="2202" w:type="dxa"/>
            <w:tcBorders>
              <w:bottom w:val="single" w:sz="4" w:space="0" w:color="C7C8CA"/>
            </w:tcBorders>
            <w:shd w:val="clear" w:color="auto" w:fill="D9D9D9" w:themeFill="background1" w:themeFillShade="D9"/>
          </w:tcPr>
          <w:p w:rsidR="00D840DF" w:rsidRDefault="00961020">
            <w:pPr>
              <w:pStyle w:val="TableParagraph"/>
              <w:spacing w:before="21"/>
              <w:ind w:right="472"/>
              <w:jc w:val="right"/>
              <w:rPr>
                <w:rFonts w:ascii="Futura PT Medium"/>
                <w:sz w:val="16"/>
              </w:rPr>
            </w:pPr>
            <w:r>
              <w:rPr>
                <w:rFonts w:ascii="Futura PT Medium"/>
                <w:sz w:val="16"/>
              </w:rPr>
              <w:t>10,540</w:t>
            </w:r>
          </w:p>
        </w:tc>
        <w:tc>
          <w:tcPr>
            <w:tcW w:w="1056" w:type="dxa"/>
            <w:tcBorders>
              <w:bottom w:val="single" w:sz="4" w:space="0" w:color="C7C8CA"/>
            </w:tcBorders>
            <w:shd w:val="clear" w:color="auto" w:fill="D9D9D9" w:themeFill="background1" w:themeFillShade="D9"/>
          </w:tcPr>
          <w:p w:rsidR="00D840DF" w:rsidRDefault="00961020">
            <w:pPr>
              <w:pStyle w:val="TableParagraph"/>
              <w:spacing w:before="21"/>
              <w:ind w:right="111"/>
              <w:jc w:val="right"/>
              <w:rPr>
                <w:rFonts w:ascii="Futura PT Medium"/>
                <w:sz w:val="16"/>
              </w:rPr>
            </w:pPr>
            <w:r>
              <w:rPr>
                <w:rFonts w:ascii="Futura PT Medium"/>
                <w:sz w:val="16"/>
              </w:rPr>
              <w:t>13,883</w:t>
            </w:r>
          </w:p>
        </w:tc>
      </w:tr>
    </w:tbl>
    <w:p w:rsidR="00D840DF" w:rsidRDefault="00D840DF" w:rsidP="008D2169">
      <w:pPr>
        <w:jc w:val="center"/>
        <w:rPr>
          <w:rFonts w:ascii="Futura PT Medium"/>
          <w:sz w:val="16"/>
        </w:rPr>
        <w:sectPr w:rsidR="00D840DF">
          <w:pgSz w:w="9980" w:h="14180"/>
          <w:pgMar w:top="1320" w:right="1020" w:bottom="280" w:left="1180" w:header="720" w:footer="720" w:gutter="0"/>
          <w:cols w:space="720"/>
        </w:sectPr>
      </w:pPr>
    </w:p>
    <w:p w:rsidR="00D840DF" w:rsidRDefault="00D840DF">
      <w:pPr>
        <w:pStyle w:val="BodyText"/>
        <w:spacing w:before="10"/>
        <w:rPr>
          <w:sz w:val="10"/>
        </w:rPr>
      </w:pPr>
    </w:p>
    <w:tbl>
      <w:tblPr>
        <w:tblW w:w="0" w:type="auto"/>
        <w:tblInd w:w="113" w:type="dxa"/>
        <w:tblLayout w:type="fixed"/>
        <w:tblCellMar>
          <w:left w:w="0" w:type="dxa"/>
          <w:right w:w="0" w:type="dxa"/>
        </w:tblCellMar>
        <w:tblLook w:val="01E0" w:firstRow="1" w:lastRow="1" w:firstColumn="1" w:lastColumn="1" w:noHBand="0" w:noVBand="0"/>
      </w:tblPr>
      <w:tblGrid>
        <w:gridCol w:w="4289"/>
        <w:gridCol w:w="2202"/>
        <w:gridCol w:w="1056"/>
      </w:tblGrid>
      <w:tr w:rsidR="00D840DF">
        <w:trPr>
          <w:trHeight w:val="480"/>
        </w:trPr>
        <w:tc>
          <w:tcPr>
            <w:tcW w:w="4289" w:type="dxa"/>
            <w:shd w:val="clear" w:color="auto" w:fill="008F54"/>
          </w:tcPr>
          <w:p w:rsidR="00D840DF" w:rsidRDefault="00D840DF">
            <w:pPr>
              <w:pStyle w:val="TableParagraph"/>
              <w:spacing w:before="0"/>
              <w:rPr>
                <w:rFonts w:ascii="Times New Roman"/>
                <w:sz w:val="16"/>
              </w:rPr>
            </w:pPr>
          </w:p>
        </w:tc>
        <w:tc>
          <w:tcPr>
            <w:tcW w:w="2202" w:type="dxa"/>
            <w:shd w:val="clear" w:color="auto" w:fill="008F54"/>
          </w:tcPr>
          <w:p w:rsidR="00D840DF" w:rsidRDefault="00961020">
            <w:pPr>
              <w:pStyle w:val="TableParagraph"/>
              <w:spacing w:before="30" w:line="209" w:lineRule="exact"/>
              <w:ind w:left="1352"/>
              <w:rPr>
                <w:rFonts w:ascii="Futura PT Demi"/>
                <w:sz w:val="17"/>
              </w:rPr>
            </w:pPr>
            <w:bookmarkStart w:id="151" w:name="Note_1.2_Own-source_revenue_and_gains"/>
            <w:bookmarkStart w:id="152" w:name="_bookmark40"/>
            <w:bookmarkEnd w:id="151"/>
            <w:bookmarkEnd w:id="152"/>
            <w:r>
              <w:rPr>
                <w:rFonts w:ascii="Futura PT Demi"/>
                <w:color w:val="FFFFFF"/>
                <w:sz w:val="17"/>
              </w:rPr>
              <w:t>2017</w:t>
            </w:r>
          </w:p>
          <w:p w:rsidR="00D840DF" w:rsidRDefault="00961020">
            <w:pPr>
              <w:pStyle w:val="TableParagraph"/>
              <w:spacing w:before="0" w:line="209" w:lineRule="exact"/>
              <w:ind w:left="1277"/>
              <w:rPr>
                <w:rFonts w:ascii="Futura PT Demi" w:hAnsi="Futura PT Demi"/>
                <w:sz w:val="17"/>
              </w:rPr>
            </w:pPr>
            <w:r>
              <w:rPr>
                <w:rFonts w:ascii="Futura PT Demi" w:hAnsi="Futura PT Demi"/>
                <w:color w:val="FFFFFF"/>
                <w:sz w:val="17"/>
              </w:rPr>
              <w:t>$’000</w:t>
            </w:r>
          </w:p>
        </w:tc>
        <w:tc>
          <w:tcPr>
            <w:tcW w:w="1056" w:type="dxa"/>
            <w:shd w:val="clear" w:color="auto" w:fill="008F54"/>
          </w:tcPr>
          <w:p w:rsidR="00D840DF" w:rsidRDefault="00961020">
            <w:pPr>
              <w:pStyle w:val="TableParagraph"/>
              <w:spacing w:before="30" w:line="209" w:lineRule="exact"/>
              <w:ind w:left="567"/>
              <w:rPr>
                <w:rFonts w:ascii="Futura PT Demi"/>
                <w:sz w:val="17"/>
              </w:rPr>
            </w:pPr>
            <w:r>
              <w:rPr>
                <w:rFonts w:ascii="Futura PT Demi"/>
                <w:color w:val="FFFFFF"/>
                <w:sz w:val="17"/>
              </w:rPr>
              <w:t>2016</w:t>
            </w:r>
          </w:p>
          <w:p w:rsidR="00D840DF" w:rsidRDefault="00961020">
            <w:pPr>
              <w:pStyle w:val="TableParagraph"/>
              <w:spacing w:before="0" w:line="209" w:lineRule="exact"/>
              <w:ind w:left="492"/>
              <w:rPr>
                <w:rFonts w:ascii="Futura PT Demi" w:hAnsi="Futura PT Demi"/>
                <w:sz w:val="17"/>
              </w:rPr>
            </w:pPr>
            <w:r>
              <w:rPr>
                <w:rFonts w:ascii="Futura PT Demi" w:hAnsi="Futura PT Demi"/>
                <w:color w:val="FFFFFF"/>
                <w:sz w:val="17"/>
              </w:rPr>
              <w:t>$’000</w:t>
            </w:r>
          </w:p>
        </w:tc>
      </w:tr>
      <w:tr w:rsidR="00D840DF">
        <w:trPr>
          <w:trHeight w:val="220"/>
        </w:trPr>
        <w:tc>
          <w:tcPr>
            <w:tcW w:w="4289" w:type="dxa"/>
            <w:tcBorders>
              <w:bottom w:val="single" w:sz="4" w:space="0" w:color="C7C8CA"/>
            </w:tcBorders>
          </w:tcPr>
          <w:p w:rsidR="00D840DF" w:rsidRDefault="00961020">
            <w:pPr>
              <w:pStyle w:val="TableParagraph"/>
              <w:spacing w:line="200" w:lineRule="exact"/>
              <w:ind w:left="113"/>
              <w:rPr>
                <w:sz w:val="16"/>
              </w:rPr>
            </w:pPr>
            <w:r>
              <w:rPr>
                <w:color w:val="636466"/>
                <w:sz w:val="16"/>
              </w:rPr>
              <w:t>Goods supplied</w:t>
            </w:r>
          </w:p>
        </w:tc>
        <w:tc>
          <w:tcPr>
            <w:tcW w:w="2202" w:type="dxa"/>
            <w:tcBorders>
              <w:bottom w:val="single" w:sz="4" w:space="0" w:color="C7C8CA"/>
            </w:tcBorders>
          </w:tcPr>
          <w:p w:rsidR="00D840DF" w:rsidRDefault="00961020">
            <w:pPr>
              <w:pStyle w:val="TableParagraph"/>
              <w:spacing w:line="200" w:lineRule="exact"/>
              <w:ind w:right="472"/>
              <w:jc w:val="right"/>
              <w:rPr>
                <w:rFonts w:ascii="Futura PT Medium"/>
                <w:sz w:val="16"/>
              </w:rPr>
            </w:pPr>
            <w:r>
              <w:rPr>
                <w:rFonts w:ascii="Futura PT Medium"/>
                <w:color w:val="636466"/>
                <w:sz w:val="16"/>
              </w:rPr>
              <w:t>324</w:t>
            </w:r>
          </w:p>
        </w:tc>
        <w:tc>
          <w:tcPr>
            <w:tcW w:w="1056" w:type="dxa"/>
            <w:tcBorders>
              <w:bottom w:val="single" w:sz="4" w:space="0" w:color="C7C8CA"/>
            </w:tcBorders>
          </w:tcPr>
          <w:p w:rsidR="00D840DF" w:rsidRDefault="00961020">
            <w:pPr>
              <w:pStyle w:val="TableParagraph"/>
              <w:spacing w:line="200" w:lineRule="exact"/>
              <w:ind w:right="111"/>
              <w:jc w:val="right"/>
              <w:rPr>
                <w:sz w:val="16"/>
              </w:rPr>
            </w:pPr>
            <w:r>
              <w:rPr>
                <w:color w:val="636466"/>
                <w:sz w:val="16"/>
              </w:rPr>
              <w:t>926</w:t>
            </w:r>
          </w:p>
        </w:tc>
      </w:tr>
      <w:tr w:rsidR="00D840DF">
        <w:trPr>
          <w:trHeight w:val="240"/>
        </w:trPr>
        <w:tc>
          <w:tcPr>
            <w:tcW w:w="4289" w:type="dxa"/>
            <w:tcBorders>
              <w:top w:val="single" w:sz="4" w:space="0" w:color="C7C8CA"/>
            </w:tcBorders>
          </w:tcPr>
          <w:p w:rsidR="00D840DF" w:rsidRDefault="00961020">
            <w:pPr>
              <w:pStyle w:val="TableParagraph"/>
              <w:ind w:left="113"/>
              <w:rPr>
                <w:sz w:val="16"/>
              </w:rPr>
            </w:pPr>
            <w:r>
              <w:rPr>
                <w:color w:val="636466"/>
                <w:sz w:val="16"/>
              </w:rPr>
              <w:t>Services rendered</w:t>
            </w:r>
          </w:p>
        </w:tc>
        <w:tc>
          <w:tcPr>
            <w:tcW w:w="2202" w:type="dxa"/>
            <w:tcBorders>
              <w:top w:val="single" w:sz="4" w:space="0" w:color="C7C8CA"/>
            </w:tcBorders>
          </w:tcPr>
          <w:p w:rsidR="00D840DF" w:rsidRDefault="00961020">
            <w:pPr>
              <w:pStyle w:val="TableParagraph"/>
              <w:ind w:right="481"/>
              <w:jc w:val="right"/>
              <w:rPr>
                <w:rFonts w:ascii="Futura PT Medium"/>
                <w:sz w:val="16"/>
              </w:rPr>
            </w:pPr>
            <w:r>
              <w:rPr>
                <w:rFonts w:ascii="Futura PT Medium"/>
                <w:color w:val="636466"/>
                <w:sz w:val="16"/>
              </w:rPr>
              <w:t>10,216</w:t>
            </w:r>
          </w:p>
        </w:tc>
        <w:tc>
          <w:tcPr>
            <w:tcW w:w="1056" w:type="dxa"/>
            <w:tcBorders>
              <w:top w:val="single" w:sz="4" w:space="0" w:color="C7C8CA"/>
            </w:tcBorders>
          </w:tcPr>
          <w:p w:rsidR="00D840DF" w:rsidRDefault="00961020">
            <w:pPr>
              <w:pStyle w:val="TableParagraph"/>
              <w:ind w:right="111"/>
              <w:jc w:val="right"/>
              <w:rPr>
                <w:sz w:val="16"/>
              </w:rPr>
            </w:pPr>
            <w:r>
              <w:rPr>
                <w:color w:val="636466"/>
                <w:sz w:val="16"/>
              </w:rPr>
              <w:t>12,957</w:t>
            </w:r>
          </w:p>
        </w:tc>
      </w:tr>
      <w:tr w:rsidR="00D840DF">
        <w:trPr>
          <w:trHeight w:val="240"/>
        </w:trPr>
        <w:tc>
          <w:tcPr>
            <w:tcW w:w="4289"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goods and services supplied or rendered</w:t>
            </w:r>
          </w:p>
        </w:tc>
        <w:tc>
          <w:tcPr>
            <w:tcW w:w="2202" w:type="dxa"/>
            <w:tcBorders>
              <w:bottom w:val="single" w:sz="4" w:space="0" w:color="C7C8CA"/>
            </w:tcBorders>
            <w:shd w:val="clear" w:color="auto" w:fill="E6E7E8"/>
          </w:tcPr>
          <w:p w:rsidR="00D840DF" w:rsidRDefault="00961020">
            <w:pPr>
              <w:pStyle w:val="TableParagraph"/>
              <w:spacing w:before="21" w:line="200" w:lineRule="exact"/>
              <w:ind w:right="472"/>
              <w:jc w:val="right"/>
              <w:rPr>
                <w:rFonts w:ascii="Futura PT Medium"/>
                <w:sz w:val="16"/>
              </w:rPr>
            </w:pPr>
            <w:r>
              <w:rPr>
                <w:rFonts w:ascii="Futura PT Medium"/>
                <w:sz w:val="16"/>
              </w:rPr>
              <w:t>10,540</w:t>
            </w:r>
          </w:p>
        </w:tc>
        <w:tc>
          <w:tcPr>
            <w:tcW w:w="1056"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13,883</w:t>
            </w:r>
          </w:p>
        </w:tc>
      </w:tr>
      <w:tr w:rsidR="00A928A7" w:rsidTr="00A928A7">
        <w:trPr>
          <w:trHeight w:val="261"/>
        </w:trPr>
        <w:tc>
          <w:tcPr>
            <w:tcW w:w="7547" w:type="dxa"/>
            <w:gridSpan w:val="3"/>
            <w:tcBorders>
              <w:top w:val="single" w:sz="4" w:space="0" w:color="C7C8CA"/>
            </w:tcBorders>
            <w:shd w:val="clear" w:color="auto" w:fill="E1EFD8"/>
          </w:tcPr>
          <w:p w:rsidR="00A928A7" w:rsidRDefault="00A928A7">
            <w:pPr>
              <w:pStyle w:val="TableParagraph"/>
              <w:spacing w:before="0"/>
              <w:rPr>
                <w:rFonts w:ascii="Times New Roman"/>
                <w:sz w:val="16"/>
              </w:rPr>
            </w:pPr>
            <w:r>
              <w:rPr>
                <w:rFonts w:ascii="Futura PT Bold"/>
                <w:b/>
                <w:color w:val="003E2D"/>
                <w:sz w:val="16"/>
                <w:shd w:val="clear" w:color="auto" w:fill="E2F0D8"/>
              </w:rPr>
              <w:t xml:space="preserve"> Other</w:t>
            </w:r>
            <w:r>
              <w:rPr>
                <w:rFonts w:ascii="Futura PT Bold"/>
                <w:b/>
                <w:color w:val="003E2D"/>
                <w:spacing w:val="35"/>
                <w:sz w:val="16"/>
                <w:shd w:val="clear" w:color="auto" w:fill="E2F0D8"/>
              </w:rPr>
              <w:t xml:space="preserve"> </w:t>
            </w:r>
            <w:r>
              <w:rPr>
                <w:rFonts w:ascii="Futura PT Bold"/>
                <w:b/>
                <w:color w:val="003E2D"/>
                <w:sz w:val="16"/>
                <w:shd w:val="clear" w:color="auto" w:fill="E2F0D8"/>
              </w:rPr>
              <w:t>suppliers</w:t>
            </w:r>
          </w:p>
        </w:tc>
      </w:tr>
      <w:tr w:rsidR="00D840DF">
        <w:trPr>
          <w:trHeight w:val="240"/>
        </w:trPr>
        <w:tc>
          <w:tcPr>
            <w:tcW w:w="4289"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Operating lease rentals in connection with</w:t>
            </w:r>
          </w:p>
        </w:tc>
        <w:tc>
          <w:tcPr>
            <w:tcW w:w="2202" w:type="dxa"/>
            <w:tcBorders>
              <w:bottom w:val="single" w:sz="4" w:space="0" w:color="C7C8CA"/>
            </w:tcBorders>
          </w:tcPr>
          <w:p w:rsidR="00D840DF" w:rsidRDefault="00D840DF">
            <w:pPr>
              <w:pStyle w:val="TableParagraph"/>
              <w:spacing w:before="0"/>
              <w:rPr>
                <w:rFonts w:ascii="Times New Roman"/>
                <w:sz w:val="16"/>
              </w:rPr>
            </w:pPr>
          </w:p>
        </w:tc>
        <w:tc>
          <w:tcPr>
            <w:tcW w:w="1056" w:type="dxa"/>
            <w:tcBorders>
              <w:bottom w:val="single" w:sz="4" w:space="0" w:color="C7C8CA"/>
            </w:tcBorders>
          </w:tcPr>
          <w:p w:rsidR="00D840DF" w:rsidRDefault="00D840DF">
            <w:pPr>
              <w:pStyle w:val="TableParagraph"/>
              <w:spacing w:before="0"/>
              <w:rPr>
                <w:rFonts w:ascii="Times New Roman"/>
                <w:sz w:val="16"/>
              </w:rPr>
            </w:pPr>
          </w:p>
        </w:tc>
      </w:tr>
      <w:tr w:rsidR="00D840DF">
        <w:trPr>
          <w:trHeight w:val="220"/>
        </w:trPr>
        <w:tc>
          <w:tcPr>
            <w:tcW w:w="4289"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Minimum</w:t>
            </w:r>
            <w:r w:rsidR="00E314B6">
              <w:rPr>
                <w:color w:val="636466"/>
                <w:sz w:val="16"/>
              </w:rPr>
              <w:t xml:space="preserve"> </w:t>
            </w:r>
            <w:r>
              <w:rPr>
                <w:color w:val="636466"/>
                <w:sz w:val="16"/>
              </w:rPr>
              <w:t>lease payments</w:t>
            </w:r>
          </w:p>
        </w:tc>
        <w:tc>
          <w:tcPr>
            <w:tcW w:w="2202" w:type="dxa"/>
            <w:tcBorders>
              <w:top w:val="single" w:sz="4" w:space="0" w:color="C7C8CA"/>
              <w:bottom w:val="single" w:sz="4" w:space="0" w:color="C7C8CA"/>
            </w:tcBorders>
          </w:tcPr>
          <w:p w:rsidR="00D840DF" w:rsidRDefault="00961020">
            <w:pPr>
              <w:pStyle w:val="TableParagraph"/>
              <w:spacing w:line="200" w:lineRule="exact"/>
              <w:ind w:right="473"/>
              <w:jc w:val="right"/>
              <w:rPr>
                <w:rFonts w:ascii="Futura PT Medium"/>
                <w:sz w:val="16"/>
              </w:rPr>
            </w:pPr>
            <w:r>
              <w:rPr>
                <w:rFonts w:ascii="Futura PT Medium"/>
                <w:color w:val="636466"/>
                <w:sz w:val="16"/>
              </w:rPr>
              <w:t>469</w:t>
            </w:r>
          </w:p>
        </w:tc>
        <w:tc>
          <w:tcPr>
            <w:tcW w:w="1056" w:type="dxa"/>
            <w:tcBorders>
              <w:top w:val="single" w:sz="4" w:space="0" w:color="C7C8CA"/>
              <w:bottom w:val="single" w:sz="4" w:space="0" w:color="C7C8CA"/>
            </w:tcBorders>
          </w:tcPr>
          <w:p w:rsidR="00D840DF" w:rsidRDefault="00961020">
            <w:pPr>
              <w:pStyle w:val="TableParagraph"/>
              <w:spacing w:line="200" w:lineRule="exact"/>
              <w:ind w:right="115"/>
              <w:jc w:val="right"/>
              <w:rPr>
                <w:sz w:val="16"/>
              </w:rPr>
            </w:pPr>
            <w:r>
              <w:rPr>
                <w:color w:val="636466"/>
                <w:sz w:val="16"/>
              </w:rPr>
              <w:t>452</w:t>
            </w:r>
          </w:p>
        </w:tc>
      </w:tr>
      <w:tr w:rsidR="00D840DF">
        <w:trPr>
          <w:trHeight w:val="240"/>
        </w:trPr>
        <w:tc>
          <w:tcPr>
            <w:tcW w:w="4289" w:type="dxa"/>
            <w:tcBorders>
              <w:top w:val="single" w:sz="4" w:space="0" w:color="C7C8CA"/>
            </w:tcBorders>
          </w:tcPr>
          <w:p w:rsidR="00D840DF" w:rsidRDefault="00961020">
            <w:pPr>
              <w:pStyle w:val="TableParagraph"/>
              <w:ind w:left="113"/>
              <w:rPr>
                <w:sz w:val="16"/>
              </w:rPr>
            </w:pPr>
            <w:r>
              <w:rPr>
                <w:color w:val="636466"/>
                <w:sz w:val="16"/>
              </w:rPr>
              <w:t>Workers</w:t>
            </w:r>
            <w:r w:rsidR="00E314B6">
              <w:rPr>
                <w:color w:val="636466"/>
                <w:sz w:val="16"/>
              </w:rPr>
              <w:t xml:space="preserve"> </w:t>
            </w:r>
            <w:r>
              <w:rPr>
                <w:color w:val="636466"/>
                <w:sz w:val="16"/>
              </w:rPr>
              <w:t>compensation expenses</w:t>
            </w:r>
          </w:p>
        </w:tc>
        <w:tc>
          <w:tcPr>
            <w:tcW w:w="2202" w:type="dxa"/>
            <w:tcBorders>
              <w:top w:val="single" w:sz="4" w:space="0" w:color="C7C8CA"/>
            </w:tcBorders>
          </w:tcPr>
          <w:p w:rsidR="00D840DF" w:rsidRDefault="00961020">
            <w:pPr>
              <w:pStyle w:val="TableParagraph"/>
              <w:ind w:right="472"/>
              <w:jc w:val="right"/>
              <w:rPr>
                <w:rFonts w:ascii="Futura PT Medium"/>
                <w:sz w:val="16"/>
              </w:rPr>
            </w:pPr>
            <w:r>
              <w:rPr>
                <w:rFonts w:ascii="Futura PT Medium"/>
                <w:color w:val="636466"/>
                <w:sz w:val="16"/>
              </w:rPr>
              <w:t>6</w:t>
            </w:r>
          </w:p>
        </w:tc>
        <w:tc>
          <w:tcPr>
            <w:tcW w:w="1056" w:type="dxa"/>
            <w:tcBorders>
              <w:top w:val="single" w:sz="4" w:space="0" w:color="C7C8CA"/>
            </w:tcBorders>
          </w:tcPr>
          <w:p w:rsidR="00D840DF" w:rsidRDefault="00961020">
            <w:pPr>
              <w:pStyle w:val="TableParagraph"/>
              <w:ind w:right="114"/>
              <w:jc w:val="right"/>
              <w:rPr>
                <w:sz w:val="16"/>
              </w:rPr>
            </w:pPr>
            <w:r>
              <w:rPr>
                <w:color w:val="636466"/>
                <w:sz w:val="16"/>
              </w:rPr>
              <w:t>32</w:t>
            </w:r>
          </w:p>
        </w:tc>
      </w:tr>
      <w:tr w:rsidR="00D840DF">
        <w:trPr>
          <w:trHeight w:val="240"/>
        </w:trPr>
        <w:tc>
          <w:tcPr>
            <w:tcW w:w="4289"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other suppliers</w:t>
            </w:r>
          </w:p>
        </w:tc>
        <w:tc>
          <w:tcPr>
            <w:tcW w:w="2202" w:type="dxa"/>
            <w:tcBorders>
              <w:bottom w:val="single" w:sz="4" w:space="0" w:color="C7C8CA"/>
            </w:tcBorders>
            <w:shd w:val="clear" w:color="auto" w:fill="E6E7E8"/>
          </w:tcPr>
          <w:p w:rsidR="00D840DF" w:rsidRDefault="00961020">
            <w:pPr>
              <w:pStyle w:val="TableParagraph"/>
              <w:spacing w:before="21" w:line="200" w:lineRule="exact"/>
              <w:ind w:right="472"/>
              <w:jc w:val="right"/>
              <w:rPr>
                <w:rFonts w:ascii="Futura PT Medium"/>
                <w:sz w:val="16"/>
              </w:rPr>
            </w:pPr>
            <w:r>
              <w:rPr>
                <w:rFonts w:ascii="Futura PT Medium"/>
                <w:sz w:val="16"/>
              </w:rPr>
              <w:t>475</w:t>
            </w:r>
          </w:p>
        </w:tc>
        <w:tc>
          <w:tcPr>
            <w:tcW w:w="1056"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484</w:t>
            </w:r>
          </w:p>
        </w:tc>
      </w:tr>
      <w:tr w:rsidR="00D840DF">
        <w:trPr>
          <w:trHeight w:val="220"/>
        </w:trPr>
        <w:tc>
          <w:tcPr>
            <w:tcW w:w="4289"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Total suppliers</w:t>
            </w:r>
          </w:p>
        </w:tc>
        <w:tc>
          <w:tcPr>
            <w:tcW w:w="2202" w:type="dxa"/>
            <w:tcBorders>
              <w:top w:val="single" w:sz="4" w:space="0" w:color="C7C8CA"/>
              <w:bottom w:val="single" w:sz="4" w:space="0" w:color="C7C8CA"/>
            </w:tcBorders>
            <w:shd w:val="clear" w:color="auto" w:fill="E6E7E8"/>
          </w:tcPr>
          <w:p w:rsidR="00D840DF" w:rsidRDefault="00961020">
            <w:pPr>
              <w:pStyle w:val="TableParagraph"/>
              <w:spacing w:line="200" w:lineRule="exact"/>
              <w:ind w:right="472"/>
              <w:jc w:val="right"/>
              <w:rPr>
                <w:rFonts w:ascii="Futura PT Medium"/>
                <w:sz w:val="16"/>
              </w:rPr>
            </w:pPr>
            <w:r>
              <w:rPr>
                <w:rFonts w:ascii="Futura PT Medium"/>
                <w:sz w:val="16"/>
              </w:rPr>
              <w:t>11,015</w:t>
            </w:r>
          </w:p>
        </w:tc>
        <w:tc>
          <w:tcPr>
            <w:tcW w:w="1056"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14,367</w:t>
            </w:r>
          </w:p>
        </w:tc>
      </w:tr>
    </w:tbl>
    <w:p w:rsidR="00D840DF" w:rsidRDefault="00961020" w:rsidP="008F7C36">
      <w:pPr>
        <w:pStyle w:val="Heading5"/>
      </w:pPr>
      <w:r>
        <w:t>Leasing commitments</w:t>
      </w:r>
    </w:p>
    <w:p w:rsidR="00D840DF" w:rsidRPr="008D2169" w:rsidRDefault="00961020" w:rsidP="00A928A7">
      <w:pPr>
        <w:spacing w:before="166" w:line="244" w:lineRule="auto"/>
        <w:ind w:right="592"/>
        <w:rPr>
          <w:sz w:val="16"/>
        </w:rPr>
      </w:pPr>
      <w:r>
        <w:rPr>
          <w:color w:val="636466"/>
          <w:sz w:val="16"/>
        </w:rPr>
        <w:t>IHPA in its capacity as lessee entered into a lease for office accommodation for the period up to 31 May 2018. The lease is subject to an annual cost increase and is not able to be cancelled.</w:t>
      </w:r>
    </w:p>
    <w:p w:rsidR="00D840DF" w:rsidRDefault="00961020" w:rsidP="008F7C36">
      <w:pPr>
        <w:pStyle w:val="Heading5"/>
      </w:pPr>
      <w:r>
        <w:t>Accounting Policy</w:t>
      </w:r>
    </w:p>
    <w:p w:rsidR="00D840DF" w:rsidRDefault="00961020" w:rsidP="00A928A7">
      <w:pPr>
        <w:pStyle w:val="Heading6"/>
        <w:ind w:left="0"/>
      </w:pPr>
      <w:r>
        <w:t>Lease incentives</w:t>
      </w:r>
    </w:p>
    <w:p w:rsidR="00D840DF" w:rsidRDefault="00961020" w:rsidP="00A928A7">
      <w:pPr>
        <w:spacing w:before="4" w:line="244" w:lineRule="auto"/>
        <w:ind w:right="320"/>
        <w:rPr>
          <w:sz w:val="16"/>
        </w:rPr>
      </w:pPr>
      <w:r>
        <w:rPr>
          <w:color w:val="636466"/>
          <w:sz w:val="16"/>
        </w:rPr>
        <w:t xml:space="preserve">Lease incentives are </w:t>
      </w:r>
      <w:proofErr w:type="spellStart"/>
      <w:r>
        <w:rPr>
          <w:color w:val="636466"/>
          <w:sz w:val="16"/>
        </w:rPr>
        <w:t>recognised</w:t>
      </w:r>
      <w:proofErr w:type="spellEnd"/>
      <w:r>
        <w:rPr>
          <w:color w:val="636466"/>
          <w:sz w:val="16"/>
        </w:rPr>
        <w:t xml:space="preserve"> as liabilities and reduced on a straight-line basis against rental expense over the term</w:t>
      </w:r>
      <w:r w:rsidR="00E314B6">
        <w:rPr>
          <w:color w:val="636466"/>
          <w:sz w:val="16"/>
        </w:rPr>
        <w:t xml:space="preserve"> </w:t>
      </w:r>
      <w:r>
        <w:rPr>
          <w:color w:val="636466"/>
          <w:sz w:val="16"/>
        </w:rPr>
        <w:t>of the</w:t>
      </w:r>
      <w:r>
        <w:rPr>
          <w:color w:val="636466"/>
          <w:spacing w:val="15"/>
          <w:sz w:val="16"/>
        </w:rPr>
        <w:t xml:space="preserve"> </w:t>
      </w:r>
      <w:r>
        <w:rPr>
          <w:color w:val="636466"/>
          <w:sz w:val="16"/>
        </w:rPr>
        <w:t>lease.</w:t>
      </w:r>
    </w:p>
    <w:p w:rsidR="00D840DF" w:rsidRDefault="00961020" w:rsidP="00A928A7">
      <w:pPr>
        <w:spacing w:before="113" w:line="244" w:lineRule="auto"/>
        <w:rPr>
          <w:color w:val="636466"/>
          <w:sz w:val="16"/>
        </w:rPr>
      </w:pPr>
      <w:r>
        <w:rPr>
          <w:color w:val="636466"/>
          <w:sz w:val="16"/>
        </w:rPr>
        <w:t xml:space="preserve">Where IHPA has a contractual obligation to undertake remedial work upon vacating a property the estimated cost is </w:t>
      </w:r>
      <w:proofErr w:type="spellStart"/>
      <w:r>
        <w:rPr>
          <w:color w:val="636466"/>
          <w:sz w:val="16"/>
        </w:rPr>
        <w:t>recognised</w:t>
      </w:r>
      <w:proofErr w:type="spellEnd"/>
      <w:r>
        <w:rPr>
          <w:color w:val="636466"/>
          <w:sz w:val="16"/>
        </w:rPr>
        <w:t xml:space="preserve"> as a liability.</w:t>
      </w:r>
    </w:p>
    <w:p w:rsidR="008D2169" w:rsidRPr="008D2169" w:rsidRDefault="008D2169" w:rsidP="008D2169">
      <w:pPr>
        <w:spacing w:before="113" w:line="244" w:lineRule="auto"/>
        <w:ind w:left="113"/>
        <w:rPr>
          <w:sz w:val="16"/>
        </w:rPr>
      </w:pPr>
    </w:p>
    <w:tbl>
      <w:tblPr>
        <w:tblW w:w="0" w:type="auto"/>
        <w:tblInd w:w="113" w:type="dxa"/>
        <w:tblLayout w:type="fixed"/>
        <w:tblCellMar>
          <w:left w:w="0" w:type="dxa"/>
          <w:right w:w="0" w:type="dxa"/>
        </w:tblCellMar>
        <w:tblLook w:val="01E0" w:firstRow="1" w:lastRow="1" w:firstColumn="1" w:lastColumn="1" w:noHBand="0" w:noVBand="0"/>
      </w:tblPr>
      <w:tblGrid>
        <w:gridCol w:w="4983"/>
        <w:gridCol w:w="1536"/>
        <w:gridCol w:w="1040"/>
      </w:tblGrid>
      <w:tr w:rsidR="00D840DF">
        <w:trPr>
          <w:trHeight w:val="480"/>
        </w:trPr>
        <w:tc>
          <w:tcPr>
            <w:tcW w:w="4983" w:type="dxa"/>
            <w:shd w:val="clear" w:color="auto" w:fill="008F54"/>
          </w:tcPr>
          <w:p w:rsidR="00D840DF" w:rsidRDefault="00961020">
            <w:pPr>
              <w:pStyle w:val="TableParagraph"/>
              <w:spacing w:before="48" w:line="220" w:lineRule="auto"/>
              <w:ind w:left="113" w:right="600"/>
              <w:rPr>
                <w:rFonts w:ascii="Futura PT Demi"/>
                <w:sz w:val="17"/>
              </w:rPr>
            </w:pPr>
            <w:r>
              <w:rPr>
                <w:rFonts w:ascii="Futura PT Demi"/>
                <w:color w:val="FFFFFF"/>
                <w:sz w:val="17"/>
              </w:rPr>
              <w:t>Commitments for minimum lease payments in relation to non-cancellable operating leases are payable as follows:</w:t>
            </w:r>
          </w:p>
        </w:tc>
        <w:tc>
          <w:tcPr>
            <w:tcW w:w="1536" w:type="dxa"/>
            <w:shd w:val="clear" w:color="auto" w:fill="008F54"/>
          </w:tcPr>
          <w:p w:rsidR="00D840DF" w:rsidRDefault="00961020">
            <w:pPr>
              <w:pStyle w:val="TableParagraph"/>
              <w:spacing w:before="31" w:line="209" w:lineRule="exact"/>
              <w:ind w:left="670"/>
              <w:rPr>
                <w:rFonts w:ascii="Futura PT Demi"/>
                <w:sz w:val="17"/>
              </w:rPr>
            </w:pPr>
            <w:r>
              <w:rPr>
                <w:rFonts w:ascii="Futura PT Demi"/>
                <w:color w:val="FFFFFF"/>
                <w:sz w:val="17"/>
              </w:rPr>
              <w:t>2017</w:t>
            </w:r>
          </w:p>
          <w:p w:rsidR="00D840DF" w:rsidRDefault="00961020">
            <w:pPr>
              <w:pStyle w:val="TableParagraph"/>
              <w:spacing w:before="0" w:line="209" w:lineRule="exact"/>
              <w:ind w:left="602"/>
              <w:rPr>
                <w:rFonts w:ascii="Futura PT Demi"/>
                <w:sz w:val="17"/>
              </w:rPr>
            </w:pPr>
            <w:r>
              <w:rPr>
                <w:rFonts w:ascii="Futura PT Demi"/>
                <w:color w:val="FFFFFF"/>
                <w:sz w:val="17"/>
              </w:rPr>
              <w:t>$'000</w:t>
            </w:r>
          </w:p>
        </w:tc>
        <w:tc>
          <w:tcPr>
            <w:tcW w:w="1040" w:type="dxa"/>
            <w:shd w:val="clear" w:color="auto" w:fill="008F54"/>
          </w:tcPr>
          <w:p w:rsidR="00D840DF" w:rsidRDefault="00961020">
            <w:pPr>
              <w:pStyle w:val="TableParagraph"/>
              <w:spacing w:before="31" w:line="209" w:lineRule="exact"/>
              <w:ind w:left="551"/>
              <w:rPr>
                <w:rFonts w:ascii="Futura PT Demi"/>
                <w:sz w:val="17"/>
              </w:rPr>
            </w:pPr>
            <w:r>
              <w:rPr>
                <w:rFonts w:ascii="Futura PT Demi"/>
                <w:color w:val="FFFFFF"/>
                <w:sz w:val="17"/>
              </w:rPr>
              <w:t>2016</w:t>
            </w:r>
          </w:p>
          <w:p w:rsidR="00D840DF" w:rsidRDefault="00961020">
            <w:pPr>
              <w:pStyle w:val="TableParagraph"/>
              <w:spacing w:before="0" w:line="209" w:lineRule="exact"/>
              <w:ind w:left="483"/>
              <w:rPr>
                <w:rFonts w:ascii="Futura PT Demi"/>
                <w:sz w:val="17"/>
              </w:rPr>
            </w:pPr>
            <w:r>
              <w:rPr>
                <w:rFonts w:ascii="Futura PT Demi"/>
                <w:color w:val="FFFFFF"/>
                <w:sz w:val="17"/>
              </w:rPr>
              <w:t>$'000</w:t>
            </w:r>
          </w:p>
        </w:tc>
      </w:tr>
      <w:tr w:rsidR="00D840DF">
        <w:trPr>
          <w:trHeight w:val="220"/>
        </w:trPr>
        <w:tc>
          <w:tcPr>
            <w:tcW w:w="4983" w:type="dxa"/>
            <w:tcBorders>
              <w:bottom w:val="single" w:sz="4" w:space="0" w:color="C7C8CA"/>
            </w:tcBorders>
          </w:tcPr>
          <w:p w:rsidR="00D840DF" w:rsidRDefault="00961020">
            <w:pPr>
              <w:pStyle w:val="TableParagraph"/>
              <w:spacing w:line="200" w:lineRule="exact"/>
              <w:ind w:left="113"/>
              <w:rPr>
                <w:sz w:val="16"/>
              </w:rPr>
            </w:pPr>
            <w:r>
              <w:rPr>
                <w:color w:val="636466"/>
                <w:sz w:val="16"/>
              </w:rPr>
              <w:t>Within 1 year</w:t>
            </w:r>
          </w:p>
        </w:tc>
        <w:tc>
          <w:tcPr>
            <w:tcW w:w="1536" w:type="dxa"/>
            <w:tcBorders>
              <w:bottom w:val="single" w:sz="4" w:space="0" w:color="C7C8CA"/>
            </w:tcBorders>
          </w:tcPr>
          <w:p w:rsidR="00D840DF" w:rsidRDefault="00961020">
            <w:pPr>
              <w:pStyle w:val="TableParagraph"/>
              <w:spacing w:line="200" w:lineRule="exact"/>
              <w:ind w:right="488"/>
              <w:jc w:val="right"/>
              <w:rPr>
                <w:rFonts w:ascii="Futura PT Medium"/>
                <w:sz w:val="16"/>
              </w:rPr>
            </w:pPr>
            <w:r>
              <w:rPr>
                <w:rFonts w:ascii="Futura PT Medium"/>
                <w:color w:val="636466"/>
                <w:sz w:val="16"/>
              </w:rPr>
              <w:t>605</w:t>
            </w:r>
          </w:p>
        </w:tc>
        <w:tc>
          <w:tcPr>
            <w:tcW w:w="1040" w:type="dxa"/>
            <w:tcBorders>
              <w:bottom w:val="single" w:sz="4" w:space="0" w:color="C7C8CA"/>
            </w:tcBorders>
          </w:tcPr>
          <w:p w:rsidR="00D840DF" w:rsidRDefault="00961020">
            <w:pPr>
              <w:pStyle w:val="TableParagraph"/>
              <w:spacing w:line="200" w:lineRule="exact"/>
              <w:ind w:right="111"/>
              <w:jc w:val="right"/>
              <w:rPr>
                <w:sz w:val="16"/>
              </w:rPr>
            </w:pPr>
            <w:r>
              <w:rPr>
                <w:color w:val="636466"/>
                <w:sz w:val="16"/>
              </w:rPr>
              <w:t>643</w:t>
            </w:r>
          </w:p>
        </w:tc>
      </w:tr>
      <w:tr w:rsidR="00D840DF">
        <w:trPr>
          <w:trHeight w:val="220"/>
        </w:trPr>
        <w:tc>
          <w:tcPr>
            <w:tcW w:w="4983"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Between 1 to 5 years</w:t>
            </w:r>
          </w:p>
        </w:tc>
        <w:tc>
          <w:tcPr>
            <w:tcW w:w="1536" w:type="dxa"/>
            <w:tcBorders>
              <w:top w:val="single" w:sz="4" w:space="0" w:color="C7C8CA"/>
              <w:bottom w:val="single" w:sz="4" w:space="0" w:color="C7C8CA"/>
            </w:tcBorders>
          </w:tcPr>
          <w:p w:rsidR="00D840DF" w:rsidRDefault="00961020">
            <w:pPr>
              <w:pStyle w:val="TableParagraph"/>
              <w:spacing w:line="200" w:lineRule="exact"/>
              <w:ind w:right="488"/>
              <w:jc w:val="right"/>
              <w:rPr>
                <w:rFonts w:ascii="Futura PT Medium"/>
                <w:sz w:val="16"/>
              </w:rPr>
            </w:pPr>
            <w:r>
              <w:rPr>
                <w:rFonts w:ascii="Futura PT Medium"/>
                <w:color w:val="636466"/>
                <w:sz w:val="16"/>
              </w:rPr>
              <w:t>-</w:t>
            </w:r>
          </w:p>
        </w:tc>
        <w:tc>
          <w:tcPr>
            <w:tcW w:w="1040"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605</w:t>
            </w:r>
          </w:p>
        </w:tc>
      </w:tr>
      <w:tr w:rsidR="00D840DF">
        <w:trPr>
          <w:trHeight w:val="240"/>
        </w:trPr>
        <w:tc>
          <w:tcPr>
            <w:tcW w:w="4983" w:type="dxa"/>
            <w:tcBorders>
              <w:top w:val="single" w:sz="4" w:space="0" w:color="C7C8CA"/>
            </w:tcBorders>
          </w:tcPr>
          <w:p w:rsidR="00D840DF" w:rsidRDefault="00961020">
            <w:pPr>
              <w:pStyle w:val="TableParagraph"/>
              <w:ind w:left="113"/>
              <w:rPr>
                <w:sz w:val="16"/>
              </w:rPr>
            </w:pPr>
            <w:r>
              <w:rPr>
                <w:color w:val="636466"/>
                <w:sz w:val="16"/>
              </w:rPr>
              <w:t>More than 5 years</w:t>
            </w:r>
          </w:p>
        </w:tc>
        <w:tc>
          <w:tcPr>
            <w:tcW w:w="1536" w:type="dxa"/>
            <w:tcBorders>
              <w:top w:val="single" w:sz="4" w:space="0" w:color="C7C8CA"/>
            </w:tcBorders>
          </w:tcPr>
          <w:p w:rsidR="00D840DF" w:rsidRDefault="00961020">
            <w:pPr>
              <w:pStyle w:val="TableParagraph"/>
              <w:ind w:right="488"/>
              <w:jc w:val="right"/>
              <w:rPr>
                <w:rFonts w:ascii="Futura PT Medium"/>
                <w:sz w:val="16"/>
              </w:rPr>
            </w:pPr>
            <w:r>
              <w:rPr>
                <w:rFonts w:ascii="Futura PT Medium"/>
                <w:color w:val="636466"/>
                <w:sz w:val="16"/>
              </w:rPr>
              <w:t>-</w:t>
            </w:r>
          </w:p>
        </w:tc>
        <w:tc>
          <w:tcPr>
            <w:tcW w:w="1040" w:type="dxa"/>
            <w:tcBorders>
              <w:top w:val="single" w:sz="4" w:space="0" w:color="C7C8CA"/>
            </w:tcBorders>
          </w:tcPr>
          <w:p w:rsidR="00D840DF" w:rsidRDefault="00961020">
            <w:pPr>
              <w:pStyle w:val="TableParagraph"/>
              <w:ind w:right="111"/>
              <w:jc w:val="right"/>
              <w:rPr>
                <w:sz w:val="16"/>
              </w:rPr>
            </w:pPr>
            <w:r>
              <w:rPr>
                <w:color w:val="636466"/>
                <w:sz w:val="16"/>
              </w:rPr>
              <w:t>-</w:t>
            </w:r>
          </w:p>
        </w:tc>
      </w:tr>
      <w:tr w:rsidR="00D840DF">
        <w:trPr>
          <w:trHeight w:val="240"/>
        </w:trPr>
        <w:tc>
          <w:tcPr>
            <w:tcW w:w="4983"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operating lease commitments</w:t>
            </w:r>
          </w:p>
        </w:tc>
        <w:tc>
          <w:tcPr>
            <w:tcW w:w="1536" w:type="dxa"/>
            <w:tcBorders>
              <w:bottom w:val="single" w:sz="4" w:space="0" w:color="C7C8CA"/>
            </w:tcBorders>
            <w:shd w:val="clear" w:color="auto" w:fill="E6E7E8"/>
          </w:tcPr>
          <w:p w:rsidR="00D840DF" w:rsidRDefault="00961020">
            <w:pPr>
              <w:pStyle w:val="TableParagraph"/>
              <w:spacing w:before="21" w:line="200" w:lineRule="exact"/>
              <w:ind w:right="488"/>
              <w:jc w:val="right"/>
              <w:rPr>
                <w:rFonts w:ascii="Futura PT Medium"/>
                <w:sz w:val="16"/>
              </w:rPr>
            </w:pPr>
            <w:r>
              <w:rPr>
                <w:rFonts w:ascii="Futura PT Medium"/>
                <w:sz w:val="16"/>
              </w:rPr>
              <w:t>605</w:t>
            </w:r>
          </w:p>
        </w:tc>
        <w:tc>
          <w:tcPr>
            <w:tcW w:w="1040"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1,248</w:t>
            </w:r>
          </w:p>
        </w:tc>
      </w:tr>
      <w:tr w:rsidR="00D840DF">
        <w:trPr>
          <w:trHeight w:val="440"/>
        </w:trPr>
        <w:tc>
          <w:tcPr>
            <w:tcW w:w="4983" w:type="dxa"/>
            <w:tcBorders>
              <w:top w:val="single" w:sz="4" w:space="0" w:color="C7C8CA"/>
            </w:tcBorders>
          </w:tcPr>
          <w:p w:rsidR="00D840DF" w:rsidRDefault="00D840DF">
            <w:pPr>
              <w:pStyle w:val="TableParagraph"/>
              <w:spacing w:before="1"/>
              <w:rPr>
                <w:sz w:val="16"/>
              </w:rPr>
            </w:pPr>
          </w:p>
          <w:p w:rsidR="00D840DF" w:rsidRDefault="00961020">
            <w:pPr>
              <w:pStyle w:val="TableParagraph"/>
              <w:spacing w:before="0"/>
              <w:ind w:left="114"/>
              <w:rPr>
                <w:rFonts w:ascii="Futura PT Bold"/>
                <w:b/>
                <w:sz w:val="16"/>
              </w:rPr>
            </w:pPr>
            <w:r>
              <w:rPr>
                <w:rFonts w:ascii="Futura PT Bold"/>
                <w:b/>
                <w:color w:val="003E2D"/>
                <w:sz w:val="16"/>
              </w:rPr>
              <w:t>NOTE 1.1C: FINANCE COSTS</w:t>
            </w:r>
          </w:p>
        </w:tc>
        <w:tc>
          <w:tcPr>
            <w:tcW w:w="1536" w:type="dxa"/>
            <w:tcBorders>
              <w:top w:val="single" w:sz="4" w:space="0" w:color="C7C8CA"/>
            </w:tcBorders>
          </w:tcPr>
          <w:p w:rsidR="00D840DF" w:rsidRDefault="00D840DF">
            <w:pPr>
              <w:pStyle w:val="TableParagraph"/>
              <w:spacing w:before="0"/>
              <w:rPr>
                <w:rFonts w:ascii="Times New Roman"/>
                <w:sz w:val="16"/>
              </w:rPr>
            </w:pPr>
          </w:p>
        </w:tc>
        <w:tc>
          <w:tcPr>
            <w:tcW w:w="1040" w:type="dxa"/>
            <w:tcBorders>
              <w:top w:val="single" w:sz="4" w:space="0" w:color="C7C8CA"/>
            </w:tcBorders>
          </w:tcPr>
          <w:p w:rsidR="00D840DF" w:rsidRDefault="00D840DF">
            <w:pPr>
              <w:pStyle w:val="TableParagraph"/>
              <w:spacing w:before="0"/>
              <w:rPr>
                <w:rFonts w:ascii="Times New Roman"/>
                <w:sz w:val="16"/>
              </w:rPr>
            </w:pPr>
          </w:p>
        </w:tc>
      </w:tr>
      <w:tr w:rsidR="00D840DF">
        <w:trPr>
          <w:trHeight w:val="240"/>
        </w:trPr>
        <w:tc>
          <w:tcPr>
            <w:tcW w:w="4983" w:type="dxa"/>
          </w:tcPr>
          <w:p w:rsidR="00D840DF" w:rsidRDefault="00961020">
            <w:pPr>
              <w:pStyle w:val="TableParagraph"/>
              <w:spacing w:before="28"/>
              <w:ind w:left="113"/>
              <w:rPr>
                <w:sz w:val="16"/>
              </w:rPr>
            </w:pPr>
            <w:r>
              <w:rPr>
                <w:color w:val="636466"/>
                <w:sz w:val="16"/>
              </w:rPr>
              <w:t>Unwinding</w:t>
            </w:r>
            <w:r w:rsidR="00E314B6">
              <w:rPr>
                <w:color w:val="636466"/>
                <w:sz w:val="16"/>
              </w:rPr>
              <w:t xml:space="preserve"> </w:t>
            </w:r>
            <w:r>
              <w:rPr>
                <w:color w:val="636466"/>
                <w:sz w:val="16"/>
              </w:rPr>
              <w:t>of discount</w:t>
            </w:r>
          </w:p>
        </w:tc>
        <w:tc>
          <w:tcPr>
            <w:tcW w:w="1536" w:type="dxa"/>
          </w:tcPr>
          <w:p w:rsidR="00D840DF" w:rsidRDefault="00961020">
            <w:pPr>
              <w:pStyle w:val="TableParagraph"/>
              <w:spacing w:before="28"/>
              <w:ind w:right="496"/>
              <w:jc w:val="right"/>
              <w:rPr>
                <w:rFonts w:ascii="Futura PT Medium"/>
                <w:sz w:val="16"/>
              </w:rPr>
            </w:pPr>
            <w:r>
              <w:rPr>
                <w:rFonts w:ascii="Futura PT Medium"/>
                <w:color w:val="636466"/>
                <w:sz w:val="16"/>
              </w:rPr>
              <w:t>21</w:t>
            </w:r>
          </w:p>
        </w:tc>
        <w:tc>
          <w:tcPr>
            <w:tcW w:w="1040" w:type="dxa"/>
          </w:tcPr>
          <w:p w:rsidR="00D840DF" w:rsidRDefault="00961020">
            <w:pPr>
              <w:pStyle w:val="TableParagraph"/>
              <w:spacing w:before="28"/>
              <w:ind w:right="111"/>
              <w:jc w:val="right"/>
              <w:rPr>
                <w:sz w:val="16"/>
              </w:rPr>
            </w:pPr>
            <w:r>
              <w:rPr>
                <w:color w:val="636466"/>
                <w:sz w:val="16"/>
              </w:rPr>
              <w:t>3</w:t>
            </w:r>
          </w:p>
        </w:tc>
      </w:tr>
      <w:tr w:rsidR="00D840DF">
        <w:trPr>
          <w:trHeight w:val="240"/>
        </w:trPr>
        <w:tc>
          <w:tcPr>
            <w:tcW w:w="4983"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finance costs</w:t>
            </w:r>
          </w:p>
        </w:tc>
        <w:tc>
          <w:tcPr>
            <w:tcW w:w="1536" w:type="dxa"/>
            <w:tcBorders>
              <w:bottom w:val="single" w:sz="4" w:space="0" w:color="C7C8CA"/>
            </w:tcBorders>
            <w:shd w:val="clear" w:color="auto" w:fill="E6E7E8"/>
          </w:tcPr>
          <w:p w:rsidR="00D840DF" w:rsidRDefault="00961020">
            <w:pPr>
              <w:pStyle w:val="TableParagraph"/>
              <w:spacing w:before="21" w:line="200" w:lineRule="exact"/>
              <w:ind w:right="510"/>
              <w:jc w:val="right"/>
              <w:rPr>
                <w:rFonts w:ascii="Futura PT Medium"/>
                <w:sz w:val="16"/>
              </w:rPr>
            </w:pPr>
            <w:r>
              <w:rPr>
                <w:rFonts w:ascii="Futura PT Medium"/>
                <w:sz w:val="16"/>
              </w:rPr>
              <w:t>21</w:t>
            </w:r>
          </w:p>
        </w:tc>
        <w:tc>
          <w:tcPr>
            <w:tcW w:w="1040"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3</w:t>
            </w:r>
          </w:p>
        </w:tc>
      </w:tr>
    </w:tbl>
    <w:p w:rsidR="00D840DF" w:rsidRDefault="00D840DF">
      <w:pPr>
        <w:pStyle w:val="BodyText"/>
        <w:rPr>
          <w:sz w:val="18"/>
        </w:rPr>
      </w:pPr>
    </w:p>
    <w:p w:rsidR="00D840DF" w:rsidRDefault="00961020" w:rsidP="008F7C36">
      <w:pPr>
        <w:pStyle w:val="Heading5"/>
      </w:pPr>
      <w:r>
        <w:t>Accounting Policy</w:t>
      </w:r>
    </w:p>
    <w:p w:rsidR="00D840DF" w:rsidRDefault="00961020" w:rsidP="007557A3">
      <w:pPr>
        <w:spacing w:before="109"/>
        <w:rPr>
          <w:color w:val="636466"/>
          <w:sz w:val="16"/>
        </w:rPr>
      </w:pPr>
      <w:r>
        <w:rPr>
          <w:i/>
          <w:color w:val="636466"/>
          <w:sz w:val="16"/>
        </w:rPr>
        <w:t xml:space="preserve">Finance costs: </w:t>
      </w:r>
      <w:r>
        <w:rPr>
          <w:color w:val="636466"/>
          <w:sz w:val="16"/>
        </w:rPr>
        <w:t>All finance costs are expensed as incurred.</w:t>
      </w:r>
    </w:p>
    <w:p w:rsidR="007557A3" w:rsidRPr="007557A3" w:rsidRDefault="007557A3" w:rsidP="007557A3">
      <w:pPr>
        <w:spacing w:before="109"/>
        <w:rPr>
          <w:sz w:val="16"/>
        </w:rPr>
      </w:pPr>
    </w:p>
    <w:tbl>
      <w:tblPr>
        <w:tblW w:w="0" w:type="auto"/>
        <w:tblInd w:w="113" w:type="dxa"/>
        <w:tblLayout w:type="fixed"/>
        <w:tblCellMar>
          <w:left w:w="0" w:type="dxa"/>
          <w:right w:w="0" w:type="dxa"/>
        </w:tblCellMar>
        <w:tblLook w:val="01E0" w:firstRow="1" w:lastRow="1" w:firstColumn="1" w:lastColumn="1" w:noHBand="0" w:noVBand="0"/>
      </w:tblPr>
      <w:tblGrid>
        <w:gridCol w:w="4420"/>
        <w:gridCol w:w="2288"/>
        <w:gridCol w:w="856"/>
      </w:tblGrid>
      <w:tr w:rsidR="00D840DF" w:rsidTr="00A928A7">
        <w:trPr>
          <w:trHeight w:val="220"/>
        </w:trPr>
        <w:tc>
          <w:tcPr>
            <w:tcW w:w="4420" w:type="dxa"/>
          </w:tcPr>
          <w:p w:rsidR="00D840DF" w:rsidRDefault="00961020">
            <w:pPr>
              <w:pStyle w:val="TableParagraph"/>
              <w:spacing w:before="0" w:line="205" w:lineRule="exact"/>
              <w:ind w:left="114" w:right="-13"/>
              <w:rPr>
                <w:rFonts w:ascii="Futura PT Bold"/>
                <w:b/>
                <w:sz w:val="16"/>
              </w:rPr>
            </w:pPr>
            <w:r>
              <w:rPr>
                <w:rFonts w:ascii="Futura PT Bold"/>
                <w:b/>
                <w:color w:val="003E2D"/>
                <w:spacing w:val="1"/>
                <w:sz w:val="16"/>
              </w:rPr>
              <w:t xml:space="preserve">NOTE </w:t>
            </w:r>
            <w:r>
              <w:rPr>
                <w:rFonts w:ascii="Futura PT Bold"/>
                <w:b/>
                <w:color w:val="003E2D"/>
                <w:spacing w:val="-3"/>
                <w:sz w:val="16"/>
              </w:rPr>
              <w:t xml:space="preserve">1.1D: </w:t>
            </w:r>
            <w:r>
              <w:rPr>
                <w:rFonts w:ascii="Futura PT Bold"/>
                <w:b/>
                <w:color w:val="003E2D"/>
                <w:spacing w:val="2"/>
                <w:sz w:val="16"/>
              </w:rPr>
              <w:t xml:space="preserve">WRITE-DOWN </w:t>
            </w:r>
            <w:r>
              <w:rPr>
                <w:rFonts w:ascii="Futura PT Bold"/>
                <w:b/>
                <w:color w:val="003E2D"/>
                <w:spacing w:val="1"/>
                <w:sz w:val="16"/>
              </w:rPr>
              <w:t xml:space="preserve">AND </w:t>
            </w:r>
            <w:r>
              <w:rPr>
                <w:rFonts w:ascii="Futura PT Bold"/>
                <w:b/>
                <w:color w:val="003E2D"/>
                <w:spacing w:val="2"/>
                <w:sz w:val="16"/>
              </w:rPr>
              <w:t xml:space="preserve">IMPAIRMENT </w:t>
            </w:r>
            <w:r>
              <w:rPr>
                <w:rFonts w:ascii="Futura PT Bold"/>
                <w:b/>
                <w:color w:val="003E2D"/>
                <w:spacing w:val="1"/>
                <w:sz w:val="16"/>
              </w:rPr>
              <w:t>OF</w:t>
            </w:r>
            <w:r>
              <w:rPr>
                <w:rFonts w:ascii="Futura PT Bold"/>
                <w:b/>
                <w:color w:val="003E2D"/>
                <w:spacing w:val="30"/>
                <w:sz w:val="16"/>
              </w:rPr>
              <w:t xml:space="preserve"> </w:t>
            </w:r>
            <w:r>
              <w:rPr>
                <w:rFonts w:ascii="Futura PT Bold"/>
                <w:b/>
                <w:color w:val="003E2D"/>
                <w:spacing w:val="2"/>
                <w:sz w:val="16"/>
              </w:rPr>
              <w:t>ASSETS</w:t>
            </w:r>
          </w:p>
        </w:tc>
        <w:tc>
          <w:tcPr>
            <w:tcW w:w="2288" w:type="dxa"/>
          </w:tcPr>
          <w:p w:rsidR="00D840DF" w:rsidRDefault="00D840DF">
            <w:pPr>
              <w:pStyle w:val="TableParagraph"/>
              <w:spacing w:before="0"/>
              <w:rPr>
                <w:rFonts w:ascii="Times New Roman"/>
                <w:sz w:val="16"/>
              </w:rPr>
            </w:pPr>
          </w:p>
        </w:tc>
        <w:tc>
          <w:tcPr>
            <w:tcW w:w="856" w:type="dxa"/>
          </w:tcPr>
          <w:p w:rsidR="00D840DF" w:rsidRDefault="00D840DF">
            <w:pPr>
              <w:pStyle w:val="TableParagraph"/>
              <w:spacing w:before="0"/>
              <w:rPr>
                <w:rFonts w:ascii="Times New Roman"/>
                <w:sz w:val="16"/>
              </w:rPr>
            </w:pPr>
          </w:p>
        </w:tc>
      </w:tr>
      <w:tr w:rsidR="00D840DF" w:rsidTr="00A928A7">
        <w:trPr>
          <w:trHeight w:val="240"/>
        </w:trPr>
        <w:tc>
          <w:tcPr>
            <w:tcW w:w="4420" w:type="dxa"/>
          </w:tcPr>
          <w:p w:rsidR="00D840DF" w:rsidRDefault="00961020">
            <w:pPr>
              <w:pStyle w:val="TableParagraph"/>
              <w:spacing w:before="28"/>
              <w:ind w:left="113"/>
              <w:rPr>
                <w:sz w:val="16"/>
              </w:rPr>
            </w:pPr>
            <w:r>
              <w:rPr>
                <w:color w:val="636466"/>
                <w:sz w:val="16"/>
              </w:rPr>
              <w:t>Impairment of property, plant and equipment</w:t>
            </w:r>
          </w:p>
        </w:tc>
        <w:tc>
          <w:tcPr>
            <w:tcW w:w="2288" w:type="dxa"/>
          </w:tcPr>
          <w:p w:rsidR="00D840DF" w:rsidRDefault="00961020">
            <w:pPr>
              <w:pStyle w:val="TableParagraph"/>
              <w:spacing w:before="28"/>
              <w:ind w:right="686"/>
              <w:jc w:val="right"/>
              <w:rPr>
                <w:rFonts w:ascii="Futura PT Medium"/>
                <w:sz w:val="16"/>
              </w:rPr>
            </w:pPr>
            <w:r>
              <w:rPr>
                <w:rFonts w:ascii="Futura PT Medium"/>
                <w:color w:val="636466"/>
                <w:sz w:val="16"/>
              </w:rPr>
              <w:t>74</w:t>
            </w:r>
          </w:p>
        </w:tc>
        <w:tc>
          <w:tcPr>
            <w:tcW w:w="856" w:type="dxa"/>
          </w:tcPr>
          <w:p w:rsidR="00D840DF" w:rsidRDefault="00961020">
            <w:pPr>
              <w:pStyle w:val="TableParagraph"/>
              <w:spacing w:before="28"/>
              <w:ind w:right="111"/>
              <w:jc w:val="right"/>
              <w:rPr>
                <w:rFonts w:ascii="Futura PT Medium"/>
                <w:sz w:val="16"/>
              </w:rPr>
            </w:pPr>
            <w:r>
              <w:rPr>
                <w:rFonts w:ascii="Futura PT Medium"/>
                <w:color w:val="636466"/>
                <w:sz w:val="16"/>
              </w:rPr>
              <w:t>-</w:t>
            </w:r>
          </w:p>
        </w:tc>
      </w:tr>
      <w:tr w:rsidR="00D840DF" w:rsidTr="00A928A7">
        <w:trPr>
          <w:trHeight w:val="240"/>
        </w:trPr>
        <w:tc>
          <w:tcPr>
            <w:tcW w:w="4420"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write-down and impairment of assets</w:t>
            </w:r>
          </w:p>
        </w:tc>
        <w:tc>
          <w:tcPr>
            <w:tcW w:w="2288" w:type="dxa"/>
            <w:tcBorders>
              <w:bottom w:val="single" w:sz="4" w:space="0" w:color="C7C8CA"/>
            </w:tcBorders>
            <w:shd w:val="clear" w:color="auto" w:fill="E6E7E8"/>
          </w:tcPr>
          <w:p w:rsidR="00D840DF" w:rsidRDefault="00961020">
            <w:pPr>
              <w:pStyle w:val="TableParagraph"/>
              <w:spacing w:before="21" w:line="200" w:lineRule="exact"/>
              <w:ind w:right="694"/>
              <w:jc w:val="right"/>
              <w:rPr>
                <w:rFonts w:ascii="Futura PT Medium"/>
                <w:sz w:val="16"/>
              </w:rPr>
            </w:pPr>
            <w:r>
              <w:rPr>
                <w:rFonts w:ascii="Futura PT Medium"/>
                <w:sz w:val="16"/>
              </w:rPr>
              <w:t>74</w:t>
            </w:r>
          </w:p>
        </w:tc>
        <w:tc>
          <w:tcPr>
            <w:tcW w:w="856"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w:t>
            </w:r>
          </w:p>
        </w:tc>
      </w:tr>
    </w:tbl>
    <w:p w:rsidR="00D840DF" w:rsidRDefault="00D840DF">
      <w:pPr>
        <w:rPr>
          <w:rFonts w:ascii="Futura PT Demi"/>
        </w:rPr>
        <w:sectPr w:rsidR="00D840DF">
          <w:pgSz w:w="9980" w:h="14180"/>
          <w:pgMar w:top="1320" w:right="1160" w:bottom="280" w:left="1020" w:header="720" w:footer="720" w:gutter="0"/>
          <w:cols w:space="720"/>
        </w:sectPr>
      </w:pPr>
    </w:p>
    <w:p w:rsidR="00D840DF" w:rsidRPr="008D2169" w:rsidRDefault="008D2169" w:rsidP="008F7C36">
      <w:pPr>
        <w:pStyle w:val="Heading5"/>
      </w:pPr>
      <w:r>
        <w:lastRenderedPageBreak/>
        <w:t>Accounting Policy</w:t>
      </w:r>
    </w:p>
    <w:p w:rsidR="00D840DF" w:rsidRDefault="00961020" w:rsidP="00A928A7">
      <w:pPr>
        <w:pStyle w:val="Heading6"/>
        <w:ind w:left="0"/>
      </w:pPr>
      <w:r>
        <w:t>Impairment</w:t>
      </w:r>
    </w:p>
    <w:p w:rsidR="00D840DF" w:rsidRPr="007557A3" w:rsidRDefault="00961020" w:rsidP="007557A3">
      <w:pPr>
        <w:spacing w:before="4" w:line="244" w:lineRule="auto"/>
        <w:ind w:right="269"/>
        <w:rPr>
          <w:sz w:val="16"/>
        </w:rPr>
      </w:pPr>
      <w:r>
        <w:rPr>
          <w:color w:val="636466"/>
          <w:sz w:val="16"/>
        </w:rPr>
        <w:t>All assets were assessed for impairment as at 30 June 2017. Where indications of impairment exist, the asset’s recoverable amount is estimated and an impairment adjustment made if the asset’s recoverable amount is less than its carrying amount.</w:t>
      </w:r>
    </w:p>
    <w:p w:rsidR="00D840DF" w:rsidRDefault="00961020" w:rsidP="008D2169">
      <w:pPr>
        <w:pStyle w:val="Heading4"/>
      </w:pPr>
      <w:bookmarkStart w:id="153" w:name="_Note_1.2_Own-source"/>
      <w:bookmarkEnd w:id="153"/>
      <w:r>
        <w:t>Note 1.2 Own-source revenue and gains</w:t>
      </w:r>
    </w:p>
    <w:tbl>
      <w:tblPr>
        <w:tblW w:w="0" w:type="auto"/>
        <w:tblInd w:w="103" w:type="dxa"/>
        <w:tblLayout w:type="fixed"/>
        <w:tblCellMar>
          <w:left w:w="0" w:type="dxa"/>
          <w:right w:w="0" w:type="dxa"/>
        </w:tblCellMar>
        <w:tblLook w:val="01E0" w:firstRow="1" w:lastRow="1" w:firstColumn="1" w:lastColumn="1" w:noHBand="0" w:noVBand="0"/>
      </w:tblPr>
      <w:tblGrid>
        <w:gridCol w:w="4344"/>
        <w:gridCol w:w="2153"/>
        <w:gridCol w:w="1043"/>
      </w:tblGrid>
      <w:tr w:rsidR="00D840DF">
        <w:trPr>
          <w:trHeight w:val="480"/>
        </w:trPr>
        <w:tc>
          <w:tcPr>
            <w:tcW w:w="4344" w:type="dxa"/>
            <w:shd w:val="clear" w:color="auto" w:fill="008F54"/>
          </w:tcPr>
          <w:p w:rsidR="00D840DF" w:rsidRDefault="00D840DF">
            <w:pPr>
              <w:pStyle w:val="TableParagraph"/>
              <w:spacing w:before="0"/>
              <w:rPr>
                <w:rFonts w:ascii="Times New Roman"/>
                <w:sz w:val="16"/>
              </w:rPr>
            </w:pPr>
          </w:p>
        </w:tc>
        <w:tc>
          <w:tcPr>
            <w:tcW w:w="2153" w:type="dxa"/>
            <w:shd w:val="clear" w:color="auto" w:fill="008F54"/>
          </w:tcPr>
          <w:p w:rsidR="00D840DF" w:rsidRDefault="00961020">
            <w:pPr>
              <w:pStyle w:val="TableParagraph"/>
              <w:spacing w:before="31" w:line="209" w:lineRule="exact"/>
              <w:ind w:left="1290"/>
              <w:rPr>
                <w:rFonts w:ascii="Futura PT Demi"/>
                <w:sz w:val="17"/>
              </w:rPr>
            </w:pPr>
            <w:r>
              <w:rPr>
                <w:rFonts w:ascii="Futura PT Demi"/>
                <w:color w:val="FFFFFF"/>
                <w:sz w:val="17"/>
              </w:rPr>
              <w:t>2017</w:t>
            </w:r>
          </w:p>
          <w:p w:rsidR="00D840DF" w:rsidRDefault="00961020">
            <w:pPr>
              <w:pStyle w:val="TableParagraph"/>
              <w:spacing w:before="0" w:line="209" w:lineRule="exact"/>
              <w:ind w:left="1215"/>
              <w:rPr>
                <w:rFonts w:ascii="Futura PT Demi" w:hAnsi="Futura PT Demi"/>
                <w:sz w:val="17"/>
              </w:rPr>
            </w:pPr>
            <w:r>
              <w:rPr>
                <w:rFonts w:ascii="Futura PT Demi" w:hAnsi="Futura PT Demi"/>
                <w:color w:val="FFFFFF"/>
                <w:sz w:val="17"/>
              </w:rPr>
              <w:t>$’000</w:t>
            </w:r>
          </w:p>
        </w:tc>
        <w:tc>
          <w:tcPr>
            <w:tcW w:w="1043" w:type="dxa"/>
            <w:shd w:val="clear" w:color="auto" w:fill="008F54"/>
          </w:tcPr>
          <w:p w:rsidR="00D840DF" w:rsidRDefault="00961020">
            <w:pPr>
              <w:pStyle w:val="TableParagraph"/>
              <w:spacing w:before="31" w:line="209" w:lineRule="exact"/>
              <w:ind w:left="554"/>
              <w:rPr>
                <w:rFonts w:ascii="Futura PT Demi"/>
                <w:sz w:val="17"/>
              </w:rPr>
            </w:pPr>
            <w:r>
              <w:rPr>
                <w:rFonts w:ascii="Futura PT Demi"/>
                <w:color w:val="FFFFFF"/>
                <w:sz w:val="17"/>
              </w:rPr>
              <w:t>2016</w:t>
            </w:r>
          </w:p>
          <w:p w:rsidR="00D840DF" w:rsidRDefault="00961020">
            <w:pPr>
              <w:pStyle w:val="TableParagraph"/>
              <w:spacing w:before="0" w:line="209" w:lineRule="exact"/>
              <w:ind w:left="479"/>
              <w:rPr>
                <w:rFonts w:ascii="Futura PT Demi" w:hAnsi="Futura PT Demi"/>
                <w:sz w:val="17"/>
              </w:rPr>
            </w:pPr>
            <w:r>
              <w:rPr>
                <w:rFonts w:ascii="Futura PT Demi" w:hAnsi="Futura PT Demi"/>
                <w:color w:val="FFFFFF"/>
                <w:sz w:val="17"/>
              </w:rPr>
              <w:t>$’000</w:t>
            </w:r>
          </w:p>
        </w:tc>
      </w:tr>
      <w:tr w:rsidR="007557A3" w:rsidTr="00B05462">
        <w:trPr>
          <w:trHeight w:val="260"/>
        </w:trPr>
        <w:tc>
          <w:tcPr>
            <w:tcW w:w="7540" w:type="dxa"/>
            <w:gridSpan w:val="3"/>
            <w:shd w:val="clear" w:color="auto" w:fill="E2F0D8"/>
          </w:tcPr>
          <w:p w:rsidR="007557A3" w:rsidRDefault="007557A3">
            <w:pPr>
              <w:pStyle w:val="TableParagraph"/>
              <w:spacing w:before="0"/>
              <w:rPr>
                <w:rFonts w:ascii="Times New Roman"/>
                <w:sz w:val="16"/>
              </w:rPr>
            </w:pPr>
            <w:r>
              <w:rPr>
                <w:rFonts w:ascii="Futura PT Bold"/>
                <w:b/>
                <w:color w:val="003E2D"/>
                <w:sz w:val="16"/>
              </w:rPr>
              <w:t>OWN-SOURCE REVENUE</w:t>
            </w:r>
          </w:p>
        </w:tc>
      </w:tr>
      <w:tr w:rsidR="00D840DF">
        <w:trPr>
          <w:trHeight w:val="260"/>
        </w:trPr>
        <w:tc>
          <w:tcPr>
            <w:tcW w:w="7540" w:type="dxa"/>
            <w:gridSpan w:val="3"/>
            <w:tcBorders>
              <w:bottom w:val="single" w:sz="4" w:space="0" w:color="C7C8CA"/>
            </w:tcBorders>
          </w:tcPr>
          <w:p w:rsidR="00D840DF" w:rsidRDefault="00961020">
            <w:pPr>
              <w:pStyle w:val="TableParagraph"/>
              <w:spacing w:before="33"/>
              <w:ind w:left="114"/>
              <w:rPr>
                <w:rFonts w:ascii="Futura PT Bold"/>
                <w:b/>
                <w:sz w:val="16"/>
              </w:rPr>
            </w:pPr>
            <w:r>
              <w:rPr>
                <w:rFonts w:ascii="Futura PT Bold"/>
                <w:b/>
                <w:color w:val="003E2D"/>
                <w:sz w:val="16"/>
              </w:rPr>
              <w:t>NOTE 1.2A: SALE OF GOODS AND RENDERING OF SERVICES</w:t>
            </w:r>
          </w:p>
        </w:tc>
      </w:tr>
      <w:tr w:rsidR="00D840DF">
        <w:trPr>
          <w:trHeight w:val="220"/>
        </w:trPr>
        <w:tc>
          <w:tcPr>
            <w:tcW w:w="4344"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Sale of goods</w:t>
            </w:r>
          </w:p>
        </w:tc>
        <w:tc>
          <w:tcPr>
            <w:tcW w:w="2153" w:type="dxa"/>
            <w:tcBorders>
              <w:top w:val="single" w:sz="4" w:space="0" w:color="C7C8CA"/>
              <w:bottom w:val="single" w:sz="4" w:space="0" w:color="C7C8CA"/>
            </w:tcBorders>
          </w:tcPr>
          <w:p w:rsidR="00D840DF" w:rsidRDefault="00961020">
            <w:pPr>
              <w:pStyle w:val="TableParagraph"/>
              <w:spacing w:line="200" w:lineRule="exact"/>
              <w:ind w:right="499"/>
              <w:jc w:val="right"/>
              <w:rPr>
                <w:rFonts w:ascii="Futura PT Medium"/>
                <w:sz w:val="16"/>
              </w:rPr>
            </w:pPr>
            <w:r>
              <w:rPr>
                <w:rFonts w:ascii="Futura PT Medium"/>
                <w:color w:val="636466"/>
                <w:sz w:val="16"/>
              </w:rPr>
              <w:t>374</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265</w:t>
            </w:r>
          </w:p>
        </w:tc>
      </w:tr>
      <w:tr w:rsidR="00D840DF">
        <w:trPr>
          <w:trHeight w:val="240"/>
        </w:trPr>
        <w:tc>
          <w:tcPr>
            <w:tcW w:w="4344" w:type="dxa"/>
            <w:tcBorders>
              <w:top w:val="single" w:sz="4" w:space="0" w:color="C7C8CA"/>
            </w:tcBorders>
          </w:tcPr>
          <w:p w:rsidR="00D840DF" w:rsidRDefault="00961020">
            <w:pPr>
              <w:pStyle w:val="TableParagraph"/>
              <w:ind w:left="113"/>
              <w:rPr>
                <w:sz w:val="16"/>
              </w:rPr>
            </w:pPr>
            <w:r>
              <w:rPr>
                <w:color w:val="636466"/>
                <w:sz w:val="16"/>
              </w:rPr>
              <w:t>Rendering</w:t>
            </w:r>
            <w:r w:rsidR="00E314B6">
              <w:rPr>
                <w:color w:val="636466"/>
                <w:sz w:val="16"/>
              </w:rPr>
              <w:t xml:space="preserve"> </w:t>
            </w:r>
            <w:r>
              <w:rPr>
                <w:color w:val="636466"/>
                <w:sz w:val="16"/>
              </w:rPr>
              <w:t>of services</w:t>
            </w:r>
          </w:p>
        </w:tc>
        <w:tc>
          <w:tcPr>
            <w:tcW w:w="2153" w:type="dxa"/>
            <w:tcBorders>
              <w:top w:val="single" w:sz="4" w:space="0" w:color="C7C8CA"/>
            </w:tcBorders>
          </w:tcPr>
          <w:p w:rsidR="00D840DF" w:rsidRDefault="00961020">
            <w:pPr>
              <w:pStyle w:val="TableParagraph"/>
              <w:ind w:right="485"/>
              <w:jc w:val="right"/>
              <w:rPr>
                <w:rFonts w:ascii="Futura PT Medium"/>
                <w:sz w:val="16"/>
              </w:rPr>
            </w:pPr>
            <w:r>
              <w:rPr>
                <w:rFonts w:ascii="Futura PT Medium"/>
                <w:color w:val="636466"/>
                <w:sz w:val="16"/>
              </w:rPr>
              <w:t>535</w:t>
            </w:r>
          </w:p>
        </w:tc>
        <w:tc>
          <w:tcPr>
            <w:tcW w:w="1043" w:type="dxa"/>
            <w:tcBorders>
              <w:top w:val="single" w:sz="4" w:space="0" w:color="C7C8CA"/>
            </w:tcBorders>
          </w:tcPr>
          <w:p w:rsidR="00D840DF" w:rsidRDefault="00961020">
            <w:pPr>
              <w:pStyle w:val="TableParagraph"/>
              <w:ind w:right="111"/>
              <w:jc w:val="right"/>
              <w:rPr>
                <w:sz w:val="16"/>
              </w:rPr>
            </w:pPr>
            <w:r>
              <w:rPr>
                <w:color w:val="636466"/>
                <w:sz w:val="16"/>
              </w:rPr>
              <w:t>602</w:t>
            </w:r>
          </w:p>
        </w:tc>
      </w:tr>
      <w:tr w:rsidR="00D840DF">
        <w:trPr>
          <w:trHeight w:val="240"/>
        </w:trPr>
        <w:tc>
          <w:tcPr>
            <w:tcW w:w="4344"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sale of goods and rendering of services</w:t>
            </w:r>
          </w:p>
        </w:tc>
        <w:tc>
          <w:tcPr>
            <w:tcW w:w="2153" w:type="dxa"/>
            <w:tcBorders>
              <w:bottom w:val="single" w:sz="4" w:space="0" w:color="C7C8CA"/>
            </w:tcBorders>
            <w:shd w:val="clear" w:color="auto" w:fill="E6E7E8"/>
          </w:tcPr>
          <w:p w:rsidR="00D840DF" w:rsidRDefault="00961020">
            <w:pPr>
              <w:pStyle w:val="TableParagraph"/>
              <w:spacing w:before="21" w:line="200" w:lineRule="exact"/>
              <w:ind w:right="485"/>
              <w:jc w:val="right"/>
              <w:rPr>
                <w:rFonts w:ascii="Futura PT Medium"/>
                <w:sz w:val="16"/>
              </w:rPr>
            </w:pPr>
            <w:r>
              <w:rPr>
                <w:rFonts w:ascii="Futura PT Medium"/>
                <w:sz w:val="16"/>
              </w:rPr>
              <w:t>909</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867</w:t>
            </w:r>
          </w:p>
        </w:tc>
      </w:tr>
    </w:tbl>
    <w:p w:rsidR="00D840DF" w:rsidRDefault="00961020" w:rsidP="008F7C36">
      <w:pPr>
        <w:pStyle w:val="Heading5"/>
      </w:pPr>
      <w:r>
        <w:t>Accounting Policy</w:t>
      </w:r>
    </w:p>
    <w:p w:rsidR="00D840DF" w:rsidRDefault="00961020" w:rsidP="00A928A7">
      <w:pPr>
        <w:spacing w:before="108"/>
        <w:rPr>
          <w:i/>
          <w:sz w:val="16"/>
        </w:rPr>
      </w:pPr>
      <w:r>
        <w:rPr>
          <w:i/>
          <w:color w:val="636466"/>
          <w:sz w:val="16"/>
        </w:rPr>
        <w:t>Sale of goods and rendering of services</w:t>
      </w:r>
    </w:p>
    <w:p w:rsidR="00D840DF" w:rsidRDefault="00961020" w:rsidP="00A928A7">
      <w:pPr>
        <w:spacing w:before="4"/>
        <w:rPr>
          <w:sz w:val="16"/>
        </w:rPr>
      </w:pPr>
      <w:r>
        <w:rPr>
          <w:color w:val="636466"/>
          <w:sz w:val="16"/>
        </w:rPr>
        <w:t xml:space="preserve">Revenue from the sale of goods is </w:t>
      </w:r>
      <w:proofErr w:type="spellStart"/>
      <w:r>
        <w:rPr>
          <w:color w:val="636466"/>
          <w:sz w:val="16"/>
        </w:rPr>
        <w:t>recognised</w:t>
      </w:r>
      <w:proofErr w:type="spellEnd"/>
      <w:r>
        <w:rPr>
          <w:color w:val="636466"/>
          <w:sz w:val="16"/>
        </w:rPr>
        <w:t xml:space="preserve"> when:</w:t>
      </w:r>
    </w:p>
    <w:p w:rsidR="00D840DF" w:rsidRDefault="00961020">
      <w:pPr>
        <w:pStyle w:val="ListParagraph"/>
        <w:numPr>
          <w:ilvl w:val="2"/>
          <w:numId w:val="6"/>
        </w:numPr>
        <w:tabs>
          <w:tab w:val="left" w:pos="331"/>
        </w:tabs>
        <w:spacing w:before="118"/>
        <w:rPr>
          <w:sz w:val="16"/>
        </w:rPr>
      </w:pPr>
      <w:r>
        <w:rPr>
          <w:color w:val="636466"/>
          <w:sz w:val="16"/>
        </w:rPr>
        <w:t>the</w:t>
      </w:r>
      <w:r>
        <w:rPr>
          <w:color w:val="636466"/>
          <w:spacing w:val="6"/>
          <w:sz w:val="16"/>
        </w:rPr>
        <w:t xml:space="preserve"> </w:t>
      </w:r>
      <w:r>
        <w:rPr>
          <w:color w:val="636466"/>
          <w:sz w:val="16"/>
        </w:rPr>
        <w:t>risks</w:t>
      </w:r>
      <w:r>
        <w:rPr>
          <w:color w:val="636466"/>
          <w:spacing w:val="6"/>
          <w:sz w:val="16"/>
        </w:rPr>
        <w:t xml:space="preserve"> </w:t>
      </w:r>
      <w:r>
        <w:rPr>
          <w:color w:val="636466"/>
          <w:sz w:val="16"/>
        </w:rPr>
        <w:t>and</w:t>
      </w:r>
      <w:r>
        <w:rPr>
          <w:color w:val="636466"/>
          <w:spacing w:val="6"/>
          <w:sz w:val="16"/>
        </w:rPr>
        <w:t xml:space="preserve"> </w:t>
      </w:r>
      <w:r>
        <w:rPr>
          <w:color w:val="636466"/>
          <w:sz w:val="16"/>
        </w:rPr>
        <w:t>rewards</w:t>
      </w:r>
      <w:r>
        <w:rPr>
          <w:color w:val="636466"/>
          <w:spacing w:val="6"/>
          <w:sz w:val="16"/>
        </w:rPr>
        <w:t xml:space="preserve"> </w:t>
      </w:r>
      <w:r>
        <w:rPr>
          <w:color w:val="636466"/>
          <w:sz w:val="16"/>
        </w:rPr>
        <w:t>of</w:t>
      </w:r>
      <w:r>
        <w:rPr>
          <w:color w:val="636466"/>
          <w:spacing w:val="6"/>
          <w:sz w:val="16"/>
        </w:rPr>
        <w:t xml:space="preserve"> </w:t>
      </w:r>
      <w:r>
        <w:rPr>
          <w:color w:val="636466"/>
          <w:sz w:val="16"/>
        </w:rPr>
        <w:t>ownership</w:t>
      </w:r>
      <w:r>
        <w:rPr>
          <w:color w:val="636466"/>
          <w:spacing w:val="6"/>
          <w:sz w:val="16"/>
        </w:rPr>
        <w:t xml:space="preserve"> </w:t>
      </w:r>
      <w:r>
        <w:rPr>
          <w:color w:val="636466"/>
          <w:sz w:val="16"/>
        </w:rPr>
        <w:t>have</w:t>
      </w:r>
      <w:r>
        <w:rPr>
          <w:color w:val="636466"/>
          <w:spacing w:val="6"/>
          <w:sz w:val="16"/>
        </w:rPr>
        <w:t xml:space="preserve"> </w:t>
      </w:r>
      <w:r>
        <w:rPr>
          <w:color w:val="636466"/>
          <w:sz w:val="16"/>
        </w:rPr>
        <w:t>been</w:t>
      </w:r>
      <w:r>
        <w:rPr>
          <w:color w:val="636466"/>
          <w:spacing w:val="6"/>
          <w:sz w:val="16"/>
        </w:rPr>
        <w:t xml:space="preserve"> </w:t>
      </w:r>
      <w:r>
        <w:rPr>
          <w:color w:val="636466"/>
          <w:sz w:val="16"/>
        </w:rPr>
        <w:t>transferred</w:t>
      </w:r>
      <w:r>
        <w:rPr>
          <w:color w:val="636466"/>
          <w:spacing w:val="6"/>
          <w:sz w:val="16"/>
        </w:rPr>
        <w:t xml:space="preserve"> </w:t>
      </w:r>
      <w:r>
        <w:rPr>
          <w:color w:val="636466"/>
          <w:sz w:val="16"/>
        </w:rPr>
        <w:t>to</w:t>
      </w:r>
      <w:r>
        <w:rPr>
          <w:color w:val="636466"/>
          <w:spacing w:val="6"/>
          <w:sz w:val="16"/>
        </w:rPr>
        <w:t xml:space="preserve"> </w:t>
      </w:r>
      <w:r>
        <w:rPr>
          <w:color w:val="636466"/>
          <w:sz w:val="16"/>
        </w:rPr>
        <w:t>the</w:t>
      </w:r>
      <w:r>
        <w:rPr>
          <w:color w:val="636466"/>
          <w:spacing w:val="6"/>
          <w:sz w:val="16"/>
        </w:rPr>
        <w:t xml:space="preserve"> </w:t>
      </w:r>
      <w:r>
        <w:rPr>
          <w:color w:val="636466"/>
          <w:sz w:val="16"/>
        </w:rPr>
        <w:t>buyer;</w:t>
      </w:r>
      <w:r>
        <w:rPr>
          <w:color w:val="636466"/>
          <w:spacing w:val="6"/>
          <w:sz w:val="16"/>
        </w:rPr>
        <w:t xml:space="preserve"> </w:t>
      </w:r>
      <w:r>
        <w:rPr>
          <w:color w:val="636466"/>
          <w:sz w:val="16"/>
        </w:rPr>
        <w:t>and</w:t>
      </w:r>
    </w:p>
    <w:p w:rsidR="00D840DF" w:rsidRDefault="00961020">
      <w:pPr>
        <w:pStyle w:val="ListParagraph"/>
        <w:numPr>
          <w:ilvl w:val="2"/>
          <w:numId w:val="6"/>
        </w:numPr>
        <w:tabs>
          <w:tab w:val="left" w:pos="331"/>
        </w:tabs>
        <w:spacing w:before="61"/>
        <w:rPr>
          <w:sz w:val="16"/>
        </w:rPr>
      </w:pPr>
      <w:proofErr w:type="gramStart"/>
      <w:r>
        <w:rPr>
          <w:color w:val="636466"/>
          <w:sz w:val="16"/>
        </w:rPr>
        <w:t>the</w:t>
      </w:r>
      <w:proofErr w:type="gramEnd"/>
      <w:r>
        <w:rPr>
          <w:color w:val="636466"/>
          <w:spacing w:val="10"/>
          <w:sz w:val="16"/>
        </w:rPr>
        <w:t xml:space="preserve"> </w:t>
      </w:r>
      <w:r>
        <w:rPr>
          <w:color w:val="636466"/>
          <w:sz w:val="16"/>
        </w:rPr>
        <w:t>Pricing</w:t>
      </w:r>
      <w:r>
        <w:rPr>
          <w:color w:val="636466"/>
          <w:spacing w:val="10"/>
          <w:sz w:val="16"/>
        </w:rPr>
        <w:t xml:space="preserve"> </w:t>
      </w:r>
      <w:r>
        <w:rPr>
          <w:color w:val="636466"/>
          <w:sz w:val="16"/>
        </w:rPr>
        <w:t>Authority</w:t>
      </w:r>
      <w:r>
        <w:rPr>
          <w:color w:val="636466"/>
          <w:spacing w:val="10"/>
          <w:sz w:val="16"/>
        </w:rPr>
        <w:t xml:space="preserve"> </w:t>
      </w:r>
      <w:r>
        <w:rPr>
          <w:color w:val="636466"/>
          <w:sz w:val="16"/>
        </w:rPr>
        <w:t>retains</w:t>
      </w:r>
      <w:r>
        <w:rPr>
          <w:color w:val="636466"/>
          <w:spacing w:val="10"/>
          <w:sz w:val="16"/>
        </w:rPr>
        <w:t xml:space="preserve"> </w:t>
      </w:r>
      <w:r>
        <w:rPr>
          <w:color w:val="636466"/>
          <w:sz w:val="16"/>
        </w:rPr>
        <w:t>no</w:t>
      </w:r>
      <w:r>
        <w:rPr>
          <w:color w:val="636466"/>
          <w:spacing w:val="10"/>
          <w:sz w:val="16"/>
        </w:rPr>
        <w:t xml:space="preserve"> </w:t>
      </w:r>
      <w:r>
        <w:rPr>
          <w:color w:val="636466"/>
          <w:sz w:val="16"/>
        </w:rPr>
        <w:t>managerial</w:t>
      </w:r>
      <w:r>
        <w:rPr>
          <w:color w:val="636466"/>
          <w:spacing w:val="10"/>
          <w:sz w:val="16"/>
        </w:rPr>
        <w:t xml:space="preserve"> </w:t>
      </w:r>
      <w:r>
        <w:rPr>
          <w:color w:val="636466"/>
          <w:sz w:val="16"/>
        </w:rPr>
        <w:t>involvement</w:t>
      </w:r>
      <w:r>
        <w:rPr>
          <w:color w:val="636466"/>
          <w:spacing w:val="10"/>
          <w:sz w:val="16"/>
        </w:rPr>
        <w:t xml:space="preserve"> </w:t>
      </w:r>
      <w:r>
        <w:rPr>
          <w:color w:val="636466"/>
          <w:sz w:val="16"/>
        </w:rPr>
        <w:t>or</w:t>
      </w:r>
      <w:r>
        <w:rPr>
          <w:color w:val="636466"/>
          <w:spacing w:val="10"/>
          <w:sz w:val="16"/>
        </w:rPr>
        <w:t xml:space="preserve"> </w:t>
      </w:r>
      <w:r>
        <w:rPr>
          <w:color w:val="636466"/>
          <w:sz w:val="16"/>
        </w:rPr>
        <w:t>effective</w:t>
      </w:r>
      <w:r>
        <w:rPr>
          <w:color w:val="636466"/>
          <w:spacing w:val="10"/>
          <w:sz w:val="16"/>
        </w:rPr>
        <w:t xml:space="preserve"> </w:t>
      </w:r>
      <w:r>
        <w:rPr>
          <w:color w:val="636466"/>
          <w:sz w:val="16"/>
        </w:rPr>
        <w:t>control</w:t>
      </w:r>
      <w:r>
        <w:rPr>
          <w:color w:val="636466"/>
          <w:spacing w:val="10"/>
          <w:sz w:val="16"/>
        </w:rPr>
        <w:t xml:space="preserve"> </w:t>
      </w:r>
      <w:r>
        <w:rPr>
          <w:color w:val="636466"/>
          <w:sz w:val="16"/>
        </w:rPr>
        <w:t>over</w:t>
      </w:r>
      <w:r>
        <w:rPr>
          <w:color w:val="636466"/>
          <w:spacing w:val="10"/>
          <w:sz w:val="16"/>
        </w:rPr>
        <w:t xml:space="preserve"> </w:t>
      </w:r>
      <w:r>
        <w:rPr>
          <w:color w:val="636466"/>
          <w:sz w:val="16"/>
        </w:rPr>
        <w:t>the</w:t>
      </w:r>
      <w:r>
        <w:rPr>
          <w:color w:val="636466"/>
          <w:spacing w:val="10"/>
          <w:sz w:val="16"/>
        </w:rPr>
        <w:t xml:space="preserve"> </w:t>
      </w:r>
      <w:r>
        <w:rPr>
          <w:color w:val="636466"/>
          <w:sz w:val="16"/>
        </w:rPr>
        <w:t>goods.</w:t>
      </w:r>
    </w:p>
    <w:p w:rsidR="00D840DF" w:rsidRDefault="00961020" w:rsidP="00A928A7">
      <w:pPr>
        <w:spacing w:before="117" w:line="244" w:lineRule="auto"/>
        <w:ind w:right="269"/>
        <w:rPr>
          <w:sz w:val="16"/>
        </w:rPr>
      </w:pPr>
      <w:r>
        <w:rPr>
          <w:color w:val="636466"/>
          <w:sz w:val="16"/>
        </w:rPr>
        <w:t xml:space="preserve">Revenue from rendering of services is </w:t>
      </w:r>
      <w:proofErr w:type="spellStart"/>
      <w:r>
        <w:rPr>
          <w:color w:val="636466"/>
          <w:sz w:val="16"/>
        </w:rPr>
        <w:t>recognised</w:t>
      </w:r>
      <w:proofErr w:type="spellEnd"/>
      <w:r>
        <w:rPr>
          <w:color w:val="636466"/>
          <w:sz w:val="16"/>
        </w:rPr>
        <w:t xml:space="preserve"> by reference to the stage of completion at the reporting date. The revenue is </w:t>
      </w:r>
      <w:proofErr w:type="spellStart"/>
      <w:r>
        <w:rPr>
          <w:color w:val="636466"/>
          <w:sz w:val="16"/>
        </w:rPr>
        <w:t>recognised</w:t>
      </w:r>
      <w:proofErr w:type="spellEnd"/>
      <w:r>
        <w:rPr>
          <w:color w:val="636466"/>
          <w:sz w:val="16"/>
        </w:rPr>
        <w:t xml:space="preserve"> when the:</w:t>
      </w:r>
    </w:p>
    <w:p w:rsidR="00D840DF" w:rsidRDefault="00961020">
      <w:pPr>
        <w:pStyle w:val="ListParagraph"/>
        <w:numPr>
          <w:ilvl w:val="0"/>
          <w:numId w:val="5"/>
        </w:numPr>
        <w:tabs>
          <w:tab w:val="left" w:pos="331"/>
        </w:tabs>
        <w:spacing w:before="57"/>
        <w:rPr>
          <w:sz w:val="16"/>
        </w:rPr>
      </w:pPr>
      <w:r>
        <w:rPr>
          <w:color w:val="636466"/>
          <w:sz w:val="16"/>
        </w:rPr>
        <w:t>amount</w:t>
      </w:r>
      <w:r>
        <w:rPr>
          <w:color w:val="636466"/>
          <w:spacing w:val="8"/>
          <w:sz w:val="16"/>
        </w:rPr>
        <w:t xml:space="preserve"> </w:t>
      </w:r>
      <w:r>
        <w:rPr>
          <w:color w:val="636466"/>
          <w:sz w:val="16"/>
        </w:rPr>
        <w:t>of</w:t>
      </w:r>
      <w:r>
        <w:rPr>
          <w:color w:val="636466"/>
          <w:spacing w:val="8"/>
          <w:sz w:val="16"/>
        </w:rPr>
        <w:t xml:space="preserve"> </w:t>
      </w:r>
      <w:r>
        <w:rPr>
          <w:color w:val="636466"/>
          <w:sz w:val="16"/>
        </w:rPr>
        <w:t>revenue,</w:t>
      </w:r>
      <w:r>
        <w:rPr>
          <w:color w:val="636466"/>
          <w:spacing w:val="8"/>
          <w:sz w:val="16"/>
        </w:rPr>
        <w:t xml:space="preserve"> </w:t>
      </w:r>
      <w:r>
        <w:rPr>
          <w:color w:val="636466"/>
          <w:sz w:val="16"/>
        </w:rPr>
        <w:t>stage</w:t>
      </w:r>
      <w:r>
        <w:rPr>
          <w:color w:val="636466"/>
          <w:spacing w:val="8"/>
          <w:sz w:val="16"/>
        </w:rPr>
        <w:t xml:space="preserve"> </w:t>
      </w:r>
      <w:r>
        <w:rPr>
          <w:color w:val="636466"/>
          <w:sz w:val="16"/>
        </w:rPr>
        <w:t>of</w:t>
      </w:r>
      <w:r>
        <w:rPr>
          <w:color w:val="636466"/>
          <w:spacing w:val="8"/>
          <w:sz w:val="16"/>
        </w:rPr>
        <w:t xml:space="preserve"> </w:t>
      </w:r>
      <w:r>
        <w:rPr>
          <w:color w:val="636466"/>
          <w:sz w:val="16"/>
        </w:rPr>
        <w:t>completion</w:t>
      </w:r>
      <w:r>
        <w:rPr>
          <w:color w:val="636466"/>
          <w:spacing w:val="8"/>
          <w:sz w:val="16"/>
        </w:rPr>
        <w:t xml:space="preserve"> </w:t>
      </w:r>
      <w:r>
        <w:rPr>
          <w:color w:val="636466"/>
          <w:sz w:val="16"/>
        </w:rPr>
        <w:t>and</w:t>
      </w:r>
      <w:r>
        <w:rPr>
          <w:color w:val="636466"/>
          <w:spacing w:val="8"/>
          <w:sz w:val="16"/>
        </w:rPr>
        <w:t xml:space="preserve"> </w:t>
      </w:r>
      <w:r>
        <w:rPr>
          <w:color w:val="636466"/>
          <w:sz w:val="16"/>
        </w:rPr>
        <w:t>transaction</w:t>
      </w:r>
      <w:r>
        <w:rPr>
          <w:color w:val="636466"/>
          <w:spacing w:val="8"/>
          <w:sz w:val="16"/>
        </w:rPr>
        <w:t xml:space="preserve"> </w:t>
      </w:r>
      <w:r>
        <w:rPr>
          <w:color w:val="636466"/>
          <w:sz w:val="16"/>
        </w:rPr>
        <w:t>costs</w:t>
      </w:r>
      <w:r>
        <w:rPr>
          <w:color w:val="636466"/>
          <w:spacing w:val="8"/>
          <w:sz w:val="16"/>
        </w:rPr>
        <w:t xml:space="preserve"> </w:t>
      </w:r>
      <w:r>
        <w:rPr>
          <w:color w:val="636466"/>
          <w:sz w:val="16"/>
        </w:rPr>
        <w:t>incurred</w:t>
      </w:r>
      <w:r>
        <w:rPr>
          <w:color w:val="636466"/>
          <w:spacing w:val="8"/>
          <w:sz w:val="16"/>
        </w:rPr>
        <w:t xml:space="preserve"> </w:t>
      </w:r>
      <w:r>
        <w:rPr>
          <w:color w:val="636466"/>
          <w:sz w:val="16"/>
        </w:rPr>
        <w:t>can</w:t>
      </w:r>
      <w:r>
        <w:rPr>
          <w:color w:val="636466"/>
          <w:spacing w:val="8"/>
          <w:sz w:val="16"/>
        </w:rPr>
        <w:t xml:space="preserve"> </w:t>
      </w:r>
      <w:r>
        <w:rPr>
          <w:color w:val="636466"/>
          <w:sz w:val="16"/>
        </w:rPr>
        <w:t>be</w:t>
      </w:r>
      <w:r>
        <w:rPr>
          <w:color w:val="636466"/>
          <w:spacing w:val="8"/>
          <w:sz w:val="16"/>
        </w:rPr>
        <w:t xml:space="preserve"> </w:t>
      </w:r>
      <w:r>
        <w:rPr>
          <w:color w:val="636466"/>
          <w:sz w:val="16"/>
        </w:rPr>
        <w:t>reliably</w:t>
      </w:r>
      <w:r>
        <w:rPr>
          <w:color w:val="636466"/>
          <w:spacing w:val="8"/>
          <w:sz w:val="16"/>
        </w:rPr>
        <w:t xml:space="preserve"> </w:t>
      </w:r>
      <w:r>
        <w:rPr>
          <w:color w:val="636466"/>
          <w:sz w:val="16"/>
        </w:rPr>
        <w:t>measured;</w:t>
      </w:r>
      <w:r>
        <w:rPr>
          <w:color w:val="636466"/>
          <w:spacing w:val="8"/>
          <w:sz w:val="16"/>
        </w:rPr>
        <w:t xml:space="preserve"> </w:t>
      </w:r>
      <w:r>
        <w:rPr>
          <w:color w:val="636466"/>
          <w:sz w:val="16"/>
        </w:rPr>
        <w:t>and</w:t>
      </w:r>
    </w:p>
    <w:p w:rsidR="00D840DF" w:rsidRDefault="00961020">
      <w:pPr>
        <w:pStyle w:val="ListParagraph"/>
        <w:numPr>
          <w:ilvl w:val="0"/>
          <w:numId w:val="5"/>
        </w:numPr>
        <w:tabs>
          <w:tab w:val="left" w:pos="331"/>
        </w:tabs>
        <w:spacing w:before="61"/>
        <w:rPr>
          <w:sz w:val="16"/>
        </w:rPr>
      </w:pPr>
      <w:proofErr w:type="gramStart"/>
      <w:r>
        <w:rPr>
          <w:color w:val="636466"/>
          <w:sz w:val="16"/>
        </w:rPr>
        <w:t>probably</w:t>
      </w:r>
      <w:proofErr w:type="gramEnd"/>
      <w:r>
        <w:rPr>
          <w:color w:val="636466"/>
          <w:spacing w:val="11"/>
          <w:sz w:val="16"/>
        </w:rPr>
        <w:t xml:space="preserve"> </w:t>
      </w:r>
      <w:r>
        <w:rPr>
          <w:color w:val="636466"/>
          <w:sz w:val="16"/>
        </w:rPr>
        <w:t>economic</w:t>
      </w:r>
      <w:r>
        <w:rPr>
          <w:color w:val="636466"/>
          <w:spacing w:val="11"/>
          <w:sz w:val="16"/>
        </w:rPr>
        <w:t xml:space="preserve"> </w:t>
      </w:r>
      <w:r>
        <w:rPr>
          <w:color w:val="636466"/>
          <w:sz w:val="16"/>
        </w:rPr>
        <w:t>benefits</w:t>
      </w:r>
      <w:r>
        <w:rPr>
          <w:color w:val="636466"/>
          <w:spacing w:val="11"/>
          <w:sz w:val="16"/>
        </w:rPr>
        <w:t xml:space="preserve"> </w:t>
      </w:r>
      <w:r>
        <w:rPr>
          <w:color w:val="636466"/>
          <w:sz w:val="16"/>
        </w:rPr>
        <w:t>associated</w:t>
      </w:r>
      <w:r>
        <w:rPr>
          <w:color w:val="636466"/>
          <w:spacing w:val="11"/>
          <w:sz w:val="16"/>
        </w:rPr>
        <w:t xml:space="preserve"> </w:t>
      </w:r>
      <w:r>
        <w:rPr>
          <w:color w:val="636466"/>
          <w:sz w:val="16"/>
        </w:rPr>
        <w:t>with</w:t>
      </w:r>
      <w:r>
        <w:rPr>
          <w:color w:val="636466"/>
          <w:spacing w:val="11"/>
          <w:sz w:val="16"/>
        </w:rPr>
        <w:t xml:space="preserve"> </w:t>
      </w:r>
      <w:r>
        <w:rPr>
          <w:color w:val="636466"/>
          <w:sz w:val="16"/>
        </w:rPr>
        <w:t>the</w:t>
      </w:r>
      <w:r>
        <w:rPr>
          <w:color w:val="636466"/>
          <w:spacing w:val="11"/>
          <w:sz w:val="16"/>
        </w:rPr>
        <w:t xml:space="preserve"> </w:t>
      </w:r>
      <w:r>
        <w:rPr>
          <w:color w:val="636466"/>
          <w:sz w:val="16"/>
        </w:rPr>
        <w:t>transactions</w:t>
      </w:r>
      <w:r>
        <w:rPr>
          <w:color w:val="636466"/>
          <w:spacing w:val="11"/>
          <w:sz w:val="16"/>
        </w:rPr>
        <w:t xml:space="preserve"> </w:t>
      </w:r>
      <w:r>
        <w:rPr>
          <w:color w:val="636466"/>
          <w:sz w:val="16"/>
        </w:rPr>
        <w:t>will</w:t>
      </w:r>
      <w:r>
        <w:rPr>
          <w:color w:val="636466"/>
          <w:spacing w:val="11"/>
          <w:sz w:val="16"/>
        </w:rPr>
        <w:t xml:space="preserve"> </w:t>
      </w:r>
      <w:r>
        <w:rPr>
          <w:color w:val="636466"/>
          <w:sz w:val="16"/>
        </w:rPr>
        <w:t>flow</w:t>
      </w:r>
      <w:r>
        <w:rPr>
          <w:color w:val="636466"/>
          <w:spacing w:val="11"/>
          <w:sz w:val="16"/>
        </w:rPr>
        <w:t xml:space="preserve"> </w:t>
      </w:r>
      <w:r>
        <w:rPr>
          <w:color w:val="636466"/>
          <w:sz w:val="16"/>
        </w:rPr>
        <w:t>to</w:t>
      </w:r>
      <w:r>
        <w:rPr>
          <w:color w:val="636466"/>
          <w:spacing w:val="11"/>
          <w:sz w:val="16"/>
        </w:rPr>
        <w:t xml:space="preserve"> </w:t>
      </w:r>
      <w:r>
        <w:rPr>
          <w:color w:val="636466"/>
          <w:sz w:val="16"/>
        </w:rPr>
        <w:t>the</w:t>
      </w:r>
      <w:r>
        <w:rPr>
          <w:color w:val="636466"/>
          <w:spacing w:val="11"/>
          <w:sz w:val="16"/>
        </w:rPr>
        <w:t xml:space="preserve"> </w:t>
      </w:r>
      <w:r>
        <w:rPr>
          <w:color w:val="636466"/>
          <w:sz w:val="16"/>
        </w:rPr>
        <w:t>Pricing</w:t>
      </w:r>
      <w:r>
        <w:rPr>
          <w:color w:val="636466"/>
          <w:spacing w:val="11"/>
          <w:sz w:val="16"/>
        </w:rPr>
        <w:t xml:space="preserve"> </w:t>
      </w:r>
      <w:r>
        <w:rPr>
          <w:color w:val="636466"/>
          <w:sz w:val="16"/>
        </w:rPr>
        <w:t>Authority.</w:t>
      </w:r>
    </w:p>
    <w:p w:rsidR="00D840DF" w:rsidRDefault="00961020" w:rsidP="00A928A7">
      <w:pPr>
        <w:spacing w:before="117" w:line="244" w:lineRule="auto"/>
        <w:ind w:right="703"/>
        <w:rPr>
          <w:sz w:val="16"/>
        </w:rPr>
      </w:pPr>
      <w:r>
        <w:rPr>
          <w:color w:val="636466"/>
          <w:sz w:val="16"/>
        </w:rPr>
        <w:t>The stage of completion of contracts at the reporting date is determined by reference to the proportion that costs incurred to date bear to the estimated total costs of the transaction.</w:t>
      </w:r>
    </w:p>
    <w:p w:rsidR="00D840DF" w:rsidRDefault="00961020" w:rsidP="00A928A7">
      <w:pPr>
        <w:spacing w:before="113" w:line="244" w:lineRule="auto"/>
        <w:ind w:right="503"/>
        <w:rPr>
          <w:color w:val="636466"/>
          <w:sz w:val="16"/>
        </w:rPr>
      </w:pPr>
      <w:r>
        <w:rPr>
          <w:color w:val="636466"/>
          <w:sz w:val="16"/>
        </w:rPr>
        <w:t xml:space="preserve">Receivables for goods and services, which have 30 day terms, are </w:t>
      </w:r>
      <w:proofErr w:type="spellStart"/>
      <w:r>
        <w:rPr>
          <w:color w:val="636466"/>
          <w:sz w:val="16"/>
        </w:rPr>
        <w:t>recognised</w:t>
      </w:r>
      <w:proofErr w:type="spellEnd"/>
      <w:r>
        <w:rPr>
          <w:color w:val="636466"/>
          <w:sz w:val="16"/>
        </w:rPr>
        <w:t xml:space="preserve"> at the nominal amounts due less any impairment allowance account. Collectability of debts is reviewed at end of the reporting period. Allowances are made when collectability of the debt is no longer probable.</w:t>
      </w:r>
    </w:p>
    <w:p w:rsidR="007557A3" w:rsidRPr="008D2169" w:rsidRDefault="007557A3" w:rsidP="00A928A7">
      <w:pPr>
        <w:spacing w:before="113" w:line="244" w:lineRule="auto"/>
        <w:ind w:right="503"/>
        <w:rPr>
          <w:sz w:val="16"/>
        </w:rPr>
      </w:pPr>
    </w:p>
    <w:tbl>
      <w:tblPr>
        <w:tblW w:w="0" w:type="auto"/>
        <w:tblInd w:w="103" w:type="dxa"/>
        <w:tblLayout w:type="fixed"/>
        <w:tblCellMar>
          <w:left w:w="0" w:type="dxa"/>
          <w:right w:w="0" w:type="dxa"/>
        </w:tblCellMar>
        <w:tblLook w:val="01E0" w:firstRow="1" w:lastRow="1" w:firstColumn="1" w:lastColumn="1" w:noHBand="0" w:noVBand="0"/>
      </w:tblPr>
      <w:tblGrid>
        <w:gridCol w:w="4463"/>
        <w:gridCol w:w="2045"/>
        <w:gridCol w:w="1043"/>
      </w:tblGrid>
      <w:tr w:rsidR="00D840DF">
        <w:trPr>
          <w:trHeight w:val="480"/>
        </w:trPr>
        <w:tc>
          <w:tcPr>
            <w:tcW w:w="4463" w:type="dxa"/>
            <w:shd w:val="clear" w:color="auto" w:fill="008F54"/>
          </w:tcPr>
          <w:p w:rsidR="00D840DF" w:rsidRDefault="00D840DF">
            <w:pPr>
              <w:pStyle w:val="TableParagraph"/>
              <w:spacing w:before="0"/>
              <w:rPr>
                <w:rFonts w:ascii="Times New Roman"/>
                <w:sz w:val="16"/>
              </w:rPr>
            </w:pPr>
          </w:p>
        </w:tc>
        <w:tc>
          <w:tcPr>
            <w:tcW w:w="2045" w:type="dxa"/>
            <w:shd w:val="clear" w:color="auto" w:fill="008F54"/>
          </w:tcPr>
          <w:p w:rsidR="00D840DF" w:rsidRDefault="00961020">
            <w:pPr>
              <w:pStyle w:val="TableParagraph"/>
              <w:spacing w:before="31" w:line="209" w:lineRule="exact"/>
              <w:ind w:left="1183"/>
              <w:rPr>
                <w:rFonts w:ascii="Futura PT Demi"/>
                <w:sz w:val="17"/>
              </w:rPr>
            </w:pPr>
            <w:r>
              <w:rPr>
                <w:rFonts w:ascii="Futura PT Demi"/>
                <w:color w:val="FFFFFF"/>
                <w:sz w:val="17"/>
              </w:rPr>
              <w:t>2017</w:t>
            </w:r>
          </w:p>
          <w:p w:rsidR="00D840DF" w:rsidRDefault="00961020">
            <w:pPr>
              <w:pStyle w:val="TableParagraph"/>
              <w:spacing w:before="0" w:line="209" w:lineRule="exact"/>
              <w:ind w:left="1107"/>
              <w:rPr>
                <w:rFonts w:ascii="Futura PT Demi" w:hAnsi="Futura PT Demi"/>
                <w:sz w:val="17"/>
              </w:rPr>
            </w:pPr>
            <w:r>
              <w:rPr>
                <w:rFonts w:ascii="Futura PT Demi" w:hAnsi="Futura PT Demi"/>
                <w:color w:val="FFFFFF"/>
                <w:sz w:val="17"/>
              </w:rPr>
              <w:t>$’000</w:t>
            </w:r>
          </w:p>
        </w:tc>
        <w:tc>
          <w:tcPr>
            <w:tcW w:w="1043" w:type="dxa"/>
            <w:shd w:val="clear" w:color="auto" w:fill="008F54"/>
          </w:tcPr>
          <w:p w:rsidR="00D840DF" w:rsidRDefault="00961020">
            <w:pPr>
              <w:pStyle w:val="TableParagraph"/>
              <w:spacing w:before="31" w:line="209" w:lineRule="exact"/>
              <w:ind w:left="554"/>
              <w:rPr>
                <w:rFonts w:ascii="Futura PT Demi"/>
                <w:sz w:val="17"/>
              </w:rPr>
            </w:pPr>
            <w:r>
              <w:rPr>
                <w:rFonts w:ascii="Futura PT Demi"/>
                <w:color w:val="FFFFFF"/>
                <w:sz w:val="17"/>
              </w:rPr>
              <w:t>2016</w:t>
            </w:r>
          </w:p>
          <w:p w:rsidR="00D840DF" w:rsidRDefault="00961020">
            <w:pPr>
              <w:pStyle w:val="TableParagraph"/>
              <w:spacing w:before="0" w:line="209" w:lineRule="exact"/>
              <w:ind w:left="479"/>
              <w:rPr>
                <w:rFonts w:ascii="Futura PT Demi" w:hAnsi="Futura PT Demi"/>
                <w:sz w:val="17"/>
              </w:rPr>
            </w:pPr>
            <w:r>
              <w:rPr>
                <w:rFonts w:ascii="Futura PT Demi" w:hAnsi="Futura PT Demi"/>
                <w:color w:val="FFFFFF"/>
                <w:sz w:val="17"/>
              </w:rPr>
              <w:t>$’000</w:t>
            </w:r>
          </w:p>
        </w:tc>
      </w:tr>
      <w:tr w:rsidR="00D840DF">
        <w:trPr>
          <w:trHeight w:val="260"/>
        </w:trPr>
        <w:tc>
          <w:tcPr>
            <w:tcW w:w="4463" w:type="dxa"/>
            <w:tcBorders>
              <w:bottom w:val="single" w:sz="4" w:space="0" w:color="C7C8CA"/>
            </w:tcBorders>
          </w:tcPr>
          <w:p w:rsidR="00D840DF" w:rsidRDefault="00961020">
            <w:pPr>
              <w:pStyle w:val="TableParagraph"/>
              <w:spacing w:before="33"/>
              <w:ind w:left="114"/>
              <w:rPr>
                <w:rFonts w:ascii="Futura PT Bold"/>
                <w:b/>
                <w:sz w:val="16"/>
              </w:rPr>
            </w:pPr>
            <w:r>
              <w:rPr>
                <w:rFonts w:ascii="Futura PT Bold"/>
                <w:b/>
                <w:color w:val="003E2D"/>
                <w:sz w:val="16"/>
              </w:rPr>
              <w:t>NOTE 1.2B: OTHER REVENUE</w:t>
            </w:r>
          </w:p>
        </w:tc>
        <w:tc>
          <w:tcPr>
            <w:tcW w:w="2045" w:type="dxa"/>
            <w:tcBorders>
              <w:bottom w:val="single" w:sz="4" w:space="0" w:color="C7C8CA"/>
            </w:tcBorders>
          </w:tcPr>
          <w:p w:rsidR="00D840DF" w:rsidRDefault="00D840DF">
            <w:pPr>
              <w:pStyle w:val="TableParagraph"/>
              <w:spacing w:before="0"/>
              <w:rPr>
                <w:rFonts w:ascii="Times New Roman"/>
                <w:sz w:val="16"/>
              </w:rPr>
            </w:pPr>
          </w:p>
        </w:tc>
        <w:tc>
          <w:tcPr>
            <w:tcW w:w="1043" w:type="dxa"/>
            <w:tcBorders>
              <w:bottom w:val="single" w:sz="4" w:space="0" w:color="C7C8CA"/>
            </w:tcBorders>
          </w:tcPr>
          <w:p w:rsidR="00D840DF" w:rsidRDefault="00D840DF">
            <w:pPr>
              <w:pStyle w:val="TableParagraph"/>
              <w:spacing w:before="0"/>
              <w:rPr>
                <w:rFonts w:ascii="Times New Roman"/>
                <w:sz w:val="16"/>
              </w:rPr>
            </w:pPr>
          </w:p>
        </w:tc>
      </w:tr>
      <w:tr w:rsidR="00D840DF">
        <w:trPr>
          <w:trHeight w:val="220"/>
        </w:trPr>
        <w:tc>
          <w:tcPr>
            <w:tcW w:w="4463"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Cost recovery</w:t>
            </w:r>
          </w:p>
        </w:tc>
        <w:tc>
          <w:tcPr>
            <w:tcW w:w="2045"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4</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105</w:t>
            </w:r>
          </w:p>
        </w:tc>
      </w:tr>
      <w:tr w:rsidR="00D840DF">
        <w:trPr>
          <w:trHeight w:val="220"/>
        </w:trPr>
        <w:tc>
          <w:tcPr>
            <w:tcW w:w="4463"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Departmental contribution received free of charge</w:t>
            </w:r>
          </w:p>
        </w:tc>
        <w:tc>
          <w:tcPr>
            <w:tcW w:w="2045" w:type="dxa"/>
            <w:tcBorders>
              <w:top w:val="single" w:sz="4" w:space="0" w:color="C7C8CA"/>
              <w:bottom w:val="single" w:sz="4" w:space="0" w:color="C7C8CA"/>
            </w:tcBorders>
          </w:tcPr>
          <w:p w:rsidR="00D840DF" w:rsidRDefault="00961020">
            <w:pPr>
              <w:pStyle w:val="TableParagraph"/>
              <w:spacing w:line="200" w:lineRule="exact"/>
              <w:ind w:right="486"/>
              <w:jc w:val="right"/>
              <w:rPr>
                <w:rFonts w:ascii="Futura PT Medium"/>
                <w:sz w:val="16"/>
              </w:rPr>
            </w:pPr>
            <w:r>
              <w:rPr>
                <w:rFonts w:ascii="Futura PT Medium"/>
                <w:color w:val="636466"/>
                <w:sz w:val="16"/>
              </w:rPr>
              <w:t>5,423</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w:t>
            </w:r>
          </w:p>
        </w:tc>
      </w:tr>
      <w:tr w:rsidR="00D840DF">
        <w:trPr>
          <w:trHeight w:val="240"/>
        </w:trPr>
        <w:tc>
          <w:tcPr>
            <w:tcW w:w="4463" w:type="dxa"/>
            <w:tcBorders>
              <w:top w:val="single" w:sz="4" w:space="0" w:color="C7C8CA"/>
            </w:tcBorders>
          </w:tcPr>
          <w:p w:rsidR="00D840DF" w:rsidRDefault="00961020">
            <w:pPr>
              <w:pStyle w:val="TableParagraph"/>
              <w:ind w:left="113"/>
              <w:rPr>
                <w:sz w:val="16"/>
              </w:rPr>
            </w:pPr>
            <w:r>
              <w:rPr>
                <w:color w:val="636466"/>
                <w:sz w:val="16"/>
              </w:rPr>
              <w:t>Other resources received free of</w:t>
            </w:r>
            <w:r w:rsidR="00E314B6">
              <w:rPr>
                <w:color w:val="636466"/>
                <w:sz w:val="16"/>
              </w:rPr>
              <w:t xml:space="preserve"> </w:t>
            </w:r>
            <w:r>
              <w:rPr>
                <w:color w:val="636466"/>
                <w:sz w:val="16"/>
              </w:rPr>
              <w:t>charge</w:t>
            </w:r>
          </w:p>
        </w:tc>
        <w:tc>
          <w:tcPr>
            <w:tcW w:w="2045" w:type="dxa"/>
            <w:tcBorders>
              <w:top w:val="single" w:sz="4" w:space="0" w:color="C7C8CA"/>
            </w:tcBorders>
          </w:tcPr>
          <w:p w:rsidR="00D840DF" w:rsidRDefault="00961020">
            <w:pPr>
              <w:pStyle w:val="TableParagraph"/>
              <w:ind w:right="485"/>
              <w:jc w:val="right"/>
              <w:rPr>
                <w:rFonts w:ascii="Futura PT Medium"/>
                <w:sz w:val="16"/>
              </w:rPr>
            </w:pPr>
            <w:r>
              <w:rPr>
                <w:rFonts w:ascii="Futura PT Medium"/>
                <w:color w:val="636466"/>
                <w:sz w:val="16"/>
              </w:rPr>
              <w:t>58</w:t>
            </w:r>
          </w:p>
        </w:tc>
        <w:tc>
          <w:tcPr>
            <w:tcW w:w="1043" w:type="dxa"/>
            <w:tcBorders>
              <w:top w:val="single" w:sz="4" w:space="0" w:color="C7C8CA"/>
            </w:tcBorders>
          </w:tcPr>
          <w:p w:rsidR="00D840DF" w:rsidRDefault="00961020">
            <w:pPr>
              <w:pStyle w:val="TableParagraph"/>
              <w:ind w:right="112"/>
              <w:jc w:val="right"/>
              <w:rPr>
                <w:sz w:val="16"/>
              </w:rPr>
            </w:pPr>
            <w:r>
              <w:rPr>
                <w:color w:val="636466"/>
                <w:sz w:val="16"/>
              </w:rPr>
              <w:t>58</w:t>
            </w:r>
          </w:p>
        </w:tc>
      </w:tr>
      <w:tr w:rsidR="00D840DF">
        <w:trPr>
          <w:trHeight w:val="240"/>
        </w:trPr>
        <w:tc>
          <w:tcPr>
            <w:tcW w:w="4463"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other revenue</w:t>
            </w:r>
          </w:p>
        </w:tc>
        <w:tc>
          <w:tcPr>
            <w:tcW w:w="2045" w:type="dxa"/>
            <w:tcBorders>
              <w:bottom w:val="single" w:sz="4" w:space="0" w:color="C7C8CA"/>
            </w:tcBorders>
            <w:shd w:val="clear" w:color="auto" w:fill="E6E7E8"/>
          </w:tcPr>
          <w:p w:rsidR="00D840DF" w:rsidRDefault="00961020">
            <w:pPr>
              <w:pStyle w:val="TableParagraph"/>
              <w:spacing w:before="21" w:line="200" w:lineRule="exact"/>
              <w:ind w:right="485"/>
              <w:jc w:val="right"/>
              <w:rPr>
                <w:rFonts w:ascii="Futura PT Medium"/>
                <w:sz w:val="16"/>
              </w:rPr>
            </w:pPr>
            <w:r>
              <w:rPr>
                <w:rFonts w:ascii="Futura PT Medium"/>
                <w:sz w:val="16"/>
              </w:rPr>
              <w:t>5,485</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163</w:t>
            </w:r>
          </w:p>
        </w:tc>
      </w:tr>
    </w:tbl>
    <w:p w:rsidR="00D840DF" w:rsidRDefault="00961020" w:rsidP="008F7C36">
      <w:pPr>
        <w:pStyle w:val="Heading5"/>
      </w:pPr>
      <w:r>
        <w:t>Accounting Policy</w:t>
      </w:r>
    </w:p>
    <w:p w:rsidR="00D840DF" w:rsidRDefault="00961020" w:rsidP="00A928A7">
      <w:pPr>
        <w:pStyle w:val="Heading6"/>
        <w:ind w:left="0"/>
      </w:pPr>
      <w:r>
        <w:t>Resources received free of</w:t>
      </w:r>
      <w:r w:rsidR="00E314B6">
        <w:t xml:space="preserve"> </w:t>
      </w:r>
      <w:r>
        <w:t>charge</w:t>
      </w:r>
    </w:p>
    <w:p w:rsidR="00D840DF" w:rsidRDefault="00961020" w:rsidP="00A928A7">
      <w:pPr>
        <w:spacing w:before="4" w:line="244" w:lineRule="auto"/>
        <w:ind w:right="269"/>
        <w:rPr>
          <w:sz w:val="16"/>
        </w:rPr>
      </w:pPr>
      <w:r>
        <w:rPr>
          <w:color w:val="636466"/>
          <w:sz w:val="16"/>
        </w:rPr>
        <w:t xml:space="preserve">Resources received free of charge are </w:t>
      </w:r>
      <w:proofErr w:type="spellStart"/>
      <w:r>
        <w:rPr>
          <w:color w:val="636466"/>
          <w:sz w:val="16"/>
        </w:rPr>
        <w:t>recognised</w:t>
      </w:r>
      <w:proofErr w:type="spellEnd"/>
      <w:r>
        <w:rPr>
          <w:color w:val="636466"/>
          <w:sz w:val="16"/>
        </w:rPr>
        <w:t xml:space="preserve"> as revenue when, and only when, a fair value can be reliably determined and the services would have been purchased if they had not been donated. Use of those resources is </w:t>
      </w:r>
      <w:proofErr w:type="spellStart"/>
      <w:r>
        <w:rPr>
          <w:color w:val="636466"/>
          <w:sz w:val="16"/>
        </w:rPr>
        <w:t>recognised</w:t>
      </w:r>
      <w:proofErr w:type="spellEnd"/>
      <w:r>
        <w:rPr>
          <w:color w:val="636466"/>
          <w:sz w:val="16"/>
        </w:rPr>
        <w:t xml:space="preserve"> as an expense. Resources received free of charge are recorded as either revenue or gains depending on their nature.</w:t>
      </w:r>
    </w:p>
    <w:p w:rsidR="00D840DF" w:rsidRDefault="00D840DF">
      <w:pPr>
        <w:spacing w:line="244" w:lineRule="auto"/>
        <w:rPr>
          <w:sz w:val="16"/>
        </w:rPr>
        <w:sectPr w:rsidR="00D840DF">
          <w:pgSz w:w="9980" w:h="14180"/>
          <w:pgMar w:top="1320" w:right="1020" w:bottom="280" w:left="1200" w:header="720" w:footer="720" w:gutter="0"/>
          <w:cols w:space="720"/>
        </w:sectPr>
      </w:pPr>
    </w:p>
    <w:p w:rsidR="00D840DF" w:rsidRDefault="00D840DF">
      <w:pPr>
        <w:pStyle w:val="BodyText"/>
        <w:spacing w:before="10"/>
        <w:rPr>
          <w:sz w:val="10"/>
        </w:rPr>
      </w:pPr>
    </w:p>
    <w:tbl>
      <w:tblPr>
        <w:tblW w:w="0" w:type="auto"/>
        <w:tblInd w:w="113" w:type="dxa"/>
        <w:tblLayout w:type="fixed"/>
        <w:tblCellMar>
          <w:left w:w="0" w:type="dxa"/>
          <w:right w:w="0" w:type="dxa"/>
        </w:tblCellMar>
        <w:tblLook w:val="01E0" w:firstRow="1" w:lastRow="1" w:firstColumn="1" w:lastColumn="1" w:noHBand="0" w:noVBand="0"/>
      </w:tblPr>
      <w:tblGrid>
        <w:gridCol w:w="4315"/>
        <w:gridCol w:w="2172"/>
        <w:gridCol w:w="1064"/>
      </w:tblGrid>
      <w:tr w:rsidR="00D840DF">
        <w:trPr>
          <w:trHeight w:val="480"/>
        </w:trPr>
        <w:tc>
          <w:tcPr>
            <w:tcW w:w="4315" w:type="dxa"/>
            <w:shd w:val="clear" w:color="auto" w:fill="008F54"/>
          </w:tcPr>
          <w:p w:rsidR="00D840DF" w:rsidRDefault="00D840DF">
            <w:pPr>
              <w:pStyle w:val="TableParagraph"/>
              <w:spacing w:before="0"/>
              <w:rPr>
                <w:rFonts w:ascii="Times New Roman"/>
                <w:sz w:val="16"/>
              </w:rPr>
            </w:pPr>
          </w:p>
        </w:tc>
        <w:tc>
          <w:tcPr>
            <w:tcW w:w="2172" w:type="dxa"/>
            <w:shd w:val="clear" w:color="auto" w:fill="008F54"/>
          </w:tcPr>
          <w:p w:rsidR="00D840DF" w:rsidRDefault="00961020">
            <w:pPr>
              <w:pStyle w:val="TableParagraph"/>
              <w:spacing w:before="30" w:line="209" w:lineRule="exact"/>
              <w:ind w:left="1331"/>
              <w:rPr>
                <w:rFonts w:ascii="Futura PT Demi"/>
                <w:sz w:val="17"/>
              </w:rPr>
            </w:pPr>
            <w:bookmarkStart w:id="154" w:name="Financial_Position"/>
            <w:bookmarkStart w:id="155" w:name="Note_2.1_Financial_Assets"/>
            <w:bookmarkStart w:id="156" w:name="_bookmark41"/>
            <w:bookmarkEnd w:id="154"/>
            <w:bookmarkEnd w:id="155"/>
            <w:bookmarkEnd w:id="156"/>
            <w:r>
              <w:rPr>
                <w:rFonts w:ascii="Futura PT Demi"/>
                <w:color w:val="FFFFFF"/>
                <w:sz w:val="17"/>
              </w:rPr>
              <w:t>2017</w:t>
            </w:r>
          </w:p>
          <w:p w:rsidR="00D840DF" w:rsidRDefault="00961020">
            <w:pPr>
              <w:pStyle w:val="TableParagraph"/>
              <w:spacing w:before="0" w:line="209" w:lineRule="exact"/>
              <w:ind w:left="1255"/>
              <w:rPr>
                <w:rFonts w:ascii="Futura PT Demi" w:hAnsi="Futura PT Demi"/>
                <w:sz w:val="17"/>
              </w:rPr>
            </w:pPr>
            <w:r>
              <w:rPr>
                <w:rFonts w:ascii="Futura PT Demi" w:hAnsi="Futura PT Demi"/>
                <w:color w:val="FFFFFF"/>
                <w:sz w:val="17"/>
              </w:rPr>
              <w:t>$’000</w:t>
            </w:r>
          </w:p>
        </w:tc>
        <w:tc>
          <w:tcPr>
            <w:tcW w:w="1064" w:type="dxa"/>
            <w:shd w:val="clear" w:color="auto" w:fill="008F54"/>
          </w:tcPr>
          <w:p w:rsidR="00D840DF" w:rsidRDefault="00961020">
            <w:pPr>
              <w:pStyle w:val="TableParagraph"/>
              <w:spacing w:before="30" w:line="209" w:lineRule="exact"/>
              <w:ind w:left="575"/>
              <w:rPr>
                <w:rFonts w:ascii="Futura PT Demi"/>
                <w:sz w:val="17"/>
              </w:rPr>
            </w:pPr>
            <w:r>
              <w:rPr>
                <w:rFonts w:ascii="Futura PT Demi"/>
                <w:color w:val="FFFFFF"/>
                <w:sz w:val="17"/>
              </w:rPr>
              <w:t>2016</w:t>
            </w:r>
          </w:p>
          <w:p w:rsidR="00D840DF" w:rsidRDefault="00961020">
            <w:pPr>
              <w:pStyle w:val="TableParagraph"/>
              <w:spacing w:before="0" w:line="209" w:lineRule="exact"/>
              <w:ind w:left="500"/>
              <w:rPr>
                <w:rFonts w:ascii="Futura PT Demi" w:hAnsi="Futura PT Demi"/>
                <w:sz w:val="17"/>
              </w:rPr>
            </w:pPr>
            <w:r>
              <w:rPr>
                <w:rFonts w:ascii="Futura PT Demi" w:hAnsi="Futura PT Demi"/>
                <w:color w:val="FFFFFF"/>
                <w:sz w:val="17"/>
              </w:rPr>
              <w:t>$’000</w:t>
            </w:r>
          </w:p>
        </w:tc>
      </w:tr>
      <w:tr w:rsidR="00D840DF">
        <w:trPr>
          <w:trHeight w:val="260"/>
        </w:trPr>
        <w:tc>
          <w:tcPr>
            <w:tcW w:w="4315" w:type="dxa"/>
            <w:tcBorders>
              <w:bottom w:val="single" w:sz="4" w:space="0" w:color="C7C8CA"/>
            </w:tcBorders>
          </w:tcPr>
          <w:p w:rsidR="00D840DF" w:rsidRDefault="00961020">
            <w:pPr>
              <w:pStyle w:val="TableParagraph"/>
              <w:spacing w:before="33"/>
              <w:ind w:left="114"/>
              <w:rPr>
                <w:rFonts w:ascii="Futura PT Bold"/>
                <w:b/>
                <w:sz w:val="16"/>
              </w:rPr>
            </w:pPr>
            <w:r>
              <w:rPr>
                <w:rFonts w:ascii="Futura PT Bold"/>
                <w:b/>
                <w:color w:val="003E2D"/>
                <w:sz w:val="16"/>
              </w:rPr>
              <w:t>NOTE 1.2C: REVENUE FROM GOVERNMENT</w:t>
            </w:r>
          </w:p>
        </w:tc>
        <w:tc>
          <w:tcPr>
            <w:tcW w:w="2172" w:type="dxa"/>
            <w:tcBorders>
              <w:bottom w:val="single" w:sz="4" w:space="0" w:color="C7C8CA"/>
            </w:tcBorders>
          </w:tcPr>
          <w:p w:rsidR="00D840DF" w:rsidRDefault="00D840DF">
            <w:pPr>
              <w:pStyle w:val="TableParagraph"/>
              <w:spacing w:before="0"/>
              <w:rPr>
                <w:rFonts w:ascii="Times New Roman"/>
                <w:sz w:val="16"/>
              </w:rPr>
            </w:pPr>
          </w:p>
        </w:tc>
        <w:tc>
          <w:tcPr>
            <w:tcW w:w="1064" w:type="dxa"/>
            <w:tcBorders>
              <w:bottom w:val="single" w:sz="4" w:space="0" w:color="C7C8CA"/>
            </w:tcBorders>
          </w:tcPr>
          <w:p w:rsidR="00D840DF" w:rsidRDefault="00D840DF">
            <w:pPr>
              <w:pStyle w:val="TableParagraph"/>
              <w:spacing w:before="0"/>
              <w:rPr>
                <w:rFonts w:ascii="Times New Roman"/>
                <w:sz w:val="16"/>
              </w:rPr>
            </w:pPr>
          </w:p>
        </w:tc>
      </w:tr>
      <w:tr w:rsidR="00D840DF">
        <w:trPr>
          <w:trHeight w:val="220"/>
        </w:trPr>
        <w:tc>
          <w:tcPr>
            <w:tcW w:w="4315"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Department</w:t>
            </w:r>
            <w:r w:rsidR="00E314B6">
              <w:rPr>
                <w:color w:val="636466"/>
                <w:sz w:val="16"/>
              </w:rPr>
              <w:t xml:space="preserve"> </w:t>
            </w:r>
            <w:r>
              <w:rPr>
                <w:color w:val="636466"/>
                <w:sz w:val="16"/>
              </w:rPr>
              <w:t>of Health</w:t>
            </w:r>
          </w:p>
        </w:tc>
        <w:tc>
          <w:tcPr>
            <w:tcW w:w="2172"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c>
          <w:tcPr>
            <w:tcW w:w="1064" w:type="dxa"/>
            <w:tcBorders>
              <w:top w:val="single" w:sz="4" w:space="0" w:color="C7C8CA"/>
              <w:bottom w:val="single" w:sz="4" w:space="0" w:color="C7C8CA"/>
            </w:tcBorders>
          </w:tcPr>
          <w:p w:rsidR="00D840DF" w:rsidRDefault="00D840DF">
            <w:pPr>
              <w:pStyle w:val="TableParagraph"/>
              <w:spacing w:before="0"/>
              <w:rPr>
                <w:rFonts w:ascii="Times New Roman"/>
                <w:sz w:val="16"/>
              </w:rPr>
            </w:pPr>
          </w:p>
        </w:tc>
      </w:tr>
      <w:tr w:rsidR="00D840DF">
        <w:trPr>
          <w:trHeight w:val="220"/>
        </w:trPr>
        <w:tc>
          <w:tcPr>
            <w:tcW w:w="4315"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Corporate Commonwealth entity payment</w:t>
            </w:r>
            <w:r w:rsidR="00E314B6">
              <w:rPr>
                <w:color w:val="636466"/>
                <w:sz w:val="16"/>
              </w:rPr>
              <w:t xml:space="preserve"> </w:t>
            </w:r>
            <w:r>
              <w:rPr>
                <w:color w:val="636466"/>
                <w:sz w:val="16"/>
              </w:rPr>
              <w:t>item</w:t>
            </w:r>
          </w:p>
        </w:tc>
        <w:tc>
          <w:tcPr>
            <w:tcW w:w="2172" w:type="dxa"/>
            <w:tcBorders>
              <w:top w:val="single" w:sz="4" w:space="0" w:color="C7C8CA"/>
              <w:bottom w:val="single" w:sz="4" w:space="0" w:color="C7C8CA"/>
            </w:tcBorders>
          </w:tcPr>
          <w:p w:rsidR="00D840DF" w:rsidRDefault="00961020">
            <w:pPr>
              <w:pStyle w:val="TableParagraph"/>
              <w:spacing w:line="200" w:lineRule="exact"/>
              <w:ind w:right="464"/>
              <w:jc w:val="right"/>
              <w:rPr>
                <w:rFonts w:ascii="Futura PT Medium"/>
                <w:sz w:val="16"/>
              </w:rPr>
            </w:pPr>
            <w:r>
              <w:rPr>
                <w:rFonts w:ascii="Futura PT Medium"/>
                <w:color w:val="636466"/>
                <w:sz w:val="16"/>
              </w:rPr>
              <w:t>-</w:t>
            </w:r>
          </w:p>
        </w:tc>
        <w:tc>
          <w:tcPr>
            <w:tcW w:w="1064"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25,877</w:t>
            </w:r>
          </w:p>
        </w:tc>
      </w:tr>
      <w:tr w:rsidR="00D840DF">
        <w:trPr>
          <w:trHeight w:val="240"/>
        </w:trPr>
        <w:tc>
          <w:tcPr>
            <w:tcW w:w="4315" w:type="dxa"/>
            <w:tcBorders>
              <w:top w:val="single" w:sz="4" w:space="0" w:color="C7C8CA"/>
            </w:tcBorders>
          </w:tcPr>
          <w:p w:rsidR="00D840DF" w:rsidRDefault="00961020">
            <w:pPr>
              <w:pStyle w:val="TableParagraph"/>
              <w:ind w:left="113"/>
              <w:rPr>
                <w:sz w:val="16"/>
              </w:rPr>
            </w:pPr>
            <w:r>
              <w:rPr>
                <w:color w:val="636466"/>
                <w:sz w:val="16"/>
              </w:rPr>
              <w:t>Amounts from related</w:t>
            </w:r>
            <w:r w:rsidR="00E314B6">
              <w:rPr>
                <w:color w:val="636466"/>
                <w:sz w:val="16"/>
              </w:rPr>
              <w:t xml:space="preserve"> </w:t>
            </w:r>
            <w:r>
              <w:rPr>
                <w:color w:val="636466"/>
                <w:sz w:val="16"/>
              </w:rPr>
              <w:t>entities</w:t>
            </w:r>
          </w:p>
        </w:tc>
        <w:tc>
          <w:tcPr>
            <w:tcW w:w="2172" w:type="dxa"/>
            <w:tcBorders>
              <w:top w:val="single" w:sz="4" w:space="0" w:color="C7C8CA"/>
            </w:tcBorders>
          </w:tcPr>
          <w:p w:rsidR="00D840DF" w:rsidRDefault="00961020">
            <w:pPr>
              <w:pStyle w:val="TableParagraph"/>
              <w:ind w:right="464"/>
              <w:jc w:val="right"/>
              <w:rPr>
                <w:rFonts w:ascii="Futura PT Medium"/>
                <w:sz w:val="16"/>
              </w:rPr>
            </w:pPr>
            <w:r>
              <w:rPr>
                <w:rFonts w:ascii="Futura PT Medium"/>
                <w:color w:val="636466"/>
                <w:sz w:val="16"/>
              </w:rPr>
              <w:t>13,538</w:t>
            </w:r>
          </w:p>
        </w:tc>
        <w:tc>
          <w:tcPr>
            <w:tcW w:w="1064" w:type="dxa"/>
            <w:tcBorders>
              <w:top w:val="single" w:sz="4" w:space="0" w:color="C7C8CA"/>
            </w:tcBorders>
          </w:tcPr>
          <w:p w:rsidR="00D840DF" w:rsidRDefault="00961020">
            <w:pPr>
              <w:pStyle w:val="TableParagraph"/>
              <w:ind w:right="111"/>
              <w:jc w:val="right"/>
              <w:rPr>
                <w:sz w:val="16"/>
              </w:rPr>
            </w:pPr>
            <w:r>
              <w:rPr>
                <w:color w:val="636466"/>
                <w:sz w:val="16"/>
              </w:rPr>
              <w:t>-</w:t>
            </w:r>
          </w:p>
        </w:tc>
      </w:tr>
      <w:tr w:rsidR="00D840DF">
        <w:trPr>
          <w:trHeight w:val="240"/>
        </w:trPr>
        <w:tc>
          <w:tcPr>
            <w:tcW w:w="4315"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revenue from Government</w:t>
            </w:r>
          </w:p>
        </w:tc>
        <w:tc>
          <w:tcPr>
            <w:tcW w:w="2172" w:type="dxa"/>
            <w:tcBorders>
              <w:bottom w:val="single" w:sz="4" w:space="0" w:color="C7C8CA"/>
            </w:tcBorders>
            <w:shd w:val="clear" w:color="auto" w:fill="E6E7E8"/>
          </w:tcPr>
          <w:p w:rsidR="00D840DF" w:rsidRDefault="00961020">
            <w:pPr>
              <w:pStyle w:val="TableParagraph"/>
              <w:spacing w:before="21" w:line="200" w:lineRule="exact"/>
              <w:ind w:right="464"/>
              <w:jc w:val="right"/>
              <w:rPr>
                <w:rFonts w:ascii="Futura PT Medium"/>
                <w:sz w:val="16"/>
              </w:rPr>
            </w:pPr>
            <w:r>
              <w:rPr>
                <w:rFonts w:ascii="Futura PT Medium"/>
                <w:sz w:val="16"/>
              </w:rPr>
              <w:t>13,538</w:t>
            </w:r>
          </w:p>
        </w:tc>
        <w:tc>
          <w:tcPr>
            <w:tcW w:w="1064"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25,877</w:t>
            </w:r>
          </w:p>
        </w:tc>
      </w:tr>
    </w:tbl>
    <w:p w:rsidR="00D840DF" w:rsidRDefault="00961020" w:rsidP="008F7C36">
      <w:pPr>
        <w:pStyle w:val="Heading5"/>
      </w:pPr>
      <w:r>
        <w:t>Accounting Policy</w:t>
      </w:r>
    </w:p>
    <w:p w:rsidR="00D840DF" w:rsidRDefault="00961020" w:rsidP="00A928A7">
      <w:pPr>
        <w:pStyle w:val="Heading6"/>
        <w:ind w:left="0"/>
      </w:pPr>
      <w:r>
        <w:t>Revenue</w:t>
      </w:r>
      <w:r w:rsidR="00E314B6">
        <w:t xml:space="preserve"> </w:t>
      </w:r>
      <w:r>
        <w:t>from Government</w:t>
      </w:r>
    </w:p>
    <w:p w:rsidR="00D840DF" w:rsidRPr="007557A3" w:rsidRDefault="00961020" w:rsidP="007557A3">
      <w:pPr>
        <w:spacing w:before="4" w:line="244" w:lineRule="auto"/>
        <w:ind w:right="391"/>
        <w:rPr>
          <w:sz w:val="16"/>
        </w:rPr>
      </w:pPr>
      <w:r>
        <w:rPr>
          <w:color w:val="636466"/>
          <w:sz w:val="16"/>
        </w:rPr>
        <w:t xml:space="preserve">Funding received or receivable from non-corporate Commonwealth entities is </w:t>
      </w:r>
      <w:proofErr w:type="spellStart"/>
      <w:r>
        <w:rPr>
          <w:color w:val="636466"/>
          <w:sz w:val="16"/>
        </w:rPr>
        <w:t>recognised</w:t>
      </w:r>
      <w:proofErr w:type="spellEnd"/>
      <w:r>
        <w:rPr>
          <w:color w:val="636466"/>
          <w:sz w:val="16"/>
        </w:rPr>
        <w:t xml:space="preserve"> as Revenue from Government by the Pricing Authority unless the funding is in the nature of an equity injection or a loan.</w:t>
      </w:r>
    </w:p>
    <w:p w:rsidR="00D840DF" w:rsidRDefault="00961020" w:rsidP="008D2169">
      <w:pPr>
        <w:pStyle w:val="Heading3"/>
      </w:pPr>
      <w:bookmarkStart w:id="157" w:name="_Financial_Position"/>
      <w:bookmarkEnd w:id="157"/>
      <w:r w:rsidRPr="008D2169">
        <w:t>Financial</w:t>
      </w:r>
      <w:r>
        <w:t xml:space="preserve"> Position</w:t>
      </w:r>
    </w:p>
    <w:p w:rsidR="00D840DF" w:rsidRPr="008D2169" w:rsidRDefault="00961020">
      <w:pPr>
        <w:pStyle w:val="BodyText"/>
      </w:pPr>
      <w:r>
        <w:t xml:space="preserve">This </w:t>
      </w:r>
      <w:r w:rsidRPr="008D2169">
        <w:t>section</w:t>
      </w:r>
      <w:r>
        <w:t xml:space="preserve"> analyses the IHPA’s assets used to conduct its operations and the operating liabilities incurred as a result. Employee related information is disclosed in the</w:t>
      </w:r>
      <w:r w:rsidR="008D2169">
        <w:t xml:space="preserve"> </w:t>
      </w:r>
      <w:r>
        <w:rPr>
          <w:color w:val="636466"/>
        </w:rPr>
        <w:t>People and Relationships section.</w:t>
      </w:r>
    </w:p>
    <w:p w:rsidR="00D840DF" w:rsidRDefault="00961020" w:rsidP="008D2169">
      <w:pPr>
        <w:pStyle w:val="Heading4"/>
      </w:pPr>
      <w:bookmarkStart w:id="158" w:name="_Note_2.1_Financial"/>
      <w:bookmarkEnd w:id="158"/>
      <w:r>
        <w:t>Note 2.1 Financial Assets</w:t>
      </w:r>
    </w:p>
    <w:tbl>
      <w:tblPr>
        <w:tblW w:w="0" w:type="auto"/>
        <w:tblInd w:w="113" w:type="dxa"/>
        <w:tblLayout w:type="fixed"/>
        <w:tblCellMar>
          <w:left w:w="0" w:type="dxa"/>
          <w:right w:w="0" w:type="dxa"/>
        </w:tblCellMar>
        <w:tblLook w:val="01E0" w:firstRow="1" w:lastRow="1" w:firstColumn="1" w:lastColumn="1" w:noHBand="0" w:noVBand="0"/>
      </w:tblPr>
      <w:tblGrid>
        <w:gridCol w:w="3866"/>
        <w:gridCol w:w="2642"/>
        <w:gridCol w:w="1043"/>
      </w:tblGrid>
      <w:tr w:rsidR="00D840DF">
        <w:trPr>
          <w:trHeight w:val="480"/>
        </w:trPr>
        <w:tc>
          <w:tcPr>
            <w:tcW w:w="3866" w:type="dxa"/>
            <w:shd w:val="clear" w:color="auto" w:fill="008F54"/>
          </w:tcPr>
          <w:p w:rsidR="00D840DF" w:rsidRDefault="00D840DF">
            <w:pPr>
              <w:pStyle w:val="TableParagraph"/>
              <w:spacing w:before="0"/>
              <w:rPr>
                <w:rFonts w:ascii="Times New Roman"/>
                <w:sz w:val="16"/>
              </w:rPr>
            </w:pPr>
          </w:p>
        </w:tc>
        <w:tc>
          <w:tcPr>
            <w:tcW w:w="2642" w:type="dxa"/>
            <w:shd w:val="clear" w:color="auto" w:fill="008F54"/>
          </w:tcPr>
          <w:p w:rsidR="00D840DF" w:rsidRDefault="00961020">
            <w:pPr>
              <w:pStyle w:val="TableParagraph"/>
              <w:spacing w:before="30" w:line="209" w:lineRule="exact"/>
              <w:ind w:right="494"/>
              <w:jc w:val="right"/>
              <w:rPr>
                <w:rFonts w:ascii="Futura PT Demi"/>
                <w:sz w:val="17"/>
              </w:rPr>
            </w:pPr>
            <w:r>
              <w:rPr>
                <w:rFonts w:ascii="Futura PT Demi"/>
                <w:color w:val="FFFFFF"/>
                <w:sz w:val="17"/>
              </w:rPr>
              <w:t>2017</w:t>
            </w:r>
          </w:p>
          <w:p w:rsidR="00D840DF" w:rsidRDefault="00961020">
            <w:pPr>
              <w:pStyle w:val="TableParagraph"/>
              <w:spacing w:before="0" w:line="209" w:lineRule="exact"/>
              <w:ind w:right="477"/>
              <w:jc w:val="right"/>
              <w:rPr>
                <w:rFonts w:ascii="Futura PT Demi" w:hAnsi="Futura PT Demi"/>
                <w:sz w:val="17"/>
              </w:rPr>
            </w:pPr>
            <w:r>
              <w:rPr>
                <w:rFonts w:ascii="Futura PT Demi" w:hAnsi="Futura PT Demi"/>
                <w:color w:val="FFFFFF"/>
                <w:sz w:val="17"/>
              </w:rPr>
              <w:t>$’000</w:t>
            </w:r>
          </w:p>
        </w:tc>
        <w:tc>
          <w:tcPr>
            <w:tcW w:w="1043" w:type="dxa"/>
            <w:shd w:val="clear" w:color="auto" w:fill="008F54"/>
          </w:tcPr>
          <w:p w:rsidR="00D840DF" w:rsidRDefault="00961020">
            <w:pPr>
              <w:pStyle w:val="TableParagraph"/>
              <w:spacing w:before="30" w:line="209" w:lineRule="exact"/>
              <w:ind w:left="554"/>
              <w:rPr>
                <w:rFonts w:ascii="Futura PT Demi"/>
                <w:sz w:val="17"/>
              </w:rPr>
            </w:pPr>
            <w:r>
              <w:rPr>
                <w:rFonts w:ascii="Futura PT Demi"/>
                <w:color w:val="FFFFFF"/>
                <w:sz w:val="17"/>
              </w:rPr>
              <w:t>2016</w:t>
            </w:r>
          </w:p>
          <w:p w:rsidR="00D840DF" w:rsidRDefault="00961020">
            <w:pPr>
              <w:pStyle w:val="TableParagraph"/>
              <w:spacing w:before="0" w:line="209" w:lineRule="exact"/>
              <w:ind w:left="479"/>
              <w:rPr>
                <w:rFonts w:ascii="Futura PT Demi" w:hAnsi="Futura PT Demi"/>
                <w:sz w:val="17"/>
              </w:rPr>
            </w:pPr>
            <w:r>
              <w:rPr>
                <w:rFonts w:ascii="Futura PT Demi" w:hAnsi="Futura PT Demi"/>
                <w:color w:val="FFFFFF"/>
                <w:sz w:val="17"/>
              </w:rPr>
              <w:t>$’000</w:t>
            </w:r>
          </w:p>
        </w:tc>
      </w:tr>
      <w:tr w:rsidR="00D840DF">
        <w:trPr>
          <w:trHeight w:val="260"/>
        </w:trPr>
        <w:tc>
          <w:tcPr>
            <w:tcW w:w="3866" w:type="dxa"/>
            <w:tcBorders>
              <w:bottom w:val="single" w:sz="4" w:space="0" w:color="C7C8CA"/>
            </w:tcBorders>
          </w:tcPr>
          <w:p w:rsidR="00D840DF" w:rsidRDefault="00961020">
            <w:pPr>
              <w:pStyle w:val="TableParagraph"/>
              <w:spacing w:before="33"/>
              <w:ind w:left="114"/>
              <w:rPr>
                <w:rFonts w:ascii="Futura PT Bold"/>
                <w:b/>
                <w:sz w:val="16"/>
              </w:rPr>
            </w:pPr>
            <w:r>
              <w:rPr>
                <w:rFonts w:ascii="Futura PT Bold"/>
                <w:b/>
                <w:color w:val="003E2D"/>
                <w:sz w:val="16"/>
              </w:rPr>
              <w:t>NOTE 2.1A: CASH AND CASH EQUIVALENTS</w:t>
            </w:r>
          </w:p>
        </w:tc>
        <w:tc>
          <w:tcPr>
            <w:tcW w:w="2642" w:type="dxa"/>
            <w:tcBorders>
              <w:bottom w:val="single" w:sz="4" w:space="0" w:color="C7C8CA"/>
            </w:tcBorders>
          </w:tcPr>
          <w:p w:rsidR="00D840DF" w:rsidRDefault="00D840DF">
            <w:pPr>
              <w:pStyle w:val="TableParagraph"/>
              <w:spacing w:before="0"/>
              <w:rPr>
                <w:rFonts w:ascii="Times New Roman"/>
                <w:sz w:val="16"/>
              </w:rPr>
            </w:pPr>
          </w:p>
        </w:tc>
        <w:tc>
          <w:tcPr>
            <w:tcW w:w="1043" w:type="dxa"/>
            <w:tcBorders>
              <w:bottom w:val="single" w:sz="4" w:space="0" w:color="C7C8CA"/>
            </w:tcBorders>
          </w:tcPr>
          <w:p w:rsidR="00D840DF" w:rsidRDefault="00D840DF">
            <w:pPr>
              <w:pStyle w:val="TableParagraph"/>
              <w:spacing w:before="0"/>
              <w:rPr>
                <w:rFonts w:ascii="Times New Roman"/>
                <w:sz w:val="16"/>
              </w:rPr>
            </w:pPr>
          </w:p>
        </w:tc>
      </w:tr>
      <w:tr w:rsidR="00D840DF">
        <w:trPr>
          <w:trHeight w:val="220"/>
        </w:trPr>
        <w:tc>
          <w:tcPr>
            <w:tcW w:w="3866"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Cash on hand or on deposit</w:t>
            </w:r>
          </w:p>
        </w:tc>
        <w:tc>
          <w:tcPr>
            <w:tcW w:w="2642"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9,793</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8,400</w:t>
            </w:r>
          </w:p>
        </w:tc>
      </w:tr>
      <w:tr w:rsidR="00D840DF">
        <w:trPr>
          <w:trHeight w:val="220"/>
        </w:trPr>
        <w:tc>
          <w:tcPr>
            <w:tcW w:w="3866"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Total cash and cash equivalents</w:t>
            </w:r>
          </w:p>
        </w:tc>
        <w:tc>
          <w:tcPr>
            <w:tcW w:w="2642" w:type="dxa"/>
            <w:tcBorders>
              <w:top w:val="single" w:sz="4" w:space="0" w:color="C7C8CA"/>
              <w:bottom w:val="single" w:sz="4" w:space="0" w:color="C7C8CA"/>
            </w:tcBorders>
            <w:shd w:val="clear" w:color="auto" w:fill="E6E7E8"/>
          </w:tcPr>
          <w:p w:rsidR="00D840DF" w:rsidRDefault="00961020">
            <w:pPr>
              <w:pStyle w:val="TableParagraph"/>
              <w:spacing w:line="200" w:lineRule="exact"/>
              <w:ind w:right="490"/>
              <w:jc w:val="right"/>
              <w:rPr>
                <w:rFonts w:ascii="Futura PT Medium"/>
                <w:sz w:val="16"/>
              </w:rPr>
            </w:pPr>
            <w:r>
              <w:rPr>
                <w:rFonts w:ascii="Futura PT Medium"/>
                <w:sz w:val="16"/>
              </w:rPr>
              <w:t>9,793</w:t>
            </w:r>
          </w:p>
        </w:tc>
        <w:tc>
          <w:tcPr>
            <w:tcW w:w="1043"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8,400</w:t>
            </w:r>
          </w:p>
        </w:tc>
      </w:tr>
    </w:tbl>
    <w:p w:rsidR="00D840DF" w:rsidRDefault="00D840DF">
      <w:pPr>
        <w:pStyle w:val="BodyText"/>
        <w:spacing w:before="10"/>
        <w:rPr>
          <w:rFonts w:ascii="Futura PT Bold"/>
          <w:b/>
          <w:sz w:val="27"/>
        </w:rPr>
      </w:pPr>
    </w:p>
    <w:p w:rsidR="00D840DF" w:rsidRDefault="00961020" w:rsidP="008F7C36">
      <w:pPr>
        <w:pStyle w:val="Heading5"/>
      </w:pPr>
      <w:r>
        <w:t>Accounting Policy</w:t>
      </w:r>
    </w:p>
    <w:p w:rsidR="00D840DF" w:rsidRDefault="00961020" w:rsidP="00A928A7">
      <w:pPr>
        <w:pStyle w:val="Heading6"/>
        <w:ind w:left="0"/>
      </w:pPr>
      <w:r>
        <w:t>Cash and cash equivalents</w:t>
      </w:r>
    </w:p>
    <w:p w:rsidR="00D840DF" w:rsidRDefault="00961020" w:rsidP="00A928A7">
      <w:pPr>
        <w:spacing w:before="4"/>
        <w:rPr>
          <w:sz w:val="16"/>
        </w:rPr>
      </w:pPr>
      <w:r>
        <w:rPr>
          <w:color w:val="636466"/>
          <w:sz w:val="16"/>
        </w:rPr>
        <w:t xml:space="preserve">Cash is </w:t>
      </w:r>
      <w:proofErr w:type="spellStart"/>
      <w:r>
        <w:rPr>
          <w:color w:val="636466"/>
          <w:sz w:val="16"/>
        </w:rPr>
        <w:t>recognised</w:t>
      </w:r>
      <w:proofErr w:type="spellEnd"/>
      <w:r>
        <w:rPr>
          <w:color w:val="636466"/>
          <w:sz w:val="16"/>
        </w:rPr>
        <w:t xml:space="preserve"> at its nominal amount. Cash and cash equivalents includes:</w:t>
      </w:r>
    </w:p>
    <w:p w:rsidR="00D840DF" w:rsidRDefault="00961020">
      <w:pPr>
        <w:pStyle w:val="ListParagraph"/>
        <w:numPr>
          <w:ilvl w:val="0"/>
          <w:numId w:val="4"/>
        </w:numPr>
        <w:tabs>
          <w:tab w:val="left" w:pos="341"/>
        </w:tabs>
        <w:spacing w:before="117"/>
        <w:rPr>
          <w:sz w:val="16"/>
        </w:rPr>
      </w:pPr>
      <w:r>
        <w:rPr>
          <w:color w:val="636466"/>
          <w:sz w:val="16"/>
        </w:rPr>
        <w:t>cash on hand;</w:t>
      </w:r>
      <w:r>
        <w:rPr>
          <w:color w:val="636466"/>
          <w:spacing w:val="20"/>
          <w:sz w:val="16"/>
        </w:rPr>
        <w:t xml:space="preserve"> </w:t>
      </w:r>
      <w:r>
        <w:rPr>
          <w:color w:val="636466"/>
          <w:sz w:val="16"/>
        </w:rPr>
        <w:t>and</w:t>
      </w:r>
    </w:p>
    <w:p w:rsidR="00D840DF" w:rsidRPr="008D2169" w:rsidRDefault="00961020" w:rsidP="008D2169">
      <w:pPr>
        <w:pStyle w:val="ListParagraph"/>
        <w:numPr>
          <w:ilvl w:val="0"/>
          <w:numId w:val="4"/>
        </w:numPr>
        <w:tabs>
          <w:tab w:val="left" w:pos="341"/>
        </w:tabs>
        <w:spacing w:before="89" w:line="244" w:lineRule="auto"/>
        <w:ind w:right="520"/>
        <w:rPr>
          <w:sz w:val="16"/>
        </w:rPr>
        <w:sectPr w:rsidR="00D840DF" w:rsidRPr="008D2169">
          <w:pgSz w:w="9980" w:h="14180"/>
          <w:pgMar w:top="1320" w:right="1180" w:bottom="280" w:left="1020" w:header="720" w:footer="720" w:gutter="0"/>
          <w:cols w:space="720"/>
        </w:sectPr>
      </w:pPr>
      <w:r>
        <w:rPr>
          <w:color w:val="636466"/>
          <w:sz w:val="16"/>
        </w:rPr>
        <w:t>demand deposits in bank accounts with an original maturity of 3 months or less that are readily convertible to known</w:t>
      </w:r>
      <w:r>
        <w:rPr>
          <w:color w:val="636466"/>
          <w:spacing w:val="7"/>
          <w:sz w:val="16"/>
        </w:rPr>
        <w:t xml:space="preserve"> </w:t>
      </w:r>
      <w:r>
        <w:rPr>
          <w:color w:val="636466"/>
          <w:sz w:val="16"/>
        </w:rPr>
        <w:t>amounts</w:t>
      </w:r>
      <w:r>
        <w:rPr>
          <w:color w:val="636466"/>
          <w:spacing w:val="7"/>
          <w:sz w:val="16"/>
        </w:rPr>
        <w:t xml:space="preserve"> </w:t>
      </w:r>
      <w:r>
        <w:rPr>
          <w:color w:val="636466"/>
          <w:sz w:val="16"/>
        </w:rPr>
        <w:t>of</w:t>
      </w:r>
      <w:r>
        <w:rPr>
          <w:color w:val="636466"/>
          <w:spacing w:val="7"/>
          <w:sz w:val="16"/>
        </w:rPr>
        <w:t xml:space="preserve"> </w:t>
      </w:r>
      <w:r>
        <w:rPr>
          <w:color w:val="636466"/>
          <w:sz w:val="16"/>
        </w:rPr>
        <w:t>cash</w:t>
      </w:r>
      <w:r>
        <w:rPr>
          <w:color w:val="636466"/>
          <w:spacing w:val="7"/>
          <w:sz w:val="16"/>
        </w:rPr>
        <w:t xml:space="preserve"> </w:t>
      </w:r>
      <w:r>
        <w:rPr>
          <w:color w:val="636466"/>
          <w:sz w:val="16"/>
        </w:rPr>
        <w:t>and</w:t>
      </w:r>
      <w:r>
        <w:rPr>
          <w:color w:val="636466"/>
          <w:spacing w:val="7"/>
          <w:sz w:val="16"/>
        </w:rPr>
        <w:t xml:space="preserve"> </w:t>
      </w:r>
      <w:r>
        <w:rPr>
          <w:color w:val="636466"/>
          <w:sz w:val="16"/>
        </w:rPr>
        <w:t>subject</w:t>
      </w:r>
      <w:r>
        <w:rPr>
          <w:color w:val="636466"/>
          <w:spacing w:val="7"/>
          <w:sz w:val="16"/>
        </w:rPr>
        <w:t xml:space="preserve"> </w:t>
      </w:r>
      <w:r>
        <w:rPr>
          <w:color w:val="636466"/>
          <w:sz w:val="16"/>
        </w:rPr>
        <w:t>to</w:t>
      </w:r>
      <w:r>
        <w:rPr>
          <w:color w:val="636466"/>
          <w:spacing w:val="7"/>
          <w:sz w:val="16"/>
        </w:rPr>
        <w:t xml:space="preserve"> </w:t>
      </w:r>
      <w:r>
        <w:rPr>
          <w:color w:val="636466"/>
          <w:sz w:val="16"/>
        </w:rPr>
        <w:t>insignificant</w:t>
      </w:r>
      <w:r>
        <w:rPr>
          <w:color w:val="636466"/>
          <w:spacing w:val="7"/>
          <w:sz w:val="16"/>
        </w:rPr>
        <w:t xml:space="preserve"> </w:t>
      </w:r>
      <w:r>
        <w:rPr>
          <w:color w:val="636466"/>
          <w:sz w:val="16"/>
        </w:rPr>
        <w:t>risk</w:t>
      </w:r>
      <w:r>
        <w:rPr>
          <w:color w:val="636466"/>
          <w:spacing w:val="7"/>
          <w:sz w:val="16"/>
        </w:rPr>
        <w:t xml:space="preserve"> </w:t>
      </w:r>
      <w:r>
        <w:rPr>
          <w:color w:val="636466"/>
          <w:sz w:val="16"/>
        </w:rPr>
        <w:t>of</w:t>
      </w:r>
      <w:r>
        <w:rPr>
          <w:color w:val="636466"/>
          <w:spacing w:val="7"/>
          <w:sz w:val="16"/>
        </w:rPr>
        <w:t xml:space="preserve"> </w:t>
      </w:r>
      <w:r>
        <w:rPr>
          <w:color w:val="636466"/>
          <w:sz w:val="16"/>
        </w:rPr>
        <w:t>changes</w:t>
      </w:r>
      <w:r>
        <w:rPr>
          <w:color w:val="636466"/>
          <w:spacing w:val="7"/>
          <w:sz w:val="16"/>
        </w:rPr>
        <w:t xml:space="preserve"> </w:t>
      </w:r>
      <w:r>
        <w:rPr>
          <w:color w:val="636466"/>
          <w:sz w:val="16"/>
        </w:rPr>
        <w:t>in</w:t>
      </w:r>
      <w:r>
        <w:rPr>
          <w:color w:val="636466"/>
          <w:spacing w:val="7"/>
          <w:sz w:val="16"/>
        </w:rPr>
        <w:t xml:space="preserve"> </w:t>
      </w:r>
      <w:r w:rsidR="008D2169">
        <w:rPr>
          <w:color w:val="636466"/>
          <w:sz w:val="16"/>
        </w:rPr>
        <w:t>value</w:t>
      </w:r>
    </w:p>
    <w:p w:rsidR="00D840DF" w:rsidRDefault="00D840DF">
      <w:pPr>
        <w:pStyle w:val="BodyText"/>
        <w:spacing w:before="10"/>
        <w:rPr>
          <w:sz w:val="10"/>
        </w:rPr>
      </w:pPr>
    </w:p>
    <w:tbl>
      <w:tblPr>
        <w:tblW w:w="0" w:type="auto"/>
        <w:tblInd w:w="104" w:type="dxa"/>
        <w:tblLayout w:type="fixed"/>
        <w:tblCellMar>
          <w:left w:w="0" w:type="dxa"/>
          <w:right w:w="0" w:type="dxa"/>
        </w:tblCellMar>
        <w:tblLook w:val="01E0" w:firstRow="1" w:lastRow="1" w:firstColumn="1" w:lastColumn="1" w:noHBand="0" w:noVBand="0"/>
      </w:tblPr>
      <w:tblGrid>
        <w:gridCol w:w="4559"/>
        <w:gridCol w:w="1939"/>
        <w:gridCol w:w="1054"/>
      </w:tblGrid>
      <w:tr w:rsidR="00D840DF">
        <w:trPr>
          <w:trHeight w:val="480"/>
        </w:trPr>
        <w:tc>
          <w:tcPr>
            <w:tcW w:w="4559" w:type="dxa"/>
            <w:shd w:val="clear" w:color="auto" w:fill="008F54"/>
          </w:tcPr>
          <w:p w:rsidR="00D840DF" w:rsidRDefault="00D840DF">
            <w:pPr>
              <w:pStyle w:val="TableParagraph"/>
              <w:spacing w:before="0"/>
              <w:rPr>
                <w:rFonts w:ascii="Times New Roman"/>
                <w:sz w:val="16"/>
              </w:rPr>
            </w:pPr>
          </w:p>
        </w:tc>
        <w:tc>
          <w:tcPr>
            <w:tcW w:w="1939" w:type="dxa"/>
            <w:shd w:val="clear" w:color="auto" w:fill="008F54"/>
          </w:tcPr>
          <w:p w:rsidR="00D840DF" w:rsidRDefault="00961020">
            <w:pPr>
              <w:pStyle w:val="TableParagraph"/>
              <w:spacing w:before="30" w:line="209" w:lineRule="exact"/>
              <w:ind w:left="1087"/>
              <w:rPr>
                <w:rFonts w:ascii="Futura PT Demi"/>
                <w:sz w:val="17"/>
              </w:rPr>
            </w:pPr>
            <w:r>
              <w:rPr>
                <w:rFonts w:ascii="Futura PT Demi"/>
                <w:color w:val="FFFFFF"/>
                <w:sz w:val="17"/>
              </w:rPr>
              <w:t>2017</w:t>
            </w:r>
          </w:p>
          <w:p w:rsidR="00D840DF" w:rsidRDefault="00961020">
            <w:pPr>
              <w:pStyle w:val="TableParagraph"/>
              <w:spacing w:before="0" w:line="209" w:lineRule="exact"/>
              <w:ind w:left="1011"/>
              <w:rPr>
                <w:rFonts w:ascii="Futura PT Demi" w:hAnsi="Futura PT Demi"/>
                <w:sz w:val="17"/>
              </w:rPr>
            </w:pPr>
            <w:r>
              <w:rPr>
                <w:rFonts w:ascii="Futura PT Demi" w:hAnsi="Futura PT Demi"/>
                <w:color w:val="FFFFFF"/>
                <w:sz w:val="17"/>
              </w:rPr>
              <w:t>$’000</w:t>
            </w:r>
          </w:p>
        </w:tc>
        <w:tc>
          <w:tcPr>
            <w:tcW w:w="1054" w:type="dxa"/>
            <w:shd w:val="clear" w:color="auto" w:fill="008F54"/>
          </w:tcPr>
          <w:p w:rsidR="00D840DF" w:rsidRDefault="00961020">
            <w:pPr>
              <w:pStyle w:val="TableParagraph"/>
              <w:spacing w:before="30" w:line="209" w:lineRule="exact"/>
              <w:ind w:left="565"/>
              <w:rPr>
                <w:rFonts w:ascii="Futura PT Demi"/>
                <w:sz w:val="17"/>
              </w:rPr>
            </w:pPr>
            <w:r>
              <w:rPr>
                <w:rFonts w:ascii="Futura PT Demi"/>
                <w:color w:val="FFFFFF"/>
                <w:sz w:val="17"/>
              </w:rPr>
              <w:t>2016</w:t>
            </w:r>
          </w:p>
          <w:p w:rsidR="00D840DF" w:rsidRDefault="00961020">
            <w:pPr>
              <w:pStyle w:val="TableParagraph"/>
              <w:spacing w:before="0" w:line="209" w:lineRule="exact"/>
              <w:ind w:left="490"/>
              <w:rPr>
                <w:rFonts w:ascii="Futura PT Demi" w:hAnsi="Futura PT Demi"/>
                <w:sz w:val="17"/>
              </w:rPr>
            </w:pPr>
            <w:r>
              <w:rPr>
                <w:rFonts w:ascii="Futura PT Demi" w:hAnsi="Futura PT Demi"/>
                <w:color w:val="FFFFFF"/>
                <w:sz w:val="17"/>
              </w:rPr>
              <w:t>$’000</w:t>
            </w:r>
          </w:p>
        </w:tc>
      </w:tr>
      <w:tr w:rsidR="00D840DF">
        <w:trPr>
          <w:trHeight w:val="260"/>
        </w:trPr>
        <w:tc>
          <w:tcPr>
            <w:tcW w:w="4559" w:type="dxa"/>
          </w:tcPr>
          <w:p w:rsidR="00D840DF" w:rsidRDefault="00961020">
            <w:pPr>
              <w:pStyle w:val="TableParagraph"/>
              <w:spacing w:before="33"/>
              <w:ind w:left="114"/>
              <w:rPr>
                <w:rFonts w:ascii="Futura PT Bold"/>
                <w:b/>
                <w:sz w:val="16"/>
              </w:rPr>
            </w:pPr>
            <w:r>
              <w:rPr>
                <w:rFonts w:ascii="Futura PT Bold"/>
                <w:b/>
                <w:color w:val="003E2D"/>
                <w:sz w:val="16"/>
              </w:rPr>
              <w:t>NOTE 2.1B: TRADE AND OTHER RECEIVABLES</w:t>
            </w:r>
          </w:p>
        </w:tc>
        <w:tc>
          <w:tcPr>
            <w:tcW w:w="1939" w:type="dxa"/>
          </w:tcPr>
          <w:p w:rsidR="00D840DF" w:rsidRDefault="00D840DF">
            <w:pPr>
              <w:pStyle w:val="TableParagraph"/>
              <w:spacing w:before="0"/>
              <w:rPr>
                <w:rFonts w:ascii="Times New Roman"/>
                <w:sz w:val="16"/>
              </w:rPr>
            </w:pPr>
          </w:p>
        </w:tc>
        <w:tc>
          <w:tcPr>
            <w:tcW w:w="1054" w:type="dxa"/>
          </w:tcPr>
          <w:p w:rsidR="00D840DF" w:rsidRDefault="00D840DF">
            <w:pPr>
              <w:pStyle w:val="TableParagraph"/>
              <w:spacing w:before="0"/>
              <w:rPr>
                <w:rFonts w:ascii="Times New Roman"/>
                <w:sz w:val="16"/>
              </w:rPr>
            </w:pPr>
          </w:p>
        </w:tc>
      </w:tr>
      <w:tr w:rsidR="00D840DF">
        <w:trPr>
          <w:trHeight w:val="260"/>
        </w:trPr>
        <w:tc>
          <w:tcPr>
            <w:tcW w:w="4559" w:type="dxa"/>
          </w:tcPr>
          <w:p w:rsidR="00D840DF" w:rsidRDefault="00E314B6">
            <w:pPr>
              <w:pStyle w:val="TableParagraph"/>
              <w:tabs>
                <w:tab w:val="left" w:pos="7551"/>
              </w:tabs>
              <w:spacing w:before="38"/>
              <w:ind w:right="-2993"/>
              <w:jc w:val="right"/>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Appropriations</w:t>
            </w:r>
            <w:r>
              <w:rPr>
                <w:rFonts w:ascii="Futura PT Bold"/>
                <w:b/>
                <w:color w:val="003E2D"/>
                <w:sz w:val="16"/>
                <w:shd w:val="clear" w:color="auto" w:fill="E2F0D8"/>
              </w:rPr>
              <w:t xml:space="preserve"> </w:t>
            </w:r>
            <w:r w:rsidR="00961020">
              <w:rPr>
                <w:rFonts w:ascii="Futura PT Bold"/>
                <w:b/>
                <w:color w:val="003E2D"/>
                <w:sz w:val="16"/>
                <w:shd w:val="clear" w:color="auto" w:fill="E2F0D8"/>
              </w:rPr>
              <w:t>receivables</w:t>
            </w:r>
            <w:r w:rsidR="00961020">
              <w:rPr>
                <w:rFonts w:ascii="Futura PT Bold"/>
                <w:b/>
                <w:color w:val="003E2D"/>
                <w:sz w:val="16"/>
                <w:shd w:val="clear" w:color="auto" w:fill="E2F0D8"/>
              </w:rPr>
              <w:tab/>
            </w:r>
          </w:p>
        </w:tc>
        <w:tc>
          <w:tcPr>
            <w:tcW w:w="1939" w:type="dxa"/>
          </w:tcPr>
          <w:p w:rsidR="00D840DF" w:rsidRDefault="00D840DF">
            <w:pPr>
              <w:pStyle w:val="TableParagraph"/>
              <w:spacing w:before="0"/>
              <w:rPr>
                <w:rFonts w:ascii="Times New Roman"/>
                <w:sz w:val="16"/>
              </w:rPr>
            </w:pPr>
          </w:p>
        </w:tc>
        <w:tc>
          <w:tcPr>
            <w:tcW w:w="1054" w:type="dxa"/>
          </w:tcPr>
          <w:p w:rsidR="00D840DF" w:rsidRDefault="00D840DF">
            <w:pPr>
              <w:pStyle w:val="TableParagraph"/>
              <w:spacing w:before="0"/>
              <w:rPr>
                <w:rFonts w:ascii="Times New Roman"/>
                <w:sz w:val="16"/>
              </w:rPr>
            </w:pPr>
          </w:p>
        </w:tc>
      </w:tr>
      <w:tr w:rsidR="00D840DF">
        <w:trPr>
          <w:trHeight w:val="240"/>
        </w:trPr>
        <w:tc>
          <w:tcPr>
            <w:tcW w:w="4559" w:type="dxa"/>
          </w:tcPr>
          <w:p w:rsidR="00D840DF" w:rsidRDefault="00961020">
            <w:pPr>
              <w:pStyle w:val="TableParagraph"/>
              <w:spacing w:before="28"/>
              <w:ind w:left="113"/>
              <w:rPr>
                <w:sz w:val="16"/>
              </w:rPr>
            </w:pPr>
            <w:r>
              <w:rPr>
                <w:color w:val="636466"/>
                <w:sz w:val="16"/>
              </w:rPr>
              <w:t>Receivable</w:t>
            </w:r>
            <w:r w:rsidR="00E314B6">
              <w:rPr>
                <w:color w:val="636466"/>
                <w:sz w:val="16"/>
              </w:rPr>
              <w:t xml:space="preserve"> </w:t>
            </w:r>
            <w:r>
              <w:rPr>
                <w:color w:val="636466"/>
                <w:sz w:val="16"/>
              </w:rPr>
              <w:t>from Government</w:t>
            </w:r>
          </w:p>
        </w:tc>
        <w:tc>
          <w:tcPr>
            <w:tcW w:w="1939" w:type="dxa"/>
          </w:tcPr>
          <w:p w:rsidR="00D840DF" w:rsidRDefault="00961020">
            <w:pPr>
              <w:pStyle w:val="TableParagraph"/>
              <w:spacing w:before="28"/>
              <w:ind w:right="474"/>
              <w:jc w:val="right"/>
              <w:rPr>
                <w:rFonts w:ascii="Futura PT Medium"/>
                <w:sz w:val="16"/>
              </w:rPr>
            </w:pPr>
            <w:r>
              <w:rPr>
                <w:rFonts w:ascii="Futura PT Medium"/>
                <w:color w:val="636466"/>
                <w:sz w:val="16"/>
              </w:rPr>
              <w:t>-</w:t>
            </w:r>
          </w:p>
        </w:tc>
        <w:tc>
          <w:tcPr>
            <w:tcW w:w="1054" w:type="dxa"/>
          </w:tcPr>
          <w:p w:rsidR="00D840DF" w:rsidRDefault="00961020">
            <w:pPr>
              <w:pStyle w:val="TableParagraph"/>
              <w:spacing w:before="28"/>
              <w:ind w:right="111"/>
              <w:jc w:val="right"/>
              <w:rPr>
                <w:sz w:val="16"/>
              </w:rPr>
            </w:pPr>
            <w:r>
              <w:rPr>
                <w:color w:val="636466"/>
                <w:sz w:val="16"/>
              </w:rPr>
              <w:t>18,176</w:t>
            </w:r>
          </w:p>
        </w:tc>
      </w:tr>
      <w:tr w:rsidR="00D840DF">
        <w:trPr>
          <w:trHeight w:val="240"/>
        </w:trPr>
        <w:tc>
          <w:tcPr>
            <w:tcW w:w="4559"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appropriations receivables</w:t>
            </w:r>
          </w:p>
        </w:tc>
        <w:tc>
          <w:tcPr>
            <w:tcW w:w="1939" w:type="dxa"/>
            <w:tcBorders>
              <w:bottom w:val="single" w:sz="4" w:space="0" w:color="C7C8CA"/>
            </w:tcBorders>
            <w:shd w:val="clear" w:color="auto" w:fill="E6E7E8"/>
          </w:tcPr>
          <w:p w:rsidR="00D840DF" w:rsidRDefault="00961020">
            <w:pPr>
              <w:pStyle w:val="TableParagraph"/>
              <w:spacing w:before="21" w:line="200" w:lineRule="exact"/>
              <w:ind w:right="474"/>
              <w:jc w:val="right"/>
              <w:rPr>
                <w:rFonts w:ascii="Futura PT Medium"/>
                <w:sz w:val="16"/>
              </w:rPr>
            </w:pPr>
            <w:r>
              <w:rPr>
                <w:rFonts w:ascii="Futura PT Medium"/>
                <w:sz w:val="16"/>
              </w:rPr>
              <w:t>-</w:t>
            </w:r>
          </w:p>
        </w:tc>
        <w:tc>
          <w:tcPr>
            <w:tcW w:w="1054"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18,176</w:t>
            </w:r>
          </w:p>
        </w:tc>
      </w:tr>
      <w:tr w:rsidR="00D840DF">
        <w:trPr>
          <w:trHeight w:val="440"/>
        </w:trPr>
        <w:tc>
          <w:tcPr>
            <w:tcW w:w="4559" w:type="dxa"/>
            <w:tcBorders>
              <w:top w:val="single" w:sz="4" w:space="0" w:color="C7C8CA"/>
            </w:tcBorders>
          </w:tcPr>
          <w:p w:rsidR="00D840DF" w:rsidRDefault="00D840DF">
            <w:pPr>
              <w:pStyle w:val="TableParagraph"/>
              <w:spacing w:before="1"/>
              <w:rPr>
                <w:sz w:val="16"/>
              </w:rPr>
            </w:pPr>
          </w:p>
          <w:p w:rsidR="00D840DF" w:rsidRDefault="00E314B6">
            <w:pPr>
              <w:pStyle w:val="TableParagraph"/>
              <w:tabs>
                <w:tab w:val="left" w:pos="7551"/>
              </w:tabs>
              <w:spacing w:before="0"/>
              <w:ind w:right="-2993"/>
              <w:jc w:val="right"/>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Other</w:t>
            </w:r>
            <w:r w:rsidR="00961020">
              <w:rPr>
                <w:rFonts w:ascii="Futura PT Bold"/>
                <w:b/>
                <w:color w:val="003E2D"/>
                <w:spacing w:val="35"/>
                <w:sz w:val="16"/>
                <w:shd w:val="clear" w:color="auto" w:fill="E2F0D8"/>
              </w:rPr>
              <w:t xml:space="preserve"> </w:t>
            </w:r>
            <w:r w:rsidR="00961020">
              <w:rPr>
                <w:rFonts w:ascii="Futura PT Bold"/>
                <w:b/>
                <w:color w:val="003E2D"/>
                <w:sz w:val="16"/>
                <w:shd w:val="clear" w:color="auto" w:fill="E2F0D8"/>
              </w:rPr>
              <w:t>receivables</w:t>
            </w:r>
            <w:r w:rsidR="00961020">
              <w:rPr>
                <w:rFonts w:ascii="Futura PT Bold"/>
                <w:b/>
                <w:color w:val="003E2D"/>
                <w:sz w:val="16"/>
                <w:shd w:val="clear" w:color="auto" w:fill="E2F0D8"/>
              </w:rPr>
              <w:tab/>
            </w:r>
          </w:p>
        </w:tc>
        <w:tc>
          <w:tcPr>
            <w:tcW w:w="1939" w:type="dxa"/>
            <w:tcBorders>
              <w:top w:val="single" w:sz="4" w:space="0" w:color="C7C8CA"/>
            </w:tcBorders>
          </w:tcPr>
          <w:p w:rsidR="00D840DF" w:rsidRDefault="00D840DF">
            <w:pPr>
              <w:pStyle w:val="TableParagraph"/>
              <w:spacing w:before="0"/>
              <w:rPr>
                <w:rFonts w:ascii="Times New Roman"/>
                <w:sz w:val="16"/>
              </w:rPr>
            </w:pPr>
          </w:p>
        </w:tc>
        <w:tc>
          <w:tcPr>
            <w:tcW w:w="1054" w:type="dxa"/>
            <w:tcBorders>
              <w:top w:val="single" w:sz="4" w:space="0" w:color="C7C8CA"/>
            </w:tcBorders>
          </w:tcPr>
          <w:p w:rsidR="00D840DF" w:rsidRDefault="00D840DF">
            <w:pPr>
              <w:pStyle w:val="TableParagraph"/>
              <w:spacing w:before="0"/>
              <w:rPr>
                <w:rFonts w:ascii="Times New Roman"/>
                <w:sz w:val="16"/>
              </w:rPr>
            </w:pPr>
          </w:p>
        </w:tc>
      </w:tr>
      <w:tr w:rsidR="00D840DF">
        <w:trPr>
          <w:trHeight w:val="240"/>
        </w:trPr>
        <w:tc>
          <w:tcPr>
            <w:tcW w:w="4559"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GST receivable from the Australian Taxation Office</w:t>
            </w:r>
          </w:p>
        </w:tc>
        <w:tc>
          <w:tcPr>
            <w:tcW w:w="1939" w:type="dxa"/>
            <w:tcBorders>
              <w:bottom w:val="single" w:sz="4" w:space="0" w:color="C7C8CA"/>
            </w:tcBorders>
          </w:tcPr>
          <w:p w:rsidR="00D840DF" w:rsidRDefault="00961020">
            <w:pPr>
              <w:pStyle w:val="TableParagraph"/>
              <w:spacing w:before="28" w:line="200" w:lineRule="exact"/>
              <w:ind w:right="474"/>
              <w:jc w:val="right"/>
              <w:rPr>
                <w:rFonts w:ascii="Futura PT Medium"/>
                <w:sz w:val="16"/>
              </w:rPr>
            </w:pPr>
            <w:r>
              <w:rPr>
                <w:rFonts w:ascii="Futura PT Medium"/>
                <w:color w:val="636466"/>
                <w:sz w:val="16"/>
              </w:rPr>
              <w:t>83</w:t>
            </w:r>
          </w:p>
        </w:tc>
        <w:tc>
          <w:tcPr>
            <w:tcW w:w="1054"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269</w:t>
            </w:r>
          </w:p>
        </w:tc>
      </w:tr>
      <w:tr w:rsidR="00D840DF">
        <w:trPr>
          <w:trHeight w:val="240"/>
        </w:trPr>
        <w:tc>
          <w:tcPr>
            <w:tcW w:w="4559" w:type="dxa"/>
            <w:tcBorders>
              <w:top w:val="single" w:sz="4" w:space="0" w:color="C7C8CA"/>
            </w:tcBorders>
          </w:tcPr>
          <w:p w:rsidR="00D840DF" w:rsidRDefault="00961020">
            <w:pPr>
              <w:pStyle w:val="TableParagraph"/>
              <w:ind w:left="113"/>
              <w:rPr>
                <w:sz w:val="16"/>
              </w:rPr>
            </w:pPr>
            <w:r>
              <w:rPr>
                <w:color w:val="636466"/>
                <w:sz w:val="16"/>
              </w:rPr>
              <w:t>Other</w:t>
            </w:r>
            <w:r w:rsidR="00E314B6">
              <w:rPr>
                <w:color w:val="636466"/>
                <w:sz w:val="16"/>
              </w:rPr>
              <w:t xml:space="preserve"> </w:t>
            </w:r>
            <w:r>
              <w:rPr>
                <w:color w:val="636466"/>
                <w:sz w:val="16"/>
              </w:rPr>
              <w:t>amounts receivable</w:t>
            </w:r>
          </w:p>
        </w:tc>
        <w:tc>
          <w:tcPr>
            <w:tcW w:w="1939" w:type="dxa"/>
            <w:tcBorders>
              <w:top w:val="single" w:sz="4" w:space="0" w:color="C7C8CA"/>
            </w:tcBorders>
          </w:tcPr>
          <w:p w:rsidR="00D840DF" w:rsidRDefault="00961020">
            <w:pPr>
              <w:pStyle w:val="TableParagraph"/>
              <w:ind w:right="474"/>
              <w:jc w:val="right"/>
              <w:rPr>
                <w:rFonts w:ascii="Futura PT Medium"/>
                <w:sz w:val="16"/>
              </w:rPr>
            </w:pPr>
            <w:r>
              <w:rPr>
                <w:rFonts w:ascii="Futura PT Medium"/>
                <w:color w:val="636466"/>
                <w:sz w:val="16"/>
              </w:rPr>
              <w:t>128</w:t>
            </w:r>
          </w:p>
        </w:tc>
        <w:tc>
          <w:tcPr>
            <w:tcW w:w="1054" w:type="dxa"/>
            <w:tcBorders>
              <w:top w:val="single" w:sz="4" w:space="0" w:color="C7C8CA"/>
            </w:tcBorders>
          </w:tcPr>
          <w:p w:rsidR="00D840DF" w:rsidRDefault="00961020">
            <w:pPr>
              <w:pStyle w:val="TableParagraph"/>
              <w:ind w:right="113"/>
              <w:jc w:val="right"/>
              <w:rPr>
                <w:sz w:val="16"/>
              </w:rPr>
            </w:pPr>
            <w:r>
              <w:rPr>
                <w:color w:val="636466"/>
                <w:sz w:val="16"/>
              </w:rPr>
              <w:t>70</w:t>
            </w:r>
          </w:p>
        </w:tc>
      </w:tr>
      <w:tr w:rsidR="00D840DF">
        <w:trPr>
          <w:trHeight w:val="240"/>
        </w:trPr>
        <w:tc>
          <w:tcPr>
            <w:tcW w:w="4559"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other receivables</w:t>
            </w:r>
          </w:p>
        </w:tc>
        <w:tc>
          <w:tcPr>
            <w:tcW w:w="1939" w:type="dxa"/>
            <w:tcBorders>
              <w:bottom w:val="single" w:sz="4" w:space="0" w:color="C7C8CA"/>
            </w:tcBorders>
            <w:shd w:val="clear" w:color="auto" w:fill="E6E7E8"/>
          </w:tcPr>
          <w:p w:rsidR="00D840DF" w:rsidRDefault="00961020">
            <w:pPr>
              <w:pStyle w:val="TableParagraph"/>
              <w:spacing w:before="21" w:line="200" w:lineRule="exact"/>
              <w:ind w:right="508"/>
              <w:jc w:val="right"/>
              <w:rPr>
                <w:rFonts w:ascii="Futura PT Medium"/>
                <w:sz w:val="16"/>
              </w:rPr>
            </w:pPr>
            <w:r>
              <w:rPr>
                <w:rFonts w:ascii="Futura PT Medium"/>
                <w:sz w:val="16"/>
              </w:rPr>
              <w:t>211</w:t>
            </w:r>
          </w:p>
        </w:tc>
        <w:tc>
          <w:tcPr>
            <w:tcW w:w="1054"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339</w:t>
            </w:r>
          </w:p>
        </w:tc>
      </w:tr>
      <w:tr w:rsidR="00D840DF">
        <w:trPr>
          <w:trHeight w:val="220"/>
        </w:trPr>
        <w:tc>
          <w:tcPr>
            <w:tcW w:w="4559"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Total trade and other receivables (gross)</w:t>
            </w:r>
          </w:p>
        </w:tc>
        <w:tc>
          <w:tcPr>
            <w:tcW w:w="1939" w:type="dxa"/>
            <w:tcBorders>
              <w:top w:val="single" w:sz="4" w:space="0" w:color="C7C8CA"/>
              <w:bottom w:val="single" w:sz="4" w:space="0" w:color="C7C8CA"/>
            </w:tcBorders>
            <w:shd w:val="clear" w:color="auto" w:fill="E6E7E8"/>
          </w:tcPr>
          <w:p w:rsidR="00D840DF" w:rsidRDefault="00961020">
            <w:pPr>
              <w:pStyle w:val="TableParagraph"/>
              <w:spacing w:line="200" w:lineRule="exact"/>
              <w:ind w:right="508"/>
              <w:jc w:val="right"/>
              <w:rPr>
                <w:rFonts w:ascii="Futura PT Medium"/>
                <w:sz w:val="16"/>
              </w:rPr>
            </w:pPr>
            <w:r>
              <w:rPr>
                <w:rFonts w:ascii="Futura PT Medium"/>
                <w:sz w:val="16"/>
              </w:rPr>
              <w:t>211</w:t>
            </w:r>
          </w:p>
        </w:tc>
        <w:tc>
          <w:tcPr>
            <w:tcW w:w="1054"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18,515</w:t>
            </w:r>
          </w:p>
        </w:tc>
      </w:tr>
      <w:tr w:rsidR="00D840DF">
        <w:trPr>
          <w:trHeight w:val="160"/>
        </w:trPr>
        <w:tc>
          <w:tcPr>
            <w:tcW w:w="4559" w:type="dxa"/>
            <w:tcBorders>
              <w:top w:val="single" w:sz="4" w:space="0" w:color="C7C8CA"/>
            </w:tcBorders>
          </w:tcPr>
          <w:p w:rsidR="00D840DF" w:rsidRDefault="00D840DF">
            <w:pPr>
              <w:pStyle w:val="TableParagraph"/>
              <w:spacing w:before="0"/>
              <w:rPr>
                <w:rFonts w:ascii="Times New Roman"/>
                <w:sz w:val="10"/>
              </w:rPr>
            </w:pPr>
          </w:p>
        </w:tc>
        <w:tc>
          <w:tcPr>
            <w:tcW w:w="1939" w:type="dxa"/>
            <w:tcBorders>
              <w:top w:val="single" w:sz="4" w:space="0" w:color="C7C8CA"/>
            </w:tcBorders>
          </w:tcPr>
          <w:p w:rsidR="00D840DF" w:rsidRDefault="00D840DF">
            <w:pPr>
              <w:pStyle w:val="TableParagraph"/>
              <w:spacing w:before="0"/>
              <w:rPr>
                <w:rFonts w:ascii="Times New Roman"/>
                <w:sz w:val="10"/>
              </w:rPr>
            </w:pPr>
          </w:p>
        </w:tc>
        <w:tc>
          <w:tcPr>
            <w:tcW w:w="1054" w:type="dxa"/>
            <w:tcBorders>
              <w:top w:val="single" w:sz="4" w:space="0" w:color="C7C8CA"/>
            </w:tcBorders>
          </w:tcPr>
          <w:p w:rsidR="00D840DF" w:rsidRDefault="00D840DF">
            <w:pPr>
              <w:pStyle w:val="TableParagraph"/>
              <w:spacing w:before="0"/>
              <w:rPr>
                <w:rFonts w:ascii="Times New Roman"/>
                <w:sz w:val="10"/>
              </w:rPr>
            </w:pPr>
          </w:p>
        </w:tc>
      </w:tr>
      <w:tr w:rsidR="00D840DF">
        <w:trPr>
          <w:trHeight w:val="240"/>
        </w:trPr>
        <w:tc>
          <w:tcPr>
            <w:tcW w:w="4559"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Less impairment allowance</w:t>
            </w:r>
          </w:p>
        </w:tc>
        <w:tc>
          <w:tcPr>
            <w:tcW w:w="1939" w:type="dxa"/>
            <w:tcBorders>
              <w:bottom w:val="single" w:sz="4" w:space="0" w:color="C7C8CA"/>
            </w:tcBorders>
            <w:shd w:val="clear" w:color="auto" w:fill="E6E7E8"/>
          </w:tcPr>
          <w:p w:rsidR="00D840DF" w:rsidRDefault="00961020">
            <w:pPr>
              <w:pStyle w:val="TableParagraph"/>
              <w:spacing w:before="21" w:line="200" w:lineRule="exact"/>
              <w:ind w:right="474"/>
              <w:jc w:val="right"/>
              <w:rPr>
                <w:rFonts w:ascii="Futura PT Medium"/>
                <w:sz w:val="16"/>
              </w:rPr>
            </w:pPr>
            <w:r>
              <w:rPr>
                <w:rFonts w:ascii="Futura PT Medium"/>
                <w:sz w:val="16"/>
              </w:rPr>
              <w:t>-</w:t>
            </w:r>
          </w:p>
        </w:tc>
        <w:tc>
          <w:tcPr>
            <w:tcW w:w="1054"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w:t>
            </w:r>
          </w:p>
        </w:tc>
      </w:tr>
      <w:tr w:rsidR="00D840DF">
        <w:trPr>
          <w:trHeight w:val="160"/>
        </w:trPr>
        <w:tc>
          <w:tcPr>
            <w:tcW w:w="4559" w:type="dxa"/>
            <w:tcBorders>
              <w:top w:val="single" w:sz="4" w:space="0" w:color="C7C8CA"/>
              <w:bottom w:val="single" w:sz="4" w:space="0" w:color="C7C8CA"/>
            </w:tcBorders>
          </w:tcPr>
          <w:p w:rsidR="00D840DF" w:rsidRDefault="00D840DF">
            <w:pPr>
              <w:pStyle w:val="TableParagraph"/>
              <w:spacing w:before="0"/>
              <w:rPr>
                <w:rFonts w:ascii="Times New Roman"/>
                <w:sz w:val="10"/>
              </w:rPr>
            </w:pPr>
          </w:p>
        </w:tc>
        <w:tc>
          <w:tcPr>
            <w:tcW w:w="1939" w:type="dxa"/>
            <w:tcBorders>
              <w:top w:val="single" w:sz="4" w:space="0" w:color="C7C8CA"/>
              <w:bottom w:val="single" w:sz="4" w:space="0" w:color="C7C8CA"/>
            </w:tcBorders>
          </w:tcPr>
          <w:p w:rsidR="00D840DF" w:rsidRDefault="00D840DF">
            <w:pPr>
              <w:pStyle w:val="TableParagraph"/>
              <w:spacing w:before="0"/>
              <w:rPr>
                <w:rFonts w:ascii="Times New Roman"/>
                <w:sz w:val="10"/>
              </w:rPr>
            </w:pPr>
          </w:p>
        </w:tc>
        <w:tc>
          <w:tcPr>
            <w:tcW w:w="1054" w:type="dxa"/>
            <w:tcBorders>
              <w:top w:val="single" w:sz="4" w:space="0" w:color="C7C8CA"/>
              <w:bottom w:val="single" w:sz="4" w:space="0" w:color="C7C8CA"/>
            </w:tcBorders>
          </w:tcPr>
          <w:p w:rsidR="00D840DF" w:rsidRDefault="00D840DF">
            <w:pPr>
              <w:pStyle w:val="TableParagraph"/>
              <w:spacing w:before="0"/>
              <w:rPr>
                <w:rFonts w:ascii="Times New Roman"/>
                <w:sz w:val="10"/>
              </w:rPr>
            </w:pPr>
          </w:p>
        </w:tc>
      </w:tr>
      <w:tr w:rsidR="00D840DF">
        <w:trPr>
          <w:trHeight w:val="220"/>
        </w:trPr>
        <w:tc>
          <w:tcPr>
            <w:tcW w:w="4559"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Total trade and other receivables (net)</w:t>
            </w:r>
          </w:p>
        </w:tc>
        <w:tc>
          <w:tcPr>
            <w:tcW w:w="1939" w:type="dxa"/>
            <w:tcBorders>
              <w:top w:val="single" w:sz="4" w:space="0" w:color="C7C8CA"/>
              <w:bottom w:val="single" w:sz="4" w:space="0" w:color="C7C8CA"/>
            </w:tcBorders>
            <w:shd w:val="clear" w:color="auto" w:fill="E6E7E8"/>
          </w:tcPr>
          <w:p w:rsidR="00D840DF" w:rsidRDefault="00961020">
            <w:pPr>
              <w:pStyle w:val="TableParagraph"/>
              <w:spacing w:line="200" w:lineRule="exact"/>
              <w:ind w:right="508"/>
              <w:jc w:val="right"/>
              <w:rPr>
                <w:rFonts w:ascii="Futura PT Medium"/>
                <w:sz w:val="16"/>
              </w:rPr>
            </w:pPr>
            <w:r>
              <w:rPr>
                <w:rFonts w:ascii="Futura PT Medium"/>
                <w:sz w:val="16"/>
              </w:rPr>
              <w:t>211</w:t>
            </w:r>
          </w:p>
        </w:tc>
        <w:tc>
          <w:tcPr>
            <w:tcW w:w="1054"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18,515</w:t>
            </w:r>
          </w:p>
        </w:tc>
      </w:tr>
      <w:tr w:rsidR="00D840DF">
        <w:trPr>
          <w:trHeight w:val="440"/>
        </w:trPr>
        <w:tc>
          <w:tcPr>
            <w:tcW w:w="7552" w:type="dxa"/>
            <w:gridSpan w:val="3"/>
            <w:tcBorders>
              <w:top w:val="single" w:sz="4" w:space="0" w:color="C7C8CA"/>
            </w:tcBorders>
          </w:tcPr>
          <w:p w:rsidR="00D840DF" w:rsidRDefault="00D840DF">
            <w:pPr>
              <w:pStyle w:val="TableParagraph"/>
              <w:spacing w:before="1"/>
              <w:rPr>
                <w:sz w:val="16"/>
              </w:rPr>
            </w:pPr>
          </w:p>
          <w:p w:rsidR="00D840DF" w:rsidRDefault="00E314B6">
            <w:pPr>
              <w:pStyle w:val="TableParagraph"/>
              <w:tabs>
                <w:tab w:val="left" w:pos="7551"/>
              </w:tabs>
              <w:spacing w:before="0"/>
              <w:rPr>
                <w:rFonts w:ascii="Futura PT Bold"/>
                <w:b/>
                <w:sz w:val="16"/>
              </w:rPr>
            </w:pPr>
            <w:r>
              <w:rPr>
                <w:rFonts w:ascii="Futura PT Bold"/>
                <w:b/>
                <w:color w:val="003E2D"/>
                <w:sz w:val="16"/>
                <w:shd w:val="clear" w:color="auto" w:fill="E2F0D8"/>
              </w:rPr>
              <w:t xml:space="preserve"> </w:t>
            </w:r>
            <w:r w:rsidR="00961020">
              <w:rPr>
                <w:rFonts w:ascii="Futura PT Bold"/>
                <w:b/>
                <w:color w:val="003E2D"/>
                <w:sz w:val="16"/>
                <w:shd w:val="clear" w:color="auto" w:fill="E2F0D8"/>
              </w:rPr>
              <w:t>Trade</w:t>
            </w:r>
            <w:r w:rsidR="00961020">
              <w:rPr>
                <w:rFonts w:ascii="Futura PT Bold"/>
                <w:b/>
                <w:color w:val="003E2D"/>
                <w:spacing w:val="10"/>
                <w:sz w:val="16"/>
                <w:shd w:val="clear" w:color="auto" w:fill="E2F0D8"/>
              </w:rPr>
              <w:t xml:space="preserve"> </w:t>
            </w:r>
            <w:r w:rsidR="00961020">
              <w:rPr>
                <w:rFonts w:ascii="Futura PT Bold"/>
                <w:b/>
                <w:color w:val="003E2D"/>
                <w:sz w:val="16"/>
                <w:shd w:val="clear" w:color="auto" w:fill="E2F0D8"/>
              </w:rPr>
              <w:t>and</w:t>
            </w:r>
            <w:r w:rsidR="00961020">
              <w:rPr>
                <w:rFonts w:ascii="Futura PT Bold"/>
                <w:b/>
                <w:color w:val="003E2D"/>
                <w:spacing w:val="10"/>
                <w:sz w:val="16"/>
                <w:shd w:val="clear" w:color="auto" w:fill="E2F0D8"/>
              </w:rPr>
              <w:t xml:space="preserve"> </w:t>
            </w:r>
            <w:r w:rsidR="00961020">
              <w:rPr>
                <w:rFonts w:ascii="Futura PT Bold"/>
                <w:b/>
                <w:color w:val="003E2D"/>
                <w:sz w:val="16"/>
                <w:shd w:val="clear" w:color="auto" w:fill="E2F0D8"/>
              </w:rPr>
              <w:t>other</w:t>
            </w:r>
            <w:r w:rsidR="00961020">
              <w:rPr>
                <w:rFonts w:ascii="Futura PT Bold"/>
                <w:b/>
                <w:color w:val="003E2D"/>
                <w:spacing w:val="10"/>
                <w:sz w:val="16"/>
                <w:shd w:val="clear" w:color="auto" w:fill="E2F0D8"/>
              </w:rPr>
              <w:t xml:space="preserve"> </w:t>
            </w:r>
            <w:r w:rsidR="00961020">
              <w:rPr>
                <w:rFonts w:ascii="Futura PT Bold"/>
                <w:b/>
                <w:color w:val="003E2D"/>
                <w:sz w:val="16"/>
                <w:shd w:val="clear" w:color="auto" w:fill="E2F0D8"/>
              </w:rPr>
              <w:t>receivables</w:t>
            </w:r>
            <w:r w:rsidR="00961020">
              <w:rPr>
                <w:rFonts w:ascii="Futura PT Bold"/>
                <w:b/>
                <w:color w:val="003E2D"/>
                <w:spacing w:val="10"/>
                <w:sz w:val="16"/>
                <w:shd w:val="clear" w:color="auto" w:fill="E2F0D8"/>
              </w:rPr>
              <w:t xml:space="preserve"> </w:t>
            </w:r>
            <w:r w:rsidR="00961020">
              <w:rPr>
                <w:rFonts w:ascii="Futura PT Bold"/>
                <w:b/>
                <w:color w:val="003E2D"/>
                <w:sz w:val="16"/>
                <w:shd w:val="clear" w:color="auto" w:fill="E2F0D8"/>
              </w:rPr>
              <w:t>(net)</w:t>
            </w:r>
            <w:r w:rsidR="00961020">
              <w:rPr>
                <w:rFonts w:ascii="Futura PT Bold"/>
                <w:b/>
                <w:color w:val="003E2D"/>
                <w:spacing w:val="10"/>
                <w:sz w:val="16"/>
                <w:shd w:val="clear" w:color="auto" w:fill="E2F0D8"/>
              </w:rPr>
              <w:t xml:space="preserve"> </w:t>
            </w:r>
            <w:r w:rsidR="00961020">
              <w:rPr>
                <w:rFonts w:ascii="Futura PT Bold"/>
                <w:b/>
                <w:color w:val="003E2D"/>
                <w:sz w:val="16"/>
                <w:shd w:val="clear" w:color="auto" w:fill="E2F0D8"/>
              </w:rPr>
              <w:t>expected</w:t>
            </w:r>
            <w:r w:rsidR="00961020">
              <w:rPr>
                <w:rFonts w:ascii="Futura PT Bold"/>
                <w:b/>
                <w:color w:val="003E2D"/>
                <w:spacing w:val="10"/>
                <w:sz w:val="16"/>
                <w:shd w:val="clear" w:color="auto" w:fill="E2F0D8"/>
              </w:rPr>
              <w:t xml:space="preserve"> </w:t>
            </w:r>
            <w:r w:rsidR="00961020">
              <w:rPr>
                <w:rFonts w:ascii="Futura PT Bold"/>
                <w:b/>
                <w:color w:val="003E2D"/>
                <w:sz w:val="16"/>
                <w:shd w:val="clear" w:color="auto" w:fill="E2F0D8"/>
              </w:rPr>
              <w:t>to</w:t>
            </w:r>
            <w:r w:rsidR="00961020">
              <w:rPr>
                <w:rFonts w:ascii="Futura PT Bold"/>
                <w:b/>
                <w:color w:val="003E2D"/>
                <w:spacing w:val="10"/>
                <w:sz w:val="16"/>
                <w:shd w:val="clear" w:color="auto" w:fill="E2F0D8"/>
              </w:rPr>
              <w:t xml:space="preserve"> </w:t>
            </w:r>
            <w:r w:rsidR="00961020">
              <w:rPr>
                <w:rFonts w:ascii="Futura PT Bold"/>
                <w:b/>
                <w:color w:val="003E2D"/>
                <w:sz w:val="16"/>
                <w:shd w:val="clear" w:color="auto" w:fill="E2F0D8"/>
              </w:rPr>
              <w:t>be</w:t>
            </w:r>
            <w:r w:rsidR="00961020">
              <w:rPr>
                <w:rFonts w:ascii="Futura PT Bold"/>
                <w:b/>
                <w:color w:val="003E2D"/>
                <w:spacing w:val="10"/>
                <w:sz w:val="16"/>
                <w:shd w:val="clear" w:color="auto" w:fill="E2F0D8"/>
              </w:rPr>
              <w:t xml:space="preserve"> </w:t>
            </w:r>
            <w:r w:rsidR="00961020">
              <w:rPr>
                <w:rFonts w:ascii="Futura PT Bold"/>
                <w:b/>
                <w:color w:val="003E2D"/>
                <w:sz w:val="16"/>
                <w:shd w:val="clear" w:color="auto" w:fill="E2F0D8"/>
              </w:rPr>
              <w:t>recovered</w:t>
            </w:r>
            <w:r w:rsidR="00961020">
              <w:rPr>
                <w:rFonts w:ascii="Futura PT Bold"/>
                <w:b/>
                <w:color w:val="003E2D"/>
                <w:sz w:val="16"/>
                <w:shd w:val="clear" w:color="auto" w:fill="E2F0D8"/>
              </w:rPr>
              <w:tab/>
            </w:r>
          </w:p>
        </w:tc>
      </w:tr>
      <w:tr w:rsidR="00D840DF">
        <w:trPr>
          <w:trHeight w:val="240"/>
        </w:trPr>
        <w:tc>
          <w:tcPr>
            <w:tcW w:w="4559"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No more than 12</w:t>
            </w:r>
            <w:r w:rsidR="00E314B6">
              <w:rPr>
                <w:color w:val="636466"/>
                <w:sz w:val="16"/>
              </w:rPr>
              <w:t xml:space="preserve"> </w:t>
            </w:r>
            <w:r>
              <w:rPr>
                <w:color w:val="636466"/>
                <w:sz w:val="16"/>
              </w:rPr>
              <w:t>months</w:t>
            </w:r>
          </w:p>
        </w:tc>
        <w:tc>
          <w:tcPr>
            <w:tcW w:w="1939" w:type="dxa"/>
            <w:tcBorders>
              <w:bottom w:val="single" w:sz="4" w:space="0" w:color="C7C8CA"/>
            </w:tcBorders>
          </w:tcPr>
          <w:p w:rsidR="00D840DF" w:rsidRDefault="00961020">
            <w:pPr>
              <w:pStyle w:val="TableParagraph"/>
              <w:spacing w:before="28" w:line="200" w:lineRule="exact"/>
              <w:ind w:right="491"/>
              <w:jc w:val="right"/>
              <w:rPr>
                <w:rFonts w:ascii="Futura PT Medium"/>
                <w:sz w:val="16"/>
              </w:rPr>
            </w:pPr>
            <w:r>
              <w:rPr>
                <w:rFonts w:ascii="Futura PT Medium"/>
                <w:color w:val="636466"/>
                <w:sz w:val="16"/>
              </w:rPr>
              <w:t>211</w:t>
            </w:r>
          </w:p>
        </w:tc>
        <w:tc>
          <w:tcPr>
            <w:tcW w:w="1054" w:type="dxa"/>
            <w:tcBorders>
              <w:bottom w:val="single" w:sz="4" w:space="0" w:color="C7C8CA"/>
            </w:tcBorders>
          </w:tcPr>
          <w:p w:rsidR="00D840DF" w:rsidRDefault="00961020">
            <w:pPr>
              <w:pStyle w:val="TableParagraph"/>
              <w:spacing w:before="28" w:line="200" w:lineRule="exact"/>
              <w:ind w:right="120"/>
              <w:jc w:val="right"/>
              <w:rPr>
                <w:sz w:val="16"/>
              </w:rPr>
            </w:pPr>
            <w:r>
              <w:rPr>
                <w:color w:val="636466"/>
                <w:sz w:val="16"/>
              </w:rPr>
              <w:t>18,515</w:t>
            </w:r>
          </w:p>
        </w:tc>
      </w:tr>
      <w:tr w:rsidR="00D840DF">
        <w:trPr>
          <w:trHeight w:val="240"/>
        </w:trPr>
        <w:tc>
          <w:tcPr>
            <w:tcW w:w="4559" w:type="dxa"/>
            <w:tcBorders>
              <w:top w:val="single" w:sz="4" w:space="0" w:color="C7C8CA"/>
            </w:tcBorders>
          </w:tcPr>
          <w:p w:rsidR="00D840DF" w:rsidRDefault="00961020">
            <w:pPr>
              <w:pStyle w:val="TableParagraph"/>
              <w:ind w:left="113"/>
              <w:rPr>
                <w:sz w:val="16"/>
              </w:rPr>
            </w:pPr>
            <w:r>
              <w:rPr>
                <w:color w:val="636466"/>
                <w:sz w:val="16"/>
              </w:rPr>
              <w:t>More than 12 months</w:t>
            </w:r>
          </w:p>
        </w:tc>
        <w:tc>
          <w:tcPr>
            <w:tcW w:w="1939" w:type="dxa"/>
            <w:tcBorders>
              <w:top w:val="single" w:sz="4" w:space="0" w:color="C7C8CA"/>
            </w:tcBorders>
          </w:tcPr>
          <w:p w:rsidR="00D840DF" w:rsidRDefault="00961020">
            <w:pPr>
              <w:pStyle w:val="TableParagraph"/>
              <w:ind w:right="474"/>
              <w:jc w:val="right"/>
              <w:rPr>
                <w:rFonts w:ascii="Futura PT Medium"/>
                <w:sz w:val="16"/>
              </w:rPr>
            </w:pPr>
            <w:r>
              <w:rPr>
                <w:rFonts w:ascii="Futura PT Medium"/>
                <w:color w:val="636466"/>
                <w:sz w:val="16"/>
              </w:rPr>
              <w:t>-</w:t>
            </w:r>
          </w:p>
        </w:tc>
        <w:tc>
          <w:tcPr>
            <w:tcW w:w="1054" w:type="dxa"/>
            <w:tcBorders>
              <w:top w:val="single" w:sz="4" w:space="0" w:color="C7C8CA"/>
            </w:tcBorders>
          </w:tcPr>
          <w:p w:rsidR="00D840DF" w:rsidRDefault="00961020">
            <w:pPr>
              <w:pStyle w:val="TableParagraph"/>
              <w:ind w:right="111"/>
              <w:jc w:val="right"/>
              <w:rPr>
                <w:sz w:val="16"/>
              </w:rPr>
            </w:pPr>
            <w:r>
              <w:rPr>
                <w:color w:val="636466"/>
                <w:sz w:val="16"/>
              </w:rPr>
              <w:t>-</w:t>
            </w:r>
          </w:p>
        </w:tc>
      </w:tr>
      <w:tr w:rsidR="00D840DF">
        <w:trPr>
          <w:trHeight w:val="240"/>
        </w:trPr>
        <w:tc>
          <w:tcPr>
            <w:tcW w:w="4559"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trade and other receivables (net)</w:t>
            </w:r>
          </w:p>
        </w:tc>
        <w:tc>
          <w:tcPr>
            <w:tcW w:w="1939" w:type="dxa"/>
            <w:tcBorders>
              <w:bottom w:val="single" w:sz="4" w:space="0" w:color="C7C8CA"/>
            </w:tcBorders>
            <w:shd w:val="clear" w:color="auto" w:fill="E6E7E8"/>
          </w:tcPr>
          <w:p w:rsidR="00D840DF" w:rsidRDefault="00961020">
            <w:pPr>
              <w:pStyle w:val="TableParagraph"/>
              <w:spacing w:before="21" w:line="200" w:lineRule="exact"/>
              <w:ind w:right="508"/>
              <w:jc w:val="right"/>
              <w:rPr>
                <w:rFonts w:ascii="Futura PT Medium"/>
                <w:sz w:val="16"/>
              </w:rPr>
            </w:pPr>
            <w:r>
              <w:rPr>
                <w:rFonts w:ascii="Futura PT Medium"/>
                <w:sz w:val="16"/>
              </w:rPr>
              <w:t>211</w:t>
            </w:r>
          </w:p>
        </w:tc>
        <w:tc>
          <w:tcPr>
            <w:tcW w:w="1054"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18,515</w:t>
            </w:r>
          </w:p>
        </w:tc>
      </w:tr>
    </w:tbl>
    <w:p w:rsidR="00D840DF" w:rsidRDefault="00D840DF">
      <w:pPr>
        <w:pStyle w:val="BodyText"/>
        <w:spacing w:before="6"/>
        <w:rPr>
          <w:sz w:val="12"/>
        </w:rPr>
      </w:pPr>
    </w:p>
    <w:p w:rsidR="00D840DF" w:rsidRPr="008D2169" w:rsidRDefault="00961020" w:rsidP="00A928A7">
      <w:pPr>
        <w:spacing w:before="91"/>
        <w:rPr>
          <w:sz w:val="16"/>
        </w:rPr>
      </w:pPr>
      <w:r>
        <w:rPr>
          <w:color w:val="636466"/>
          <w:sz w:val="16"/>
        </w:rPr>
        <w:t>No amounts receivable are</w:t>
      </w:r>
      <w:r w:rsidR="00E314B6">
        <w:rPr>
          <w:color w:val="636466"/>
          <w:sz w:val="16"/>
        </w:rPr>
        <w:t xml:space="preserve"> </w:t>
      </w:r>
      <w:r>
        <w:rPr>
          <w:color w:val="636466"/>
          <w:sz w:val="16"/>
        </w:rPr>
        <w:t>overdue.</w:t>
      </w:r>
    </w:p>
    <w:p w:rsidR="00D840DF" w:rsidRDefault="00961020" w:rsidP="008F7C36">
      <w:pPr>
        <w:pStyle w:val="Heading5"/>
      </w:pPr>
      <w:r>
        <w:t>Accounting Policy</w:t>
      </w:r>
    </w:p>
    <w:p w:rsidR="00D840DF" w:rsidRDefault="00961020" w:rsidP="00A928A7">
      <w:pPr>
        <w:pStyle w:val="Heading6"/>
        <w:ind w:left="0"/>
      </w:pPr>
      <w:r>
        <w:t>Loans</w:t>
      </w:r>
      <w:r w:rsidR="00E314B6">
        <w:t xml:space="preserve"> </w:t>
      </w:r>
      <w:r>
        <w:t>and Receivables</w:t>
      </w:r>
    </w:p>
    <w:p w:rsidR="00D840DF" w:rsidRDefault="00961020" w:rsidP="00A928A7">
      <w:pPr>
        <w:spacing w:before="4" w:line="244" w:lineRule="auto"/>
        <w:ind w:right="139"/>
        <w:rPr>
          <w:sz w:val="16"/>
        </w:rPr>
      </w:pPr>
      <w:r>
        <w:rPr>
          <w:color w:val="636466"/>
          <w:sz w:val="16"/>
        </w:rPr>
        <w:t>Trade receivables, loans and other receivables that have fixed or determinable payments and that are not quoted in</w:t>
      </w:r>
      <w:r w:rsidR="00E314B6">
        <w:rPr>
          <w:color w:val="636466"/>
          <w:sz w:val="16"/>
        </w:rPr>
        <w:t xml:space="preserve"> </w:t>
      </w:r>
      <w:r>
        <w:rPr>
          <w:color w:val="636466"/>
          <w:sz w:val="16"/>
        </w:rPr>
        <w:t xml:space="preserve">an active market are classified as ‘loans and receivables’. Loans and receivables are measured at </w:t>
      </w:r>
      <w:proofErr w:type="spellStart"/>
      <w:r>
        <w:rPr>
          <w:color w:val="636466"/>
          <w:sz w:val="16"/>
        </w:rPr>
        <w:t>amortised</w:t>
      </w:r>
      <w:proofErr w:type="spellEnd"/>
      <w:r>
        <w:rPr>
          <w:color w:val="636466"/>
          <w:sz w:val="16"/>
        </w:rPr>
        <w:t xml:space="preserve"> cost using the</w:t>
      </w:r>
      <w:r>
        <w:rPr>
          <w:color w:val="636466"/>
          <w:spacing w:val="15"/>
          <w:sz w:val="16"/>
        </w:rPr>
        <w:t xml:space="preserve"> </w:t>
      </w:r>
      <w:r>
        <w:rPr>
          <w:color w:val="636466"/>
          <w:sz w:val="16"/>
        </w:rPr>
        <w:t>effective</w:t>
      </w:r>
      <w:r>
        <w:rPr>
          <w:color w:val="636466"/>
          <w:spacing w:val="15"/>
          <w:sz w:val="16"/>
        </w:rPr>
        <w:t xml:space="preserve"> </w:t>
      </w:r>
      <w:r>
        <w:rPr>
          <w:color w:val="636466"/>
          <w:sz w:val="16"/>
        </w:rPr>
        <w:t>interest</w:t>
      </w:r>
      <w:r>
        <w:rPr>
          <w:color w:val="636466"/>
          <w:spacing w:val="15"/>
          <w:sz w:val="16"/>
        </w:rPr>
        <w:t xml:space="preserve"> </w:t>
      </w:r>
      <w:r>
        <w:rPr>
          <w:color w:val="636466"/>
          <w:sz w:val="16"/>
        </w:rPr>
        <w:t>method</w:t>
      </w:r>
      <w:r>
        <w:rPr>
          <w:color w:val="636466"/>
          <w:spacing w:val="15"/>
          <w:sz w:val="16"/>
        </w:rPr>
        <w:t xml:space="preserve"> </w:t>
      </w:r>
      <w:r>
        <w:rPr>
          <w:color w:val="636466"/>
          <w:sz w:val="16"/>
        </w:rPr>
        <w:t>less</w:t>
      </w:r>
      <w:r>
        <w:rPr>
          <w:color w:val="636466"/>
          <w:spacing w:val="15"/>
          <w:sz w:val="16"/>
        </w:rPr>
        <w:t xml:space="preserve"> </w:t>
      </w:r>
      <w:r>
        <w:rPr>
          <w:color w:val="636466"/>
          <w:sz w:val="16"/>
        </w:rPr>
        <w:t>impairment.</w:t>
      </w:r>
    </w:p>
    <w:p w:rsidR="00D840DF" w:rsidRDefault="00961020" w:rsidP="00A928A7">
      <w:pPr>
        <w:spacing w:before="113" w:line="244" w:lineRule="auto"/>
        <w:ind w:right="342"/>
        <w:rPr>
          <w:sz w:val="16"/>
        </w:rPr>
      </w:pPr>
      <w:r>
        <w:rPr>
          <w:color w:val="636466"/>
          <w:sz w:val="16"/>
        </w:rPr>
        <w:t>Collectability of debts is reviewed as at the end of the reporting period. Allowances are made when collectability of</w:t>
      </w:r>
      <w:r w:rsidR="00E314B6">
        <w:rPr>
          <w:color w:val="636466"/>
          <w:sz w:val="16"/>
        </w:rPr>
        <w:t xml:space="preserve"> </w:t>
      </w:r>
      <w:r>
        <w:rPr>
          <w:color w:val="636466"/>
          <w:sz w:val="16"/>
        </w:rPr>
        <w:t>the debt is no longer</w:t>
      </w:r>
      <w:r>
        <w:rPr>
          <w:color w:val="636466"/>
          <w:spacing w:val="35"/>
          <w:sz w:val="16"/>
        </w:rPr>
        <w:t xml:space="preserve"> </w:t>
      </w:r>
      <w:r>
        <w:rPr>
          <w:color w:val="636466"/>
          <w:sz w:val="16"/>
        </w:rPr>
        <w:t>probable.</w:t>
      </w:r>
    </w:p>
    <w:p w:rsidR="00D840DF" w:rsidRDefault="00961020" w:rsidP="00A928A7">
      <w:pPr>
        <w:spacing w:before="113"/>
        <w:rPr>
          <w:i/>
          <w:sz w:val="16"/>
        </w:rPr>
      </w:pPr>
      <w:r>
        <w:rPr>
          <w:i/>
          <w:color w:val="636466"/>
          <w:sz w:val="16"/>
        </w:rPr>
        <w:t>Impairment</w:t>
      </w:r>
    </w:p>
    <w:p w:rsidR="00D840DF" w:rsidRDefault="00961020" w:rsidP="00A928A7">
      <w:pPr>
        <w:spacing w:before="4" w:line="244" w:lineRule="auto"/>
        <w:ind w:right="269"/>
        <w:rPr>
          <w:sz w:val="16"/>
        </w:rPr>
      </w:pPr>
      <w:r>
        <w:rPr>
          <w:color w:val="636466"/>
          <w:sz w:val="16"/>
        </w:rPr>
        <w:t>All assets were assessed for impairment as at 30 June 2017. Where indications of impairment exist, the asset’s recoverable amount is estimated and an impairment adjustment made if the asset’s recoverable amount is less than its carrying amount.</w:t>
      </w:r>
    </w:p>
    <w:p w:rsidR="00D840DF" w:rsidRDefault="00D840DF">
      <w:pPr>
        <w:spacing w:line="244" w:lineRule="auto"/>
        <w:rPr>
          <w:sz w:val="16"/>
        </w:rPr>
        <w:sectPr w:rsidR="00D840DF">
          <w:pgSz w:w="9980" w:h="14180"/>
          <w:pgMar w:top="1320" w:right="1020" w:bottom="280" w:left="1200" w:header="720" w:footer="720" w:gutter="0"/>
          <w:cols w:space="720"/>
        </w:sectPr>
      </w:pPr>
    </w:p>
    <w:p w:rsidR="00D840DF" w:rsidRDefault="00961020" w:rsidP="008D2169">
      <w:pPr>
        <w:pStyle w:val="Heading4"/>
      </w:pPr>
      <w:bookmarkStart w:id="159" w:name="Note_2.2_Non-Financial_Assets_including_"/>
      <w:bookmarkStart w:id="160" w:name="_bookmark42"/>
      <w:bookmarkStart w:id="161" w:name="_Note_2.2_Non-Financial"/>
      <w:bookmarkEnd w:id="159"/>
      <w:bookmarkEnd w:id="160"/>
      <w:bookmarkEnd w:id="161"/>
      <w:r>
        <w:lastRenderedPageBreak/>
        <w:t>Note 2.2 Non-Financial Assets including Fair Value Measurement</w:t>
      </w:r>
    </w:p>
    <w:p w:rsidR="0019667D" w:rsidRPr="0019667D" w:rsidRDefault="00961020" w:rsidP="00DB6009">
      <w:pPr>
        <w:pStyle w:val="Heading5"/>
        <w:spacing w:before="120" w:after="100" w:afterAutospacing="1"/>
      </w:pPr>
      <w:r>
        <w:t>NOTE 2.2A: RECONCILIATION OF THE OPENING AND CLOSING BALANCES OF PROPERTY, PLANT AND EQUIPMENT AND INTANGIBLES</w:t>
      </w:r>
      <w:r w:rsidR="008D2169">
        <w:br/>
      </w:r>
      <w:r>
        <w:t>Reconciliation of the opening and closing balances of property, plant and equipment for 2017</w:t>
      </w:r>
    </w:p>
    <w:tbl>
      <w:tblPr>
        <w:tblW w:w="0" w:type="auto"/>
        <w:tblInd w:w="113" w:type="dxa"/>
        <w:tblLayout w:type="fixed"/>
        <w:tblCellMar>
          <w:left w:w="0" w:type="dxa"/>
          <w:right w:w="0" w:type="dxa"/>
        </w:tblCellMar>
        <w:tblLook w:val="01E0" w:firstRow="1" w:lastRow="1" w:firstColumn="1" w:lastColumn="1" w:noHBand="0" w:noVBand="0"/>
      </w:tblPr>
      <w:tblGrid>
        <w:gridCol w:w="3006"/>
        <w:gridCol w:w="79"/>
        <w:gridCol w:w="1033"/>
        <w:gridCol w:w="22"/>
        <w:gridCol w:w="1003"/>
        <w:gridCol w:w="1069"/>
        <w:gridCol w:w="54"/>
        <w:gridCol w:w="971"/>
        <w:gridCol w:w="21"/>
        <w:gridCol w:w="993"/>
        <w:gridCol w:w="992"/>
        <w:gridCol w:w="992"/>
        <w:gridCol w:w="824"/>
      </w:tblGrid>
      <w:tr w:rsidR="007557A3" w:rsidTr="0019667D">
        <w:trPr>
          <w:trHeight w:val="200"/>
        </w:trPr>
        <w:tc>
          <w:tcPr>
            <w:tcW w:w="3006" w:type="dxa"/>
            <w:shd w:val="clear" w:color="auto" w:fill="008F54"/>
          </w:tcPr>
          <w:p w:rsidR="007557A3" w:rsidRDefault="007557A3" w:rsidP="0019667D">
            <w:pPr>
              <w:pStyle w:val="Tableheader"/>
            </w:pPr>
          </w:p>
        </w:tc>
        <w:tc>
          <w:tcPr>
            <w:tcW w:w="1134" w:type="dxa"/>
            <w:gridSpan w:val="3"/>
            <w:shd w:val="clear" w:color="auto" w:fill="008F54"/>
          </w:tcPr>
          <w:p w:rsidR="007557A3" w:rsidRDefault="007557A3" w:rsidP="0019667D">
            <w:pPr>
              <w:pStyle w:val="Tableheader"/>
            </w:pPr>
            <w:r>
              <w:t>Buildings</w:t>
            </w:r>
          </w:p>
          <w:p w:rsidR="007557A3" w:rsidRDefault="007557A3" w:rsidP="0019667D">
            <w:pPr>
              <w:pStyle w:val="Tableheader"/>
              <w:rPr>
                <w:rFonts w:hAnsi="Futura PT Demi"/>
              </w:rPr>
            </w:pPr>
            <w:r>
              <w:rPr>
                <w:rFonts w:hAnsi="Futura PT Demi"/>
              </w:rPr>
              <w:t>$’000</w:t>
            </w:r>
          </w:p>
          <w:p w:rsidR="007557A3" w:rsidRDefault="007557A3" w:rsidP="0019667D">
            <w:pPr>
              <w:pStyle w:val="Tableheader"/>
            </w:pPr>
          </w:p>
        </w:tc>
        <w:tc>
          <w:tcPr>
            <w:tcW w:w="1003" w:type="dxa"/>
            <w:shd w:val="clear" w:color="auto" w:fill="008F54"/>
          </w:tcPr>
          <w:p w:rsidR="007557A3" w:rsidRDefault="007557A3" w:rsidP="0019667D">
            <w:pPr>
              <w:pStyle w:val="Tableheader"/>
            </w:pPr>
            <w:r>
              <w:t>Plant and equipment</w:t>
            </w:r>
          </w:p>
          <w:p w:rsidR="007557A3" w:rsidRDefault="007557A3" w:rsidP="0019667D">
            <w:pPr>
              <w:pStyle w:val="Tableheader"/>
              <w:rPr>
                <w:rFonts w:hAnsi="Futura PT Demi"/>
              </w:rPr>
            </w:pPr>
            <w:r>
              <w:rPr>
                <w:rFonts w:hAnsi="Futura PT Demi"/>
              </w:rPr>
              <w:t>$’000</w:t>
            </w:r>
          </w:p>
          <w:p w:rsidR="007557A3" w:rsidRDefault="007557A3" w:rsidP="0019667D">
            <w:pPr>
              <w:pStyle w:val="Tableheader"/>
            </w:pPr>
          </w:p>
        </w:tc>
        <w:tc>
          <w:tcPr>
            <w:tcW w:w="1123" w:type="dxa"/>
            <w:gridSpan w:val="2"/>
            <w:shd w:val="clear" w:color="auto" w:fill="008F54"/>
          </w:tcPr>
          <w:p w:rsidR="007557A3" w:rsidRDefault="007557A3" w:rsidP="0019667D">
            <w:pPr>
              <w:pStyle w:val="Tableheader"/>
            </w:pPr>
            <w:r>
              <w:t>Computer Software</w:t>
            </w:r>
          </w:p>
          <w:p w:rsidR="007557A3" w:rsidRDefault="007557A3" w:rsidP="0019667D">
            <w:pPr>
              <w:pStyle w:val="Tableheader"/>
              <w:rPr>
                <w:rFonts w:hAnsi="Futura PT Demi"/>
              </w:rPr>
            </w:pPr>
            <w:r>
              <w:rPr>
                <w:rFonts w:hAnsi="Futura PT Demi"/>
              </w:rPr>
              <w:t>$’000</w:t>
            </w:r>
          </w:p>
          <w:p w:rsidR="007557A3" w:rsidRDefault="007557A3" w:rsidP="0019667D">
            <w:pPr>
              <w:pStyle w:val="Tableheader"/>
              <w:rPr>
                <w:rFonts w:hAnsi="Futura PT Demi"/>
              </w:rPr>
            </w:pPr>
          </w:p>
        </w:tc>
        <w:tc>
          <w:tcPr>
            <w:tcW w:w="992" w:type="dxa"/>
            <w:gridSpan w:val="2"/>
            <w:shd w:val="clear" w:color="auto" w:fill="008F54"/>
          </w:tcPr>
          <w:p w:rsidR="007557A3" w:rsidRDefault="007557A3" w:rsidP="0019667D">
            <w:pPr>
              <w:pStyle w:val="Tableheader"/>
            </w:pPr>
            <w:r>
              <w:t>Internally Developed Software</w:t>
            </w:r>
          </w:p>
          <w:p w:rsidR="007557A3" w:rsidRDefault="007557A3" w:rsidP="0019667D">
            <w:pPr>
              <w:pStyle w:val="Tableheader"/>
              <w:rPr>
                <w:rFonts w:hAnsi="Futura PT Demi"/>
              </w:rPr>
            </w:pPr>
            <w:r>
              <w:rPr>
                <w:rFonts w:hAnsi="Futura PT Demi"/>
              </w:rPr>
              <w:t>– in use</w:t>
            </w:r>
          </w:p>
          <w:p w:rsidR="007557A3" w:rsidRDefault="007557A3" w:rsidP="0019667D">
            <w:pPr>
              <w:pStyle w:val="Tableheader"/>
              <w:rPr>
                <w:rFonts w:hAnsi="Futura PT Demi"/>
              </w:rPr>
            </w:pPr>
            <w:r>
              <w:rPr>
                <w:rFonts w:hAnsi="Futura PT Demi"/>
              </w:rPr>
              <w:t>$’000</w:t>
            </w:r>
          </w:p>
          <w:p w:rsidR="007557A3" w:rsidRDefault="007557A3" w:rsidP="0019667D">
            <w:pPr>
              <w:pStyle w:val="Tableheader"/>
              <w:rPr>
                <w:rFonts w:hAnsi="Futura PT Demi"/>
              </w:rPr>
            </w:pPr>
          </w:p>
        </w:tc>
        <w:tc>
          <w:tcPr>
            <w:tcW w:w="993" w:type="dxa"/>
            <w:shd w:val="clear" w:color="auto" w:fill="008F54"/>
          </w:tcPr>
          <w:p w:rsidR="007557A3" w:rsidRDefault="007557A3" w:rsidP="0019667D">
            <w:pPr>
              <w:pStyle w:val="Tableheader"/>
            </w:pPr>
            <w:r>
              <w:t>Internally Developed Software</w:t>
            </w:r>
          </w:p>
          <w:p w:rsidR="007557A3" w:rsidRDefault="007557A3" w:rsidP="0019667D">
            <w:pPr>
              <w:pStyle w:val="Tableheader"/>
              <w:rPr>
                <w:rFonts w:hAnsi="Futura PT Demi"/>
              </w:rPr>
            </w:pPr>
            <w:r>
              <w:rPr>
                <w:rFonts w:hAnsi="Futura PT Demi"/>
              </w:rPr>
              <w:t>– Work in Progress</w:t>
            </w:r>
          </w:p>
          <w:p w:rsidR="007557A3" w:rsidRDefault="007557A3" w:rsidP="0019667D">
            <w:pPr>
              <w:pStyle w:val="Tableheader"/>
              <w:rPr>
                <w:rFonts w:hAnsi="Futura PT Demi"/>
              </w:rPr>
            </w:pPr>
          </w:p>
        </w:tc>
        <w:tc>
          <w:tcPr>
            <w:tcW w:w="992" w:type="dxa"/>
            <w:shd w:val="clear" w:color="auto" w:fill="008F54"/>
          </w:tcPr>
          <w:p w:rsidR="007557A3" w:rsidRDefault="007557A3" w:rsidP="0019667D">
            <w:pPr>
              <w:pStyle w:val="Tableheader"/>
            </w:pPr>
            <w:r>
              <w:t>Internally Developed Software</w:t>
            </w:r>
          </w:p>
          <w:p w:rsidR="007557A3" w:rsidRDefault="007557A3" w:rsidP="0019667D">
            <w:pPr>
              <w:pStyle w:val="Tableheader"/>
              <w:rPr>
                <w:rFonts w:hAnsi="Futura PT Demi"/>
              </w:rPr>
            </w:pPr>
            <w:r>
              <w:rPr>
                <w:rFonts w:hAnsi="Futura PT Demi"/>
              </w:rPr>
              <w:t>– Total</w:t>
            </w:r>
            <w:r>
              <w:rPr>
                <w:rFonts w:hAnsi="Futura PT Demi"/>
              </w:rPr>
              <w:br/>
              <w:t>$’000</w:t>
            </w:r>
          </w:p>
          <w:p w:rsidR="007557A3" w:rsidRDefault="007557A3" w:rsidP="0019667D">
            <w:pPr>
              <w:pStyle w:val="Tableheader"/>
              <w:rPr>
                <w:rFonts w:hAnsi="Futura PT Demi"/>
              </w:rPr>
            </w:pPr>
          </w:p>
        </w:tc>
        <w:tc>
          <w:tcPr>
            <w:tcW w:w="992" w:type="dxa"/>
            <w:shd w:val="clear" w:color="auto" w:fill="008F54"/>
          </w:tcPr>
          <w:p w:rsidR="007557A3" w:rsidRPr="007557A3" w:rsidRDefault="007557A3" w:rsidP="0019667D">
            <w:pPr>
              <w:pStyle w:val="Tableheader"/>
              <w:rPr>
                <w:rStyle w:val="TableheaderChar"/>
              </w:rPr>
            </w:pPr>
            <w:r>
              <w:t xml:space="preserve">Other </w:t>
            </w:r>
            <w:r w:rsidRPr="007557A3">
              <w:rPr>
                <w:rStyle w:val="TableheaderChar"/>
              </w:rPr>
              <w:t>Intangibles $</w:t>
            </w:r>
            <w:r w:rsidRPr="007557A3">
              <w:rPr>
                <w:rStyle w:val="TableheaderChar"/>
              </w:rPr>
              <w:t>’</w:t>
            </w:r>
            <w:r w:rsidRPr="007557A3">
              <w:rPr>
                <w:rStyle w:val="TableheaderChar"/>
              </w:rPr>
              <w:t>000</w:t>
            </w:r>
          </w:p>
          <w:p w:rsidR="007557A3" w:rsidRDefault="007557A3" w:rsidP="0019667D">
            <w:pPr>
              <w:pStyle w:val="Tableheader"/>
              <w:rPr>
                <w:rFonts w:hAnsi="Futura PT Demi"/>
              </w:rPr>
            </w:pPr>
          </w:p>
        </w:tc>
        <w:tc>
          <w:tcPr>
            <w:tcW w:w="824" w:type="dxa"/>
            <w:shd w:val="clear" w:color="auto" w:fill="008F54"/>
          </w:tcPr>
          <w:p w:rsidR="007557A3" w:rsidRDefault="0019667D" w:rsidP="0019667D">
            <w:pPr>
              <w:pStyle w:val="Tableheader"/>
              <w:rPr>
                <w:rFonts w:hAnsi="Futura PT Demi"/>
              </w:rPr>
            </w:pPr>
            <w:r>
              <w:rPr>
                <w:rFonts w:hAnsi="Futura PT Demi"/>
              </w:rPr>
              <w:t>Total</w:t>
            </w:r>
            <w:r>
              <w:rPr>
                <w:rFonts w:hAnsi="Futura PT Demi"/>
              </w:rPr>
              <w:br/>
            </w:r>
            <w:r w:rsidR="007557A3">
              <w:rPr>
                <w:rFonts w:hAnsi="Futura PT Demi"/>
              </w:rPr>
              <w:t>$’000</w:t>
            </w:r>
          </w:p>
        </w:tc>
      </w:tr>
      <w:tr w:rsidR="0019667D" w:rsidTr="0019667D">
        <w:trPr>
          <w:trHeight w:val="260"/>
        </w:trPr>
        <w:tc>
          <w:tcPr>
            <w:tcW w:w="11059" w:type="dxa"/>
            <w:gridSpan w:val="13"/>
            <w:shd w:val="clear" w:color="auto" w:fill="E2F0D8"/>
          </w:tcPr>
          <w:p w:rsidR="0019667D" w:rsidRDefault="0019667D">
            <w:pPr>
              <w:pStyle w:val="TableParagraph"/>
              <w:spacing w:before="0"/>
              <w:rPr>
                <w:rFonts w:ascii="Times New Roman"/>
                <w:sz w:val="16"/>
              </w:rPr>
            </w:pPr>
            <w:r>
              <w:rPr>
                <w:rFonts w:ascii="Futura PT Bold"/>
                <w:b/>
                <w:color w:val="003E2D"/>
                <w:sz w:val="16"/>
              </w:rPr>
              <w:t>As at 1 July 2016</w:t>
            </w:r>
          </w:p>
        </w:tc>
      </w:tr>
      <w:tr w:rsidR="0019667D" w:rsidTr="0019667D">
        <w:trPr>
          <w:trHeight w:val="240"/>
        </w:trPr>
        <w:tc>
          <w:tcPr>
            <w:tcW w:w="3085" w:type="dxa"/>
            <w:gridSpan w:val="2"/>
            <w:tcBorders>
              <w:bottom w:val="single" w:sz="4" w:space="0" w:color="C7C8CA"/>
            </w:tcBorders>
          </w:tcPr>
          <w:p w:rsidR="0019667D" w:rsidRDefault="0019667D" w:rsidP="0019667D">
            <w:pPr>
              <w:pStyle w:val="TableParagraph"/>
              <w:spacing w:before="21" w:line="200" w:lineRule="exact"/>
              <w:ind w:left="113"/>
              <w:rPr>
                <w:sz w:val="16"/>
              </w:rPr>
            </w:pPr>
            <w:r>
              <w:rPr>
                <w:color w:val="636466"/>
                <w:sz w:val="16"/>
              </w:rPr>
              <w:t>Gross book value</w:t>
            </w:r>
          </w:p>
        </w:tc>
        <w:tc>
          <w:tcPr>
            <w:tcW w:w="1033" w:type="dxa"/>
            <w:tcBorders>
              <w:bottom w:val="single" w:sz="4" w:space="0" w:color="C7C8CA"/>
            </w:tcBorders>
          </w:tcPr>
          <w:p w:rsidR="0019667D" w:rsidRDefault="0019667D" w:rsidP="0019667D">
            <w:pPr>
              <w:pStyle w:val="TableParagraph"/>
              <w:spacing w:before="21" w:line="200" w:lineRule="exact"/>
              <w:ind w:right="318"/>
              <w:jc w:val="right"/>
              <w:rPr>
                <w:rFonts w:ascii="Futura PT Medium"/>
                <w:sz w:val="16"/>
              </w:rPr>
            </w:pPr>
            <w:r>
              <w:rPr>
                <w:rFonts w:ascii="Futura PT Medium"/>
                <w:color w:val="636466"/>
                <w:sz w:val="16"/>
              </w:rPr>
              <w:t>796</w:t>
            </w:r>
          </w:p>
        </w:tc>
        <w:tc>
          <w:tcPr>
            <w:tcW w:w="1025" w:type="dxa"/>
            <w:gridSpan w:val="2"/>
            <w:tcBorders>
              <w:bottom w:val="single" w:sz="4" w:space="0" w:color="C7C8CA"/>
            </w:tcBorders>
          </w:tcPr>
          <w:p w:rsidR="0019667D" w:rsidRDefault="0019667D" w:rsidP="0019667D">
            <w:pPr>
              <w:pStyle w:val="TableParagraph"/>
              <w:spacing w:before="21" w:line="200" w:lineRule="exact"/>
              <w:ind w:right="323"/>
              <w:jc w:val="right"/>
              <w:rPr>
                <w:rFonts w:ascii="Futura PT Medium"/>
                <w:sz w:val="16"/>
              </w:rPr>
            </w:pPr>
            <w:r>
              <w:rPr>
                <w:rFonts w:ascii="Futura PT Medium"/>
                <w:color w:val="636466"/>
                <w:sz w:val="16"/>
              </w:rPr>
              <w:t>632</w:t>
            </w:r>
          </w:p>
        </w:tc>
        <w:tc>
          <w:tcPr>
            <w:tcW w:w="1123" w:type="dxa"/>
            <w:gridSpan w:val="2"/>
            <w:tcBorders>
              <w:bottom w:val="single" w:sz="4" w:space="0" w:color="C7C8CA"/>
            </w:tcBorders>
          </w:tcPr>
          <w:p w:rsidR="0019667D" w:rsidRDefault="0019667D" w:rsidP="0019667D">
            <w:pPr>
              <w:pStyle w:val="TableParagraph"/>
              <w:tabs>
                <w:tab w:val="left" w:pos="1666"/>
                <w:tab w:val="left" w:pos="2686"/>
                <w:tab w:val="left" w:pos="3704"/>
                <w:tab w:val="left" w:pos="4507"/>
                <w:tab w:val="left" w:pos="5381"/>
              </w:tabs>
              <w:spacing w:before="21" w:line="200" w:lineRule="exact"/>
              <w:ind w:left="427"/>
              <w:jc w:val="right"/>
              <w:rPr>
                <w:rFonts w:ascii="Futura PT Medium"/>
                <w:sz w:val="16"/>
              </w:rPr>
            </w:pPr>
            <w:r>
              <w:rPr>
                <w:rFonts w:ascii="Futura PT Medium"/>
                <w:color w:val="636466"/>
                <w:sz w:val="16"/>
              </w:rPr>
              <w:t>728</w:t>
            </w:r>
          </w:p>
        </w:tc>
        <w:tc>
          <w:tcPr>
            <w:tcW w:w="992" w:type="dxa"/>
            <w:gridSpan w:val="2"/>
            <w:tcBorders>
              <w:bottom w:val="single" w:sz="4" w:space="0" w:color="C7C8CA"/>
            </w:tcBorders>
          </w:tcPr>
          <w:p w:rsidR="0019667D" w:rsidRDefault="0019667D" w:rsidP="0019667D">
            <w:pPr>
              <w:pStyle w:val="TableParagraph"/>
              <w:tabs>
                <w:tab w:val="left" w:pos="1666"/>
                <w:tab w:val="left" w:pos="2686"/>
                <w:tab w:val="left" w:pos="3704"/>
                <w:tab w:val="left" w:pos="4507"/>
                <w:tab w:val="left" w:pos="5381"/>
              </w:tabs>
              <w:spacing w:before="21" w:line="200" w:lineRule="exact"/>
              <w:ind w:left="427"/>
              <w:jc w:val="right"/>
              <w:rPr>
                <w:rFonts w:ascii="Futura PT Medium"/>
                <w:sz w:val="16"/>
              </w:rPr>
            </w:pPr>
            <w:r>
              <w:rPr>
                <w:rFonts w:ascii="Futura PT Medium"/>
                <w:color w:val="636466"/>
                <w:sz w:val="16"/>
              </w:rPr>
              <w:t>-</w:t>
            </w:r>
          </w:p>
        </w:tc>
        <w:tc>
          <w:tcPr>
            <w:tcW w:w="993" w:type="dxa"/>
            <w:tcBorders>
              <w:bottom w:val="single" w:sz="4" w:space="0" w:color="C7C8CA"/>
            </w:tcBorders>
          </w:tcPr>
          <w:p w:rsidR="0019667D" w:rsidRDefault="0019667D" w:rsidP="0019667D">
            <w:pPr>
              <w:pStyle w:val="TableParagraph"/>
              <w:tabs>
                <w:tab w:val="left" w:pos="1666"/>
                <w:tab w:val="left" w:pos="2686"/>
                <w:tab w:val="left" w:pos="3704"/>
                <w:tab w:val="left" w:pos="4507"/>
                <w:tab w:val="left" w:pos="5381"/>
              </w:tabs>
              <w:spacing w:before="21" w:line="200" w:lineRule="exact"/>
              <w:ind w:left="427"/>
              <w:jc w:val="right"/>
              <w:rPr>
                <w:rFonts w:ascii="Futura PT Medium"/>
                <w:sz w:val="16"/>
              </w:rPr>
            </w:pPr>
            <w:r>
              <w:rPr>
                <w:rFonts w:ascii="Futura PT Medium"/>
                <w:color w:val="636466"/>
                <w:sz w:val="16"/>
              </w:rPr>
              <w:t>-</w:t>
            </w:r>
          </w:p>
        </w:tc>
        <w:tc>
          <w:tcPr>
            <w:tcW w:w="992" w:type="dxa"/>
            <w:tcBorders>
              <w:bottom w:val="single" w:sz="4" w:space="0" w:color="C7C8CA"/>
            </w:tcBorders>
          </w:tcPr>
          <w:p w:rsidR="0019667D" w:rsidRDefault="0019667D" w:rsidP="0019667D">
            <w:pPr>
              <w:pStyle w:val="TableParagraph"/>
              <w:tabs>
                <w:tab w:val="left" w:pos="1666"/>
                <w:tab w:val="left" w:pos="2686"/>
                <w:tab w:val="left" w:pos="3704"/>
                <w:tab w:val="left" w:pos="4507"/>
                <w:tab w:val="left" w:pos="5381"/>
              </w:tabs>
              <w:spacing w:before="21" w:line="200" w:lineRule="exact"/>
              <w:ind w:left="427"/>
              <w:jc w:val="right"/>
              <w:rPr>
                <w:rFonts w:ascii="Futura PT Medium"/>
                <w:sz w:val="16"/>
              </w:rPr>
            </w:pPr>
            <w:r>
              <w:rPr>
                <w:rFonts w:ascii="Futura PT Medium"/>
                <w:color w:val="636466"/>
                <w:sz w:val="16"/>
              </w:rPr>
              <w:t>-</w:t>
            </w:r>
          </w:p>
        </w:tc>
        <w:tc>
          <w:tcPr>
            <w:tcW w:w="992" w:type="dxa"/>
            <w:tcBorders>
              <w:bottom w:val="single" w:sz="4" w:space="0" w:color="C7C8CA"/>
            </w:tcBorders>
          </w:tcPr>
          <w:p w:rsidR="0019667D" w:rsidRDefault="0019667D" w:rsidP="0019667D">
            <w:pPr>
              <w:pStyle w:val="TableParagraph"/>
              <w:tabs>
                <w:tab w:val="left" w:pos="1666"/>
                <w:tab w:val="left" w:pos="2686"/>
                <w:tab w:val="left" w:pos="3704"/>
                <w:tab w:val="left" w:pos="4507"/>
                <w:tab w:val="left" w:pos="5381"/>
              </w:tabs>
              <w:spacing w:before="21" w:line="200" w:lineRule="exact"/>
              <w:ind w:left="427"/>
              <w:jc w:val="right"/>
              <w:rPr>
                <w:rFonts w:ascii="Futura PT Medium"/>
                <w:sz w:val="16"/>
              </w:rPr>
            </w:pPr>
            <w:r>
              <w:rPr>
                <w:rFonts w:ascii="Futura PT Medium"/>
                <w:color w:val="636466"/>
                <w:sz w:val="16"/>
              </w:rPr>
              <w:t>288</w:t>
            </w:r>
          </w:p>
        </w:tc>
        <w:tc>
          <w:tcPr>
            <w:tcW w:w="824" w:type="dxa"/>
            <w:tcBorders>
              <w:bottom w:val="single" w:sz="4" w:space="0" w:color="C7C8CA"/>
            </w:tcBorders>
          </w:tcPr>
          <w:p w:rsidR="0019667D" w:rsidRDefault="0019667D" w:rsidP="0019667D">
            <w:pPr>
              <w:pStyle w:val="TableParagraph"/>
              <w:tabs>
                <w:tab w:val="left" w:pos="1666"/>
                <w:tab w:val="left" w:pos="2686"/>
                <w:tab w:val="left" w:pos="3704"/>
                <w:tab w:val="left" w:pos="4507"/>
                <w:tab w:val="left" w:pos="5381"/>
              </w:tabs>
              <w:spacing w:before="21" w:line="200" w:lineRule="exact"/>
              <w:ind w:left="427"/>
              <w:jc w:val="right"/>
              <w:rPr>
                <w:rFonts w:ascii="Futura PT Medium"/>
                <w:sz w:val="16"/>
              </w:rPr>
            </w:pPr>
            <w:r>
              <w:rPr>
                <w:rFonts w:ascii="Futura PT Medium"/>
                <w:color w:val="636466"/>
                <w:sz w:val="16"/>
              </w:rPr>
              <w:t>2,444</w:t>
            </w:r>
          </w:p>
        </w:tc>
      </w:tr>
      <w:tr w:rsidR="0019667D" w:rsidTr="0019667D">
        <w:trPr>
          <w:trHeight w:val="420"/>
        </w:trPr>
        <w:tc>
          <w:tcPr>
            <w:tcW w:w="3085" w:type="dxa"/>
            <w:gridSpan w:val="2"/>
            <w:tcBorders>
              <w:top w:val="single" w:sz="4" w:space="0" w:color="C7C8CA"/>
            </w:tcBorders>
          </w:tcPr>
          <w:p w:rsidR="0019667D" w:rsidRDefault="0019667D" w:rsidP="0019667D">
            <w:pPr>
              <w:pStyle w:val="TableParagraph"/>
              <w:spacing w:before="31" w:line="223" w:lineRule="auto"/>
              <w:ind w:left="113" w:right="282"/>
              <w:rPr>
                <w:sz w:val="16"/>
              </w:rPr>
            </w:pPr>
            <w:r>
              <w:rPr>
                <w:color w:val="636466"/>
                <w:sz w:val="16"/>
              </w:rPr>
              <w:t xml:space="preserve">Accumulated depreciation, </w:t>
            </w:r>
            <w:proofErr w:type="spellStart"/>
            <w:r>
              <w:rPr>
                <w:color w:val="636466"/>
                <w:sz w:val="16"/>
              </w:rPr>
              <w:t>amortisation</w:t>
            </w:r>
            <w:proofErr w:type="spellEnd"/>
            <w:r>
              <w:rPr>
                <w:color w:val="636466"/>
                <w:sz w:val="16"/>
              </w:rPr>
              <w:t xml:space="preserve"> and impairment</w:t>
            </w:r>
          </w:p>
        </w:tc>
        <w:tc>
          <w:tcPr>
            <w:tcW w:w="1033" w:type="dxa"/>
            <w:tcBorders>
              <w:top w:val="single" w:sz="4" w:space="0" w:color="C7C8CA"/>
            </w:tcBorders>
          </w:tcPr>
          <w:p w:rsidR="0019667D" w:rsidRDefault="0019667D" w:rsidP="0019667D">
            <w:pPr>
              <w:pStyle w:val="TableParagraph"/>
              <w:ind w:right="326"/>
              <w:jc w:val="right"/>
              <w:rPr>
                <w:rFonts w:ascii="Futura PT Medium"/>
                <w:sz w:val="16"/>
              </w:rPr>
            </w:pPr>
            <w:r>
              <w:rPr>
                <w:rFonts w:ascii="Futura PT Medium"/>
                <w:color w:val="636466"/>
                <w:sz w:val="16"/>
              </w:rPr>
              <w:t>(401)</w:t>
            </w:r>
          </w:p>
        </w:tc>
        <w:tc>
          <w:tcPr>
            <w:tcW w:w="1025" w:type="dxa"/>
            <w:gridSpan w:val="2"/>
            <w:tcBorders>
              <w:top w:val="single" w:sz="4" w:space="0" w:color="C7C8CA"/>
            </w:tcBorders>
          </w:tcPr>
          <w:p w:rsidR="0019667D" w:rsidRDefault="0019667D" w:rsidP="0019667D">
            <w:pPr>
              <w:pStyle w:val="TableParagraph"/>
              <w:ind w:right="321"/>
              <w:jc w:val="right"/>
              <w:rPr>
                <w:rFonts w:ascii="Futura PT Medium"/>
                <w:sz w:val="16"/>
              </w:rPr>
            </w:pPr>
            <w:r>
              <w:rPr>
                <w:rFonts w:ascii="Futura PT Medium"/>
                <w:color w:val="636466"/>
                <w:sz w:val="16"/>
              </w:rPr>
              <w:t>(277)</w:t>
            </w:r>
          </w:p>
        </w:tc>
        <w:tc>
          <w:tcPr>
            <w:tcW w:w="1123" w:type="dxa"/>
            <w:gridSpan w:val="2"/>
            <w:tcBorders>
              <w:top w:val="single" w:sz="4" w:space="0" w:color="C7C8CA"/>
            </w:tcBorders>
          </w:tcPr>
          <w:p w:rsidR="0019667D" w:rsidRDefault="0019667D" w:rsidP="0019667D">
            <w:pPr>
              <w:pStyle w:val="TableParagraph"/>
              <w:tabs>
                <w:tab w:val="left" w:pos="1666"/>
                <w:tab w:val="left" w:pos="2686"/>
                <w:tab w:val="left" w:pos="3704"/>
                <w:tab w:val="left" w:pos="4437"/>
                <w:tab w:val="left" w:pos="5308"/>
              </w:tabs>
              <w:ind w:left="320"/>
              <w:jc w:val="right"/>
              <w:rPr>
                <w:rFonts w:ascii="Futura PT Medium"/>
                <w:sz w:val="16"/>
              </w:rPr>
            </w:pPr>
            <w:r>
              <w:rPr>
                <w:rFonts w:ascii="Futura PT Medium"/>
                <w:color w:val="636466"/>
                <w:sz w:val="16"/>
              </w:rPr>
              <w:t>(545)</w:t>
            </w:r>
          </w:p>
        </w:tc>
        <w:tc>
          <w:tcPr>
            <w:tcW w:w="992" w:type="dxa"/>
            <w:gridSpan w:val="2"/>
            <w:tcBorders>
              <w:top w:val="single" w:sz="4" w:space="0" w:color="C7C8CA"/>
            </w:tcBorders>
          </w:tcPr>
          <w:p w:rsidR="0019667D" w:rsidRDefault="0019667D" w:rsidP="0019667D">
            <w:pPr>
              <w:pStyle w:val="TableParagraph"/>
              <w:tabs>
                <w:tab w:val="left" w:pos="1666"/>
                <w:tab w:val="left" w:pos="2686"/>
                <w:tab w:val="left" w:pos="3704"/>
                <w:tab w:val="left" w:pos="4437"/>
                <w:tab w:val="left" w:pos="5308"/>
              </w:tabs>
              <w:ind w:left="320"/>
              <w:jc w:val="right"/>
              <w:rPr>
                <w:rFonts w:ascii="Futura PT Medium"/>
                <w:sz w:val="16"/>
              </w:rPr>
            </w:pPr>
            <w:r>
              <w:rPr>
                <w:rFonts w:ascii="Futura PT Medium"/>
                <w:color w:val="636466"/>
                <w:sz w:val="16"/>
              </w:rPr>
              <w:t>-</w:t>
            </w:r>
          </w:p>
        </w:tc>
        <w:tc>
          <w:tcPr>
            <w:tcW w:w="993" w:type="dxa"/>
            <w:tcBorders>
              <w:top w:val="single" w:sz="4" w:space="0" w:color="C7C8CA"/>
            </w:tcBorders>
          </w:tcPr>
          <w:p w:rsidR="0019667D" w:rsidRDefault="0019667D" w:rsidP="0019667D">
            <w:pPr>
              <w:pStyle w:val="TableParagraph"/>
              <w:tabs>
                <w:tab w:val="left" w:pos="1666"/>
                <w:tab w:val="left" w:pos="2686"/>
                <w:tab w:val="left" w:pos="3704"/>
                <w:tab w:val="left" w:pos="4437"/>
                <w:tab w:val="left" w:pos="5308"/>
              </w:tabs>
              <w:ind w:left="320"/>
              <w:jc w:val="right"/>
              <w:rPr>
                <w:rFonts w:ascii="Futura PT Medium"/>
                <w:sz w:val="16"/>
              </w:rPr>
            </w:pPr>
            <w:r>
              <w:rPr>
                <w:rFonts w:ascii="Futura PT Medium"/>
                <w:color w:val="636466"/>
                <w:sz w:val="16"/>
              </w:rPr>
              <w:t>-</w:t>
            </w:r>
          </w:p>
        </w:tc>
        <w:tc>
          <w:tcPr>
            <w:tcW w:w="992" w:type="dxa"/>
            <w:tcBorders>
              <w:top w:val="single" w:sz="4" w:space="0" w:color="C7C8CA"/>
            </w:tcBorders>
          </w:tcPr>
          <w:p w:rsidR="0019667D" w:rsidRDefault="0019667D" w:rsidP="0019667D">
            <w:pPr>
              <w:pStyle w:val="TableParagraph"/>
              <w:tabs>
                <w:tab w:val="left" w:pos="1666"/>
                <w:tab w:val="left" w:pos="2686"/>
                <w:tab w:val="left" w:pos="3704"/>
                <w:tab w:val="left" w:pos="4437"/>
                <w:tab w:val="left" w:pos="5308"/>
              </w:tabs>
              <w:ind w:left="320"/>
              <w:jc w:val="right"/>
              <w:rPr>
                <w:rFonts w:ascii="Futura PT Medium"/>
                <w:sz w:val="16"/>
              </w:rPr>
            </w:pPr>
            <w:r>
              <w:rPr>
                <w:rFonts w:ascii="Futura PT Medium"/>
                <w:color w:val="636466"/>
                <w:sz w:val="16"/>
              </w:rPr>
              <w:t>-</w:t>
            </w:r>
          </w:p>
        </w:tc>
        <w:tc>
          <w:tcPr>
            <w:tcW w:w="992" w:type="dxa"/>
            <w:tcBorders>
              <w:top w:val="single" w:sz="4" w:space="0" w:color="C7C8CA"/>
            </w:tcBorders>
          </w:tcPr>
          <w:p w:rsidR="0019667D" w:rsidRDefault="0019667D" w:rsidP="0019667D">
            <w:pPr>
              <w:pStyle w:val="TableParagraph"/>
              <w:tabs>
                <w:tab w:val="left" w:pos="1666"/>
                <w:tab w:val="left" w:pos="2686"/>
                <w:tab w:val="left" w:pos="3704"/>
                <w:tab w:val="left" w:pos="4437"/>
                <w:tab w:val="left" w:pos="5308"/>
              </w:tabs>
              <w:ind w:left="320"/>
              <w:jc w:val="right"/>
              <w:rPr>
                <w:rFonts w:ascii="Futura PT Medium"/>
                <w:sz w:val="16"/>
              </w:rPr>
            </w:pPr>
            <w:r>
              <w:rPr>
                <w:rFonts w:ascii="Futura PT Medium"/>
                <w:color w:val="636466"/>
                <w:sz w:val="16"/>
              </w:rPr>
              <w:t>(116)</w:t>
            </w:r>
          </w:p>
        </w:tc>
        <w:tc>
          <w:tcPr>
            <w:tcW w:w="824" w:type="dxa"/>
            <w:tcBorders>
              <w:top w:val="single" w:sz="4" w:space="0" w:color="C7C8CA"/>
            </w:tcBorders>
          </w:tcPr>
          <w:p w:rsidR="0019667D" w:rsidRDefault="0019667D" w:rsidP="0019667D">
            <w:pPr>
              <w:pStyle w:val="TableParagraph"/>
              <w:tabs>
                <w:tab w:val="left" w:pos="1666"/>
                <w:tab w:val="left" w:pos="2686"/>
                <w:tab w:val="left" w:pos="3704"/>
                <w:tab w:val="left" w:pos="4437"/>
                <w:tab w:val="left" w:pos="5308"/>
              </w:tabs>
              <w:ind w:left="320"/>
              <w:jc w:val="right"/>
              <w:rPr>
                <w:rFonts w:ascii="Futura PT Medium"/>
                <w:sz w:val="16"/>
              </w:rPr>
            </w:pPr>
            <w:r>
              <w:rPr>
                <w:rFonts w:ascii="Futura PT Medium"/>
                <w:color w:val="636466"/>
                <w:sz w:val="16"/>
              </w:rPr>
              <w:t>(1,333)</w:t>
            </w:r>
          </w:p>
        </w:tc>
      </w:tr>
      <w:tr w:rsidR="0019667D" w:rsidTr="0019667D">
        <w:trPr>
          <w:trHeight w:val="240"/>
        </w:trPr>
        <w:tc>
          <w:tcPr>
            <w:tcW w:w="3085" w:type="dxa"/>
            <w:gridSpan w:val="2"/>
            <w:tcBorders>
              <w:bottom w:val="single" w:sz="4" w:space="0" w:color="C7C8CA"/>
            </w:tcBorders>
            <w:shd w:val="clear" w:color="auto" w:fill="E6E7E8"/>
          </w:tcPr>
          <w:p w:rsidR="0019667D" w:rsidRDefault="0019667D" w:rsidP="0019667D">
            <w:pPr>
              <w:pStyle w:val="TableParagraph"/>
              <w:spacing w:before="21" w:line="200" w:lineRule="exact"/>
              <w:ind w:left="113"/>
              <w:rPr>
                <w:rFonts w:ascii="Futura PT Medium"/>
                <w:sz w:val="16"/>
              </w:rPr>
            </w:pPr>
            <w:r>
              <w:rPr>
                <w:rFonts w:ascii="Futura PT Medium"/>
                <w:sz w:val="16"/>
              </w:rPr>
              <w:t>Total as at 1 July 2016</w:t>
            </w:r>
          </w:p>
        </w:tc>
        <w:tc>
          <w:tcPr>
            <w:tcW w:w="1033" w:type="dxa"/>
            <w:tcBorders>
              <w:bottom w:val="single" w:sz="4" w:space="0" w:color="C7C8CA"/>
            </w:tcBorders>
            <w:shd w:val="clear" w:color="auto" w:fill="E6E7E8"/>
          </w:tcPr>
          <w:p w:rsidR="0019667D" w:rsidRDefault="0019667D" w:rsidP="0019667D">
            <w:pPr>
              <w:pStyle w:val="TableParagraph"/>
              <w:spacing w:before="21" w:line="200" w:lineRule="exact"/>
              <w:ind w:right="324"/>
              <w:jc w:val="right"/>
              <w:rPr>
                <w:rFonts w:ascii="Futura PT Medium"/>
                <w:sz w:val="16"/>
              </w:rPr>
            </w:pPr>
            <w:r>
              <w:rPr>
                <w:rFonts w:ascii="Futura PT Medium"/>
                <w:sz w:val="16"/>
              </w:rPr>
              <w:t>395</w:t>
            </w:r>
          </w:p>
        </w:tc>
        <w:tc>
          <w:tcPr>
            <w:tcW w:w="1025" w:type="dxa"/>
            <w:gridSpan w:val="2"/>
            <w:tcBorders>
              <w:bottom w:val="single" w:sz="4" w:space="0" w:color="C7C8CA"/>
            </w:tcBorders>
            <w:shd w:val="clear" w:color="auto" w:fill="E6E7E8"/>
          </w:tcPr>
          <w:p w:rsidR="0019667D" w:rsidRDefault="0019667D" w:rsidP="0019667D">
            <w:pPr>
              <w:pStyle w:val="TableParagraph"/>
              <w:spacing w:before="21" w:line="200" w:lineRule="exact"/>
              <w:ind w:right="321"/>
              <w:jc w:val="right"/>
              <w:rPr>
                <w:rFonts w:ascii="Futura PT Medium"/>
                <w:sz w:val="16"/>
              </w:rPr>
            </w:pPr>
            <w:r>
              <w:rPr>
                <w:rFonts w:ascii="Futura PT Medium"/>
                <w:sz w:val="16"/>
              </w:rPr>
              <w:t>360</w:t>
            </w:r>
          </w:p>
        </w:tc>
        <w:tc>
          <w:tcPr>
            <w:tcW w:w="1123" w:type="dxa"/>
            <w:gridSpan w:val="2"/>
            <w:tcBorders>
              <w:bottom w:val="single" w:sz="4" w:space="0" w:color="C7C8CA"/>
            </w:tcBorders>
            <w:shd w:val="clear" w:color="auto" w:fill="E6E7E8"/>
          </w:tcPr>
          <w:p w:rsidR="0019667D" w:rsidRDefault="0019667D" w:rsidP="0019667D">
            <w:pPr>
              <w:pStyle w:val="TableParagraph"/>
              <w:tabs>
                <w:tab w:val="left" w:pos="1663"/>
                <w:tab w:val="left" w:pos="2683"/>
                <w:tab w:val="left" w:pos="3704"/>
                <w:tab w:val="left" w:pos="4537"/>
                <w:tab w:val="left" w:pos="5497"/>
              </w:tabs>
              <w:spacing w:before="21" w:line="200" w:lineRule="exact"/>
              <w:ind w:left="447"/>
              <w:jc w:val="right"/>
              <w:rPr>
                <w:rFonts w:ascii="Futura PT Medium"/>
                <w:sz w:val="16"/>
              </w:rPr>
            </w:pPr>
            <w:r>
              <w:rPr>
                <w:rFonts w:ascii="Futura PT Medium"/>
                <w:sz w:val="16"/>
              </w:rPr>
              <w:t>184</w:t>
            </w:r>
          </w:p>
        </w:tc>
        <w:tc>
          <w:tcPr>
            <w:tcW w:w="992" w:type="dxa"/>
            <w:gridSpan w:val="2"/>
            <w:tcBorders>
              <w:bottom w:val="single" w:sz="4" w:space="0" w:color="C7C8CA"/>
            </w:tcBorders>
            <w:shd w:val="clear" w:color="auto" w:fill="E6E7E8"/>
          </w:tcPr>
          <w:p w:rsidR="0019667D" w:rsidRDefault="0019667D" w:rsidP="0019667D">
            <w:pPr>
              <w:pStyle w:val="TableParagraph"/>
              <w:tabs>
                <w:tab w:val="left" w:pos="1663"/>
                <w:tab w:val="left" w:pos="2683"/>
                <w:tab w:val="left" w:pos="3704"/>
                <w:tab w:val="left" w:pos="4537"/>
                <w:tab w:val="left" w:pos="5497"/>
              </w:tabs>
              <w:spacing w:before="21" w:line="200" w:lineRule="exact"/>
              <w:ind w:left="447"/>
              <w:jc w:val="right"/>
              <w:rPr>
                <w:rFonts w:ascii="Futura PT Medium"/>
                <w:sz w:val="16"/>
              </w:rPr>
            </w:pPr>
            <w:r>
              <w:rPr>
                <w:rFonts w:ascii="Futura PT Medium"/>
                <w:sz w:val="16"/>
              </w:rPr>
              <w:t>-</w:t>
            </w:r>
          </w:p>
        </w:tc>
        <w:tc>
          <w:tcPr>
            <w:tcW w:w="993" w:type="dxa"/>
            <w:tcBorders>
              <w:bottom w:val="single" w:sz="4" w:space="0" w:color="C7C8CA"/>
            </w:tcBorders>
            <w:shd w:val="clear" w:color="auto" w:fill="E6E7E8"/>
          </w:tcPr>
          <w:p w:rsidR="0019667D" w:rsidRDefault="0019667D" w:rsidP="0019667D">
            <w:pPr>
              <w:pStyle w:val="TableParagraph"/>
              <w:tabs>
                <w:tab w:val="left" w:pos="1663"/>
                <w:tab w:val="left" w:pos="2683"/>
                <w:tab w:val="left" w:pos="3704"/>
                <w:tab w:val="left" w:pos="4537"/>
                <w:tab w:val="left" w:pos="5497"/>
              </w:tabs>
              <w:spacing w:before="21" w:line="200" w:lineRule="exact"/>
              <w:ind w:left="447"/>
              <w:jc w:val="right"/>
              <w:rPr>
                <w:rFonts w:ascii="Futura PT Medium"/>
                <w:sz w:val="16"/>
              </w:rPr>
            </w:pPr>
            <w:r>
              <w:rPr>
                <w:rFonts w:ascii="Futura PT Medium"/>
                <w:sz w:val="16"/>
              </w:rPr>
              <w:t>-</w:t>
            </w:r>
          </w:p>
        </w:tc>
        <w:tc>
          <w:tcPr>
            <w:tcW w:w="992" w:type="dxa"/>
            <w:tcBorders>
              <w:bottom w:val="single" w:sz="4" w:space="0" w:color="C7C8CA"/>
            </w:tcBorders>
            <w:shd w:val="clear" w:color="auto" w:fill="E6E7E8"/>
          </w:tcPr>
          <w:p w:rsidR="0019667D" w:rsidRDefault="0019667D" w:rsidP="0019667D">
            <w:pPr>
              <w:pStyle w:val="TableParagraph"/>
              <w:tabs>
                <w:tab w:val="left" w:pos="1663"/>
                <w:tab w:val="left" w:pos="2683"/>
                <w:tab w:val="left" w:pos="3704"/>
                <w:tab w:val="left" w:pos="4537"/>
                <w:tab w:val="left" w:pos="5497"/>
              </w:tabs>
              <w:spacing w:before="21" w:line="200" w:lineRule="exact"/>
              <w:ind w:left="447"/>
              <w:jc w:val="right"/>
              <w:rPr>
                <w:rFonts w:ascii="Futura PT Medium"/>
                <w:sz w:val="16"/>
              </w:rPr>
            </w:pPr>
            <w:r>
              <w:rPr>
                <w:rFonts w:ascii="Futura PT Medium"/>
                <w:sz w:val="16"/>
              </w:rPr>
              <w:t>-</w:t>
            </w:r>
          </w:p>
        </w:tc>
        <w:tc>
          <w:tcPr>
            <w:tcW w:w="992" w:type="dxa"/>
            <w:tcBorders>
              <w:bottom w:val="single" w:sz="4" w:space="0" w:color="C7C8CA"/>
            </w:tcBorders>
            <w:shd w:val="clear" w:color="auto" w:fill="E6E7E8"/>
          </w:tcPr>
          <w:p w:rsidR="0019667D" w:rsidRDefault="0019667D" w:rsidP="0019667D">
            <w:pPr>
              <w:pStyle w:val="TableParagraph"/>
              <w:tabs>
                <w:tab w:val="left" w:pos="1663"/>
                <w:tab w:val="left" w:pos="2683"/>
                <w:tab w:val="left" w:pos="3704"/>
                <w:tab w:val="left" w:pos="4537"/>
                <w:tab w:val="left" w:pos="5497"/>
              </w:tabs>
              <w:spacing w:before="21" w:line="200" w:lineRule="exact"/>
              <w:ind w:left="447"/>
              <w:jc w:val="right"/>
              <w:rPr>
                <w:rFonts w:ascii="Futura PT Medium"/>
                <w:sz w:val="16"/>
              </w:rPr>
            </w:pPr>
            <w:r>
              <w:rPr>
                <w:rFonts w:ascii="Futura PT Medium"/>
                <w:sz w:val="16"/>
              </w:rPr>
              <w:t>172</w:t>
            </w:r>
          </w:p>
        </w:tc>
        <w:tc>
          <w:tcPr>
            <w:tcW w:w="824" w:type="dxa"/>
            <w:tcBorders>
              <w:bottom w:val="single" w:sz="4" w:space="0" w:color="C7C8CA"/>
            </w:tcBorders>
            <w:shd w:val="clear" w:color="auto" w:fill="E6E7E8"/>
          </w:tcPr>
          <w:p w:rsidR="0019667D" w:rsidRDefault="0019667D" w:rsidP="0019667D">
            <w:pPr>
              <w:pStyle w:val="TableParagraph"/>
              <w:tabs>
                <w:tab w:val="left" w:pos="1663"/>
                <w:tab w:val="left" w:pos="2683"/>
                <w:tab w:val="left" w:pos="3704"/>
                <w:tab w:val="left" w:pos="4537"/>
                <w:tab w:val="left" w:pos="5497"/>
              </w:tabs>
              <w:spacing w:before="21" w:line="200" w:lineRule="exact"/>
              <w:ind w:left="447"/>
              <w:jc w:val="right"/>
              <w:rPr>
                <w:rFonts w:ascii="Futura PT Medium"/>
                <w:sz w:val="16"/>
              </w:rPr>
            </w:pPr>
            <w:r>
              <w:rPr>
                <w:rFonts w:ascii="Futura PT Medium"/>
                <w:sz w:val="16"/>
              </w:rPr>
              <w:t>1,111</w:t>
            </w:r>
          </w:p>
        </w:tc>
      </w:tr>
      <w:tr w:rsidR="0019667D" w:rsidTr="0019667D">
        <w:trPr>
          <w:trHeight w:val="220"/>
        </w:trPr>
        <w:tc>
          <w:tcPr>
            <w:tcW w:w="3085" w:type="dxa"/>
            <w:gridSpan w:val="2"/>
            <w:tcBorders>
              <w:top w:val="single" w:sz="4" w:space="0" w:color="C7C8CA"/>
              <w:bottom w:val="single" w:sz="4" w:space="0" w:color="C7C8CA"/>
            </w:tcBorders>
          </w:tcPr>
          <w:p w:rsidR="0019667D" w:rsidRDefault="0019667D" w:rsidP="0019667D">
            <w:pPr>
              <w:pStyle w:val="TableParagraph"/>
              <w:spacing w:line="200" w:lineRule="exact"/>
              <w:ind w:left="113"/>
              <w:rPr>
                <w:sz w:val="16"/>
              </w:rPr>
            </w:pPr>
            <w:r>
              <w:rPr>
                <w:color w:val="636466"/>
                <w:sz w:val="16"/>
              </w:rPr>
              <w:t>Additions</w:t>
            </w:r>
          </w:p>
        </w:tc>
        <w:tc>
          <w:tcPr>
            <w:tcW w:w="1033" w:type="dxa"/>
            <w:tcBorders>
              <w:top w:val="single" w:sz="4" w:space="0" w:color="C7C8CA"/>
              <w:bottom w:val="single" w:sz="4" w:space="0" w:color="C7C8CA"/>
            </w:tcBorders>
          </w:tcPr>
          <w:p w:rsidR="0019667D" w:rsidRDefault="0019667D" w:rsidP="0019667D">
            <w:pPr>
              <w:pStyle w:val="TableParagraph"/>
              <w:spacing w:before="0"/>
              <w:jc w:val="right"/>
              <w:rPr>
                <w:rFonts w:ascii="Times New Roman"/>
                <w:sz w:val="16"/>
              </w:rPr>
            </w:pPr>
          </w:p>
        </w:tc>
        <w:tc>
          <w:tcPr>
            <w:tcW w:w="1025" w:type="dxa"/>
            <w:gridSpan w:val="2"/>
            <w:tcBorders>
              <w:top w:val="single" w:sz="4" w:space="0" w:color="C7C8CA"/>
              <w:bottom w:val="single" w:sz="4" w:space="0" w:color="C7C8CA"/>
            </w:tcBorders>
          </w:tcPr>
          <w:p w:rsidR="0019667D" w:rsidRDefault="0019667D" w:rsidP="0019667D">
            <w:pPr>
              <w:pStyle w:val="TableParagraph"/>
              <w:spacing w:before="0"/>
              <w:jc w:val="right"/>
              <w:rPr>
                <w:rFonts w:ascii="Times New Roman"/>
                <w:sz w:val="16"/>
              </w:rPr>
            </w:pPr>
          </w:p>
        </w:tc>
        <w:tc>
          <w:tcPr>
            <w:tcW w:w="1123" w:type="dxa"/>
            <w:gridSpan w:val="2"/>
            <w:tcBorders>
              <w:top w:val="single" w:sz="4" w:space="0" w:color="C7C8CA"/>
              <w:bottom w:val="single" w:sz="4" w:space="0" w:color="C7C8CA"/>
            </w:tcBorders>
          </w:tcPr>
          <w:p w:rsidR="0019667D" w:rsidRDefault="0019667D" w:rsidP="0019667D">
            <w:pPr>
              <w:pStyle w:val="TableParagraph"/>
              <w:spacing w:before="0"/>
              <w:jc w:val="right"/>
              <w:rPr>
                <w:rFonts w:ascii="Times New Roman"/>
                <w:sz w:val="16"/>
              </w:rPr>
            </w:pPr>
          </w:p>
        </w:tc>
        <w:tc>
          <w:tcPr>
            <w:tcW w:w="992" w:type="dxa"/>
            <w:gridSpan w:val="2"/>
            <w:tcBorders>
              <w:top w:val="single" w:sz="4" w:space="0" w:color="C7C8CA"/>
              <w:bottom w:val="single" w:sz="4" w:space="0" w:color="C7C8CA"/>
            </w:tcBorders>
          </w:tcPr>
          <w:p w:rsidR="0019667D" w:rsidRDefault="0019667D" w:rsidP="0019667D">
            <w:pPr>
              <w:pStyle w:val="TableParagraph"/>
              <w:spacing w:before="0"/>
              <w:jc w:val="right"/>
              <w:rPr>
                <w:rFonts w:ascii="Times New Roman"/>
                <w:sz w:val="16"/>
              </w:rPr>
            </w:pPr>
          </w:p>
        </w:tc>
        <w:tc>
          <w:tcPr>
            <w:tcW w:w="993" w:type="dxa"/>
            <w:tcBorders>
              <w:top w:val="single" w:sz="4" w:space="0" w:color="C7C8CA"/>
              <w:bottom w:val="single" w:sz="4" w:space="0" w:color="C7C8CA"/>
            </w:tcBorders>
          </w:tcPr>
          <w:p w:rsidR="0019667D" w:rsidRDefault="0019667D" w:rsidP="0019667D">
            <w:pPr>
              <w:pStyle w:val="TableParagraph"/>
              <w:spacing w:before="0"/>
              <w:jc w:val="right"/>
              <w:rPr>
                <w:rFonts w:ascii="Times New Roman"/>
                <w:sz w:val="16"/>
              </w:rPr>
            </w:pPr>
          </w:p>
        </w:tc>
        <w:tc>
          <w:tcPr>
            <w:tcW w:w="992" w:type="dxa"/>
            <w:tcBorders>
              <w:top w:val="single" w:sz="4" w:space="0" w:color="C7C8CA"/>
              <w:bottom w:val="single" w:sz="4" w:space="0" w:color="C7C8CA"/>
            </w:tcBorders>
          </w:tcPr>
          <w:p w:rsidR="0019667D" w:rsidRDefault="0019667D" w:rsidP="0019667D">
            <w:pPr>
              <w:pStyle w:val="TableParagraph"/>
              <w:spacing w:before="0"/>
              <w:jc w:val="right"/>
              <w:rPr>
                <w:rFonts w:ascii="Times New Roman"/>
                <w:sz w:val="16"/>
              </w:rPr>
            </w:pPr>
          </w:p>
        </w:tc>
        <w:tc>
          <w:tcPr>
            <w:tcW w:w="992" w:type="dxa"/>
            <w:tcBorders>
              <w:top w:val="single" w:sz="4" w:space="0" w:color="C7C8CA"/>
              <w:bottom w:val="single" w:sz="4" w:space="0" w:color="C7C8CA"/>
            </w:tcBorders>
          </w:tcPr>
          <w:p w:rsidR="0019667D" w:rsidRDefault="0019667D" w:rsidP="0019667D">
            <w:pPr>
              <w:pStyle w:val="TableParagraph"/>
              <w:spacing w:before="0"/>
              <w:jc w:val="right"/>
              <w:rPr>
                <w:rFonts w:ascii="Times New Roman"/>
                <w:sz w:val="16"/>
              </w:rPr>
            </w:pPr>
          </w:p>
        </w:tc>
        <w:tc>
          <w:tcPr>
            <w:tcW w:w="824" w:type="dxa"/>
            <w:tcBorders>
              <w:top w:val="single" w:sz="4" w:space="0" w:color="C7C8CA"/>
              <w:bottom w:val="single" w:sz="4" w:space="0" w:color="C7C8CA"/>
            </w:tcBorders>
          </w:tcPr>
          <w:p w:rsidR="0019667D" w:rsidRDefault="0019667D" w:rsidP="0019667D">
            <w:pPr>
              <w:pStyle w:val="TableParagraph"/>
              <w:spacing w:before="0"/>
              <w:jc w:val="right"/>
              <w:rPr>
                <w:rFonts w:ascii="Times New Roman"/>
                <w:sz w:val="16"/>
              </w:rPr>
            </w:pPr>
          </w:p>
        </w:tc>
      </w:tr>
      <w:tr w:rsidR="0019667D" w:rsidTr="0019667D">
        <w:trPr>
          <w:trHeight w:val="220"/>
        </w:trPr>
        <w:tc>
          <w:tcPr>
            <w:tcW w:w="3085" w:type="dxa"/>
            <w:gridSpan w:val="2"/>
            <w:tcBorders>
              <w:top w:val="single" w:sz="4" w:space="0" w:color="C7C8CA"/>
              <w:bottom w:val="single" w:sz="4" w:space="0" w:color="C7C8CA"/>
            </w:tcBorders>
          </w:tcPr>
          <w:p w:rsidR="0019667D" w:rsidRDefault="0019667D" w:rsidP="0019667D">
            <w:pPr>
              <w:pStyle w:val="TableParagraph"/>
              <w:spacing w:line="198" w:lineRule="exact"/>
              <w:ind w:left="396"/>
              <w:rPr>
                <w:sz w:val="16"/>
              </w:rPr>
            </w:pPr>
            <w:r>
              <w:rPr>
                <w:color w:val="636466"/>
                <w:sz w:val="16"/>
              </w:rPr>
              <w:t>Purchase</w:t>
            </w:r>
          </w:p>
        </w:tc>
        <w:tc>
          <w:tcPr>
            <w:tcW w:w="1033" w:type="dxa"/>
            <w:tcBorders>
              <w:top w:val="single" w:sz="4" w:space="0" w:color="C7C8CA"/>
              <w:bottom w:val="single" w:sz="6" w:space="0" w:color="C7C8CA"/>
            </w:tcBorders>
          </w:tcPr>
          <w:p w:rsidR="0019667D" w:rsidRDefault="0019667D" w:rsidP="0019667D">
            <w:pPr>
              <w:pStyle w:val="TableParagraph"/>
              <w:spacing w:line="198" w:lineRule="exact"/>
              <w:ind w:right="316"/>
              <w:jc w:val="right"/>
              <w:rPr>
                <w:rFonts w:ascii="Futura PT Medium"/>
                <w:sz w:val="16"/>
              </w:rPr>
            </w:pPr>
            <w:r>
              <w:rPr>
                <w:rFonts w:ascii="Futura PT Medium"/>
                <w:color w:val="636466"/>
                <w:sz w:val="16"/>
              </w:rPr>
              <w:t>-</w:t>
            </w:r>
          </w:p>
        </w:tc>
        <w:tc>
          <w:tcPr>
            <w:tcW w:w="1025" w:type="dxa"/>
            <w:gridSpan w:val="2"/>
            <w:tcBorders>
              <w:top w:val="single" w:sz="4" w:space="0" w:color="C7C8CA"/>
              <w:bottom w:val="single" w:sz="4" w:space="0" w:color="C7C8CA"/>
            </w:tcBorders>
          </w:tcPr>
          <w:p w:rsidR="0019667D" w:rsidRDefault="0019667D" w:rsidP="0019667D">
            <w:pPr>
              <w:pStyle w:val="TableParagraph"/>
              <w:spacing w:line="198" w:lineRule="exact"/>
              <w:ind w:right="321"/>
              <w:jc w:val="right"/>
              <w:rPr>
                <w:rFonts w:ascii="Futura PT Medium"/>
                <w:sz w:val="16"/>
              </w:rPr>
            </w:pPr>
            <w:r>
              <w:rPr>
                <w:rFonts w:ascii="Futura PT Medium"/>
                <w:color w:val="636466"/>
                <w:sz w:val="16"/>
              </w:rPr>
              <w:t>39</w:t>
            </w:r>
          </w:p>
        </w:tc>
        <w:tc>
          <w:tcPr>
            <w:tcW w:w="1123" w:type="dxa"/>
            <w:gridSpan w:val="2"/>
            <w:tcBorders>
              <w:top w:val="single" w:sz="4" w:space="0" w:color="C7C8CA"/>
              <w:bottom w:val="single" w:sz="4" w:space="0" w:color="C7C8CA"/>
            </w:tcBorders>
          </w:tcPr>
          <w:p w:rsidR="0019667D" w:rsidRDefault="0019667D" w:rsidP="0019667D">
            <w:pPr>
              <w:pStyle w:val="TableParagraph"/>
              <w:tabs>
                <w:tab w:val="left" w:pos="1444"/>
                <w:tab w:val="left" w:pos="2470"/>
                <w:tab w:val="left" w:pos="3477"/>
                <w:tab w:val="left" w:pos="4724"/>
                <w:tab w:val="left" w:pos="5543"/>
              </w:tabs>
              <w:spacing w:line="198" w:lineRule="exact"/>
              <w:ind w:left="642"/>
              <w:jc w:val="right"/>
              <w:rPr>
                <w:rFonts w:ascii="Futura PT Medium"/>
                <w:sz w:val="16"/>
              </w:rPr>
            </w:pPr>
          </w:p>
        </w:tc>
        <w:tc>
          <w:tcPr>
            <w:tcW w:w="992" w:type="dxa"/>
            <w:gridSpan w:val="2"/>
            <w:tcBorders>
              <w:top w:val="single" w:sz="4" w:space="0" w:color="C7C8CA"/>
              <w:bottom w:val="single" w:sz="4" w:space="0" w:color="C7C8CA"/>
            </w:tcBorders>
          </w:tcPr>
          <w:p w:rsidR="0019667D" w:rsidRDefault="0019667D" w:rsidP="0019667D">
            <w:pPr>
              <w:pStyle w:val="TableParagraph"/>
              <w:tabs>
                <w:tab w:val="left" w:pos="1444"/>
                <w:tab w:val="left" w:pos="2470"/>
                <w:tab w:val="left" w:pos="3477"/>
                <w:tab w:val="left" w:pos="4724"/>
                <w:tab w:val="left" w:pos="5543"/>
              </w:tabs>
              <w:spacing w:line="198" w:lineRule="exact"/>
              <w:jc w:val="right"/>
              <w:rPr>
                <w:rFonts w:ascii="Futura PT Medium"/>
                <w:sz w:val="16"/>
              </w:rPr>
            </w:pPr>
            <w:r>
              <w:rPr>
                <w:rFonts w:ascii="Futura PT Medium"/>
                <w:color w:val="636466"/>
                <w:sz w:val="16"/>
              </w:rPr>
              <w:t>399</w:t>
            </w:r>
          </w:p>
        </w:tc>
        <w:tc>
          <w:tcPr>
            <w:tcW w:w="993" w:type="dxa"/>
            <w:tcBorders>
              <w:top w:val="single" w:sz="4" w:space="0" w:color="C7C8CA"/>
              <w:bottom w:val="single" w:sz="4" w:space="0" w:color="C7C8CA"/>
            </w:tcBorders>
          </w:tcPr>
          <w:p w:rsidR="0019667D" w:rsidRDefault="0019667D" w:rsidP="0019667D">
            <w:pPr>
              <w:pStyle w:val="TableParagraph"/>
              <w:tabs>
                <w:tab w:val="left" w:pos="1444"/>
                <w:tab w:val="left" w:pos="2470"/>
                <w:tab w:val="left" w:pos="3477"/>
                <w:tab w:val="left" w:pos="4724"/>
                <w:tab w:val="left" w:pos="5543"/>
              </w:tabs>
              <w:spacing w:line="198" w:lineRule="exact"/>
              <w:jc w:val="right"/>
              <w:rPr>
                <w:rFonts w:ascii="Futura PT Medium"/>
                <w:sz w:val="16"/>
              </w:rPr>
            </w:pPr>
            <w:r>
              <w:rPr>
                <w:rFonts w:ascii="Futura PT Medium"/>
                <w:color w:val="636466"/>
                <w:sz w:val="16"/>
              </w:rPr>
              <w:t>379</w:t>
            </w:r>
          </w:p>
        </w:tc>
        <w:tc>
          <w:tcPr>
            <w:tcW w:w="992" w:type="dxa"/>
            <w:tcBorders>
              <w:top w:val="single" w:sz="4" w:space="0" w:color="C7C8CA"/>
              <w:bottom w:val="single" w:sz="4" w:space="0" w:color="C7C8CA"/>
            </w:tcBorders>
          </w:tcPr>
          <w:p w:rsidR="0019667D" w:rsidRDefault="0019667D" w:rsidP="0019667D">
            <w:pPr>
              <w:pStyle w:val="TableParagraph"/>
              <w:tabs>
                <w:tab w:val="left" w:pos="1444"/>
                <w:tab w:val="left" w:pos="2470"/>
                <w:tab w:val="left" w:pos="3477"/>
                <w:tab w:val="left" w:pos="4724"/>
                <w:tab w:val="left" w:pos="5543"/>
              </w:tabs>
              <w:spacing w:line="198" w:lineRule="exact"/>
              <w:ind w:left="642"/>
              <w:jc w:val="right"/>
              <w:rPr>
                <w:rFonts w:ascii="Futura PT Medium"/>
                <w:sz w:val="16"/>
              </w:rPr>
            </w:pPr>
            <w:r>
              <w:rPr>
                <w:rFonts w:ascii="Futura PT Medium"/>
                <w:color w:val="636466"/>
                <w:sz w:val="16"/>
              </w:rPr>
              <w:t>777</w:t>
            </w:r>
          </w:p>
        </w:tc>
        <w:tc>
          <w:tcPr>
            <w:tcW w:w="992" w:type="dxa"/>
            <w:tcBorders>
              <w:top w:val="single" w:sz="4" w:space="0" w:color="C7C8CA"/>
              <w:bottom w:val="single" w:sz="4" w:space="0" w:color="C7C8CA"/>
            </w:tcBorders>
          </w:tcPr>
          <w:p w:rsidR="0019667D" w:rsidRDefault="0019667D" w:rsidP="0019667D">
            <w:pPr>
              <w:pStyle w:val="TableParagraph"/>
              <w:tabs>
                <w:tab w:val="left" w:pos="1444"/>
                <w:tab w:val="left" w:pos="2470"/>
                <w:tab w:val="left" w:pos="3477"/>
                <w:tab w:val="left" w:pos="4724"/>
                <w:tab w:val="left" w:pos="5543"/>
              </w:tabs>
              <w:spacing w:line="198" w:lineRule="exact"/>
              <w:ind w:left="642"/>
              <w:jc w:val="right"/>
              <w:rPr>
                <w:rFonts w:ascii="Futura PT Medium"/>
                <w:sz w:val="16"/>
              </w:rPr>
            </w:pPr>
          </w:p>
        </w:tc>
        <w:tc>
          <w:tcPr>
            <w:tcW w:w="824" w:type="dxa"/>
            <w:tcBorders>
              <w:top w:val="single" w:sz="4" w:space="0" w:color="C7C8CA"/>
              <w:bottom w:val="single" w:sz="4" w:space="0" w:color="C7C8CA"/>
            </w:tcBorders>
          </w:tcPr>
          <w:p w:rsidR="0019667D" w:rsidRDefault="0019667D" w:rsidP="0019667D">
            <w:pPr>
              <w:pStyle w:val="TableParagraph"/>
              <w:tabs>
                <w:tab w:val="left" w:pos="1444"/>
                <w:tab w:val="left" w:pos="2470"/>
                <w:tab w:val="left" w:pos="3477"/>
                <w:tab w:val="left" w:pos="4724"/>
                <w:tab w:val="left" w:pos="5543"/>
              </w:tabs>
              <w:spacing w:line="198" w:lineRule="exact"/>
              <w:ind w:left="642"/>
              <w:jc w:val="right"/>
              <w:rPr>
                <w:rFonts w:ascii="Futura PT Medium"/>
                <w:sz w:val="16"/>
              </w:rPr>
            </w:pPr>
            <w:r>
              <w:rPr>
                <w:rFonts w:ascii="Futura PT Medium"/>
                <w:color w:val="636466"/>
                <w:sz w:val="16"/>
              </w:rPr>
              <w:t>816</w:t>
            </w:r>
          </w:p>
        </w:tc>
      </w:tr>
      <w:tr w:rsidR="0019667D" w:rsidTr="0019667D">
        <w:trPr>
          <w:trHeight w:val="220"/>
        </w:trPr>
        <w:tc>
          <w:tcPr>
            <w:tcW w:w="3085" w:type="dxa"/>
            <w:gridSpan w:val="2"/>
            <w:tcBorders>
              <w:top w:val="single" w:sz="4" w:space="0" w:color="C7C8CA"/>
              <w:bottom w:val="single" w:sz="4" w:space="0" w:color="C7C8CA"/>
            </w:tcBorders>
          </w:tcPr>
          <w:p w:rsidR="0019667D" w:rsidRDefault="0019667D" w:rsidP="0019667D">
            <w:pPr>
              <w:pStyle w:val="TableParagraph"/>
              <w:spacing w:before="14" w:line="198" w:lineRule="exact"/>
              <w:ind w:left="113"/>
              <w:rPr>
                <w:sz w:val="16"/>
              </w:rPr>
            </w:pPr>
            <w:r>
              <w:rPr>
                <w:color w:val="636466"/>
                <w:sz w:val="16"/>
              </w:rPr>
              <w:t xml:space="preserve">Depreciation and </w:t>
            </w:r>
            <w:proofErr w:type="spellStart"/>
            <w:r>
              <w:rPr>
                <w:color w:val="636466"/>
                <w:sz w:val="16"/>
              </w:rPr>
              <w:t>amortisation</w:t>
            </w:r>
            <w:proofErr w:type="spellEnd"/>
          </w:p>
        </w:tc>
        <w:tc>
          <w:tcPr>
            <w:tcW w:w="1033" w:type="dxa"/>
            <w:tcBorders>
              <w:top w:val="single" w:sz="6" w:space="0" w:color="C7C8CA"/>
              <w:bottom w:val="single" w:sz="4" w:space="0" w:color="C7C8CA"/>
            </w:tcBorders>
          </w:tcPr>
          <w:p w:rsidR="0019667D" w:rsidRDefault="0019667D" w:rsidP="0019667D">
            <w:pPr>
              <w:pStyle w:val="TableParagraph"/>
              <w:spacing w:before="14" w:line="198" w:lineRule="exact"/>
              <w:ind w:right="316"/>
              <w:jc w:val="right"/>
              <w:rPr>
                <w:rFonts w:ascii="Futura PT Medium"/>
                <w:sz w:val="16"/>
              </w:rPr>
            </w:pPr>
            <w:r>
              <w:rPr>
                <w:rFonts w:ascii="Futura PT Medium"/>
                <w:color w:val="636466"/>
                <w:sz w:val="16"/>
              </w:rPr>
              <w:t>(103)</w:t>
            </w:r>
          </w:p>
        </w:tc>
        <w:tc>
          <w:tcPr>
            <w:tcW w:w="1025" w:type="dxa"/>
            <w:gridSpan w:val="2"/>
            <w:tcBorders>
              <w:top w:val="single" w:sz="4" w:space="0" w:color="C7C8CA"/>
              <w:bottom w:val="single" w:sz="4" w:space="0" w:color="C7C8CA"/>
            </w:tcBorders>
          </w:tcPr>
          <w:p w:rsidR="0019667D" w:rsidRDefault="0019667D" w:rsidP="0019667D">
            <w:pPr>
              <w:pStyle w:val="TableParagraph"/>
              <w:spacing w:before="14" w:line="198" w:lineRule="exact"/>
              <w:ind w:right="321"/>
              <w:jc w:val="right"/>
              <w:rPr>
                <w:rFonts w:ascii="Futura PT Medium"/>
                <w:sz w:val="16"/>
              </w:rPr>
            </w:pPr>
            <w:r>
              <w:rPr>
                <w:rFonts w:ascii="Futura PT Medium"/>
                <w:color w:val="636466"/>
                <w:sz w:val="16"/>
              </w:rPr>
              <w:t>(145)</w:t>
            </w:r>
          </w:p>
        </w:tc>
        <w:tc>
          <w:tcPr>
            <w:tcW w:w="1123" w:type="dxa"/>
            <w:gridSpan w:val="2"/>
            <w:tcBorders>
              <w:top w:val="single" w:sz="4" w:space="0" w:color="C7C8CA"/>
              <w:bottom w:val="single" w:sz="6" w:space="0" w:color="C7C8CA"/>
            </w:tcBorders>
          </w:tcPr>
          <w:p w:rsidR="0019667D" w:rsidRDefault="0019667D" w:rsidP="0019667D">
            <w:pPr>
              <w:pStyle w:val="TableParagraph"/>
              <w:tabs>
                <w:tab w:val="left" w:pos="1441"/>
                <w:tab w:val="left" w:pos="2686"/>
                <w:tab w:val="left" w:pos="3474"/>
                <w:tab w:val="left" w:pos="4497"/>
                <w:tab w:val="left" w:pos="5428"/>
              </w:tabs>
              <w:spacing w:before="14" w:line="198" w:lineRule="exact"/>
              <w:ind w:left="340"/>
              <w:jc w:val="right"/>
              <w:rPr>
                <w:rFonts w:ascii="Futura PT Medium"/>
                <w:sz w:val="16"/>
              </w:rPr>
            </w:pPr>
            <w:r>
              <w:rPr>
                <w:rFonts w:ascii="Futura PT Medium"/>
                <w:color w:val="636466"/>
                <w:sz w:val="16"/>
              </w:rPr>
              <w:t>(182)</w:t>
            </w:r>
          </w:p>
        </w:tc>
        <w:tc>
          <w:tcPr>
            <w:tcW w:w="992" w:type="dxa"/>
            <w:gridSpan w:val="2"/>
            <w:tcBorders>
              <w:top w:val="single" w:sz="4" w:space="0" w:color="C7C8CA"/>
              <w:bottom w:val="single" w:sz="6" w:space="0" w:color="C7C8CA"/>
            </w:tcBorders>
          </w:tcPr>
          <w:p w:rsidR="0019667D" w:rsidRDefault="0019667D" w:rsidP="0019667D">
            <w:pPr>
              <w:pStyle w:val="TableParagraph"/>
              <w:tabs>
                <w:tab w:val="left" w:pos="1441"/>
                <w:tab w:val="left" w:pos="2686"/>
                <w:tab w:val="left" w:pos="3474"/>
                <w:tab w:val="left" w:pos="4497"/>
                <w:tab w:val="left" w:pos="5428"/>
              </w:tabs>
              <w:spacing w:before="14" w:line="198" w:lineRule="exact"/>
              <w:ind w:left="340"/>
              <w:jc w:val="right"/>
              <w:rPr>
                <w:rFonts w:ascii="Futura PT Medium"/>
                <w:sz w:val="16"/>
              </w:rPr>
            </w:pPr>
            <w:r>
              <w:rPr>
                <w:rFonts w:ascii="Futura PT Medium"/>
                <w:color w:val="636466"/>
                <w:sz w:val="16"/>
              </w:rPr>
              <w:t>(45)</w:t>
            </w:r>
          </w:p>
        </w:tc>
        <w:tc>
          <w:tcPr>
            <w:tcW w:w="993" w:type="dxa"/>
            <w:tcBorders>
              <w:top w:val="single" w:sz="4" w:space="0" w:color="C7C8CA"/>
              <w:bottom w:val="single" w:sz="6" w:space="0" w:color="C7C8CA"/>
            </w:tcBorders>
          </w:tcPr>
          <w:p w:rsidR="0019667D" w:rsidRDefault="0019667D" w:rsidP="0019667D">
            <w:pPr>
              <w:pStyle w:val="TableParagraph"/>
              <w:tabs>
                <w:tab w:val="left" w:pos="1441"/>
                <w:tab w:val="left" w:pos="2686"/>
                <w:tab w:val="left" w:pos="3474"/>
                <w:tab w:val="left" w:pos="4497"/>
                <w:tab w:val="left" w:pos="5428"/>
              </w:tabs>
              <w:spacing w:before="14" w:line="198" w:lineRule="exact"/>
              <w:ind w:left="340"/>
              <w:jc w:val="right"/>
              <w:rPr>
                <w:rFonts w:ascii="Futura PT Medium"/>
                <w:sz w:val="16"/>
              </w:rPr>
            </w:pPr>
          </w:p>
        </w:tc>
        <w:tc>
          <w:tcPr>
            <w:tcW w:w="992" w:type="dxa"/>
            <w:tcBorders>
              <w:top w:val="single" w:sz="4" w:space="0" w:color="C7C8CA"/>
              <w:bottom w:val="single" w:sz="6" w:space="0" w:color="C7C8CA"/>
            </w:tcBorders>
          </w:tcPr>
          <w:p w:rsidR="0019667D" w:rsidRDefault="0019667D" w:rsidP="0019667D">
            <w:pPr>
              <w:pStyle w:val="TableParagraph"/>
              <w:tabs>
                <w:tab w:val="left" w:pos="1441"/>
                <w:tab w:val="left" w:pos="2686"/>
                <w:tab w:val="left" w:pos="3474"/>
                <w:tab w:val="left" w:pos="4497"/>
                <w:tab w:val="left" w:pos="5428"/>
              </w:tabs>
              <w:spacing w:before="14" w:line="198" w:lineRule="exact"/>
              <w:ind w:left="340"/>
              <w:jc w:val="right"/>
              <w:rPr>
                <w:rFonts w:ascii="Futura PT Medium"/>
                <w:sz w:val="16"/>
              </w:rPr>
            </w:pPr>
            <w:r>
              <w:rPr>
                <w:rFonts w:ascii="Futura PT Medium"/>
                <w:color w:val="636466"/>
                <w:sz w:val="16"/>
              </w:rPr>
              <w:t>(45)</w:t>
            </w:r>
          </w:p>
        </w:tc>
        <w:tc>
          <w:tcPr>
            <w:tcW w:w="992" w:type="dxa"/>
            <w:tcBorders>
              <w:top w:val="single" w:sz="4" w:space="0" w:color="C7C8CA"/>
              <w:bottom w:val="single" w:sz="6" w:space="0" w:color="C7C8CA"/>
            </w:tcBorders>
          </w:tcPr>
          <w:p w:rsidR="0019667D" w:rsidRDefault="0019667D" w:rsidP="0019667D">
            <w:pPr>
              <w:pStyle w:val="TableParagraph"/>
              <w:tabs>
                <w:tab w:val="left" w:pos="1441"/>
                <w:tab w:val="left" w:pos="2686"/>
                <w:tab w:val="left" w:pos="3474"/>
                <w:tab w:val="left" w:pos="4497"/>
                <w:tab w:val="left" w:pos="5428"/>
              </w:tabs>
              <w:spacing w:before="14" w:line="198" w:lineRule="exact"/>
              <w:ind w:left="340"/>
              <w:jc w:val="right"/>
              <w:rPr>
                <w:rFonts w:ascii="Futura PT Medium"/>
                <w:sz w:val="16"/>
              </w:rPr>
            </w:pPr>
            <w:r>
              <w:rPr>
                <w:rFonts w:ascii="Futura PT Medium"/>
                <w:color w:val="636466"/>
                <w:sz w:val="16"/>
              </w:rPr>
              <w:t>(58)</w:t>
            </w:r>
          </w:p>
        </w:tc>
        <w:tc>
          <w:tcPr>
            <w:tcW w:w="824" w:type="dxa"/>
            <w:tcBorders>
              <w:top w:val="single" w:sz="4" w:space="0" w:color="C7C8CA"/>
              <w:bottom w:val="single" w:sz="6" w:space="0" w:color="C7C8CA"/>
            </w:tcBorders>
          </w:tcPr>
          <w:p w:rsidR="0019667D" w:rsidRDefault="0019667D" w:rsidP="0019667D">
            <w:pPr>
              <w:pStyle w:val="TableParagraph"/>
              <w:tabs>
                <w:tab w:val="left" w:pos="1441"/>
                <w:tab w:val="left" w:pos="2686"/>
                <w:tab w:val="left" w:pos="3474"/>
                <w:tab w:val="left" w:pos="4497"/>
                <w:tab w:val="left" w:pos="5428"/>
              </w:tabs>
              <w:spacing w:before="14" w:line="198" w:lineRule="exact"/>
              <w:ind w:left="340"/>
              <w:jc w:val="right"/>
              <w:rPr>
                <w:rFonts w:ascii="Futura PT Medium"/>
                <w:sz w:val="16"/>
              </w:rPr>
            </w:pPr>
            <w:r>
              <w:rPr>
                <w:rFonts w:ascii="Futura PT Medium"/>
                <w:color w:val="636466"/>
                <w:sz w:val="16"/>
              </w:rPr>
              <w:t>(533)</w:t>
            </w:r>
          </w:p>
        </w:tc>
      </w:tr>
      <w:tr w:rsidR="0019667D" w:rsidTr="0019667D">
        <w:trPr>
          <w:trHeight w:val="220"/>
        </w:trPr>
        <w:tc>
          <w:tcPr>
            <w:tcW w:w="3085" w:type="dxa"/>
            <w:gridSpan w:val="2"/>
            <w:tcBorders>
              <w:top w:val="single" w:sz="4" w:space="0" w:color="C7C8CA"/>
              <w:bottom w:val="single" w:sz="4" w:space="0" w:color="C7C8CA"/>
            </w:tcBorders>
          </w:tcPr>
          <w:p w:rsidR="0019667D" w:rsidRDefault="0019667D" w:rsidP="0019667D">
            <w:pPr>
              <w:pStyle w:val="TableParagraph"/>
              <w:spacing w:before="14" w:line="198" w:lineRule="exact"/>
              <w:ind w:left="113"/>
              <w:rPr>
                <w:sz w:val="16"/>
              </w:rPr>
            </w:pPr>
            <w:r>
              <w:rPr>
                <w:color w:val="636466"/>
                <w:sz w:val="16"/>
              </w:rPr>
              <w:t>Disposals</w:t>
            </w:r>
          </w:p>
        </w:tc>
        <w:tc>
          <w:tcPr>
            <w:tcW w:w="1033" w:type="dxa"/>
            <w:tcBorders>
              <w:top w:val="single" w:sz="4" w:space="0" w:color="C7C8CA"/>
              <w:bottom w:val="single" w:sz="4" w:space="0" w:color="C7C8CA"/>
            </w:tcBorders>
          </w:tcPr>
          <w:p w:rsidR="0019667D" w:rsidRDefault="0019667D" w:rsidP="0019667D">
            <w:pPr>
              <w:pStyle w:val="TableParagraph"/>
              <w:spacing w:before="0"/>
              <w:jc w:val="right"/>
              <w:rPr>
                <w:rFonts w:ascii="Times New Roman"/>
                <w:sz w:val="16"/>
              </w:rPr>
            </w:pPr>
          </w:p>
        </w:tc>
        <w:tc>
          <w:tcPr>
            <w:tcW w:w="1025" w:type="dxa"/>
            <w:gridSpan w:val="2"/>
            <w:tcBorders>
              <w:top w:val="single" w:sz="4" w:space="0" w:color="C7C8CA"/>
              <w:bottom w:val="single" w:sz="4" w:space="0" w:color="C7C8CA"/>
            </w:tcBorders>
          </w:tcPr>
          <w:p w:rsidR="0019667D" w:rsidRDefault="0019667D" w:rsidP="0019667D">
            <w:pPr>
              <w:pStyle w:val="TableParagraph"/>
              <w:spacing w:before="0"/>
              <w:jc w:val="right"/>
              <w:rPr>
                <w:rFonts w:ascii="Times New Roman"/>
                <w:sz w:val="16"/>
              </w:rPr>
            </w:pPr>
          </w:p>
        </w:tc>
        <w:tc>
          <w:tcPr>
            <w:tcW w:w="1123" w:type="dxa"/>
            <w:gridSpan w:val="2"/>
            <w:tcBorders>
              <w:top w:val="single" w:sz="6" w:space="0" w:color="C7C8CA"/>
              <w:bottom w:val="single" w:sz="6" w:space="0" w:color="C7C8CA"/>
            </w:tcBorders>
          </w:tcPr>
          <w:p w:rsidR="0019667D" w:rsidRDefault="0019667D" w:rsidP="0019667D">
            <w:pPr>
              <w:pStyle w:val="TableParagraph"/>
              <w:spacing w:before="14" w:line="198" w:lineRule="exact"/>
              <w:ind w:right="111"/>
              <w:jc w:val="right"/>
              <w:rPr>
                <w:rFonts w:ascii="Futura PT Medium"/>
                <w:sz w:val="16"/>
              </w:rPr>
            </w:pPr>
          </w:p>
        </w:tc>
        <w:tc>
          <w:tcPr>
            <w:tcW w:w="992" w:type="dxa"/>
            <w:gridSpan w:val="2"/>
            <w:tcBorders>
              <w:top w:val="single" w:sz="6" w:space="0" w:color="C7C8CA"/>
              <w:bottom w:val="single" w:sz="6" w:space="0" w:color="C7C8CA"/>
            </w:tcBorders>
          </w:tcPr>
          <w:p w:rsidR="0019667D" w:rsidRDefault="0019667D" w:rsidP="0019667D">
            <w:pPr>
              <w:pStyle w:val="TableParagraph"/>
              <w:spacing w:before="14" w:line="198" w:lineRule="exact"/>
              <w:ind w:right="111"/>
              <w:jc w:val="right"/>
              <w:rPr>
                <w:rFonts w:ascii="Futura PT Medium"/>
                <w:sz w:val="16"/>
              </w:rPr>
            </w:pPr>
          </w:p>
        </w:tc>
        <w:tc>
          <w:tcPr>
            <w:tcW w:w="993" w:type="dxa"/>
            <w:tcBorders>
              <w:top w:val="single" w:sz="6" w:space="0" w:color="C7C8CA"/>
              <w:bottom w:val="single" w:sz="6" w:space="0" w:color="C7C8CA"/>
            </w:tcBorders>
          </w:tcPr>
          <w:p w:rsidR="0019667D" w:rsidRDefault="0019667D" w:rsidP="0019667D">
            <w:pPr>
              <w:pStyle w:val="TableParagraph"/>
              <w:spacing w:before="14" w:line="198" w:lineRule="exact"/>
              <w:ind w:right="111"/>
              <w:jc w:val="right"/>
              <w:rPr>
                <w:rFonts w:ascii="Futura PT Medium"/>
                <w:sz w:val="16"/>
              </w:rPr>
            </w:pPr>
          </w:p>
        </w:tc>
        <w:tc>
          <w:tcPr>
            <w:tcW w:w="992" w:type="dxa"/>
            <w:tcBorders>
              <w:top w:val="single" w:sz="6" w:space="0" w:color="C7C8CA"/>
              <w:bottom w:val="single" w:sz="6" w:space="0" w:color="C7C8CA"/>
            </w:tcBorders>
          </w:tcPr>
          <w:p w:rsidR="0019667D" w:rsidRDefault="0019667D" w:rsidP="0019667D">
            <w:pPr>
              <w:pStyle w:val="TableParagraph"/>
              <w:spacing w:before="14" w:line="198" w:lineRule="exact"/>
              <w:ind w:right="111"/>
              <w:jc w:val="right"/>
              <w:rPr>
                <w:rFonts w:ascii="Futura PT Medium"/>
                <w:sz w:val="16"/>
              </w:rPr>
            </w:pPr>
          </w:p>
        </w:tc>
        <w:tc>
          <w:tcPr>
            <w:tcW w:w="992" w:type="dxa"/>
            <w:tcBorders>
              <w:top w:val="single" w:sz="6" w:space="0" w:color="C7C8CA"/>
              <w:bottom w:val="single" w:sz="6" w:space="0" w:color="C7C8CA"/>
            </w:tcBorders>
          </w:tcPr>
          <w:p w:rsidR="0019667D" w:rsidRDefault="0019667D" w:rsidP="0019667D">
            <w:pPr>
              <w:pStyle w:val="TableParagraph"/>
              <w:spacing w:before="14" w:line="198" w:lineRule="exact"/>
              <w:ind w:right="111"/>
              <w:jc w:val="right"/>
              <w:rPr>
                <w:rFonts w:ascii="Futura PT Medium"/>
                <w:sz w:val="16"/>
              </w:rPr>
            </w:pPr>
          </w:p>
        </w:tc>
        <w:tc>
          <w:tcPr>
            <w:tcW w:w="824" w:type="dxa"/>
            <w:tcBorders>
              <w:top w:val="single" w:sz="6" w:space="0" w:color="C7C8CA"/>
              <w:bottom w:val="single" w:sz="6" w:space="0" w:color="C7C8CA"/>
            </w:tcBorders>
          </w:tcPr>
          <w:p w:rsidR="0019667D" w:rsidRDefault="0019667D" w:rsidP="0019667D">
            <w:pPr>
              <w:pStyle w:val="TableParagraph"/>
              <w:spacing w:before="14" w:line="198" w:lineRule="exact"/>
              <w:ind w:right="111"/>
              <w:jc w:val="right"/>
              <w:rPr>
                <w:rFonts w:ascii="Futura PT Medium"/>
                <w:sz w:val="16"/>
              </w:rPr>
            </w:pPr>
          </w:p>
        </w:tc>
      </w:tr>
      <w:tr w:rsidR="0019667D" w:rsidTr="0019667D">
        <w:trPr>
          <w:trHeight w:val="220"/>
        </w:trPr>
        <w:tc>
          <w:tcPr>
            <w:tcW w:w="3085" w:type="dxa"/>
            <w:gridSpan w:val="2"/>
            <w:tcBorders>
              <w:top w:val="single" w:sz="4" w:space="0" w:color="C7C8CA"/>
              <w:bottom w:val="single" w:sz="4" w:space="0" w:color="C7C8CA"/>
            </w:tcBorders>
          </w:tcPr>
          <w:p w:rsidR="0019667D" w:rsidRDefault="0019667D" w:rsidP="0019667D">
            <w:pPr>
              <w:pStyle w:val="TableParagraph"/>
              <w:spacing w:before="14" w:line="198" w:lineRule="exact"/>
              <w:ind w:left="396"/>
              <w:rPr>
                <w:sz w:val="16"/>
              </w:rPr>
            </w:pPr>
            <w:r>
              <w:rPr>
                <w:color w:val="636466"/>
                <w:sz w:val="16"/>
              </w:rPr>
              <w:t>Non-cash consideration</w:t>
            </w:r>
          </w:p>
        </w:tc>
        <w:tc>
          <w:tcPr>
            <w:tcW w:w="1033" w:type="dxa"/>
            <w:tcBorders>
              <w:top w:val="single" w:sz="4" w:space="0" w:color="C7C8CA"/>
              <w:bottom w:val="single" w:sz="4" w:space="0" w:color="C7C8CA"/>
            </w:tcBorders>
          </w:tcPr>
          <w:p w:rsidR="0019667D" w:rsidRDefault="0019667D" w:rsidP="0019667D">
            <w:pPr>
              <w:pStyle w:val="TableParagraph"/>
              <w:spacing w:before="14" w:line="198" w:lineRule="exact"/>
              <w:ind w:right="316"/>
              <w:jc w:val="right"/>
              <w:rPr>
                <w:rFonts w:ascii="Futura PT Medium"/>
                <w:sz w:val="16"/>
              </w:rPr>
            </w:pPr>
            <w:r>
              <w:rPr>
                <w:rFonts w:ascii="Futura PT Medium"/>
                <w:color w:val="636466"/>
                <w:sz w:val="16"/>
              </w:rPr>
              <w:t>-</w:t>
            </w:r>
          </w:p>
        </w:tc>
        <w:tc>
          <w:tcPr>
            <w:tcW w:w="1025" w:type="dxa"/>
            <w:gridSpan w:val="2"/>
            <w:tcBorders>
              <w:top w:val="single" w:sz="4" w:space="0" w:color="C7C8CA"/>
              <w:bottom w:val="single" w:sz="4" w:space="0" w:color="C7C8CA"/>
            </w:tcBorders>
          </w:tcPr>
          <w:p w:rsidR="0019667D" w:rsidRDefault="0019667D" w:rsidP="0019667D">
            <w:pPr>
              <w:pStyle w:val="TableParagraph"/>
              <w:spacing w:before="14" w:line="198" w:lineRule="exact"/>
              <w:ind w:right="323"/>
              <w:jc w:val="right"/>
              <w:rPr>
                <w:rFonts w:ascii="Futura PT Medium"/>
                <w:sz w:val="16"/>
              </w:rPr>
            </w:pPr>
            <w:r>
              <w:rPr>
                <w:rFonts w:ascii="Futura PT Medium"/>
                <w:color w:val="636466"/>
                <w:sz w:val="16"/>
              </w:rPr>
              <w:t>(25)</w:t>
            </w:r>
          </w:p>
        </w:tc>
        <w:tc>
          <w:tcPr>
            <w:tcW w:w="1123" w:type="dxa"/>
            <w:gridSpan w:val="2"/>
            <w:tcBorders>
              <w:top w:val="single" w:sz="6" w:space="0" w:color="C7C8CA"/>
              <w:bottom w:val="single" w:sz="6" w:space="0" w:color="C7C8CA"/>
            </w:tcBorders>
          </w:tcPr>
          <w:p w:rsidR="0019667D" w:rsidRDefault="0019667D" w:rsidP="0019667D">
            <w:pPr>
              <w:pStyle w:val="TableParagraph"/>
              <w:tabs>
                <w:tab w:val="left" w:pos="1666"/>
                <w:tab w:val="left" w:pos="2686"/>
                <w:tab w:val="left" w:pos="3704"/>
                <w:tab w:val="left" w:pos="4724"/>
                <w:tab w:val="left" w:pos="5422"/>
              </w:tabs>
              <w:spacing w:before="14" w:line="198" w:lineRule="exact"/>
              <w:ind w:left="327"/>
              <w:jc w:val="right"/>
              <w:rPr>
                <w:rFonts w:ascii="Futura PT Medium"/>
                <w:sz w:val="16"/>
              </w:rPr>
            </w:pPr>
            <w:r>
              <w:rPr>
                <w:rFonts w:ascii="Futura PT Medium"/>
                <w:color w:val="636466"/>
                <w:sz w:val="16"/>
              </w:rPr>
              <w:t>(522)</w:t>
            </w:r>
          </w:p>
        </w:tc>
        <w:tc>
          <w:tcPr>
            <w:tcW w:w="992" w:type="dxa"/>
            <w:gridSpan w:val="2"/>
            <w:tcBorders>
              <w:top w:val="single" w:sz="6" w:space="0" w:color="C7C8CA"/>
              <w:bottom w:val="single" w:sz="6" w:space="0" w:color="C7C8CA"/>
            </w:tcBorders>
          </w:tcPr>
          <w:p w:rsidR="0019667D" w:rsidRDefault="0019667D" w:rsidP="0019667D">
            <w:pPr>
              <w:pStyle w:val="TableParagraph"/>
              <w:tabs>
                <w:tab w:val="left" w:pos="1666"/>
                <w:tab w:val="left" w:pos="2686"/>
                <w:tab w:val="left" w:pos="3704"/>
                <w:tab w:val="left" w:pos="4724"/>
                <w:tab w:val="left" w:pos="5422"/>
              </w:tabs>
              <w:spacing w:before="14" w:line="198" w:lineRule="exact"/>
              <w:ind w:left="327"/>
              <w:jc w:val="right"/>
              <w:rPr>
                <w:rFonts w:ascii="Futura PT Medium"/>
                <w:sz w:val="16"/>
              </w:rPr>
            </w:pPr>
            <w:r>
              <w:rPr>
                <w:rFonts w:ascii="Futura PT Medium"/>
                <w:color w:val="636466"/>
                <w:sz w:val="16"/>
              </w:rPr>
              <w:t>-</w:t>
            </w:r>
          </w:p>
        </w:tc>
        <w:tc>
          <w:tcPr>
            <w:tcW w:w="993" w:type="dxa"/>
            <w:tcBorders>
              <w:top w:val="single" w:sz="6" w:space="0" w:color="C7C8CA"/>
              <w:bottom w:val="single" w:sz="6" w:space="0" w:color="C7C8CA"/>
            </w:tcBorders>
          </w:tcPr>
          <w:p w:rsidR="0019667D" w:rsidRDefault="0019667D" w:rsidP="0019667D">
            <w:pPr>
              <w:pStyle w:val="TableParagraph"/>
              <w:tabs>
                <w:tab w:val="left" w:pos="1666"/>
                <w:tab w:val="left" w:pos="2686"/>
                <w:tab w:val="left" w:pos="3704"/>
                <w:tab w:val="left" w:pos="4724"/>
                <w:tab w:val="left" w:pos="5422"/>
              </w:tabs>
              <w:spacing w:before="14" w:line="198" w:lineRule="exact"/>
              <w:ind w:left="327"/>
              <w:jc w:val="right"/>
              <w:rPr>
                <w:rFonts w:ascii="Futura PT Medium"/>
                <w:sz w:val="16"/>
              </w:rPr>
            </w:pPr>
            <w:r>
              <w:rPr>
                <w:rFonts w:ascii="Futura PT Medium"/>
                <w:color w:val="636466"/>
                <w:sz w:val="16"/>
              </w:rPr>
              <w:t>-</w:t>
            </w:r>
          </w:p>
        </w:tc>
        <w:tc>
          <w:tcPr>
            <w:tcW w:w="992" w:type="dxa"/>
            <w:tcBorders>
              <w:top w:val="single" w:sz="6" w:space="0" w:color="C7C8CA"/>
              <w:bottom w:val="single" w:sz="6" w:space="0" w:color="C7C8CA"/>
            </w:tcBorders>
          </w:tcPr>
          <w:p w:rsidR="0019667D" w:rsidRDefault="0019667D" w:rsidP="0019667D">
            <w:pPr>
              <w:pStyle w:val="TableParagraph"/>
              <w:tabs>
                <w:tab w:val="left" w:pos="1666"/>
                <w:tab w:val="left" w:pos="2686"/>
                <w:tab w:val="left" w:pos="3704"/>
                <w:tab w:val="left" w:pos="4724"/>
                <w:tab w:val="left" w:pos="5422"/>
              </w:tabs>
              <w:spacing w:before="14" w:line="198" w:lineRule="exact"/>
              <w:ind w:left="327"/>
              <w:jc w:val="right"/>
              <w:rPr>
                <w:rFonts w:ascii="Futura PT Medium"/>
                <w:sz w:val="16"/>
              </w:rPr>
            </w:pPr>
            <w:r>
              <w:rPr>
                <w:rFonts w:ascii="Futura PT Medium"/>
                <w:color w:val="636466"/>
                <w:sz w:val="16"/>
              </w:rPr>
              <w:t>-</w:t>
            </w:r>
          </w:p>
        </w:tc>
        <w:tc>
          <w:tcPr>
            <w:tcW w:w="992" w:type="dxa"/>
            <w:tcBorders>
              <w:top w:val="single" w:sz="6" w:space="0" w:color="C7C8CA"/>
              <w:bottom w:val="single" w:sz="6" w:space="0" w:color="C7C8CA"/>
            </w:tcBorders>
          </w:tcPr>
          <w:p w:rsidR="0019667D" w:rsidRDefault="0019667D" w:rsidP="0019667D">
            <w:pPr>
              <w:pStyle w:val="TableParagraph"/>
              <w:tabs>
                <w:tab w:val="left" w:pos="1666"/>
                <w:tab w:val="left" w:pos="2686"/>
                <w:tab w:val="left" w:pos="3704"/>
                <w:tab w:val="left" w:pos="4724"/>
                <w:tab w:val="left" w:pos="5422"/>
              </w:tabs>
              <w:spacing w:before="14" w:line="198" w:lineRule="exact"/>
              <w:ind w:left="327"/>
              <w:jc w:val="right"/>
              <w:rPr>
                <w:rFonts w:ascii="Futura PT Medium"/>
                <w:sz w:val="16"/>
              </w:rPr>
            </w:pPr>
            <w:r>
              <w:rPr>
                <w:rFonts w:ascii="Futura PT Medium"/>
                <w:color w:val="636466"/>
                <w:sz w:val="16"/>
              </w:rPr>
              <w:t>-</w:t>
            </w:r>
          </w:p>
        </w:tc>
        <w:tc>
          <w:tcPr>
            <w:tcW w:w="824" w:type="dxa"/>
            <w:tcBorders>
              <w:top w:val="single" w:sz="6" w:space="0" w:color="C7C8CA"/>
              <w:bottom w:val="single" w:sz="6" w:space="0" w:color="C7C8CA"/>
            </w:tcBorders>
          </w:tcPr>
          <w:p w:rsidR="0019667D" w:rsidRDefault="0019667D" w:rsidP="0019667D">
            <w:pPr>
              <w:pStyle w:val="TableParagraph"/>
              <w:tabs>
                <w:tab w:val="left" w:pos="1666"/>
                <w:tab w:val="left" w:pos="2686"/>
                <w:tab w:val="left" w:pos="3704"/>
                <w:tab w:val="left" w:pos="4724"/>
                <w:tab w:val="left" w:pos="5422"/>
              </w:tabs>
              <w:spacing w:before="14" w:line="198" w:lineRule="exact"/>
              <w:ind w:left="327"/>
              <w:jc w:val="right"/>
              <w:rPr>
                <w:rFonts w:ascii="Futura PT Medium"/>
                <w:sz w:val="16"/>
              </w:rPr>
            </w:pPr>
            <w:r>
              <w:rPr>
                <w:rFonts w:ascii="Futura PT Medium"/>
                <w:color w:val="636466"/>
                <w:sz w:val="16"/>
              </w:rPr>
              <w:t>(547)</w:t>
            </w:r>
          </w:p>
        </w:tc>
      </w:tr>
      <w:tr w:rsidR="00D840DF" w:rsidTr="0019667D">
        <w:trPr>
          <w:trHeight w:val="220"/>
        </w:trPr>
        <w:tc>
          <w:tcPr>
            <w:tcW w:w="3085" w:type="dxa"/>
            <w:gridSpan w:val="2"/>
            <w:tcBorders>
              <w:bottom w:val="single" w:sz="4" w:space="0" w:color="C7C8CA"/>
            </w:tcBorders>
          </w:tcPr>
          <w:p w:rsidR="00D840DF" w:rsidRDefault="00961020" w:rsidP="0019667D">
            <w:pPr>
              <w:pStyle w:val="TableParagraph"/>
              <w:spacing w:line="198" w:lineRule="exact"/>
              <w:ind w:left="113"/>
              <w:rPr>
                <w:sz w:val="16"/>
              </w:rPr>
            </w:pPr>
            <w:r>
              <w:rPr>
                <w:color w:val="636466"/>
                <w:sz w:val="16"/>
              </w:rPr>
              <w:t>Revaluations</w:t>
            </w:r>
            <w:r w:rsidR="00E314B6">
              <w:rPr>
                <w:color w:val="636466"/>
                <w:sz w:val="16"/>
              </w:rPr>
              <w:t xml:space="preserve"> </w:t>
            </w:r>
            <w:r>
              <w:rPr>
                <w:color w:val="636466"/>
                <w:sz w:val="16"/>
              </w:rPr>
              <w:t>and</w:t>
            </w:r>
            <w:r w:rsidR="00E314B6">
              <w:rPr>
                <w:color w:val="636466"/>
                <w:sz w:val="16"/>
              </w:rPr>
              <w:t xml:space="preserve"> </w:t>
            </w:r>
            <w:r>
              <w:rPr>
                <w:color w:val="636466"/>
                <w:sz w:val="16"/>
              </w:rPr>
              <w:t>impairment adjustments</w:t>
            </w:r>
          </w:p>
        </w:tc>
        <w:tc>
          <w:tcPr>
            <w:tcW w:w="1033" w:type="dxa"/>
            <w:tcBorders>
              <w:bottom w:val="single" w:sz="4" w:space="0" w:color="C7C8CA"/>
            </w:tcBorders>
          </w:tcPr>
          <w:p w:rsidR="00D840DF" w:rsidRDefault="00961020" w:rsidP="0019667D">
            <w:pPr>
              <w:pStyle w:val="TableParagraph"/>
              <w:spacing w:line="198" w:lineRule="exact"/>
              <w:ind w:right="316"/>
              <w:jc w:val="right"/>
              <w:rPr>
                <w:rFonts w:ascii="Futura PT Medium"/>
                <w:sz w:val="16"/>
              </w:rPr>
            </w:pPr>
            <w:r>
              <w:rPr>
                <w:rFonts w:ascii="Futura PT Medium"/>
                <w:color w:val="636466"/>
                <w:sz w:val="16"/>
              </w:rPr>
              <w:t>(595)</w:t>
            </w:r>
          </w:p>
        </w:tc>
        <w:tc>
          <w:tcPr>
            <w:tcW w:w="1025" w:type="dxa"/>
            <w:gridSpan w:val="2"/>
            <w:tcBorders>
              <w:bottom w:val="single" w:sz="4" w:space="0" w:color="C7C8CA"/>
            </w:tcBorders>
          </w:tcPr>
          <w:p w:rsidR="00D840DF" w:rsidRDefault="00961020" w:rsidP="0019667D">
            <w:pPr>
              <w:pStyle w:val="TableParagraph"/>
              <w:spacing w:line="198" w:lineRule="exact"/>
              <w:ind w:right="331"/>
              <w:jc w:val="right"/>
              <w:rPr>
                <w:rFonts w:ascii="Futura PT Medium"/>
                <w:sz w:val="16"/>
              </w:rPr>
            </w:pPr>
            <w:r>
              <w:rPr>
                <w:rFonts w:ascii="Futura PT Medium"/>
                <w:color w:val="636466"/>
                <w:sz w:val="16"/>
              </w:rPr>
              <w:t>(241)</w:t>
            </w:r>
          </w:p>
        </w:tc>
        <w:tc>
          <w:tcPr>
            <w:tcW w:w="1069" w:type="dxa"/>
            <w:tcBorders>
              <w:bottom w:val="single" w:sz="4" w:space="0" w:color="C7C8CA"/>
            </w:tcBorders>
          </w:tcPr>
          <w:p w:rsidR="00D840DF" w:rsidRDefault="00961020" w:rsidP="0019667D">
            <w:pPr>
              <w:pStyle w:val="TableParagraph"/>
              <w:spacing w:line="198" w:lineRule="exact"/>
              <w:ind w:right="370"/>
              <w:jc w:val="right"/>
              <w:rPr>
                <w:rFonts w:ascii="Futura PT Medium"/>
                <w:sz w:val="16"/>
              </w:rPr>
            </w:pPr>
            <w:r>
              <w:rPr>
                <w:rFonts w:ascii="Futura PT Medium"/>
                <w:color w:val="636466"/>
                <w:sz w:val="16"/>
              </w:rPr>
              <w:t>-</w:t>
            </w:r>
          </w:p>
        </w:tc>
        <w:tc>
          <w:tcPr>
            <w:tcW w:w="1025" w:type="dxa"/>
            <w:gridSpan w:val="2"/>
            <w:tcBorders>
              <w:bottom w:val="single" w:sz="4" w:space="0" w:color="C7C8CA"/>
            </w:tcBorders>
          </w:tcPr>
          <w:p w:rsidR="00D840DF" w:rsidRDefault="00961020" w:rsidP="0019667D">
            <w:pPr>
              <w:pStyle w:val="TableParagraph"/>
              <w:spacing w:line="198" w:lineRule="exact"/>
              <w:ind w:right="374"/>
              <w:jc w:val="right"/>
              <w:rPr>
                <w:sz w:val="16"/>
              </w:rPr>
            </w:pPr>
            <w:r>
              <w:rPr>
                <w:color w:val="636466"/>
                <w:sz w:val="16"/>
              </w:rPr>
              <w:t>-</w:t>
            </w:r>
          </w:p>
        </w:tc>
        <w:tc>
          <w:tcPr>
            <w:tcW w:w="1014" w:type="dxa"/>
            <w:gridSpan w:val="2"/>
            <w:tcBorders>
              <w:bottom w:val="single" w:sz="4" w:space="0" w:color="C7C8CA"/>
            </w:tcBorders>
          </w:tcPr>
          <w:p w:rsidR="00D840DF" w:rsidRDefault="00961020" w:rsidP="0019667D">
            <w:pPr>
              <w:pStyle w:val="TableParagraph"/>
              <w:spacing w:line="198" w:lineRule="exact"/>
              <w:ind w:right="366"/>
              <w:jc w:val="right"/>
              <w:rPr>
                <w:sz w:val="16"/>
              </w:rPr>
            </w:pPr>
            <w:r>
              <w:rPr>
                <w:color w:val="636466"/>
                <w:sz w:val="16"/>
              </w:rPr>
              <w:t>-</w:t>
            </w:r>
          </w:p>
        </w:tc>
        <w:tc>
          <w:tcPr>
            <w:tcW w:w="992" w:type="dxa"/>
            <w:tcBorders>
              <w:bottom w:val="single" w:sz="6" w:space="0" w:color="C7C8CA"/>
            </w:tcBorders>
          </w:tcPr>
          <w:p w:rsidR="00D840DF" w:rsidRDefault="00961020" w:rsidP="0019667D">
            <w:pPr>
              <w:pStyle w:val="TableParagraph"/>
              <w:spacing w:line="198" w:lineRule="exact"/>
              <w:ind w:right="336"/>
              <w:jc w:val="right"/>
              <w:rPr>
                <w:rFonts w:ascii="Futura PT Medium"/>
                <w:sz w:val="16"/>
              </w:rPr>
            </w:pPr>
            <w:r>
              <w:rPr>
                <w:rFonts w:ascii="Futura PT Medium"/>
                <w:color w:val="636466"/>
                <w:sz w:val="16"/>
              </w:rPr>
              <w:t>-</w:t>
            </w:r>
          </w:p>
        </w:tc>
        <w:tc>
          <w:tcPr>
            <w:tcW w:w="992" w:type="dxa"/>
            <w:tcBorders>
              <w:bottom w:val="single" w:sz="4" w:space="0" w:color="C7C8CA"/>
            </w:tcBorders>
          </w:tcPr>
          <w:p w:rsidR="00D840DF" w:rsidRDefault="00961020" w:rsidP="0019667D">
            <w:pPr>
              <w:pStyle w:val="TableParagraph"/>
              <w:spacing w:line="198" w:lineRule="exact"/>
              <w:ind w:right="308"/>
              <w:jc w:val="right"/>
              <w:rPr>
                <w:rFonts w:ascii="Futura PT Medium"/>
                <w:sz w:val="16"/>
              </w:rPr>
            </w:pPr>
            <w:r>
              <w:rPr>
                <w:rFonts w:ascii="Futura PT Medium"/>
                <w:color w:val="636466"/>
                <w:sz w:val="16"/>
              </w:rPr>
              <w:t>-</w:t>
            </w:r>
          </w:p>
        </w:tc>
        <w:tc>
          <w:tcPr>
            <w:tcW w:w="824" w:type="dxa"/>
            <w:tcBorders>
              <w:bottom w:val="single" w:sz="4" w:space="0" w:color="C7C8CA"/>
            </w:tcBorders>
          </w:tcPr>
          <w:p w:rsidR="00D840DF" w:rsidRDefault="00961020" w:rsidP="0019667D">
            <w:pPr>
              <w:pStyle w:val="TableParagraph"/>
              <w:spacing w:line="198" w:lineRule="exact"/>
              <w:ind w:right="113"/>
              <w:jc w:val="right"/>
              <w:rPr>
                <w:rFonts w:ascii="Futura PT Medium"/>
                <w:sz w:val="16"/>
              </w:rPr>
            </w:pPr>
            <w:r>
              <w:rPr>
                <w:rFonts w:ascii="Futura PT Medium"/>
                <w:color w:val="636466"/>
                <w:sz w:val="16"/>
              </w:rPr>
              <w:t>(836)</w:t>
            </w:r>
          </w:p>
        </w:tc>
      </w:tr>
      <w:tr w:rsidR="00D840DF" w:rsidTr="0019667D">
        <w:trPr>
          <w:trHeight w:val="420"/>
        </w:trPr>
        <w:tc>
          <w:tcPr>
            <w:tcW w:w="3085" w:type="dxa"/>
            <w:gridSpan w:val="2"/>
            <w:tcBorders>
              <w:top w:val="single" w:sz="4" w:space="0" w:color="C7C8CA"/>
            </w:tcBorders>
          </w:tcPr>
          <w:p w:rsidR="00D840DF" w:rsidRDefault="00961020" w:rsidP="0019667D">
            <w:pPr>
              <w:pStyle w:val="TableParagraph"/>
              <w:spacing w:before="28" w:line="223" w:lineRule="auto"/>
              <w:ind w:left="113" w:right="282"/>
              <w:rPr>
                <w:sz w:val="16"/>
              </w:rPr>
            </w:pPr>
            <w:proofErr w:type="spellStart"/>
            <w:r>
              <w:rPr>
                <w:color w:val="636466"/>
                <w:sz w:val="16"/>
              </w:rPr>
              <w:t>Writeback</w:t>
            </w:r>
            <w:proofErr w:type="spellEnd"/>
            <w:r>
              <w:rPr>
                <w:color w:val="636466"/>
                <w:sz w:val="16"/>
              </w:rPr>
              <w:t xml:space="preserve"> of depreciation and other adjustments</w:t>
            </w:r>
          </w:p>
        </w:tc>
        <w:tc>
          <w:tcPr>
            <w:tcW w:w="1033" w:type="dxa"/>
            <w:tcBorders>
              <w:top w:val="single" w:sz="4" w:space="0" w:color="C7C8CA"/>
            </w:tcBorders>
          </w:tcPr>
          <w:p w:rsidR="00D840DF" w:rsidRDefault="00961020" w:rsidP="0019667D">
            <w:pPr>
              <w:pStyle w:val="TableParagraph"/>
              <w:spacing w:before="14"/>
              <w:ind w:right="316"/>
              <w:jc w:val="right"/>
              <w:rPr>
                <w:rFonts w:ascii="Futura PT Medium"/>
                <w:sz w:val="16"/>
              </w:rPr>
            </w:pPr>
            <w:r>
              <w:rPr>
                <w:rFonts w:ascii="Futura PT Medium"/>
                <w:color w:val="636466"/>
                <w:sz w:val="16"/>
              </w:rPr>
              <w:t>504</w:t>
            </w:r>
          </w:p>
        </w:tc>
        <w:tc>
          <w:tcPr>
            <w:tcW w:w="1025" w:type="dxa"/>
            <w:gridSpan w:val="2"/>
            <w:tcBorders>
              <w:top w:val="single" w:sz="4" w:space="0" w:color="C7C8CA"/>
            </w:tcBorders>
          </w:tcPr>
          <w:p w:rsidR="00D840DF" w:rsidRDefault="00961020" w:rsidP="0019667D">
            <w:pPr>
              <w:pStyle w:val="TableParagraph"/>
              <w:spacing w:before="14"/>
              <w:ind w:right="321"/>
              <w:jc w:val="right"/>
              <w:rPr>
                <w:rFonts w:ascii="Futura PT Medium"/>
                <w:sz w:val="16"/>
              </w:rPr>
            </w:pPr>
            <w:r>
              <w:rPr>
                <w:rFonts w:ascii="Futura PT Medium"/>
                <w:color w:val="636466"/>
                <w:sz w:val="16"/>
              </w:rPr>
              <w:t>354</w:t>
            </w:r>
          </w:p>
        </w:tc>
        <w:tc>
          <w:tcPr>
            <w:tcW w:w="1069" w:type="dxa"/>
            <w:tcBorders>
              <w:top w:val="single" w:sz="4" w:space="0" w:color="C7C8CA"/>
            </w:tcBorders>
          </w:tcPr>
          <w:p w:rsidR="00D840DF" w:rsidRDefault="00961020" w:rsidP="0019667D">
            <w:pPr>
              <w:pStyle w:val="TableParagraph"/>
              <w:spacing w:before="14"/>
              <w:ind w:right="370"/>
              <w:jc w:val="right"/>
              <w:rPr>
                <w:rFonts w:ascii="Futura PT Medium"/>
                <w:sz w:val="16"/>
              </w:rPr>
            </w:pPr>
            <w:r>
              <w:rPr>
                <w:rFonts w:ascii="Futura PT Medium"/>
                <w:color w:val="636466"/>
                <w:sz w:val="16"/>
              </w:rPr>
              <w:t>522</w:t>
            </w:r>
          </w:p>
        </w:tc>
        <w:tc>
          <w:tcPr>
            <w:tcW w:w="1025" w:type="dxa"/>
            <w:gridSpan w:val="2"/>
            <w:tcBorders>
              <w:top w:val="single" w:sz="4" w:space="0" w:color="C7C8CA"/>
            </w:tcBorders>
          </w:tcPr>
          <w:p w:rsidR="00D840DF" w:rsidRDefault="00961020" w:rsidP="0019667D">
            <w:pPr>
              <w:pStyle w:val="TableParagraph"/>
              <w:spacing w:before="14"/>
              <w:ind w:right="374"/>
              <w:jc w:val="right"/>
              <w:rPr>
                <w:sz w:val="16"/>
              </w:rPr>
            </w:pPr>
            <w:r>
              <w:rPr>
                <w:color w:val="636466"/>
                <w:sz w:val="16"/>
              </w:rPr>
              <w:t>-</w:t>
            </w:r>
          </w:p>
        </w:tc>
        <w:tc>
          <w:tcPr>
            <w:tcW w:w="1014" w:type="dxa"/>
            <w:gridSpan w:val="2"/>
            <w:tcBorders>
              <w:top w:val="single" w:sz="4" w:space="0" w:color="C7C8CA"/>
            </w:tcBorders>
          </w:tcPr>
          <w:p w:rsidR="00D840DF" w:rsidRDefault="00961020" w:rsidP="0019667D">
            <w:pPr>
              <w:pStyle w:val="TableParagraph"/>
              <w:spacing w:before="14"/>
              <w:ind w:right="366"/>
              <w:jc w:val="right"/>
              <w:rPr>
                <w:sz w:val="16"/>
              </w:rPr>
            </w:pPr>
            <w:r>
              <w:rPr>
                <w:color w:val="636466"/>
                <w:sz w:val="16"/>
              </w:rPr>
              <w:t>-</w:t>
            </w:r>
          </w:p>
        </w:tc>
        <w:tc>
          <w:tcPr>
            <w:tcW w:w="992" w:type="dxa"/>
            <w:tcBorders>
              <w:top w:val="single" w:sz="6" w:space="0" w:color="C7C8CA"/>
            </w:tcBorders>
          </w:tcPr>
          <w:p w:rsidR="00D840DF" w:rsidRDefault="00961020" w:rsidP="0019667D">
            <w:pPr>
              <w:pStyle w:val="TableParagraph"/>
              <w:spacing w:before="14"/>
              <w:ind w:right="336"/>
              <w:jc w:val="right"/>
              <w:rPr>
                <w:rFonts w:ascii="Futura PT Medium"/>
                <w:sz w:val="16"/>
              </w:rPr>
            </w:pPr>
            <w:r>
              <w:rPr>
                <w:rFonts w:ascii="Futura PT Medium"/>
                <w:color w:val="636466"/>
                <w:sz w:val="16"/>
              </w:rPr>
              <w:t>-</w:t>
            </w:r>
          </w:p>
        </w:tc>
        <w:tc>
          <w:tcPr>
            <w:tcW w:w="992" w:type="dxa"/>
            <w:tcBorders>
              <w:top w:val="single" w:sz="4" w:space="0" w:color="C7C8CA"/>
            </w:tcBorders>
          </w:tcPr>
          <w:p w:rsidR="00D840DF" w:rsidRDefault="00961020" w:rsidP="0019667D">
            <w:pPr>
              <w:pStyle w:val="TableParagraph"/>
              <w:spacing w:before="14"/>
              <w:ind w:right="308"/>
              <w:jc w:val="right"/>
              <w:rPr>
                <w:rFonts w:ascii="Futura PT Medium"/>
                <w:sz w:val="16"/>
              </w:rPr>
            </w:pPr>
            <w:r>
              <w:rPr>
                <w:rFonts w:ascii="Futura PT Medium"/>
                <w:color w:val="636466"/>
                <w:sz w:val="16"/>
              </w:rPr>
              <w:t>-</w:t>
            </w:r>
          </w:p>
        </w:tc>
        <w:tc>
          <w:tcPr>
            <w:tcW w:w="824" w:type="dxa"/>
            <w:tcBorders>
              <w:top w:val="single" w:sz="4" w:space="0" w:color="C7C8CA"/>
            </w:tcBorders>
          </w:tcPr>
          <w:p w:rsidR="00D840DF" w:rsidRDefault="00961020" w:rsidP="0019667D">
            <w:pPr>
              <w:pStyle w:val="TableParagraph"/>
              <w:spacing w:before="14"/>
              <w:ind w:right="111"/>
              <w:jc w:val="right"/>
              <w:rPr>
                <w:rFonts w:ascii="Futura PT Medium"/>
                <w:sz w:val="16"/>
              </w:rPr>
            </w:pPr>
            <w:r>
              <w:rPr>
                <w:rFonts w:ascii="Futura PT Medium"/>
                <w:color w:val="636466"/>
                <w:sz w:val="16"/>
              </w:rPr>
              <w:t>1,380</w:t>
            </w:r>
          </w:p>
        </w:tc>
      </w:tr>
      <w:tr w:rsidR="00D840DF" w:rsidTr="0019667D">
        <w:trPr>
          <w:trHeight w:val="220"/>
        </w:trPr>
        <w:tc>
          <w:tcPr>
            <w:tcW w:w="3085" w:type="dxa"/>
            <w:gridSpan w:val="2"/>
            <w:tcBorders>
              <w:bottom w:val="single" w:sz="4" w:space="0" w:color="C7C8CA"/>
            </w:tcBorders>
            <w:shd w:val="clear" w:color="auto" w:fill="E6E7E8"/>
          </w:tcPr>
          <w:p w:rsidR="00D840DF" w:rsidRDefault="00961020" w:rsidP="0019667D">
            <w:pPr>
              <w:pStyle w:val="TableParagraph"/>
              <w:spacing w:before="21" w:line="198" w:lineRule="exact"/>
              <w:ind w:left="113"/>
              <w:rPr>
                <w:rFonts w:ascii="Futura PT Medium"/>
                <w:sz w:val="16"/>
              </w:rPr>
            </w:pPr>
            <w:r>
              <w:rPr>
                <w:rFonts w:ascii="Futura PT Medium"/>
                <w:sz w:val="16"/>
              </w:rPr>
              <w:t>Total as at 30 June 2017</w:t>
            </w:r>
          </w:p>
        </w:tc>
        <w:tc>
          <w:tcPr>
            <w:tcW w:w="1033" w:type="dxa"/>
            <w:tcBorders>
              <w:bottom w:val="single" w:sz="4" w:space="0" w:color="C7C8CA"/>
            </w:tcBorders>
            <w:shd w:val="clear" w:color="auto" w:fill="E6E7E8"/>
          </w:tcPr>
          <w:p w:rsidR="00D840DF" w:rsidRDefault="00961020" w:rsidP="0019667D">
            <w:pPr>
              <w:pStyle w:val="TableParagraph"/>
              <w:spacing w:before="21" w:line="198" w:lineRule="exact"/>
              <w:ind w:right="316"/>
              <w:jc w:val="right"/>
              <w:rPr>
                <w:rFonts w:ascii="Futura PT Medium"/>
                <w:sz w:val="16"/>
              </w:rPr>
            </w:pPr>
            <w:r>
              <w:rPr>
                <w:rFonts w:ascii="Futura PT Medium"/>
                <w:sz w:val="16"/>
              </w:rPr>
              <w:t>201</w:t>
            </w:r>
          </w:p>
        </w:tc>
        <w:tc>
          <w:tcPr>
            <w:tcW w:w="1025" w:type="dxa"/>
            <w:gridSpan w:val="2"/>
            <w:tcBorders>
              <w:bottom w:val="single" w:sz="4" w:space="0" w:color="C7C8CA"/>
            </w:tcBorders>
            <w:shd w:val="clear" w:color="auto" w:fill="E6E7E8"/>
          </w:tcPr>
          <w:p w:rsidR="00D840DF" w:rsidRDefault="00961020" w:rsidP="0019667D">
            <w:pPr>
              <w:pStyle w:val="TableParagraph"/>
              <w:spacing w:before="21" w:line="198" w:lineRule="exact"/>
              <w:ind w:right="321"/>
              <w:jc w:val="right"/>
              <w:rPr>
                <w:rFonts w:ascii="Futura PT Medium"/>
                <w:sz w:val="16"/>
              </w:rPr>
            </w:pPr>
            <w:r>
              <w:rPr>
                <w:rFonts w:ascii="Futura PT Medium"/>
                <w:sz w:val="16"/>
              </w:rPr>
              <w:t>342</w:t>
            </w:r>
          </w:p>
        </w:tc>
        <w:tc>
          <w:tcPr>
            <w:tcW w:w="1069" w:type="dxa"/>
            <w:tcBorders>
              <w:bottom w:val="single" w:sz="4" w:space="0" w:color="C7C8CA"/>
            </w:tcBorders>
            <w:shd w:val="clear" w:color="auto" w:fill="E6E7E8"/>
          </w:tcPr>
          <w:p w:rsidR="00D840DF" w:rsidRDefault="00961020" w:rsidP="0019667D">
            <w:pPr>
              <w:pStyle w:val="TableParagraph"/>
              <w:spacing w:before="21" w:line="198" w:lineRule="exact"/>
              <w:ind w:right="370"/>
              <w:jc w:val="right"/>
              <w:rPr>
                <w:rFonts w:ascii="Futura PT Medium"/>
                <w:sz w:val="16"/>
              </w:rPr>
            </w:pPr>
            <w:r>
              <w:rPr>
                <w:rFonts w:ascii="Futura PT Medium"/>
                <w:sz w:val="16"/>
              </w:rPr>
              <w:t>2</w:t>
            </w:r>
          </w:p>
        </w:tc>
        <w:tc>
          <w:tcPr>
            <w:tcW w:w="1025" w:type="dxa"/>
            <w:gridSpan w:val="2"/>
            <w:tcBorders>
              <w:bottom w:val="single" w:sz="4" w:space="0" w:color="C7C8CA"/>
            </w:tcBorders>
            <w:shd w:val="clear" w:color="auto" w:fill="E6E7E8"/>
          </w:tcPr>
          <w:p w:rsidR="00D840DF" w:rsidRDefault="00961020" w:rsidP="0019667D">
            <w:pPr>
              <w:pStyle w:val="TableParagraph"/>
              <w:spacing w:before="21" w:line="198" w:lineRule="exact"/>
              <w:ind w:right="374"/>
              <w:jc w:val="right"/>
              <w:rPr>
                <w:rFonts w:ascii="Futura PT Medium"/>
                <w:sz w:val="16"/>
              </w:rPr>
            </w:pPr>
            <w:r>
              <w:rPr>
                <w:rFonts w:ascii="Futura PT Medium"/>
                <w:sz w:val="16"/>
              </w:rPr>
              <w:t>353</w:t>
            </w:r>
          </w:p>
        </w:tc>
        <w:tc>
          <w:tcPr>
            <w:tcW w:w="1014" w:type="dxa"/>
            <w:gridSpan w:val="2"/>
            <w:tcBorders>
              <w:bottom w:val="single" w:sz="4" w:space="0" w:color="C7C8CA"/>
            </w:tcBorders>
            <w:shd w:val="clear" w:color="auto" w:fill="E6E7E8"/>
          </w:tcPr>
          <w:p w:rsidR="00D840DF" w:rsidRDefault="00961020" w:rsidP="0019667D">
            <w:pPr>
              <w:pStyle w:val="TableParagraph"/>
              <w:spacing w:before="21" w:line="198" w:lineRule="exact"/>
              <w:ind w:right="366"/>
              <w:jc w:val="right"/>
              <w:rPr>
                <w:rFonts w:ascii="Futura PT Medium"/>
                <w:sz w:val="16"/>
              </w:rPr>
            </w:pPr>
            <w:r>
              <w:rPr>
                <w:rFonts w:ascii="Futura PT Medium"/>
                <w:sz w:val="16"/>
              </w:rPr>
              <w:t>379</w:t>
            </w:r>
          </w:p>
        </w:tc>
        <w:tc>
          <w:tcPr>
            <w:tcW w:w="992" w:type="dxa"/>
            <w:tcBorders>
              <w:bottom w:val="single" w:sz="6" w:space="0" w:color="C7C8CA"/>
            </w:tcBorders>
            <w:shd w:val="clear" w:color="auto" w:fill="E6E7E8"/>
          </w:tcPr>
          <w:p w:rsidR="00D840DF" w:rsidRDefault="00961020" w:rsidP="0019667D">
            <w:pPr>
              <w:pStyle w:val="TableParagraph"/>
              <w:spacing w:before="21" w:line="198" w:lineRule="exact"/>
              <w:ind w:right="336"/>
              <w:jc w:val="right"/>
              <w:rPr>
                <w:rFonts w:ascii="Futura PT Medium"/>
                <w:sz w:val="16"/>
              </w:rPr>
            </w:pPr>
            <w:r>
              <w:rPr>
                <w:rFonts w:ascii="Futura PT Medium"/>
                <w:sz w:val="16"/>
              </w:rPr>
              <w:t>732</w:t>
            </w:r>
          </w:p>
        </w:tc>
        <w:tc>
          <w:tcPr>
            <w:tcW w:w="992" w:type="dxa"/>
            <w:tcBorders>
              <w:bottom w:val="single" w:sz="4" w:space="0" w:color="C7C8CA"/>
            </w:tcBorders>
            <w:shd w:val="clear" w:color="auto" w:fill="E6E7E8"/>
          </w:tcPr>
          <w:p w:rsidR="00D840DF" w:rsidRDefault="00961020" w:rsidP="0019667D">
            <w:pPr>
              <w:pStyle w:val="TableParagraph"/>
              <w:spacing w:before="21" w:line="198" w:lineRule="exact"/>
              <w:ind w:right="308"/>
              <w:jc w:val="right"/>
              <w:rPr>
                <w:rFonts w:ascii="Futura PT Medium"/>
                <w:sz w:val="16"/>
              </w:rPr>
            </w:pPr>
            <w:r>
              <w:rPr>
                <w:rFonts w:ascii="Futura PT Medium"/>
                <w:sz w:val="16"/>
              </w:rPr>
              <w:t>114</w:t>
            </w:r>
          </w:p>
        </w:tc>
        <w:tc>
          <w:tcPr>
            <w:tcW w:w="824" w:type="dxa"/>
            <w:tcBorders>
              <w:bottom w:val="single" w:sz="4" w:space="0" w:color="C7C8CA"/>
            </w:tcBorders>
            <w:shd w:val="clear" w:color="auto" w:fill="E6E7E8"/>
          </w:tcPr>
          <w:p w:rsidR="00D840DF" w:rsidRDefault="00961020" w:rsidP="0019667D">
            <w:pPr>
              <w:pStyle w:val="TableParagraph"/>
              <w:spacing w:before="21" w:line="198" w:lineRule="exact"/>
              <w:ind w:right="111"/>
              <w:jc w:val="right"/>
              <w:rPr>
                <w:rFonts w:ascii="Futura PT Medium"/>
                <w:sz w:val="16"/>
              </w:rPr>
            </w:pPr>
            <w:r>
              <w:rPr>
                <w:rFonts w:ascii="Futura PT Medium"/>
                <w:sz w:val="16"/>
              </w:rPr>
              <w:t>1,391</w:t>
            </w:r>
          </w:p>
        </w:tc>
      </w:tr>
      <w:tr w:rsidR="00D840DF" w:rsidTr="0019667D">
        <w:trPr>
          <w:trHeight w:val="160"/>
        </w:trPr>
        <w:tc>
          <w:tcPr>
            <w:tcW w:w="3085" w:type="dxa"/>
            <w:gridSpan w:val="2"/>
            <w:tcBorders>
              <w:top w:val="single" w:sz="4" w:space="0" w:color="C7C8CA"/>
            </w:tcBorders>
          </w:tcPr>
          <w:p w:rsidR="00D840DF" w:rsidRDefault="00D840DF" w:rsidP="0019667D">
            <w:pPr>
              <w:pStyle w:val="TableParagraph"/>
              <w:spacing w:before="0"/>
              <w:rPr>
                <w:rFonts w:ascii="Times New Roman"/>
                <w:sz w:val="10"/>
              </w:rPr>
            </w:pPr>
          </w:p>
        </w:tc>
        <w:tc>
          <w:tcPr>
            <w:tcW w:w="1033" w:type="dxa"/>
            <w:tcBorders>
              <w:top w:val="single" w:sz="4" w:space="0" w:color="C7C8CA"/>
            </w:tcBorders>
          </w:tcPr>
          <w:p w:rsidR="00D840DF" w:rsidRDefault="00D840DF" w:rsidP="0019667D">
            <w:pPr>
              <w:pStyle w:val="TableParagraph"/>
              <w:spacing w:before="0"/>
              <w:jc w:val="right"/>
              <w:rPr>
                <w:rFonts w:ascii="Times New Roman"/>
                <w:sz w:val="10"/>
              </w:rPr>
            </w:pPr>
          </w:p>
        </w:tc>
        <w:tc>
          <w:tcPr>
            <w:tcW w:w="1025" w:type="dxa"/>
            <w:gridSpan w:val="2"/>
            <w:tcBorders>
              <w:top w:val="single" w:sz="4" w:space="0" w:color="C7C8CA"/>
            </w:tcBorders>
          </w:tcPr>
          <w:p w:rsidR="00D840DF" w:rsidRDefault="00D840DF" w:rsidP="0019667D">
            <w:pPr>
              <w:pStyle w:val="TableParagraph"/>
              <w:spacing w:before="0"/>
              <w:jc w:val="right"/>
              <w:rPr>
                <w:rFonts w:ascii="Times New Roman"/>
                <w:sz w:val="10"/>
              </w:rPr>
            </w:pPr>
          </w:p>
        </w:tc>
        <w:tc>
          <w:tcPr>
            <w:tcW w:w="1069" w:type="dxa"/>
            <w:tcBorders>
              <w:top w:val="single" w:sz="4" w:space="0" w:color="C7C8CA"/>
            </w:tcBorders>
          </w:tcPr>
          <w:p w:rsidR="00D840DF" w:rsidRDefault="00D840DF" w:rsidP="0019667D">
            <w:pPr>
              <w:pStyle w:val="TableParagraph"/>
              <w:spacing w:before="0"/>
              <w:jc w:val="right"/>
              <w:rPr>
                <w:rFonts w:ascii="Times New Roman"/>
                <w:sz w:val="10"/>
              </w:rPr>
            </w:pPr>
          </w:p>
        </w:tc>
        <w:tc>
          <w:tcPr>
            <w:tcW w:w="1025" w:type="dxa"/>
            <w:gridSpan w:val="2"/>
            <w:tcBorders>
              <w:top w:val="single" w:sz="4" w:space="0" w:color="C7C8CA"/>
            </w:tcBorders>
          </w:tcPr>
          <w:p w:rsidR="00D840DF" w:rsidRDefault="00D840DF" w:rsidP="0019667D">
            <w:pPr>
              <w:pStyle w:val="TableParagraph"/>
              <w:spacing w:before="0"/>
              <w:jc w:val="right"/>
              <w:rPr>
                <w:rFonts w:ascii="Times New Roman"/>
                <w:sz w:val="10"/>
              </w:rPr>
            </w:pPr>
          </w:p>
        </w:tc>
        <w:tc>
          <w:tcPr>
            <w:tcW w:w="1014" w:type="dxa"/>
            <w:gridSpan w:val="2"/>
            <w:tcBorders>
              <w:top w:val="single" w:sz="4" w:space="0" w:color="C7C8CA"/>
            </w:tcBorders>
          </w:tcPr>
          <w:p w:rsidR="00D840DF" w:rsidRDefault="00D840DF" w:rsidP="0019667D">
            <w:pPr>
              <w:pStyle w:val="TableParagraph"/>
              <w:spacing w:before="0"/>
              <w:jc w:val="right"/>
              <w:rPr>
                <w:rFonts w:ascii="Times New Roman"/>
                <w:sz w:val="10"/>
              </w:rPr>
            </w:pPr>
          </w:p>
        </w:tc>
        <w:tc>
          <w:tcPr>
            <w:tcW w:w="992" w:type="dxa"/>
            <w:tcBorders>
              <w:top w:val="single" w:sz="6" w:space="0" w:color="C7C8CA"/>
            </w:tcBorders>
          </w:tcPr>
          <w:p w:rsidR="00D840DF" w:rsidRDefault="00D840DF" w:rsidP="0019667D">
            <w:pPr>
              <w:pStyle w:val="TableParagraph"/>
              <w:spacing w:before="0"/>
              <w:jc w:val="right"/>
              <w:rPr>
                <w:rFonts w:ascii="Times New Roman"/>
                <w:sz w:val="10"/>
              </w:rPr>
            </w:pPr>
          </w:p>
        </w:tc>
        <w:tc>
          <w:tcPr>
            <w:tcW w:w="992" w:type="dxa"/>
            <w:tcBorders>
              <w:top w:val="single" w:sz="4" w:space="0" w:color="C7C8CA"/>
            </w:tcBorders>
          </w:tcPr>
          <w:p w:rsidR="00D840DF" w:rsidRDefault="00D840DF" w:rsidP="0019667D">
            <w:pPr>
              <w:pStyle w:val="TableParagraph"/>
              <w:spacing w:before="0"/>
              <w:jc w:val="right"/>
              <w:rPr>
                <w:rFonts w:ascii="Times New Roman"/>
                <w:sz w:val="10"/>
              </w:rPr>
            </w:pPr>
          </w:p>
        </w:tc>
        <w:tc>
          <w:tcPr>
            <w:tcW w:w="824" w:type="dxa"/>
            <w:tcBorders>
              <w:top w:val="single" w:sz="4" w:space="0" w:color="C7C8CA"/>
            </w:tcBorders>
          </w:tcPr>
          <w:p w:rsidR="00D840DF" w:rsidRDefault="00D840DF" w:rsidP="0019667D">
            <w:pPr>
              <w:pStyle w:val="TableParagraph"/>
              <w:spacing w:before="0"/>
              <w:jc w:val="right"/>
              <w:rPr>
                <w:rFonts w:ascii="Times New Roman"/>
                <w:sz w:val="10"/>
              </w:rPr>
            </w:pPr>
          </w:p>
        </w:tc>
      </w:tr>
      <w:tr w:rsidR="0019667D" w:rsidTr="0019667D">
        <w:trPr>
          <w:trHeight w:val="322"/>
        </w:trPr>
        <w:tc>
          <w:tcPr>
            <w:tcW w:w="11059" w:type="dxa"/>
            <w:gridSpan w:val="13"/>
            <w:shd w:val="clear" w:color="auto" w:fill="E2F0D8"/>
          </w:tcPr>
          <w:p w:rsidR="0019667D" w:rsidRDefault="0019667D" w:rsidP="0019667D">
            <w:pPr>
              <w:pStyle w:val="TableParagraph"/>
              <w:spacing w:before="0"/>
              <w:jc w:val="right"/>
              <w:rPr>
                <w:rFonts w:ascii="Times New Roman"/>
                <w:sz w:val="16"/>
              </w:rPr>
            </w:pPr>
            <w:r>
              <w:rPr>
                <w:rFonts w:ascii="Futura PT Bold"/>
                <w:b/>
                <w:color w:val="003E2D"/>
                <w:sz w:val="16"/>
              </w:rPr>
              <w:t>Total as at 30 June 2017 represented by</w:t>
            </w:r>
          </w:p>
        </w:tc>
      </w:tr>
      <w:tr w:rsidR="00D840DF" w:rsidTr="0019667D">
        <w:trPr>
          <w:trHeight w:val="220"/>
        </w:trPr>
        <w:tc>
          <w:tcPr>
            <w:tcW w:w="3085" w:type="dxa"/>
            <w:gridSpan w:val="2"/>
            <w:tcBorders>
              <w:bottom w:val="single" w:sz="6" w:space="0" w:color="C7C8CA"/>
            </w:tcBorders>
          </w:tcPr>
          <w:p w:rsidR="00D840DF" w:rsidRDefault="00961020" w:rsidP="0019667D">
            <w:pPr>
              <w:pStyle w:val="TableParagraph"/>
              <w:spacing w:before="21" w:line="198" w:lineRule="exact"/>
              <w:ind w:left="113"/>
              <w:rPr>
                <w:sz w:val="16"/>
              </w:rPr>
            </w:pPr>
            <w:r>
              <w:rPr>
                <w:color w:val="636466"/>
                <w:sz w:val="16"/>
              </w:rPr>
              <w:t>Gross book value</w:t>
            </w:r>
          </w:p>
        </w:tc>
        <w:tc>
          <w:tcPr>
            <w:tcW w:w="1033" w:type="dxa"/>
            <w:tcBorders>
              <w:bottom w:val="single" w:sz="4" w:space="0" w:color="C7C8CA"/>
            </w:tcBorders>
          </w:tcPr>
          <w:p w:rsidR="00D840DF" w:rsidRDefault="00961020" w:rsidP="0019667D">
            <w:pPr>
              <w:pStyle w:val="TableParagraph"/>
              <w:spacing w:before="21" w:line="198" w:lineRule="exact"/>
              <w:ind w:right="324"/>
              <w:jc w:val="right"/>
              <w:rPr>
                <w:rFonts w:ascii="Futura PT Medium"/>
                <w:sz w:val="16"/>
              </w:rPr>
            </w:pPr>
            <w:r>
              <w:rPr>
                <w:rFonts w:ascii="Futura PT Medium"/>
                <w:color w:val="636466"/>
                <w:sz w:val="16"/>
              </w:rPr>
              <w:t>201</w:t>
            </w:r>
          </w:p>
        </w:tc>
        <w:tc>
          <w:tcPr>
            <w:tcW w:w="1025" w:type="dxa"/>
            <w:gridSpan w:val="2"/>
            <w:tcBorders>
              <w:bottom w:val="single" w:sz="4" w:space="0" w:color="C7C8CA"/>
            </w:tcBorders>
          </w:tcPr>
          <w:p w:rsidR="00D840DF" w:rsidRDefault="00961020" w:rsidP="0019667D">
            <w:pPr>
              <w:pStyle w:val="TableParagraph"/>
              <w:spacing w:before="21" w:line="198" w:lineRule="exact"/>
              <w:ind w:right="321"/>
              <w:jc w:val="right"/>
              <w:rPr>
                <w:rFonts w:ascii="Futura PT Medium"/>
                <w:sz w:val="16"/>
              </w:rPr>
            </w:pPr>
            <w:r>
              <w:rPr>
                <w:rFonts w:ascii="Futura PT Medium"/>
                <w:color w:val="636466"/>
                <w:sz w:val="16"/>
              </w:rPr>
              <w:t>405</w:t>
            </w:r>
          </w:p>
        </w:tc>
        <w:tc>
          <w:tcPr>
            <w:tcW w:w="1069" w:type="dxa"/>
            <w:tcBorders>
              <w:bottom w:val="single" w:sz="4" w:space="0" w:color="C7C8CA"/>
            </w:tcBorders>
          </w:tcPr>
          <w:p w:rsidR="00D840DF" w:rsidRDefault="00961020" w:rsidP="0019667D">
            <w:pPr>
              <w:pStyle w:val="TableParagraph"/>
              <w:spacing w:before="21" w:line="198" w:lineRule="exact"/>
              <w:ind w:right="370"/>
              <w:jc w:val="right"/>
              <w:rPr>
                <w:rFonts w:ascii="Futura PT Medium"/>
                <w:sz w:val="16"/>
              </w:rPr>
            </w:pPr>
            <w:r>
              <w:rPr>
                <w:rFonts w:ascii="Futura PT Medium"/>
                <w:color w:val="636466"/>
                <w:sz w:val="16"/>
              </w:rPr>
              <w:t>206</w:t>
            </w:r>
          </w:p>
        </w:tc>
        <w:tc>
          <w:tcPr>
            <w:tcW w:w="1025" w:type="dxa"/>
            <w:gridSpan w:val="2"/>
            <w:tcBorders>
              <w:bottom w:val="single" w:sz="4" w:space="0" w:color="C7C8CA"/>
            </w:tcBorders>
          </w:tcPr>
          <w:p w:rsidR="00D840DF" w:rsidRDefault="00961020" w:rsidP="0019667D">
            <w:pPr>
              <w:pStyle w:val="TableParagraph"/>
              <w:spacing w:before="21" w:line="198" w:lineRule="exact"/>
              <w:ind w:right="374"/>
              <w:jc w:val="right"/>
              <w:rPr>
                <w:sz w:val="16"/>
              </w:rPr>
            </w:pPr>
            <w:r>
              <w:rPr>
                <w:color w:val="636466"/>
                <w:sz w:val="16"/>
              </w:rPr>
              <w:t>399</w:t>
            </w:r>
          </w:p>
        </w:tc>
        <w:tc>
          <w:tcPr>
            <w:tcW w:w="1014" w:type="dxa"/>
            <w:gridSpan w:val="2"/>
            <w:tcBorders>
              <w:bottom w:val="single" w:sz="4" w:space="0" w:color="C7C8CA"/>
            </w:tcBorders>
          </w:tcPr>
          <w:p w:rsidR="00D840DF" w:rsidRDefault="00961020" w:rsidP="0019667D">
            <w:pPr>
              <w:pStyle w:val="TableParagraph"/>
              <w:spacing w:before="21" w:line="198" w:lineRule="exact"/>
              <w:ind w:right="366"/>
              <w:jc w:val="right"/>
              <w:rPr>
                <w:sz w:val="16"/>
              </w:rPr>
            </w:pPr>
            <w:r>
              <w:rPr>
                <w:color w:val="636466"/>
                <w:sz w:val="16"/>
              </w:rPr>
              <w:t>379</w:t>
            </w:r>
          </w:p>
        </w:tc>
        <w:tc>
          <w:tcPr>
            <w:tcW w:w="992" w:type="dxa"/>
            <w:tcBorders>
              <w:bottom w:val="single" w:sz="6" w:space="0" w:color="C7C8CA"/>
            </w:tcBorders>
          </w:tcPr>
          <w:p w:rsidR="00D840DF" w:rsidRDefault="00961020" w:rsidP="0019667D">
            <w:pPr>
              <w:pStyle w:val="TableParagraph"/>
              <w:spacing w:before="21" w:line="198" w:lineRule="exact"/>
              <w:ind w:right="336"/>
              <w:jc w:val="right"/>
              <w:rPr>
                <w:rFonts w:ascii="Futura PT Medium"/>
                <w:sz w:val="16"/>
              </w:rPr>
            </w:pPr>
            <w:r>
              <w:rPr>
                <w:rFonts w:ascii="Futura PT Medium"/>
                <w:color w:val="636466"/>
                <w:sz w:val="16"/>
              </w:rPr>
              <w:t>777</w:t>
            </w:r>
          </w:p>
        </w:tc>
        <w:tc>
          <w:tcPr>
            <w:tcW w:w="992" w:type="dxa"/>
            <w:tcBorders>
              <w:bottom w:val="single" w:sz="4" w:space="0" w:color="C7C8CA"/>
            </w:tcBorders>
          </w:tcPr>
          <w:p w:rsidR="00D840DF" w:rsidRDefault="00961020" w:rsidP="0019667D">
            <w:pPr>
              <w:pStyle w:val="TableParagraph"/>
              <w:spacing w:before="21" w:line="198" w:lineRule="exact"/>
              <w:ind w:right="308"/>
              <w:jc w:val="right"/>
              <w:rPr>
                <w:rFonts w:ascii="Futura PT Medium"/>
                <w:sz w:val="16"/>
              </w:rPr>
            </w:pPr>
            <w:r>
              <w:rPr>
                <w:rFonts w:ascii="Futura PT Medium"/>
                <w:color w:val="636466"/>
                <w:sz w:val="16"/>
              </w:rPr>
              <w:t>288</w:t>
            </w:r>
          </w:p>
        </w:tc>
        <w:tc>
          <w:tcPr>
            <w:tcW w:w="824" w:type="dxa"/>
            <w:tcBorders>
              <w:bottom w:val="single" w:sz="4" w:space="0" w:color="C7C8CA"/>
            </w:tcBorders>
          </w:tcPr>
          <w:p w:rsidR="00D840DF" w:rsidRDefault="00961020" w:rsidP="0019667D">
            <w:pPr>
              <w:pStyle w:val="TableParagraph"/>
              <w:spacing w:before="21" w:line="198" w:lineRule="exact"/>
              <w:ind w:right="111"/>
              <w:jc w:val="right"/>
              <w:rPr>
                <w:rFonts w:ascii="Futura PT Medium"/>
                <w:sz w:val="16"/>
              </w:rPr>
            </w:pPr>
            <w:r>
              <w:rPr>
                <w:rFonts w:ascii="Futura PT Medium"/>
                <w:color w:val="636466"/>
                <w:sz w:val="16"/>
              </w:rPr>
              <w:t>1,877</w:t>
            </w:r>
          </w:p>
        </w:tc>
      </w:tr>
      <w:tr w:rsidR="00D840DF" w:rsidTr="0019667D">
        <w:trPr>
          <w:trHeight w:val="420"/>
        </w:trPr>
        <w:tc>
          <w:tcPr>
            <w:tcW w:w="3085" w:type="dxa"/>
            <w:gridSpan w:val="2"/>
            <w:tcBorders>
              <w:top w:val="single" w:sz="6" w:space="0" w:color="C7C8CA"/>
            </w:tcBorders>
          </w:tcPr>
          <w:p w:rsidR="00D840DF" w:rsidRDefault="00961020" w:rsidP="0019667D">
            <w:pPr>
              <w:pStyle w:val="TableParagraph"/>
              <w:spacing w:before="28" w:line="223" w:lineRule="auto"/>
              <w:ind w:left="113" w:right="282"/>
              <w:rPr>
                <w:sz w:val="16"/>
              </w:rPr>
            </w:pPr>
            <w:r>
              <w:rPr>
                <w:color w:val="636466"/>
                <w:sz w:val="16"/>
              </w:rPr>
              <w:t xml:space="preserve">Accumulated depreciation, </w:t>
            </w:r>
            <w:proofErr w:type="spellStart"/>
            <w:r>
              <w:rPr>
                <w:color w:val="636466"/>
                <w:sz w:val="16"/>
              </w:rPr>
              <w:t>amortisation</w:t>
            </w:r>
            <w:proofErr w:type="spellEnd"/>
            <w:r>
              <w:rPr>
                <w:color w:val="636466"/>
                <w:sz w:val="16"/>
              </w:rPr>
              <w:t xml:space="preserve"> and impairment</w:t>
            </w:r>
          </w:p>
        </w:tc>
        <w:tc>
          <w:tcPr>
            <w:tcW w:w="1033" w:type="dxa"/>
            <w:tcBorders>
              <w:top w:val="single" w:sz="4" w:space="0" w:color="C7C8CA"/>
            </w:tcBorders>
          </w:tcPr>
          <w:p w:rsidR="00D840DF" w:rsidRDefault="00961020" w:rsidP="0019667D">
            <w:pPr>
              <w:pStyle w:val="TableParagraph"/>
              <w:spacing w:before="14"/>
              <w:ind w:right="316"/>
              <w:jc w:val="right"/>
              <w:rPr>
                <w:rFonts w:ascii="Futura PT Medium"/>
                <w:sz w:val="16"/>
              </w:rPr>
            </w:pPr>
            <w:r>
              <w:rPr>
                <w:rFonts w:ascii="Futura PT Medium"/>
                <w:color w:val="636466"/>
                <w:sz w:val="16"/>
              </w:rPr>
              <w:t>-</w:t>
            </w:r>
          </w:p>
        </w:tc>
        <w:tc>
          <w:tcPr>
            <w:tcW w:w="1025" w:type="dxa"/>
            <w:gridSpan w:val="2"/>
            <w:tcBorders>
              <w:top w:val="single" w:sz="4" w:space="0" w:color="C7C8CA"/>
            </w:tcBorders>
          </w:tcPr>
          <w:p w:rsidR="00D840DF" w:rsidRDefault="00961020" w:rsidP="0019667D">
            <w:pPr>
              <w:pStyle w:val="TableParagraph"/>
              <w:spacing w:before="14"/>
              <w:ind w:right="318"/>
              <w:jc w:val="right"/>
              <w:rPr>
                <w:rFonts w:ascii="Futura PT Medium"/>
                <w:sz w:val="16"/>
              </w:rPr>
            </w:pPr>
            <w:r>
              <w:rPr>
                <w:rFonts w:ascii="Futura PT Medium"/>
                <w:color w:val="636466"/>
                <w:sz w:val="16"/>
              </w:rPr>
              <w:t>63</w:t>
            </w:r>
          </w:p>
        </w:tc>
        <w:tc>
          <w:tcPr>
            <w:tcW w:w="1069" w:type="dxa"/>
            <w:tcBorders>
              <w:top w:val="single" w:sz="4" w:space="0" w:color="C7C8CA"/>
            </w:tcBorders>
          </w:tcPr>
          <w:p w:rsidR="00D840DF" w:rsidRDefault="00961020" w:rsidP="0019667D">
            <w:pPr>
              <w:pStyle w:val="TableParagraph"/>
              <w:spacing w:before="14"/>
              <w:ind w:right="370"/>
              <w:jc w:val="right"/>
              <w:rPr>
                <w:rFonts w:ascii="Futura PT Medium"/>
                <w:sz w:val="16"/>
              </w:rPr>
            </w:pPr>
            <w:r>
              <w:rPr>
                <w:rFonts w:ascii="Futura PT Medium"/>
                <w:color w:val="636466"/>
                <w:sz w:val="16"/>
              </w:rPr>
              <w:t>204</w:t>
            </w:r>
          </w:p>
        </w:tc>
        <w:tc>
          <w:tcPr>
            <w:tcW w:w="1025" w:type="dxa"/>
            <w:gridSpan w:val="2"/>
            <w:tcBorders>
              <w:top w:val="single" w:sz="4" w:space="0" w:color="C7C8CA"/>
            </w:tcBorders>
          </w:tcPr>
          <w:p w:rsidR="00D840DF" w:rsidRDefault="00961020" w:rsidP="0019667D">
            <w:pPr>
              <w:pStyle w:val="TableParagraph"/>
              <w:spacing w:before="14"/>
              <w:ind w:right="376"/>
              <w:jc w:val="right"/>
              <w:rPr>
                <w:sz w:val="16"/>
              </w:rPr>
            </w:pPr>
            <w:r>
              <w:rPr>
                <w:color w:val="636466"/>
                <w:sz w:val="16"/>
              </w:rPr>
              <w:t>(45)</w:t>
            </w:r>
          </w:p>
        </w:tc>
        <w:tc>
          <w:tcPr>
            <w:tcW w:w="1014" w:type="dxa"/>
            <w:gridSpan w:val="2"/>
            <w:tcBorders>
              <w:top w:val="single" w:sz="4" w:space="0" w:color="C7C8CA"/>
            </w:tcBorders>
          </w:tcPr>
          <w:p w:rsidR="00D840DF" w:rsidRDefault="00961020" w:rsidP="0019667D">
            <w:pPr>
              <w:pStyle w:val="TableParagraph"/>
              <w:spacing w:before="14"/>
              <w:ind w:right="366"/>
              <w:jc w:val="right"/>
              <w:rPr>
                <w:sz w:val="16"/>
              </w:rPr>
            </w:pPr>
            <w:r>
              <w:rPr>
                <w:color w:val="636466"/>
                <w:sz w:val="16"/>
              </w:rPr>
              <w:t>-</w:t>
            </w:r>
          </w:p>
        </w:tc>
        <w:tc>
          <w:tcPr>
            <w:tcW w:w="992" w:type="dxa"/>
            <w:tcBorders>
              <w:top w:val="single" w:sz="6" w:space="0" w:color="C7C8CA"/>
            </w:tcBorders>
          </w:tcPr>
          <w:p w:rsidR="00D840DF" w:rsidRDefault="00961020" w:rsidP="0019667D">
            <w:pPr>
              <w:pStyle w:val="TableParagraph"/>
              <w:spacing w:before="14"/>
              <w:ind w:right="339"/>
              <w:jc w:val="right"/>
              <w:rPr>
                <w:rFonts w:ascii="Futura PT Medium"/>
                <w:sz w:val="16"/>
              </w:rPr>
            </w:pPr>
            <w:r>
              <w:rPr>
                <w:rFonts w:ascii="Futura PT Medium"/>
                <w:color w:val="636466"/>
                <w:sz w:val="16"/>
              </w:rPr>
              <w:t>(45)</w:t>
            </w:r>
          </w:p>
        </w:tc>
        <w:tc>
          <w:tcPr>
            <w:tcW w:w="992" w:type="dxa"/>
            <w:tcBorders>
              <w:top w:val="single" w:sz="4" w:space="0" w:color="C7C8CA"/>
            </w:tcBorders>
          </w:tcPr>
          <w:p w:rsidR="00D840DF" w:rsidRDefault="00961020" w:rsidP="0019667D">
            <w:pPr>
              <w:pStyle w:val="TableParagraph"/>
              <w:spacing w:before="14"/>
              <w:ind w:right="308"/>
              <w:jc w:val="right"/>
              <w:rPr>
                <w:rFonts w:ascii="Futura PT Medium"/>
                <w:sz w:val="16"/>
              </w:rPr>
            </w:pPr>
            <w:r>
              <w:rPr>
                <w:rFonts w:ascii="Futura PT Medium"/>
                <w:color w:val="636466"/>
                <w:sz w:val="16"/>
              </w:rPr>
              <w:t>(174)</w:t>
            </w:r>
          </w:p>
        </w:tc>
        <w:tc>
          <w:tcPr>
            <w:tcW w:w="824" w:type="dxa"/>
            <w:tcBorders>
              <w:top w:val="single" w:sz="4" w:space="0" w:color="C7C8CA"/>
            </w:tcBorders>
          </w:tcPr>
          <w:p w:rsidR="00D840DF" w:rsidRDefault="00961020" w:rsidP="0019667D">
            <w:pPr>
              <w:pStyle w:val="TableParagraph"/>
              <w:spacing w:before="14"/>
              <w:ind w:right="111"/>
              <w:jc w:val="right"/>
              <w:rPr>
                <w:rFonts w:ascii="Futura PT Medium"/>
                <w:sz w:val="16"/>
              </w:rPr>
            </w:pPr>
            <w:r>
              <w:rPr>
                <w:rFonts w:ascii="Futura PT Medium"/>
                <w:color w:val="636466"/>
                <w:sz w:val="16"/>
              </w:rPr>
              <w:t>(487)</w:t>
            </w:r>
          </w:p>
        </w:tc>
      </w:tr>
      <w:tr w:rsidR="00D840DF" w:rsidTr="0019667D">
        <w:trPr>
          <w:trHeight w:val="220"/>
        </w:trPr>
        <w:tc>
          <w:tcPr>
            <w:tcW w:w="3085" w:type="dxa"/>
            <w:gridSpan w:val="2"/>
            <w:tcBorders>
              <w:bottom w:val="single" w:sz="6" w:space="0" w:color="C7C8CA"/>
            </w:tcBorders>
            <w:shd w:val="clear" w:color="auto" w:fill="E6E7E8"/>
          </w:tcPr>
          <w:p w:rsidR="00D840DF" w:rsidRDefault="00961020" w:rsidP="0019667D">
            <w:pPr>
              <w:pStyle w:val="TableParagraph"/>
              <w:spacing w:before="21" w:line="198" w:lineRule="exact"/>
              <w:ind w:left="113"/>
              <w:rPr>
                <w:rFonts w:ascii="Futura PT Medium"/>
                <w:sz w:val="16"/>
              </w:rPr>
            </w:pPr>
            <w:r>
              <w:rPr>
                <w:rFonts w:ascii="Futura PT Medium"/>
                <w:sz w:val="16"/>
              </w:rPr>
              <w:t>Total as at 30 June 2017 represented by</w:t>
            </w:r>
          </w:p>
        </w:tc>
        <w:tc>
          <w:tcPr>
            <w:tcW w:w="1033" w:type="dxa"/>
            <w:tcBorders>
              <w:bottom w:val="single" w:sz="4" w:space="0" w:color="C7C8CA"/>
            </w:tcBorders>
            <w:shd w:val="clear" w:color="auto" w:fill="E6E7E8"/>
          </w:tcPr>
          <w:p w:rsidR="00D840DF" w:rsidRDefault="00961020" w:rsidP="0019667D">
            <w:pPr>
              <w:pStyle w:val="TableParagraph"/>
              <w:spacing w:before="21" w:line="198" w:lineRule="exact"/>
              <w:ind w:right="316"/>
              <w:jc w:val="right"/>
              <w:rPr>
                <w:rFonts w:ascii="Futura PT Medium"/>
                <w:sz w:val="16"/>
              </w:rPr>
            </w:pPr>
            <w:r>
              <w:rPr>
                <w:rFonts w:ascii="Futura PT Medium"/>
                <w:sz w:val="16"/>
              </w:rPr>
              <w:t>201</w:t>
            </w:r>
          </w:p>
        </w:tc>
        <w:tc>
          <w:tcPr>
            <w:tcW w:w="1025" w:type="dxa"/>
            <w:gridSpan w:val="2"/>
            <w:tcBorders>
              <w:bottom w:val="single" w:sz="4" w:space="0" w:color="C7C8CA"/>
            </w:tcBorders>
            <w:shd w:val="clear" w:color="auto" w:fill="E6E7E8"/>
          </w:tcPr>
          <w:p w:rsidR="00D840DF" w:rsidRDefault="00961020" w:rsidP="0019667D">
            <w:pPr>
              <w:pStyle w:val="TableParagraph"/>
              <w:spacing w:before="21" w:line="198" w:lineRule="exact"/>
              <w:ind w:right="321"/>
              <w:jc w:val="right"/>
              <w:rPr>
                <w:rFonts w:ascii="Futura PT Medium"/>
                <w:sz w:val="16"/>
              </w:rPr>
            </w:pPr>
            <w:r>
              <w:rPr>
                <w:rFonts w:ascii="Futura PT Medium"/>
                <w:sz w:val="16"/>
              </w:rPr>
              <w:t>342</w:t>
            </w:r>
          </w:p>
        </w:tc>
        <w:tc>
          <w:tcPr>
            <w:tcW w:w="1069" w:type="dxa"/>
            <w:tcBorders>
              <w:bottom w:val="single" w:sz="4" w:space="0" w:color="C7C8CA"/>
            </w:tcBorders>
            <w:shd w:val="clear" w:color="auto" w:fill="E6E7E8"/>
          </w:tcPr>
          <w:p w:rsidR="00D840DF" w:rsidRDefault="00961020" w:rsidP="0019667D">
            <w:pPr>
              <w:pStyle w:val="TableParagraph"/>
              <w:spacing w:before="21" w:line="198" w:lineRule="exact"/>
              <w:ind w:right="370"/>
              <w:jc w:val="right"/>
              <w:rPr>
                <w:rFonts w:ascii="Futura PT Medium"/>
                <w:sz w:val="16"/>
              </w:rPr>
            </w:pPr>
            <w:r>
              <w:rPr>
                <w:rFonts w:ascii="Futura PT Medium"/>
                <w:sz w:val="16"/>
              </w:rPr>
              <w:t>2</w:t>
            </w:r>
          </w:p>
        </w:tc>
        <w:tc>
          <w:tcPr>
            <w:tcW w:w="1025" w:type="dxa"/>
            <w:gridSpan w:val="2"/>
            <w:tcBorders>
              <w:bottom w:val="single" w:sz="4" w:space="0" w:color="C7C8CA"/>
            </w:tcBorders>
            <w:shd w:val="clear" w:color="auto" w:fill="E6E7E8"/>
          </w:tcPr>
          <w:p w:rsidR="00D840DF" w:rsidRDefault="00961020" w:rsidP="0019667D">
            <w:pPr>
              <w:pStyle w:val="TableParagraph"/>
              <w:spacing w:before="21" w:line="198" w:lineRule="exact"/>
              <w:ind w:right="374"/>
              <w:jc w:val="right"/>
              <w:rPr>
                <w:rFonts w:ascii="Futura PT Medium"/>
                <w:sz w:val="16"/>
              </w:rPr>
            </w:pPr>
            <w:r>
              <w:rPr>
                <w:rFonts w:ascii="Futura PT Medium"/>
                <w:sz w:val="16"/>
              </w:rPr>
              <w:t>353</w:t>
            </w:r>
          </w:p>
        </w:tc>
        <w:tc>
          <w:tcPr>
            <w:tcW w:w="1014" w:type="dxa"/>
            <w:gridSpan w:val="2"/>
            <w:tcBorders>
              <w:bottom w:val="single" w:sz="4" w:space="0" w:color="C7C8CA"/>
            </w:tcBorders>
            <w:shd w:val="clear" w:color="auto" w:fill="E6E7E8"/>
          </w:tcPr>
          <w:p w:rsidR="00D840DF" w:rsidRDefault="00961020" w:rsidP="0019667D">
            <w:pPr>
              <w:pStyle w:val="TableParagraph"/>
              <w:spacing w:before="21" w:line="198" w:lineRule="exact"/>
              <w:ind w:right="366"/>
              <w:jc w:val="right"/>
              <w:rPr>
                <w:rFonts w:ascii="Futura PT Medium"/>
                <w:sz w:val="16"/>
              </w:rPr>
            </w:pPr>
            <w:r>
              <w:rPr>
                <w:rFonts w:ascii="Futura PT Medium"/>
                <w:sz w:val="16"/>
              </w:rPr>
              <w:t>379</w:t>
            </w:r>
          </w:p>
        </w:tc>
        <w:tc>
          <w:tcPr>
            <w:tcW w:w="992" w:type="dxa"/>
            <w:tcBorders>
              <w:bottom w:val="single" w:sz="6" w:space="0" w:color="C7C8CA"/>
            </w:tcBorders>
            <w:shd w:val="clear" w:color="auto" w:fill="E6E7E8"/>
          </w:tcPr>
          <w:p w:rsidR="00D840DF" w:rsidRDefault="00961020" w:rsidP="0019667D">
            <w:pPr>
              <w:pStyle w:val="TableParagraph"/>
              <w:spacing w:before="21" w:line="198" w:lineRule="exact"/>
              <w:ind w:right="336"/>
              <w:jc w:val="right"/>
              <w:rPr>
                <w:rFonts w:ascii="Futura PT Medium"/>
                <w:sz w:val="16"/>
              </w:rPr>
            </w:pPr>
            <w:r>
              <w:rPr>
                <w:rFonts w:ascii="Futura PT Medium"/>
                <w:sz w:val="16"/>
              </w:rPr>
              <w:t>732</w:t>
            </w:r>
          </w:p>
        </w:tc>
        <w:tc>
          <w:tcPr>
            <w:tcW w:w="992" w:type="dxa"/>
            <w:tcBorders>
              <w:bottom w:val="single" w:sz="4" w:space="0" w:color="C7C8CA"/>
            </w:tcBorders>
            <w:shd w:val="clear" w:color="auto" w:fill="E6E7E8"/>
          </w:tcPr>
          <w:p w:rsidR="00D840DF" w:rsidRDefault="00961020" w:rsidP="0019667D">
            <w:pPr>
              <w:pStyle w:val="TableParagraph"/>
              <w:spacing w:before="21" w:line="198" w:lineRule="exact"/>
              <w:ind w:right="308"/>
              <w:jc w:val="right"/>
              <w:rPr>
                <w:rFonts w:ascii="Futura PT Medium"/>
                <w:sz w:val="16"/>
              </w:rPr>
            </w:pPr>
            <w:r>
              <w:rPr>
                <w:rFonts w:ascii="Futura PT Medium"/>
                <w:sz w:val="16"/>
              </w:rPr>
              <w:t>114</w:t>
            </w:r>
          </w:p>
        </w:tc>
        <w:tc>
          <w:tcPr>
            <w:tcW w:w="824" w:type="dxa"/>
            <w:tcBorders>
              <w:bottom w:val="single" w:sz="4" w:space="0" w:color="C7C8CA"/>
            </w:tcBorders>
            <w:shd w:val="clear" w:color="auto" w:fill="E6E7E8"/>
          </w:tcPr>
          <w:p w:rsidR="00D840DF" w:rsidRDefault="00961020" w:rsidP="0019667D">
            <w:pPr>
              <w:pStyle w:val="TableParagraph"/>
              <w:spacing w:before="21" w:line="198" w:lineRule="exact"/>
              <w:ind w:right="111"/>
              <w:jc w:val="right"/>
              <w:rPr>
                <w:rFonts w:ascii="Futura PT Medium"/>
                <w:sz w:val="16"/>
              </w:rPr>
            </w:pPr>
            <w:r>
              <w:rPr>
                <w:rFonts w:ascii="Futura PT Medium"/>
                <w:sz w:val="16"/>
              </w:rPr>
              <w:t>1,391</w:t>
            </w:r>
          </w:p>
        </w:tc>
      </w:tr>
    </w:tbl>
    <w:p w:rsidR="00D840DF" w:rsidRDefault="00D840DF" w:rsidP="0019667D">
      <w:pPr>
        <w:pStyle w:val="BodyText"/>
        <w:spacing w:before="11"/>
        <w:jc w:val="right"/>
        <w:rPr>
          <w:rFonts w:ascii="Futura PT Demi"/>
          <w:sz w:val="9"/>
        </w:rPr>
      </w:pPr>
    </w:p>
    <w:p w:rsidR="00D840DF" w:rsidRDefault="00961020">
      <w:pPr>
        <w:spacing w:before="91"/>
        <w:ind w:left="113"/>
        <w:rPr>
          <w:sz w:val="16"/>
        </w:rPr>
      </w:pPr>
      <w:r>
        <w:rPr>
          <w:color w:val="636466"/>
          <w:sz w:val="16"/>
        </w:rPr>
        <w:t>The carrying amount of computer software are purchased software</w:t>
      </w:r>
    </w:p>
    <w:p w:rsidR="00D840DF" w:rsidRDefault="00961020">
      <w:pPr>
        <w:spacing w:before="4"/>
        <w:ind w:left="113"/>
        <w:rPr>
          <w:sz w:val="16"/>
        </w:rPr>
      </w:pPr>
      <w:r>
        <w:rPr>
          <w:color w:val="636466"/>
          <w:sz w:val="16"/>
        </w:rPr>
        <w:t>No indicators of impairment were found for leasehold improvements, or property, plant and equipment or intangibles.</w:t>
      </w:r>
    </w:p>
    <w:p w:rsidR="00D840DF" w:rsidRDefault="00961020">
      <w:pPr>
        <w:spacing w:before="4"/>
        <w:ind w:left="113"/>
        <w:rPr>
          <w:sz w:val="16"/>
        </w:rPr>
      </w:pPr>
      <w:r>
        <w:rPr>
          <w:color w:val="636466"/>
          <w:sz w:val="16"/>
        </w:rPr>
        <w:t>No leasehold improvements, or property, plant and equipment or intangibles are expected to be sold or disposed of within the next 12 months.</w:t>
      </w:r>
    </w:p>
    <w:p w:rsidR="00D840DF" w:rsidRDefault="00D840DF">
      <w:pPr>
        <w:rPr>
          <w:sz w:val="16"/>
        </w:rPr>
        <w:sectPr w:rsidR="00D840DF">
          <w:pgSz w:w="14180" w:h="9980" w:orient="landscape"/>
          <w:pgMar w:top="900" w:right="1880" w:bottom="280" w:left="1020" w:header="720" w:footer="720" w:gutter="0"/>
          <w:cols w:space="720"/>
        </w:sectPr>
      </w:pPr>
    </w:p>
    <w:p w:rsidR="00D840DF" w:rsidRDefault="00961020" w:rsidP="008F7C36">
      <w:pPr>
        <w:pStyle w:val="Heading5"/>
      </w:pPr>
      <w:r>
        <w:lastRenderedPageBreak/>
        <w:t>NOTE 2.2B: FAIR VALUE MEASUREMENT</w:t>
      </w:r>
    </w:p>
    <w:p w:rsidR="00D840DF" w:rsidRDefault="00961020" w:rsidP="00DB6009">
      <w:pPr>
        <w:pStyle w:val="BodyText"/>
        <w:spacing w:before="82" w:line="256" w:lineRule="auto"/>
        <w:ind w:right="432"/>
      </w:pPr>
      <w:r>
        <w:rPr>
          <w:color w:val="636466"/>
        </w:rPr>
        <w:t>The following tables provide an analysis of assets and liabilities that are measured at fair value.</w:t>
      </w:r>
      <w:r w:rsidR="00E314B6">
        <w:rPr>
          <w:color w:val="636466"/>
        </w:rPr>
        <w:t xml:space="preserve"> </w:t>
      </w:r>
      <w:r>
        <w:rPr>
          <w:color w:val="636466"/>
        </w:rPr>
        <w:t>The remaining assets and liabilities disclosed in the statement of financial position do not apply the fair value hierarchy.</w:t>
      </w:r>
    </w:p>
    <w:p w:rsidR="00D840DF" w:rsidRDefault="00961020" w:rsidP="00DB6009">
      <w:pPr>
        <w:pStyle w:val="BodyText"/>
        <w:spacing w:before="141"/>
      </w:pPr>
      <w:r>
        <w:rPr>
          <w:color w:val="636466"/>
        </w:rPr>
        <w:t>The different levels of the fair value hierarchy are defined</w:t>
      </w:r>
      <w:r w:rsidR="00E314B6">
        <w:rPr>
          <w:color w:val="636466"/>
        </w:rPr>
        <w:t xml:space="preserve"> </w:t>
      </w:r>
      <w:r>
        <w:rPr>
          <w:color w:val="636466"/>
        </w:rPr>
        <w:t>below.</w:t>
      </w:r>
    </w:p>
    <w:p w:rsidR="00D840DF" w:rsidRDefault="00961020" w:rsidP="00DB6009">
      <w:pPr>
        <w:pStyle w:val="BodyText"/>
        <w:spacing w:before="186" w:line="256" w:lineRule="auto"/>
        <w:ind w:right="269"/>
      </w:pPr>
      <w:r>
        <w:rPr>
          <w:rFonts w:ascii="Futura PT Heavy"/>
          <w:b/>
          <w:color w:val="636466"/>
        </w:rPr>
        <w:t xml:space="preserve">Level 1: </w:t>
      </w:r>
      <w:r>
        <w:rPr>
          <w:color w:val="636466"/>
        </w:rPr>
        <w:t>Quoted prices (unadjusted) in active markets for identical assets or liabilities that the entity can access at measurement date.</w:t>
      </w:r>
    </w:p>
    <w:p w:rsidR="00D840DF" w:rsidRDefault="00961020" w:rsidP="00DB6009">
      <w:pPr>
        <w:pStyle w:val="BodyText"/>
        <w:spacing w:line="256" w:lineRule="auto"/>
      </w:pPr>
      <w:r>
        <w:rPr>
          <w:rFonts w:ascii="Futura PT Heavy"/>
          <w:b/>
          <w:color w:val="636466"/>
        </w:rPr>
        <w:t xml:space="preserve">Level 2: </w:t>
      </w:r>
      <w:r>
        <w:rPr>
          <w:color w:val="636466"/>
        </w:rPr>
        <w:t>Inputs other than quoted prices included within Level 1 that are observable for the asset or liability, either directly or indirectly.</w:t>
      </w:r>
    </w:p>
    <w:p w:rsidR="00D840DF" w:rsidRDefault="00961020" w:rsidP="00DB6009">
      <w:pPr>
        <w:pStyle w:val="BodyText"/>
        <w:spacing w:before="1" w:line="243" w:lineRule="exact"/>
      </w:pPr>
      <w:r>
        <w:rPr>
          <w:rFonts w:ascii="Futura PT Heavy"/>
          <w:b/>
          <w:color w:val="636466"/>
        </w:rPr>
        <w:t>Level 3:</w:t>
      </w:r>
      <w:r w:rsidR="00E314B6">
        <w:rPr>
          <w:rFonts w:ascii="Futura PT Heavy"/>
          <w:b/>
          <w:color w:val="636466"/>
        </w:rPr>
        <w:t xml:space="preserve"> </w:t>
      </w:r>
      <w:r>
        <w:rPr>
          <w:color w:val="636466"/>
        </w:rPr>
        <w:t>Unobservable inputs for the asset or liability.</w:t>
      </w:r>
    </w:p>
    <w:tbl>
      <w:tblPr>
        <w:tblW w:w="0" w:type="auto"/>
        <w:tblInd w:w="103" w:type="dxa"/>
        <w:tblLayout w:type="fixed"/>
        <w:tblCellMar>
          <w:left w:w="0" w:type="dxa"/>
          <w:right w:w="0" w:type="dxa"/>
        </w:tblCellMar>
        <w:tblLook w:val="01E0" w:firstRow="1" w:lastRow="1" w:firstColumn="1" w:lastColumn="1" w:noHBand="0" w:noVBand="0"/>
      </w:tblPr>
      <w:tblGrid>
        <w:gridCol w:w="1247"/>
        <w:gridCol w:w="1366"/>
        <w:gridCol w:w="985"/>
        <w:gridCol w:w="1051"/>
        <w:gridCol w:w="2891"/>
      </w:tblGrid>
      <w:tr w:rsidR="00D840DF">
        <w:trPr>
          <w:trHeight w:val="500"/>
        </w:trPr>
        <w:tc>
          <w:tcPr>
            <w:tcW w:w="4649" w:type="dxa"/>
            <w:gridSpan w:val="4"/>
            <w:shd w:val="clear" w:color="auto" w:fill="008F54"/>
          </w:tcPr>
          <w:p w:rsidR="00D840DF" w:rsidRDefault="00961020">
            <w:pPr>
              <w:pStyle w:val="TableParagraph"/>
              <w:spacing w:before="48" w:line="220" w:lineRule="auto"/>
              <w:ind w:left="2193" w:right="143" w:hanging="660"/>
              <w:rPr>
                <w:rFonts w:ascii="Futura PT Demi"/>
                <w:sz w:val="17"/>
              </w:rPr>
            </w:pPr>
            <w:r>
              <w:rPr>
                <w:rFonts w:ascii="Futura PT Demi"/>
                <w:color w:val="FFFFFF"/>
                <w:sz w:val="17"/>
              </w:rPr>
              <w:t>Fair value measurements at the end of the</w:t>
            </w:r>
            <w:r w:rsidR="00E314B6">
              <w:rPr>
                <w:rFonts w:ascii="Futura PT Demi"/>
                <w:color w:val="FFFFFF"/>
                <w:sz w:val="17"/>
              </w:rPr>
              <w:t xml:space="preserve"> </w:t>
            </w:r>
            <w:r>
              <w:rPr>
                <w:rFonts w:ascii="Futura PT Demi"/>
                <w:color w:val="FFFFFF"/>
                <w:sz w:val="17"/>
              </w:rPr>
              <w:t>reporting period</w:t>
            </w:r>
          </w:p>
        </w:tc>
        <w:tc>
          <w:tcPr>
            <w:tcW w:w="2891" w:type="dxa"/>
            <w:vMerge w:val="restart"/>
            <w:shd w:val="clear" w:color="auto" w:fill="008F54"/>
          </w:tcPr>
          <w:p w:rsidR="00D840DF" w:rsidRDefault="00D840DF">
            <w:pPr>
              <w:pStyle w:val="TableParagraph"/>
              <w:spacing w:before="0"/>
              <w:rPr>
                <w:sz w:val="20"/>
              </w:rPr>
            </w:pPr>
          </w:p>
          <w:p w:rsidR="00D840DF" w:rsidRDefault="00961020">
            <w:pPr>
              <w:pStyle w:val="TableParagraph"/>
              <w:spacing w:before="147" w:line="220" w:lineRule="auto"/>
              <w:ind w:left="1227" w:right="22" w:hanging="1037"/>
              <w:rPr>
                <w:rFonts w:ascii="Futura PT Demi"/>
                <w:sz w:val="10"/>
              </w:rPr>
            </w:pPr>
            <w:r>
              <w:rPr>
                <w:rFonts w:ascii="Futura PT Demi"/>
                <w:color w:val="FFFFFF"/>
                <w:sz w:val="17"/>
              </w:rPr>
              <w:t>Valuation Technique(s) and Inputs Used</w:t>
            </w:r>
            <w:r>
              <w:rPr>
                <w:rFonts w:ascii="Futura PT Demi"/>
                <w:color w:val="FFFFFF"/>
                <w:position w:val="6"/>
                <w:sz w:val="10"/>
              </w:rPr>
              <w:t>2</w:t>
            </w:r>
          </w:p>
        </w:tc>
      </w:tr>
      <w:tr w:rsidR="00D840DF">
        <w:trPr>
          <w:trHeight w:val="660"/>
        </w:trPr>
        <w:tc>
          <w:tcPr>
            <w:tcW w:w="1247" w:type="dxa"/>
            <w:shd w:val="clear" w:color="auto" w:fill="008F54"/>
          </w:tcPr>
          <w:p w:rsidR="00D840DF" w:rsidRDefault="00D840DF">
            <w:pPr>
              <w:pStyle w:val="TableParagraph"/>
              <w:spacing w:before="0"/>
              <w:rPr>
                <w:rFonts w:ascii="Times New Roman"/>
                <w:sz w:val="16"/>
              </w:rPr>
            </w:pPr>
          </w:p>
        </w:tc>
        <w:tc>
          <w:tcPr>
            <w:tcW w:w="1366" w:type="dxa"/>
            <w:tcBorders>
              <w:top w:val="single" w:sz="4" w:space="0" w:color="76BA9B"/>
            </w:tcBorders>
            <w:shd w:val="clear" w:color="auto" w:fill="008F54"/>
          </w:tcPr>
          <w:p w:rsidR="00D840DF" w:rsidRDefault="00961020">
            <w:pPr>
              <w:pStyle w:val="TableParagraph"/>
              <w:spacing w:before="125" w:line="209" w:lineRule="exact"/>
              <w:ind w:left="645"/>
              <w:rPr>
                <w:rFonts w:ascii="Futura PT Demi"/>
                <w:sz w:val="17"/>
              </w:rPr>
            </w:pPr>
            <w:r>
              <w:rPr>
                <w:rFonts w:ascii="Futura PT Demi"/>
                <w:color w:val="FFFFFF"/>
                <w:sz w:val="17"/>
              </w:rPr>
              <w:t>2017</w:t>
            </w:r>
          </w:p>
          <w:p w:rsidR="00D840DF" w:rsidRDefault="00961020">
            <w:pPr>
              <w:pStyle w:val="TableParagraph"/>
              <w:spacing w:before="0" w:line="209" w:lineRule="exact"/>
              <w:ind w:left="570"/>
              <w:rPr>
                <w:rFonts w:ascii="Futura PT Demi" w:hAnsi="Futura PT Demi"/>
                <w:sz w:val="17"/>
              </w:rPr>
            </w:pPr>
            <w:r>
              <w:rPr>
                <w:rFonts w:ascii="Futura PT Demi" w:hAnsi="Futura PT Demi"/>
                <w:color w:val="FFFFFF"/>
                <w:sz w:val="17"/>
              </w:rPr>
              <w:t>$’000</w:t>
            </w:r>
          </w:p>
        </w:tc>
        <w:tc>
          <w:tcPr>
            <w:tcW w:w="985" w:type="dxa"/>
            <w:tcBorders>
              <w:top w:val="single" w:sz="4" w:space="0" w:color="76BA9B"/>
            </w:tcBorders>
            <w:shd w:val="clear" w:color="auto" w:fill="008F54"/>
          </w:tcPr>
          <w:p w:rsidR="00D840DF" w:rsidRDefault="00961020">
            <w:pPr>
              <w:pStyle w:val="TableParagraph"/>
              <w:spacing w:before="125" w:line="209" w:lineRule="exact"/>
              <w:ind w:left="413"/>
              <w:rPr>
                <w:rFonts w:ascii="Futura PT Demi"/>
                <w:sz w:val="17"/>
              </w:rPr>
            </w:pPr>
            <w:r>
              <w:rPr>
                <w:rFonts w:ascii="Futura PT Demi"/>
                <w:color w:val="FFFFFF"/>
                <w:sz w:val="17"/>
              </w:rPr>
              <w:t>2016</w:t>
            </w:r>
          </w:p>
          <w:p w:rsidR="00D840DF" w:rsidRDefault="00961020">
            <w:pPr>
              <w:pStyle w:val="TableParagraph"/>
              <w:spacing w:before="0" w:line="209" w:lineRule="exact"/>
              <w:ind w:left="338"/>
              <w:rPr>
                <w:rFonts w:ascii="Futura PT Demi" w:hAnsi="Futura PT Demi"/>
                <w:sz w:val="17"/>
              </w:rPr>
            </w:pPr>
            <w:r>
              <w:rPr>
                <w:rFonts w:ascii="Futura PT Demi" w:hAnsi="Futura PT Demi"/>
                <w:color w:val="FFFFFF"/>
                <w:sz w:val="17"/>
              </w:rPr>
              <w:t>$’000</w:t>
            </w:r>
          </w:p>
        </w:tc>
        <w:tc>
          <w:tcPr>
            <w:tcW w:w="1050" w:type="dxa"/>
            <w:tcBorders>
              <w:top w:val="single" w:sz="4" w:space="0" w:color="76BA9B"/>
            </w:tcBorders>
            <w:shd w:val="clear" w:color="auto" w:fill="008F54"/>
          </w:tcPr>
          <w:p w:rsidR="00D840DF" w:rsidRDefault="00961020">
            <w:pPr>
              <w:pStyle w:val="TableParagraph"/>
              <w:spacing w:before="43" w:line="220" w:lineRule="auto"/>
              <w:ind w:left="189" w:right="94" w:firstLine="41"/>
              <w:rPr>
                <w:rFonts w:ascii="Futura PT Demi"/>
                <w:sz w:val="17"/>
              </w:rPr>
            </w:pPr>
            <w:r>
              <w:rPr>
                <w:rFonts w:ascii="Futura PT Demi"/>
                <w:color w:val="FFFFFF"/>
                <w:sz w:val="17"/>
              </w:rPr>
              <w:t>Category (Level 1, 2</w:t>
            </w:r>
          </w:p>
          <w:p w:rsidR="00D840DF" w:rsidRDefault="00961020">
            <w:pPr>
              <w:pStyle w:val="TableParagraph"/>
              <w:spacing w:before="0" w:line="200" w:lineRule="exact"/>
              <w:ind w:left="441"/>
              <w:rPr>
                <w:rFonts w:ascii="Futura PT Demi"/>
                <w:sz w:val="10"/>
              </w:rPr>
            </w:pPr>
            <w:r>
              <w:rPr>
                <w:rFonts w:ascii="Futura PT Demi"/>
                <w:color w:val="FFFFFF"/>
                <w:sz w:val="17"/>
              </w:rPr>
              <w:t>or 3)</w:t>
            </w:r>
            <w:r>
              <w:rPr>
                <w:rFonts w:ascii="Futura PT Demi"/>
                <w:color w:val="FFFFFF"/>
                <w:position w:val="6"/>
                <w:sz w:val="10"/>
              </w:rPr>
              <w:t>3,4</w:t>
            </w:r>
          </w:p>
        </w:tc>
        <w:tc>
          <w:tcPr>
            <w:tcW w:w="2891" w:type="dxa"/>
            <w:vMerge/>
            <w:tcBorders>
              <w:top w:val="nil"/>
            </w:tcBorders>
            <w:shd w:val="clear" w:color="auto" w:fill="008F54"/>
          </w:tcPr>
          <w:p w:rsidR="00D840DF" w:rsidRDefault="00D840DF">
            <w:pPr>
              <w:rPr>
                <w:sz w:val="2"/>
                <w:szCs w:val="2"/>
              </w:rPr>
            </w:pPr>
          </w:p>
        </w:tc>
      </w:tr>
      <w:tr w:rsidR="00D840DF">
        <w:trPr>
          <w:trHeight w:val="260"/>
        </w:trPr>
        <w:tc>
          <w:tcPr>
            <w:tcW w:w="7540" w:type="dxa"/>
            <w:gridSpan w:val="5"/>
            <w:shd w:val="clear" w:color="auto" w:fill="E2F0D8"/>
          </w:tcPr>
          <w:p w:rsidR="00D840DF" w:rsidRDefault="00961020">
            <w:pPr>
              <w:pStyle w:val="TableParagraph"/>
              <w:spacing w:before="33"/>
              <w:ind w:left="113"/>
              <w:rPr>
                <w:rFonts w:ascii="Futura PT Bold"/>
                <w:b/>
                <w:sz w:val="9"/>
              </w:rPr>
            </w:pPr>
            <w:r>
              <w:rPr>
                <w:rFonts w:ascii="Futura PT Bold"/>
                <w:b/>
                <w:color w:val="003E2D"/>
                <w:sz w:val="16"/>
              </w:rPr>
              <w:t>Non-financial assets</w:t>
            </w:r>
            <w:r>
              <w:rPr>
                <w:rFonts w:ascii="Futura PT Bold"/>
                <w:b/>
                <w:color w:val="003E2D"/>
                <w:position w:val="5"/>
                <w:sz w:val="9"/>
              </w:rPr>
              <w:t>1</w:t>
            </w:r>
          </w:p>
        </w:tc>
      </w:tr>
      <w:tr w:rsidR="00D840DF">
        <w:trPr>
          <w:trHeight w:val="1280"/>
        </w:trPr>
        <w:tc>
          <w:tcPr>
            <w:tcW w:w="1247" w:type="dxa"/>
            <w:tcBorders>
              <w:bottom w:val="single" w:sz="4" w:space="0" w:color="C7C8CA"/>
            </w:tcBorders>
          </w:tcPr>
          <w:p w:rsidR="00D840DF" w:rsidRDefault="00961020">
            <w:pPr>
              <w:pStyle w:val="TableParagraph"/>
              <w:spacing w:before="21"/>
              <w:ind w:left="113"/>
              <w:rPr>
                <w:sz w:val="16"/>
              </w:rPr>
            </w:pPr>
            <w:r>
              <w:rPr>
                <w:color w:val="636466"/>
                <w:sz w:val="16"/>
              </w:rPr>
              <w:t>Buildings</w:t>
            </w:r>
          </w:p>
        </w:tc>
        <w:tc>
          <w:tcPr>
            <w:tcW w:w="1366" w:type="dxa"/>
            <w:tcBorders>
              <w:bottom w:val="single" w:sz="4" w:space="0" w:color="C7C8CA"/>
            </w:tcBorders>
          </w:tcPr>
          <w:p w:rsidR="00D840DF" w:rsidRDefault="00961020">
            <w:pPr>
              <w:pStyle w:val="TableParagraph"/>
              <w:spacing w:before="21"/>
              <w:ind w:right="351"/>
              <w:jc w:val="right"/>
              <w:rPr>
                <w:rFonts w:ascii="Futura PT Medium"/>
                <w:sz w:val="16"/>
              </w:rPr>
            </w:pPr>
            <w:r>
              <w:rPr>
                <w:rFonts w:ascii="Futura PT Medium"/>
                <w:color w:val="636466"/>
                <w:sz w:val="16"/>
              </w:rPr>
              <w:t>201</w:t>
            </w:r>
          </w:p>
        </w:tc>
        <w:tc>
          <w:tcPr>
            <w:tcW w:w="985" w:type="dxa"/>
            <w:tcBorders>
              <w:bottom w:val="single" w:sz="4" w:space="0" w:color="C7C8CA"/>
            </w:tcBorders>
          </w:tcPr>
          <w:p w:rsidR="00D840DF" w:rsidRDefault="00961020">
            <w:pPr>
              <w:pStyle w:val="TableParagraph"/>
              <w:spacing w:before="21"/>
              <w:ind w:right="198"/>
              <w:jc w:val="right"/>
              <w:rPr>
                <w:sz w:val="16"/>
              </w:rPr>
            </w:pPr>
            <w:r>
              <w:rPr>
                <w:color w:val="636466"/>
                <w:sz w:val="16"/>
              </w:rPr>
              <w:t>395</w:t>
            </w:r>
          </w:p>
        </w:tc>
        <w:tc>
          <w:tcPr>
            <w:tcW w:w="1050" w:type="dxa"/>
            <w:tcBorders>
              <w:bottom w:val="single" w:sz="4" w:space="0" w:color="C7C8CA"/>
            </w:tcBorders>
          </w:tcPr>
          <w:p w:rsidR="00D840DF" w:rsidRDefault="00961020">
            <w:pPr>
              <w:pStyle w:val="TableParagraph"/>
              <w:spacing w:before="21"/>
              <w:ind w:right="111"/>
              <w:jc w:val="right"/>
              <w:rPr>
                <w:rFonts w:ascii="Futura PT Medium"/>
                <w:sz w:val="16"/>
              </w:rPr>
            </w:pPr>
            <w:r>
              <w:rPr>
                <w:rFonts w:ascii="Futura PT Medium"/>
                <w:color w:val="636466"/>
                <w:sz w:val="16"/>
              </w:rPr>
              <w:t>3</w:t>
            </w:r>
          </w:p>
        </w:tc>
        <w:tc>
          <w:tcPr>
            <w:tcW w:w="2891" w:type="dxa"/>
            <w:tcBorders>
              <w:bottom w:val="single" w:sz="4" w:space="0" w:color="C7C8CA"/>
            </w:tcBorders>
          </w:tcPr>
          <w:p w:rsidR="00D840DF" w:rsidRDefault="00961020">
            <w:pPr>
              <w:pStyle w:val="TableParagraph"/>
              <w:spacing w:line="210" w:lineRule="atLeast"/>
              <w:ind w:left="113" w:right="22"/>
              <w:rPr>
                <w:sz w:val="16"/>
              </w:rPr>
            </w:pPr>
            <w:r>
              <w:rPr>
                <w:color w:val="636466"/>
                <w:sz w:val="16"/>
              </w:rPr>
              <w:t xml:space="preserve">Valuation technique is depreciated replacement costs. Inputs used are replacement cost new (price per square </w:t>
            </w:r>
            <w:proofErr w:type="spellStart"/>
            <w:r>
              <w:rPr>
                <w:color w:val="636466"/>
                <w:sz w:val="16"/>
              </w:rPr>
              <w:t>metre</w:t>
            </w:r>
            <w:proofErr w:type="spellEnd"/>
            <w:r>
              <w:rPr>
                <w:color w:val="636466"/>
                <w:sz w:val="16"/>
              </w:rPr>
              <w:t>) and consumed economic benefit/ obsolescence of asset. The weighted average range is 16.76%</w:t>
            </w:r>
            <w:r w:rsidR="00E314B6">
              <w:rPr>
                <w:color w:val="636466"/>
                <w:sz w:val="16"/>
              </w:rPr>
              <w:t xml:space="preserve"> </w:t>
            </w:r>
            <w:r>
              <w:rPr>
                <w:color w:val="636466"/>
                <w:sz w:val="16"/>
              </w:rPr>
              <w:t>per annum.</w:t>
            </w:r>
          </w:p>
        </w:tc>
      </w:tr>
      <w:tr w:rsidR="00D840DF">
        <w:trPr>
          <w:trHeight w:val="640"/>
        </w:trPr>
        <w:tc>
          <w:tcPr>
            <w:tcW w:w="1247" w:type="dxa"/>
            <w:tcBorders>
              <w:top w:val="single" w:sz="4" w:space="0" w:color="C7C8CA"/>
              <w:bottom w:val="single" w:sz="4" w:space="0" w:color="C7C8CA"/>
            </w:tcBorders>
          </w:tcPr>
          <w:p w:rsidR="00D840DF" w:rsidRDefault="00961020">
            <w:pPr>
              <w:pStyle w:val="TableParagraph"/>
              <w:spacing w:line="244" w:lineRule="auto"/>
              <w:ind w:left="113" w:right="5"/>
              <w:rPr>
                <w:sz w:val="16"/>
              </w:rPr>
            </w:pPr>
            <w:r>
              <w:rPr>
                <w:color w:val="636466"/>
                <w:sz w:val="16"/>
              </w:rPr>
              <w:t>Property, plant and equipment</w:t>
            </w:r>
          </w:p>
        </w:tc>
        <w:tc>
          <w:tcPr>
            <w:tcW w:w="1366" w:type="dxa"/>
            <w:tcBorders>
              <w:top w:val="single" w:sz="4" w:space="0" w:color="C7C8CA"/>
              <w:bottom w:val="single" w:sz="4" w:space="0" w:color="C7C8CA"/>
            </w:tcBorders>
          </w:tcPr>
          <w:p w:rsidR="00D840DF" w:rsidRDefault="00961020">
            <w:pPr>
              <w:pStyle w:val="TableParagraph"/>
              <w:ind w:right="344"/>
              <w:jc w:val="right"/>
              <w:rPr>
                <w:rFonts w:ascii="Futura PT Medium"/>
                <w:sz w:val="16"/>
              </w:rPr>
            </w:pPr>
            <w:r>
              <w:rPr>
                <w:rFonts w:ascii="Futura PT Medium"/>
                <w:color w:val="636466"/>
                <w:sz w:val="16"/>
              </w:rPr>
              <w:t>342</w:t>
            </w:r>
          </w:p>
        </w:tc>
        <w:tc>
          <w:tcPr>
            <w:tcW w:w="985" w:type="dxa"/>
            <w:tcBorders>
              <w:top w:val="single" w:sz="4" w:space="0" w:color="C7C8CA"/>
              <w:bottom w:val="single" w:sz="4" w:space="0" w:color="C7C8CA"/>
            </w:tcBorders>
          </w:tcPr>
          <w:p w:rsidR="00D840DF" w:rsidRDefault="00961020">
            <w:pPr>
              <w:pStyle w:val="TableParagraph"/>
              <w:ind w:right="195"/>
              <w:jc w:val="right"/>
              <w:rPr>
                <w:sz w:val="16"/>
              </w:rPr>
            </w:pPr>
            <w:r>
              <w:rPr>
                <w:color w:val="636466"/>
                <w:sz w:val="16"/>
              </w:rPr>
              <w:t>360</w:t>
            </w:r>
          </w:p>
        </w:tc>
        <w:tc>
          <w:tcPr>
            <w:tcW w:w="1050" w:type="dxa"/>
            <w:tcBorders>
              <w:top w:val="single" w:sz="4" w:space="0" w:color="C7C8CA"/>
              <w:bottom w:val="single" w:sz="4" w:space="0" w:color="C7C8CA"/>
            </w:tcBorders>
          </w:tcPr>
          <w:p w:rsidR="00D840DF" w:rsidRDefault="00961020">
            <w:pPr>
              <w:pStyle w:val="TableParagraph"/>
              <w:ind w:right="111"/>
              <w:jc w:val="right"/>
              <w:rPr>
                <w:rFonts w:ascii="Futura PT Medium"/>
                <w:sz w:val="16"/>
              </w:rPr>
            </w:pPr>
            <w:r>
              <w:rPr>
                <w:rFonts w:ascii="Futura PT Medium"/>
                <w:color w:val="636466"/>
                <w:sz w:val="16"/>
              </w:rPr>
              <w:t>2</w:t>
            </w:r>
          </w:p>
        </w:tc>
        <w:tc>
          <w:tcPr>
            <w:tcW w:w="2891" w:type="dxa"/>
            <w:tcBorders>
              <w:top w:val="single" w:sz="4" w:space="0" w:color="C7C8CA"/>
              <w:bottom w:val="single" w:sz="4" w:space="0" w:color="C7C8CA"/>
            </w:tcBorders>
          </w:tcPr>
          <w:p w:rsidR="00D840DF" w:rsidRDefault="00961020">
            <w:pPr>
              <w:pStyle w:val="TableParagraph"/>
              <w:spacing w:before="11" w:line="210" w:lineRule="atLeast"/>
              <w:ind w:left="113" w:right="864"/>
              <w:jc w:val="both"/>
              <w:rPr>
                <w:sz w:val="16"/>
              </w:rPr>
            </w:pPr>
            <w:r>
              <w:rPr>
                <w:color w:val="636466"/>
                <w:sz w:val="16"/>
              </w:rPr>
              <w:t>Valuation technique is market approach and inputs used are adjusted</w:t>
            </w:r>
            <w:r w:rsidR="00E314B6">
              <w:rPr>
                <w:color w:val="636466"/>
                <w:sz w:val="16"/>
              </w:rPr>
              <w:t xml:space="preserve"> </w:t>
            </w:r>
            <w:r>
              <w:rPr>
                <w:color w:val="636466"/>
                <w:sz w:val="16"/>
              </w:rPr>
              <w:t>market transactions.</w:t>
            </w:r>
          </w:p>
        </w:tc>
      </w:tr>
    </w:tbl>
    <w:p w:rsidR="00D840DF" w:rsidRDefault="00D840DF">
      <w:pPr>
        <w:pStyle w:val="BodyText"/>
        <w:spacing w:before="10"/>
        <w:rPr>
          <w:sz w:val="21"/>
        </w:rPr>
      </w:pPr>
    </w:p>
    <w:p w:rsidR="00D840DF" w:rsidRDefault="00961020">
      <w:pPr>
        <w:ind w:left="103"/>
        <w:rPr>
          <w:sz w:val="16"/>
        </w:rPr>
      </w:pPr>
      <w:r>
        <w:rPr>
          <w:color w:val="636466"/>
          <w:position w:val="5"/>
          <w:sz w:val="9"/>
        </w:rPr>
        <w:t>1</w:t>
      </w:r>
      <w:r w:rsidR="00E314B6">
        <w:rPr>
          <w:color w:val="636466"/>
          <w:position w:val="5"/>
          <w:sz w:val="9"/>
        </w:rPr>
        <w:t xml:space="preserve"> </w:t>
      </w:r>
      <w:r>
        <w:rPr>
          <w:color w:val="636466"/>
          <w:sz w:val="16"/>
        </w:rPr>
        <w:t xml:space="preserve">IHPA did not </w:t>
      </w:r>
      <w:proofErr w:type="spellStart"/>
      <w:r>
        <w:rPr>
          <w:color w:val="636466"/>
          <w:sz w:val="16"/>
        </w:rPr>
        <w:t>remeasure</w:t>
      </w:r>
      <w:proofErr w:type="spellEnd"/>
      <w:r>
        <w:rPr>
          <w:color w:val="636466"/>
          <w:sz w:val="16"/>
        </w:rPr>
        <w:t xml:space="preserve"> non-financial assets at fair value on a non-recurring basis at 30 June 2017.</w:t>
      </w:r>
    </w:p>
    <w:p w:rsidR="00D840DF" w:rsidRDefault="00961020">
      <w:pPr>
        <w:spacing w:before="118"/>
        <w:ind w:left="103"/>
        <w:rPr>
          <w:sz w:val="16"/>
        </w:rPr>
      </w:pPr>
      <w:r>
        <w:rPr>
          <w:color w:val="636466"/>
          <w:position w:val="5"/>
          <w:sz w:val="9"/>
        </w:rPr>
        <w:t>2</w:t>
      </w:r>
      <w:r w:rsidR="00E314B6">
        <w:rPr>
          <w:color w:val="636466"/>
          <w:position w:val="5"/>
          <w:sz w:val="9"/>
        </w:rPr>
        <w:t xml:space="preserve"> </w:t>
      </w:r>
      <w:r>
        <w:rPr>
          <w:color w:val="636466"/>
          <w:sz w:val="16"/>
        </w:rPr>
        <w:t>No change in valuation technique occurred during the period.</w:t>
      </w:r>
    </w:p>
    <w:p w:rsidR="00D840DF" w:rsidRDefault="00961020">
      <w:pPr>
        <w:spacing w:before="118" w:line="244" w:lineRule="auto"/>
        <w:ind w:left="217" w:right="269" w:hanging="114"/>
        <w:rPr>
          <w:sz w:val="16"/>
        </w:rPr>
      </w:pPr>
      <w:r>
        <w:rPr>
          <w:color w:val="636466"/>
          <w:position w:val="5"/>
          <w:sz w:val="9"/>
        </w:rPr>
        <w:t xml:space="preserve">3 </w:t>
      </w:r>
      <w:r>
        <w:rPr>
          <w:color w:val="636466"/>
          <w:sz w:val="16"/>
        </w:rPr>
        <w:t xml:space="preserve">Fair value measurements — highest and best use differs from current use for non-financial assets (NFAs). </w:t>
      </w:r>
      <w:r>
        <w:rPr>
          <w:color w:val="636466"/>
          <w:spacing w:val="-3"/>
          <w:sz w:val="16"/>
        </w:rPr>
        <w:t xml:space="preserve">IHPA’s </w:t>
      </w:r>
      <w:r>
        <w:rPr>
          <w:color w:val="636466"/>
          <w:sz w:val="16"/>
        </w:rPr>
        <w:t>assets</w:t>
      </w:r>
      <w:r w:rsidR="00E314B6">
        <w:rPr>
          <w:color w:val="636466"/>
          <w:sz w:val="16"/>
        </w:rPr>
        <w:t xml:space="preserve"> </w:t>
      </w:r>
      <w:r>
        <w:rPr>
          <w:color w:val="636466"/>
          <w:sz w:val="16"/>
        </w:rPr>
        <w:t>are held for operational purposes and not held for the purposes of deriving a profit. The current use of all controlled assets</w:t>
      </w:r>
      <w:r>
        <w:rPr>
          <w:color w:val="636466"/>
          <w:spacing w:val="7"/>
          <w:sz w:val="16"/>
        </w:rPr>
        <w:t xml:space="preserve"> </w:t>
      </w:r>
      <w:r>
        <w:rPr>
          <w:color w:val="636466"/>
          <w:sz w:val="16"/>
        </w:rPr>
        <w:t>is</w:t>
      </w:r>
      <w:r>
        <w:rPr>
          <w:color w:val="636466"/>
          <w:spacing w:val="7"/>
          <w:sz w:val="16"/>
        </w:rPr>
        <w:t xml:space="preserve"> </w:t>
      </w:r>
      <w:r>
        <w:rPr>
          <w:color w:val="636466"/>
          <w:sz w:val="16"/>
        </w:rPr>
        <w:t>considered</w:t>
      </w:r>
      <w:r>
        <w:rPr>
          <w:color w:val="636466"/>
          <w:spacing w:val="7"/>
          <w:sz w:val="16"/>
        </w:rPr>
        <w:t xml:space="preserve"> </w:t>
      </w:r>
      <w:r>
        <w:rPr>
          <w:color w:val="636466"/>
          <w:sz w:val="16"/>
        </w:rPr>
        <w:t>their</w:t>
      </w:r>
      <w:r>
        <w:rPr>
          <w:color w:val="636466"/>
          <w:spacing w:val="7"/>
          <w:sz w:val="16"/>
        </w:rPr>
        <w:t xml:space="preserve"> </w:t>
      </w:r>
      <w:r>
        <w:rPr>
          <w:color w:val="636466"/>
          <w:sz w:val="16"/>
        </w:rPr>
        <w:t>highest</w:t>
      </w:r>
      <w:r>
        <w:rPr>
          <w:color w:val="636466"/>
          <w:spacing w:val="7"/>
          <w:sz w:val="16"/>
        </w:rPr>
        <w:t xml:space="preserve"> </w:t>
      </w:r>
      <w:r>
        <w:rPr>
          <w:color w:val="636466"/>
          <w:sz w:val="16"/>
        </w:rPr>
        <w:t>and</w:t>
      </w:r>
      <w:r>
        <w:rPr>
          <w:color w:val="636466"/>
          <w:spacing w:val="7"/>
          <w:sz w:val="16"/>
        </w:rPr>
        <w:t xml:space="preserve"> </w:t>
      </w:r>
      <w:r>
        <w:rPr>
          <w:color w:val="636466"/>
          <w:sz w:val="16"/>
        </w:rPr>
        <w:t>best</w:t>
      </w:r>
      <w:r>
        <w:rPr>
          <w:color w:val="636466"/>
          <w:spacing w:val="7"/>
          <w:sz w:val="16"/>
        </w:rPr>
        <w:t xml:space="preserve"> </w:t>
      </w:r>
      <w:r>
        <w:rPr>
          <w:color w:val="636466"/>
          <w:sz w:val="16"/>
        </w:rPr>
        <w:t>use.</w:t>
      </w:r>
      <w:r>
        <w:rPr>
          <w:color w:val="636466"/>
          <w:spacing w:val="7"/>
          <w:sz w:val="16"/>
        </w:rPr>
        <w:t xml:space="preserve"> </w:t>
      </w:r>
      <w:r>
        <w:rPr>
          <w:color w:val="636466"/>
          <w:sz w:val="16"/>
        </w:rPr>
        <w:t>This</w:t>
      </w:r>
      <w:r>
        <w:rPr>
          <w:color w:val="636466"/>
          <w:spacing w:val="7"/>
          <w:sz w:val="16"/>
        </w:rPr>
        <w:t xml:space="preserve"> </w:t>
      </w:r>
      <w:r>
        <w:rPr>
          <w:color w:val="636466"/>
          <w:sz w:val="16"/>
        </w:rPr>
        <w:t>is</w:t>
      </w:r>
      <w:r>
        <w:rPr>
          <w:color w:val="636466"/>
          <w:spacing w:val="7"/>
          <w:sz w:val="16"/>
        </w:rPr>
        <w:t xml:space="preserve"> </w:t>
      </w:r>
      <w:r>
        <w:rPr>
          <w:color w:val="636466"/>
          <w:sz w:val="16"/>
        </w:rPr>
        <w:t>consistent</w:t>
      </w:r>
      <w:r>
        <w:rPr>
          <w:color w:val="636466"/>
          <w:spacing w:val="7"/>
          <w:sz w:val="16"/>
        </w:rPr>
        <w:t xml:space="preserve"> </w:t>
      </w:r>
      <w:r>
        <w:rPr>
          <w:color w:val="636466"/>
          <w:sz w:val="16"/>
        </w:rPr>
        <w:t>with</w:t>
      </w:r>
      <w:r>
        <w:rPr>
          <w:color w:val="636466"/>
          <w:spacing w:val="7"/>
          <w:sz w:val="16"/>
        </w:rPr>
        <w:t xml:space="preserve"> </w:t>
      </w:r>
      <w:r>
        <w:rPr>
          <w:color w:val="636466"/>
          <w:sz w:val="16"/>
        </w:rPr>
        <w:t>the</w:t>
      </w:r>
      <w:r>
        <w:rPr>
          <w:color w:val="636466"/>
          <w:spacing w:val="7"/>
          <w:sz w:val="16"/>
        </w:rPr>
        <w:t xml:space="preserve"> </w:t>
      </w:r>
      <w:r>
        <w:rPr>
          <w:color w:val="636466"/>
          <w:sz w:val="16"/>
        </w:rPr>
        <w:t>treatment</w:t>
      </w:r>
      <w:r>
        <w:rPr>
          <w:color w:val="636466"/>
          <w:spacing w:val="7"/>
          <w:sz w:val="16"/>
        </w:rPr>
        <w:t xml:space="preserve"> </w:t>
      </w:r>
      <w:r>
        <w:rPr>
          <w:color w:val="636466"/>
          <w:sz w:val="16"/>
        </w:rPr>
        <w:t>in</w:t>
      </w:r>
      <w:r>
        <w:rPr>
          <w:color w:val="636466"/>
          <w:spacing w:val="7"/>
          <w:sz w:val="16"/>
        </w:rPr>
        <w:t xml:space="preserve"> </w:t>
      </w:r>
      <w:r>
        <w:rPr>
          <w:color w:val="636466"/>
          <w:spacing w:val="-4"/>
          <w:sz w:val="16"/>
        </w:rPr>
        <w:t>2016.</w:t>
      </w:r>
    </w:p>
    <w:p w:rsidR="00D840DF" w:rsidRDefault="00961020">
      <w:pPr>
        <w:spacing w:before="113"/>
        <w:ind w:left="103"/>
        <w:rPr>
          <w:sz w:val="16"/>
        </w:rPr>
      </w:pPr>
      <w:r>
        <w:rPr>
          <w:color w:val="636466"/>
          <w:position w:val="5"/>
          <w:sz w:val="9"/>
        </w:rPr>
        <w:t xml:space="preserve">4 </w:t>
      </w:r>
      <w:r>
        <w:rPr>
          <w:color w:val="636466"/>
          <w:sz w:val="16"/>
        </w:rPr>
        <w:t>There have been no transfers between levels of the hierarchy during the year.</w:t>
      </w:r>
    </w:p>
    <w:p w:rsidR="00D840DF" w:rsidRDefault="00D840DF">
      <w:pPr>
        <w:rPr>
          <w:sz w:val="16"/>
        </w:rPr>
        <w:sectPr w:rsidR="00D840DF">
          <w:pgSz w:w="9980" w:h="14180"/>
          <w:pgMar w:top="1320" w:right="1020" w:bottom="280" w:left="1200" w:header="720" w:footer="720" w:gutter="0"/>
          <w:cols w:space="720"/>
        </w:sectPr>
      </w:pPr>
    </w:p>
    <w:p w:rsidR="00D840DF" w:rsidRDefault="00961020" w:rsidP="008F7C36">
      <w:pPr>
        <w:pStyle w:val="Heading5"/>
      </w:pPr>
      <w:r>
        <w:lastRenderedPageBreak/>
        <w:t>Accounting Policy</w:t>
      </w:r>
    </w:p>
    <w:p w:rsidR="00D840DF" w:rsidRDefault="00961020" w:rsidP="00DB6009">
      <w:pPr>
        <w:pStyle w:val="Heading6"/>
        <w:ind w:left="0"/>
      </w:pPr>
      <w:r>
        <w:t>Property, plant and equipment and</w:t>
      </w:r>
      <w:r w:rsidR="00E314B6">
        <w:t xml:space="preserve"> </w:t>
      </w:r>
      <w:r>
        <w:t>intangibles</w:t>
      </w:r>
    </w:p>
    <w:p w:rsidR="00D840DF" w:rsidRPr="008D2169" w:rsidRDefault="00961020" w:rsidP="00DB6009">
      <w:pPr>
        <w:pStyle w:val="BodyText"/>
        <w:spacing w:before="185" w:line="256" w:lineRule="auto"/>
        <w:ind w:right="132"/>
      </w:pPr>
      <w:r>
        <w:rPr>
          <w:color w:val="636466"/>
        </w:rPr>
        <w:t>Assets are recorded at cost on acquisition except as stated below. The cost of acquisition includes</w:t>
      </w:r>
      <w:r w:rsidR="00E314B6">
        <w:rPr>
          <w:color w:val="636466"/>
        </w:rPr>
        <w:t xml:space="preserve"> </w:t>
      </w:r>
      <w:r>
        <w:rPr>
          <w:color w:val="636466"/>
        </w:rPr>
        <w:t>the fair value of assets transferred in exchange and liabilities undertaken. Financial assets are initially measured</w:t>
      </w:r>
      <w:r>
        <w:rPr>
          <w:color w:val="636466"/>
          <w:spacing w:val="5"/>
        </w:rPr>
        <w:t xml:space="preserve"> </w:t>
      </w:r>
      <w:r>
        <w:rPr>
          <w:color w:val="636466"/>
        </w:rPr>
        <w:t>at</w:t>
      </w:r>
      <w:r>
        <w:rPr>
          <w:color w:val="636466"/>
          <w:spacing w:val="5"/>
        </w:rPr>
        <w:t xml:space="preserve"> </w:t>
      </w:r>
      <w:r>
        <w:rPr>
          <w:color w:val="636466"/>
        </w:rPr>
        <w:t>their</w:t>
      </w:r>
      <w:r>
        <w:rPr>
          <w:color w:val="636466"/>
          <w:spacing w:val="5"/>
        </w:rPr>
        <w:t xml:space="preserve"> </w:t>
      </w:r>
      <w:r>
        <w:rPr>
          <w:color w:val="636466"/>
        </w:rPr>
        <w:t>fair</w:t>
      </w:r>
      <w:r>
        <w:rPr>
          <w:color w:val="636466"/>
          <w:spacing w:val="5"/>
        </w:rPr>
        <w:t xml:space="preserve"> </w:t>
      </w:r>
      <w:r>
        <w:rPr>
          <w:color w:val="636466"/>
        </w:rPr>
        <w:t>value</w:t>
      </w:r>
      <w:r>
        <w:rPr>
          <w:color w:val="636466"/>
          <w:spacing w:val="5"/>
        </w:rPr>
        <w:t xml:space="preserve"> </w:t>
      </w:r>
      <w:r>
        <w:rPr>
          <w:color w:val="636466"/>
        </w:rPr>
        <w:t>plus</w:t>
      </w:r>
      <w:r>
        <w:rPr>
          <w:color w:val="636466"/>
          <w:spacing w:val="5"/>
        </w:rPr>
        <w:t xml:space="preserve"> </w:t>
      </w:r>
      <w:r>
        <w:rPr>
          <w:color w:val="636466"/>
        </w:rPr>
        <w:t>transaction</w:t>
      </w:r>
      <w:r>
        <w:rPr>
          <w:color w:val="636466"/>
          <w:spacing w:val="5"/>
        </w:rPr>
        <w:t xml:space="preserve"> </w:t>
      </w:r>
      <w:r>
        <w:rPr>
          <w:color w:val="636466"/>
        </w:rPr>
        <w:t>costs</w:t>
      </w:r>
      <w:r>
        <w:rPr>
          <w:color w:val="636466"/>
          <w:spacing w:val="5"/>
        </w:rPr>
        <w:t xml:space="preserve"> </w:t>
      </w:r>
      <w:r>
        <w:rPr>
          <w:color w:val="636466"/>
        </w:rPr>
        <w:t>where</w:t>
      </w:r>
      <w:r>
        <w:rPr>
          <w:color w:val="636466"/>
          <w:spacing w:val="5"/>
        </w:rPr>
        <w:t xml:space="preserve"> </w:t>
      </w:r>
      <w:r>
        <w:rPr>
          <w:color w:val="636466"/>
        </w:rPr>
        <w:t>appropriate.</w:t>
      </w:r>
    </w:p>
    <w:p w:rsidR="00D840DF" w:rsidRPr="008D2169" w:rsidRDefault="00961020" w:rsidP="00DB6009">
      <w:pPr>
        <w:pStyle w:val="BodyText"/>
        <w:spacing w:line="256" w:lineRule="auto"/>
        <w:ind w:right="114"/>
      </w:pPr>
      <w:r>
        <w:rPr>
          <w:color w:val="636466"/>
        </w:rPr>
        <w:t xml:space="preserve">Assets acquired at no cost, or for nominal consideration, are initially </w:t>
      </w:r>
      <w:proofErr w:type="spellStart"/>
      <w:r>
        <w:rPr>
          <w:color w:val="636466"/>
        </w:rPr>
        <w:t>recognised</w:t>
      </w:r>
      <w:proofErr w:type="spellEnd"/>
      <w:r>
        <w:rPr>
          <w:color w:val="636466"/>
        </w:rPr>
        <w:t xml:space="preserve"> as assets and</w:t>
      </w:r>
      <w:r w:rsidR="00E314B6">
        <w:rPr>
          <w:color w:val="636466"/>
        </w:rPr>
        <w:t xml:space="preserve"> </w:t>
      </w:r>
      <w:r>
        <w:rPr>
          <w:color w:val="636466"/>
        </w:rPr>
        <w:t xml:space="preserve">income at their fair value at the date of acquisition, unless acquired as a consequence of restructuring of administrative arrangements. In the latter case, assets are initially </w:t>
      </w:r>
      <w:proofErr w:type="spellStart"/>
      <w:r>
        <w:rPr>
          <w:color w:val="636466"/>
        </w:rPr>
        <w:t>recognised</w:t>
      </w:r>
      <w:proofErr w:type="spellEnd"/>
      <w:r>
        <w:rPr>
          <w:color w:val="636466"/>
        </w:rPr>
        <w:t xml:space="preserve"> as contributions by owners at the amounts at which they were </w:t>
      </w:r>
      <w:proofErr w:type="spellStart"/>
      <w:r>
        <w:rPr>
          <w:color w:val="636466"/>
        </w:rPr>
        <w:t>recognised</w:t>
      </w:r>
      <w:proofErr w:type="spellEnd"/>
      <w:r>
        <w:rPr>
          <w:color w:val="636466"/>
        </w:rPr>
        <w:t xml:space="preserve"> in the transferor’s accounts immediately prior</w:t>
      </w:r>
      <w:r w:rsidR="00E314B6">
        <w:rPr>
          <w:color w:val="636466"/>
        </w:rPr>
        <w:t xml:space="preserve"> </w:t>
      </w:r>
      <w:r>
        <w:rPr>
          <w:color w:val="636466"/>
        </w:rPr>
        <w:t>to</w:t>
      </w:r>
      <w:r w:rsidR="00E314B6">
        <w:rPr>
          <w:color w:val="636466"/>
        </w:rPr>
        <w:t xml:space="preserve"> </w:t>
      </w:r>
      <w:r>
        <w:rPr>
          <w:color w:val="636466"/>
        </w:rPr>
        <w:t>the</w:t>
      </w:r>
      <w:r>
        <w:rPr>
          <w:color w:val="636466"/>
          <w:spacing w:val="-16"/>
        </w:rPr>
        <w:t xml:space="preserve"> </w:t>
      </w:r>
      <w:r>
        <w:rPr>
          <w:color w:val="636466"/>
        </w:rPr>
        <w:t>restructuring.</w:t>
      </w:r>
    </w:p>
    <w:p w:rsidR="00D840DF" w:rsidRDefault="00961020" w:rsidP="00DB6009">
      <w:pPr>
        <w:pStyle w:val="Heading6"/>
        <w:ind w:left="0"/>
      </w:pPr>
      <w:r>
        <w:t>Asset</w:t>
      </w:r>
      <w:r w:rsidR="00E314B6">
        <w:t xml:space="preserve"> </w:t>
      </w:r>
      <w:r>
        <w:t>recognition threshold</w:t>
      </w:r>
    </w:p>
    <w:p w:rsidR="00D840DF" w:rsidRPr="008D2169" w:rsidRDefault="00961020" w:rsidP="00DB6009">
      <w:pPr>
        <w:pStyle w:val="BodyText"/>
        <w:spacing w:before="186" w:line="256" w:lineRule="auto"/>
        <w:ind w:right="217"/>
      </w:pPr>
      <w:r>
        <w:rPr>
          <w:color w:val="636466"/>
        </w:rPr>
        <w:t xml:space="preserve">Purchases of property, plant and equipment are </w:t>
      </w:r>
      <w:proofErr w:type="spellStart"/>
      <w:r>
        <w:rPr>
          <w:color w:val="636466"/>
        </w:rPr>
        <w:t>recognised</w:t>
      </w:r>
      <w:proofErr w:type="spellEnd"/>
      <w:r>
        <w:rPr>
          <w:color w:val="636466"/>
        </w:rPr>
        <w:t xml:space="preserve"> initially at cost in the statement of</w:t>
      </w:r>
      <w:r w:rsidR="00E314B6">
        <w:rPr>
          <w:color w:val="636466"/>
        </w:rPr>
        <w:t xml:space="preserve"> </w:t>
      </w:r>
      <w:r>
        <w:rPr>
          <w:color w:val="636466"/>
        </w:rPr>
        <w:t>financial position, except for purchases costing less than $2,000, which are expensed in the year of acquisition</w:t>
      </w:r>
      <w:r>
        <w:rPr>
          <w:color w:val="636466"/>
          <w:spacing w:val="3"/>
        </w:rPr>
        <w:t xml:space="preserve"> </w:t>
      </w:r>
      <w:r>
        <w:rPr>
          <w:color w:val="636466"/>
        </w:rPr>
        <w:t>(other</w:t>
      </w:r>
      <w:r>
        <w:rPr>
          <w:color w:val="636466"/>
          <w:spacing w:val="3"/>
        </w:rPr>
        <w:t xml:space="preserve"> </w:t>
      </w:r>
      <w:r>
        <w:rPr>
          <w:color w:val="636466"/>
        </w:rPr>
        <w:t>than</w:t>
      </w:r>
      <w:r>
        <w:rPr>
          <w:color w:val="636466"/>
          <w:spacing w:val="3"/>
        </w:rPr>
        <w:t xml:space="preserve"> </w:t>
      </w:r>
      <w:r>
        <w:rPr>
          <w:color w:val="636466"/>
        </w:rPr>
        <w:t>where</w:t>
      </w:r>
      <w:r>
        <w:rPr>
          <w:color w:val="636466"/>
          <w:spacing w:val="3"/>
        </w:rPr>
        <w:t xml:space="preserve"> </w:t>
      </w:r>
      <w:r>
        <w:rPr>
          <w:color w:val="636466"/>
        </w:rPr>
        <w:t>they</w:t>
      </w:r>
      <w:r>
        <w:rPr>
          <w:color w:val="636466"/>
          <w:spacing w:val="3"/>
        </w:rPr>
        <w:t xml:space="preserve"> </w:t>
      </w:r>
      <w:r>
        <w:rPr>
          <w:color w:val="636466"/>
        </w:rPr>
        <w:t>form</w:t>
      </w:r>
      <w:r>
        <w:rPr>
          <w:color w:val="636466"/>
          <w:spacing w:val="3"/>
        </w:rPr>
        <w:t xml:space="preserve"> </w:t>
      </w:r>
      <w:r>
        <w:rPr>
          <w:color w:val="636466"/>
        </w:rPr>
        <w:t>part</w:t>
      </w:r>
      <w:r>
        <w:rPr>
          <w:color w:val="636466"/>
          <w:spacing w:val="3"/>
        </w:rPr>
        <w:t xml:space="preserve"> </w:t>
      </w:r>
      <w:r>
        <w:rPr>
          <w:color w:val="636466"/>
        </w:rPr>
        <w:t>of</w:t>
      </w:r>
      <w:r>
        <w:rPr>
          <w:color w:val="636466"/>
          <w:spacing w:val="3"/>
        </w:rPr>
        <w:t xml:space="preserve"> </w:t>
      </w:r>
      <w:r>
        <w:rPr>
          <w:color w:val="636466"/>
        </w:rPr>
        <w:t>a</w:t>
      </w:r>
      <w:r>
        <w:rPr>
          <w:color w:val="636466"/>
          <w:spacing w:val="3"/>
        </w:rPr>
        <w:t xml:space="preserve"> </w:t>
      </w:r>
      <w:r>
        <w:rPr>
          <w:color w:val="636466"/>
        </w:rPr>
        <w:t>group</w:t>
      </w:r>
      <w:r>
        <w:rPr>
          <w:color w:val="636466"/>
          <w:spacing w:val="3"/>
        </w:rPr>
        <w:t xml:space="preserve"> </w:t>
      </w:r>
      <w:r>
        <w:rPr>
          <w:color w:val="636466"/>
        </w:rPr>
        <w:t>of</w:t>
      </w:r>
      <w:r>
        <w:rPr>
          <w:color w:val="636466"/>
          <w:spacing w:val="3"/>
        </w:rPr>
        <w:t xml:space="preserve"> </w:t>
      </w:r>
      <w:r>
        <w:rPr>
          <w:color w:val="636466"/>
        </w:rPr>
        <w:t>similar</w:t>
      </w:r>
      <w:r>
        <w:rPr>
          <w:color w:val="636466"/>
          <w:spacing w:val="3"/>
        </w:rPr>
        <w:t xml:space="preserve"> </w:t>
      </w:r>
      <w:r>
        <w:rPr>
          <w:color w:val="636466"/>
        </w:rPr>
        <w:t>items</w:t>
      </w:r>
      <w:r>
        <w:rPr>
          <w:color w:val="636466"/>
          <w:spacing w:val="3"/>
        </w:rPr>
        <w:t xml:space="preserve"> </w:t>
      </w:r>
      <w:r>
        <w:rPr>
          <w:color w:val="636466"/>
        </w:rPr>
        <w:t>which</w:t>
      </w:r>
      <w:r>
        <w:rPr>
          <w:color w:val="636466"/>
          <w:spacing w:val="3"/>
        </w:rPr>
        <w:t xml:space="preserve"> </w:t>
      </w:r>
      <w:r>
        <w:rPr>
          <w:color w:val="636466"/>
        </w:rPr>
        <w:t>are</w:t>
      </w:r>
      <w:r>
        <w:rPr>
          <w:color w:val="636466"/>
          <w:spacing w:val="3"/>
        </w:rPr>
        <w:t xml:space="preserve"> </w:t>
      </w:r>
      <w:r>
        <w:rPr>
          <w:color w:val="636466"/>
        </w:rPr>
        <w:t>significant</w:t>
      </w:r>
      <w:r>
        <w:rPr>
          <w:color w:val="636466"/>
          <w:spacing w:val="3"/>
        </w:rPr>
        <w:t xml:space="preserve"> </w:t>
      </w:r>
      <w:r>
        <w:rPr>
          <w:color w:val="636466"/>
        </w:rPr>
        <w:t>in</w:t>
      </w:r>
      <w:r>
        <w:rPr>
          <w:color w:val="636466"/>
          <w:spacing w:val="3"/>
        </w:rPr>
        <w:t xml:space="preserve"> </w:t>
      </w:r>
      <w:r>
        <w:rPr>
          <w:color w:val="636466"/>
        </w:rPr>
        <w:t>total).</w:t>
      </w:r>
    </w:p>
    <w:p w:rsidR="00D840DF" w:rsidRDefault="00961020" w:rsidP="00DB6009">
      <w:pPr>
        <w:pStyle w:val="Heading6"/>
        <w:ind w:left="0"/>
      </w:pPr>
      <w:r>
        <w:t>Revaluations</w:t>
      </w:r>
    </w:p>
    <w:p w:rsidR="00D840DF" w:rsidRPr="008D2169" w:rsidRDefault="00961020" w:rsidP="00DB6009">
      <w:pPr>
        <w:pStyle w:val="BodyText"/>
        <w:spacing w:before="186" w:line="256" w:lineRule="auto"/>
        <w:ind w:right="211"/>
      </w:pPr>
      <w:r>
        <w:rPr>
          <w:color w:val="636466"/>
        </w:rPr>
        <w:t>Following initial recognition at cost, property, plant and equipment are carried at fair value less subsequent accumulated depreciation and accumulated impairment losses. Valuations are conducted with sufficient frequency to ensure that the carrying amounts of assets did not differ materially from</w:t>
      </w:r>
      <w:r w:rsidR="00E314B6">
        <w:rPr>
          <w:color w:val="636466"/>
        </w:rPr>
        <w:t xml:space="preserve"> </w:t>
      </w:r>
      <w:r>
        <w:rPr>
          <w:color w:val="636466"/>
        </w:rPr>
        <w:t>the assets’ fair values as at the reporting date. The regularity of independent valuations depended upon</w:t>
      </w:r>
      <w:r>
        <w:rPr>
          <w:color w:val="636466"/>
          <w:spacing w:val="5"/>
        </w:rPr>
        <w:t xml:space="preserve"> </w:t>
      </w:r>
      <w:r>
        <w:rPr>
          <w:color w:val="636466"/>
        </w:rPr>
        <w:t>the</w:t>
      </w:r>
      <w:r>
        <w:rPr>
          <w:color w:val="636466"/>
          <w:spacing w:val="5"/>
        </w:rPr>
        <w:t xml:space="preserve"> </w:t>
      </w:r>
      <w:r>
        <w:rPr>
          <w:color w:val="636466"/>
        </w:rPr>
        <w:t>volatility</w:t>
      </w:r>
      <w:r>
        <w:rPr>
          <w:color w:val="636466"/>
          <w:spacing w:val="5"/>
        </w:rPr>
        <w:t xml:space="preserve"> </w:t>
      </w:r>
      <w:r>
        <w:rPr>
          <w:color w:val="636466"/>
        </w:rPr>
        <w:t>of</w:t>
      </w:r>
      <w:r>
        <w:rPr>
          <w:color w:val="636466"/>
          <w:spacing w:val="5"/>
        </w:rPr>
        <w:t xml:space="preserve"> </w:t>
      </w:r>
      <w:r>
        <w:rPr>
          <w:color w:val="636466"/>
        </w:rPr>
        <w:t>movements</w:t>
      </w:r>
      <w:r>
        <w:rPr>
          <w:color w:val="636466"/>
          <w:spacing w:val="5"/>
        </w:rPr>
        <w:t xml:space="preserve"> </w:t>
      </w:r>
      <w:r>
        <w:rPr>
          <w:color w:val="636466"/>
        </w:rPr>
        <w:t>in</w:t>
      </w:r>
      <w:r>
        <w:rPr>
          <w:color w:val="636466"/>
          <w:spacing w:val="5"/>
        </w:rPr>
        <w:t xml:space="preserve"> </w:t>
      </w:r>
      <w:r>
        <w:rPr>
          <w:color w:val="636466"/>
        </w:rPr>
        <w:t>market</w:t>
      </w:r>
      <w:r>
        <w:rPr>
          <w:color w:val="636466"/>
          <w:spacing w:val="5"/>
        </w:rPr>
        <w:t xml:space="preserve"> </w:t>
      </w:r>
      <w:r>
        <w:rPr>
          <w:color w:val="636466"/>
        </w:rPr>
        <w:t>values</w:t>
      </w:r>
      <w:r>
        <w:rPr>
          <w:color w:val="636466"/>
          <w:spacing w:val="5"/>
        </w:rPr>
        <w:t xml:space="preserve"> </w:t>
      </w:r>
      <w:r>
        <w:rPr>
          <w:color w:val="636466"/>
        </w:rPr>
        <w:t>for</w:t>
      </w:r>
      <w:r>
        <w:rPr>
          <w:color w:val="636466"/>
          <w:spacing w:val="5"/>
        </w:rPr>
        <w:t xml:space="preserve"> </w:t>
      </w:r>
      <w:r>
        <w:rPr>
          <w:color w:val="636466"/>
        </w:rPr>
        <w:t>the</w:t>
      </w:r>
      <w:r>
        <w:rPr>
          <w:color w:val="636466"/>
          <w:spacing w:val="5"/>
        </w:rPr>
        <w:t xml:space="preserve"> </w:t>
      </w:r>
      <w:r>
        <w:rPr>
          <w:color w:val="636466"/>
        </w:rPr>
        <w:t>relevant</w:t>
      </w:r>
      <w:r>
        <w:rPr>
          <w:color w:val="636466"/>
          <w:spacing w:val="5"/>
        </w:rPr>
        <w:t xml:space="preserve"> </w:t>
      </w:r>
      <w:r>
        <w:rPr>
          <w:color w:val="636466"/>
        </w:rPr>
        <w:t>assets.</w:t>
      </w:r>
    </w:p>
    <w:p w:rsidR="00D840DF" w:rsidRPr="008D2169" w:rsidRDefault="00961020" w:rsidP="00DB6009">
      <w:pPr>
        <w:pStyle w:val="BodyText"/>
        <w:spacing w:line="256" w:lineRule="auto"/>
        <w:ind w:right="269"/>
      </w:pPr>
      <w:r>
        <w:rPr>
          <w:color w:val="636466"/>
        </w:rPr>
        <w:t xml:space="preserve">Revaluation </w:t>
      </w:r>
      <w:r>
        <w:rPr>
          <w:color w:val="636466"/>
          <w:spacing w:val="1"/>
        </w:rPr>
        <w:t xml:space="preserve">adjustments </w:t>
      </w:r>
      <w:r>
        <w:rPr>
          <w:color w:val="636466"/>
        </w:rPr>
        <w:t xml:space="preserve">are made on a </w:t>
      </w:r>
      <w:r>
        <w:rPr>
          <w:color w:val="636466"/>
          <w:spacing w:val="1"/>
        </w:rPr>
        <w:t xml:space="preserve">class </w:t>
      </w:r>
      <w:r>
        <w:rPr>
          <w:color w:val="636466"/>
        </w:rPr>
        <w:t xml:space="preserve">basis. Any revaluation increment is </w:t>
      </w:r>
      <w:r>
        <w:rPr>
          <w:color w:val="636466"/>
          <w:spacing w:val="1"/>
        </w:rPr>
        <w:t xml:space="preserve">credited </w:t>
      </w:r>
      <w:r>
        <w:rPr>
          <w:color w:val="636466"/>
        </w:rPr>
        <w:t xml:space="preserve">to </w:t>
      </w:r>
      <w:r>
        <w:rPr>
          <w:color w:val="636466"/>
          <w:spacing w:val="2"/>
        </w:rPr>
        <w:t xml:space="preserve">equity </w:t>
      </w:r>
      <w:r>
        <w:rPr>
          <w:color w:val="636466"/>
        </w:rPr>
        <w:t xml:space="preserve">under </w:t>
      </w:r>
      <w:r>
        <w:rPr>
          <w:color w:val="636466"/>
          <w:spacing w:val="1"/>
        </w:rPr>
        <w:t xml:space="preserve">the </w:t>
      </w:r>
      <w:r>
        <w:rPr>
          <w:color w:val="636466"/>
        </w:rPr>
        <w:t xml:space="preserve">heading of </w:t>
      </w:r>
      <w:r>
        <w:rPr>
          <w:color w:val="636466"/>
          <w:spacing w:val="1"/>
        </w:rPr>
        <w:t xml:space="preserve">asset </w:t>
      </w:r>
      <w:r>
        <w:rPr>
          <w:color w:val="636466"/>
        </w:rPr>
        <w:t xml:space="preserve">revaluation </w:t>
      </w:r>
      <w:r>
        <w:rPr>
          <w:color w:val="636466"/>
          <w:spacing w:val="1"/>
        </w:rPr>
        <w:t xml:space="preserve">reserve </w:t>
      </w:r>
      <w:r>
        <w:rPr>
          <w:color w:val="636466"/>
        </w:rPr>
        <w:t xml:space="preserve">except to </w:t>
      </w:r>
      <w:r>
        <w:rPr>
          <w:color w:val="636466"/>
          <w:spacing w:val="1"/>
        </w:rPr>
        <w:t xml:space="preserve">the extent that </w:t>
      </w:r>
      <w:r>
        <w:rPr>
          <w:color w:val="636466"/>
        </w:rPr>
        <w:t xml:space="preserve">it reversed a previous revaluation decrement of </w:t>
      </w:r>
      <w:r>
        <w:rPr>
          <w:color w:val="636466"/>
          <w:spacing w:val="1"/>
        </w:rPr>
        <w:t xml:space="preserve">the </w:t>
      </w:r>
      <w:r>
        <w:rPr>
          <w:color w:val="636466"/>
        </w:rPr>
        <w:t xml:space="preserve">same </w:t>
      </w:r>
      <w:r>
        <w:rPr>
          <w:color w:val="636466"/>
          <w:spacing w:val="1"/>
        </w:rPr>
        <w:t xml:space="preserve">asset class that </w:t>
      </w:r>
      <w:r>
        <w:rPr>
          <w:color w:val="636466"/>
        </w:rPr>
        <w:t xml:space="preserve">was previously </w:t>
      </w:r>
      <w:proofErr w:type="spellStart"/>
      <w:r>
        <w:rPr>
          <w:color w:val="636466"/>
          <w:spacing w:val="1"/>
        </w:rPr>
        <w:t>recognised</w:t>
      </w:r>
      <w:proofErr w:type="spellEnd"/>
      <w:r>
        <w:rPr>
          <w:color w:val="636466"/>
          <w:spacing w:val="1"/>
        </w:rPr>
        <w:t xml:space="preserve"> </w:t>
      </w:r>
      <w:r>
        <w:rPr>
          <w:color w:val="636466"/>
        </w:rPr>
        <w:t xml:space="preserve">in </w:t>
      </w:r>
      <w:r>
        <w:rPr>
          <w:color w:val="636466"/>
          <w:spacing w:val="1"/>
        </w:rPr>
        <w:t xml:space="preserve">the </w:t>
      </w:r>
      <w:r>
        <w:rPr>
          <w:color w:val="636466"/>
        </w:rPr>
        <w:t xml:space="preserve">surplus/deficit. Revaluation decrements for a class of assets are </w:t>
      </w:r>
      <w:proofErr w:type="spellStart"/>
      <w:r>
        <w:rPr>
          <w:color w:val="636466"/>
        </w:rPr>
        <w:t>recognised</w:t>
      </w:r>
      <w:proofErr w:type="spellEnd"/>
      <w:r>
        <w:rPr>
          <w:color w:val="636466"/>
        </w:rPr>
        <w:t xml:space="preserve"> directly in the surplus/deficit except to</w:t>
      </w:r>
      <w:r w:rsidR="00E314B6">
        <w:rPr>
          <w:color w:val="636466"/>
        </w:rPr>
        <w:t xml:space="preserve"> </w:t>
      </w:r>
      <w:r>
        <w:rPr>
          <w:color w:val="636466"/>
        </w:rPr>
        <w:t>the</w:t>
      </w:r>
      <w:r>
        <w:rPr>
          <w:color w:val="636466"/>
          <w:spacing w:val="5"/>
        </w:rPr>
        <w:t xml:space="preserve"> </w:t>
      </w:r>
      <w:r>
        <w:rPr>
          <w:color w:val="636466"/>
        </w:rPr>
        <w:t>extent</w:t>
      </w:r>
      <w:r>
        <w:rPr>
          <w:color w:val="636466"/>
          <w:spacing w:val="5"/>
        </w:rPr>
        <w:t xml:space="preserve"> </w:t>
      </w:r>
      <w:r>
        <w:rPr>
          <w:color w:val="636466"/>
        </w:rPr>
        <w:t>that</w:t>
      </w:r>
      <w:r>
        <w:rPr>
          <w:color w:val="636466"/>
          <w:spacing w:val="5"/>
        </w:rPr>
        <w:t xml:space="preserve"> </w:t>
      </w:r>
      <w:r>
        <w:rPr>
          <w:color w:val="636466"/>
        </w:rPr>
        <w:t>they</w:t>
      </w:r>
      <w:r>
        <w:rPr>
          <w:color w:val="636466"/>
          <w:spacing w:val="5"/>
        </w:rPr>
        <w:t xml:space="preserve"> </w:t>
      </w:r>
      <w:r>
        <w:rPr>
          <w:color w:val="636466"/>
        </w:rPr>
        <w:t>reversed</w:t>
      </w:r>
      <w:r>
        <w:rPr>
          <w:color w:val="636466"/>
          <w:spacing w:val="5"/>
        </w:rPr>
        <w:t xml:space="preserve"> </w:t>
      </w:r>
      <w:r>
        <w:rPr>
          <w:color w:val="636466"/>
        </w:rPr>
        <w:t>a</w:t>
      </w:r>
      <w:r>
        <w:rPr>
          <w:color w:val="636466"/>
          <w:spacing w:val="5"/>
        </w:rPr>
        <w:t xml:space="preserve"> </w:t>
      </w:r>
      <w:r>
        <w:rPr>
          <w:color w:val="636466"/>
        </w:rPr>
        <w:t>previous</w:t>
      </w:r>
      <w:r>
        <w:rPr>
          <w:color w:val="636466"/>
          <w:spacing w:val="5"/>
        </w:rPr>
        <w:t xml:space="preserve"> </w:t>
      </w:r>
      <w:r>
        <w:rPr>
          <w:color w:val="636466"/>
        </w:rPr>
        <w:t>revaluation</w:t>
      </w:r>
      <w:r>
        <w:rPr>
          <w:color w:val="636466"/>
          <w:spacing w:val="5"/>
        </w:rPr>
        <w:t xml:space="preserve"> </w:t>
      </w:r>
      <w:r>
        <w:rPr>
          <w:color w:val="636466"/>
        </w:rPr>
        <w:t>increment</w:t>
      </w:r>
      <w:r>
        <w:rPr>
          <w:color w:val="636466"/>
          <w:spacing w:val="5"/>
        </w:rPr>
        <w:t xml:space="preserve"> </w:t>
      </w:r>
      <w:r>
        <w:rPr>
          <w:color w:val="636466"/>
        </w:rPr>
        <w:t>for</w:t>
      </w:r>
      <w:r>
        <w:rPr>
          <w:color w:val="636466"/>
          <w:spacing w:val="5"/>
        </w:rPr>
        <w:t xml:space="preserve"> </w:t>
      </w:r>
      <w:r>
        <w:rPr>
          <w:color w:val="636466"/>
        </w:rPr>
        <w:t>that</w:t>
      </w:r>
      <w:r>
        <w:rPr>
          <w:color w:val="636466"/>
          <w:spacing w:val="5"/>
        </w:rPr>
        <w:t xml:space="preserve"> </w:t>
      </w:r>
      <w:r>
        <w:rPr>
          <w:color w:val="636466"/>
        </w:rPr>
        <w:t>class.</w:t>
      </w:r>
    </w:p>
    <w:p w:rsidR="00D840DF" w:rsidRPr="008D2169" w:rsidRDefault="00961020" w:rsidP="00DB6009">
      <w:pPr>
        <w:pStyle w:val="BodyText"/>
        <w:spacing w:before="1" w:line="256" w:lineRule="auto"/>
        <w:ind w:right="269"/>
      </w:pPr>
      <w:r>
        <w:rPr>
          <w:color w:val="636466"/>
        </w:rPr>
        <w:t>Any accumulated depreciation as at the revaluation date is eliminated against the gross carrying amount of the asset and the asset restated to the revalued amount.</w:t>
      </w:r>
    </w:p>
    <w:p w:rsidR="00D840DF" w:rsidRDefault="00961020" w:rsidP="00DB6009">
      <w:pPr>
        <w:pStyle w:val="Heading6"/>
        <w:ind w:left="0"/>
      </w:pPr>
      <w:r>
        <w:t>Depreciation</w:t>
      </w:r>
    </w:p>
    <w:p w:rsidR="00D840DF" w:rsidRDefault="00961020" w:rsidP="00DB6009">
      <w:pPr>
        <w:pStyle w:val="BodyText"/>
        <w:spacing w:before="186" w:line="256" w:lineRule="auto"/>
        <w:ind w:right="558"/>
      </w:pPr>
      <w:r>
        <w:rPr>
          <w:color w:val="636466"/>
        </w:rPr>
        <w:t>Depreciable property, plant and equipment assets are written-off to their estimated residual values over their estimated useful lives to the entity using, in all cases, the straight-line method of depreciation.</w:t>
      </w:r>
    </w:p>
    <w:p w:rsidR="00D840DF" w:rsidRDefault="00D840DF">
      <w:pPr>
        <w:spacing w:line="256" w:lineRule="auto"/>
        <w:sectPr w:rsidR="00D840DF">
          <w:pgSz w:w="9980" w:h="14180"/>
          <w:pgMar w:top="1320" w:right="1200" w:bottom="280" w:left="1020" w:header="720" w:footer="720" w:gutter="0"/>
          <w:cols w:space="720"/>
        </w:sectPr>
      </w:pPr>
    </w:p>
    <w:p w:rsidR="00D840DF" w:rsidRPr="008D2169" w:rsidRDefault="00961020" w:rsidP="00DB6009">
      <w:pPr>
        <w:pStyle w:val="BodyText"/>
        <w:spacing w:before="89" w:line="256" w:lineRule="auto"/>
        <w:ind w:right="175"/>
      </w:pPr>
      <w:r>
        <w:rPr>
          <w:color w:val="636466"/>
        </w:rPr>
        <w:lastRenderedPageBreak/>
        <w:t xml:space="preserve">Depreciation rates (useful lives), residual values and methods are reviewed at each reporting date and necessary adjustments are </w:t>
      </w:r>
      <w:proofErr w:type="spellStart"/>
      <w:r>
        <w:rPr>
          <w:color w:val="636466"/>
        </w:rPr>
        <w:t>recognised</w:t>
      </w:r>
      <w:proofErr w:type="spellEnd"/>
      <w:r>
        <w:rPr>
          <w:color w:val="636466"/>
        </w:rPr>
        <w:t xml:space="preserve"> in the current, or current and future reporting periods, as appropriate.</w:t>
      </w:r>
    </w:p>
    <w:p w:rsidR="00D840DF" w:rsidRPr="008D2169" w:rsidRDefault="00961020" w:rsidP="008D2169">
      <w:pPr>
        <w:pStyle w:val="BodyText"/>
      </w:pPr>
      <w:r>
        <w:t>Depreciation rates applying to each class of depreciable asset are based on the following useful lives:</w:t>
      </w:r>
    </w:p>
    <w:tbl>
      <w:tblPr>
        <w:tblW w:w="0" w:type="auto"/>
        <w:tblInd w:w="103" w:type="dxa"/>
        <w:tblLayout w:type="fixed"/>
        <w:tblCellMar>
          <w:left w:w="0" w:type="dxa"/>
          <w:right w:w="0" w:type="dxa"/>
        </w:tblCellMar>
        <w:tblLook w:val="01E0" w:firstRow="1" w:lastRow="1" w:firstColumn="1" w:lastColumn="1" w:noHBand="0" w:noVBand="0"/>
      </w:tblPr>
      <w:tblGrid>
        <w:gridCol w:w="1169"/>
        <w:gridCol w:w="1115"/>
        <w:gridCol w:w="1321"/>
      </w:tblGrid>
      <w:tr w:rsidR="00D840DF">
        <w:trPr>
          <w:trHeight w:val="280"/>
        </w:trPr>
        <w:tc>
          <w:tcPr>
            <w:tcW w:w="1169" w:type="dxa"/>
            <w:shd w:val="clear" w:color="auto" w:fill="008F54"/>
          </w:tcPr>
          <w:p w:rsidR="00D840DF" w:rsidRDefault="00D840DF">
            <w:pPr>
              <w:pStyle w:val="TableParagraph"/>
              <w:spacing w:before="0"/>
              <w:rPr>
                <w:rFonts w:ascii="Times New Roman"/>
                <w:sz w:val="18"/>
              </w:rPr>
            </w:pPr>
          </w:p>
        </w:tc>
        <w:tc>
          <w:tcPr>
            <w:tcW w:w="1115" w:type="dxa"/>
            <w:shd w:val="clear" w:color="auto" w:fill="008F54"/>
          </w:tcPr>
          <w:p w:rsidR="00D840DF" w:rsidRDefault="00961020">
            <w:pPr>
              <w:pStyle w:val="TableParagraph"/>
              <w:spacing w:before="30"/>
              <w:ind w:left="145"/>
              <w:rPr>
                <w:rFonts w:ascii="Futura PT Demi"/>
                <w:sz w:val="17"/>
              </w:rPr>
            </w:pPr>
            <w:r>
              <w:rPr>
                <w:rFonts w:ascii="Futura PT Demi"/>
                <w:color w:val="FFFFFF"/>
                <w:sz w:val="17"/>
              </w:rPr>
              <w:t>2017</w:t>
            </w:r>
          </w:p>
        </w:tc>
        <w:tc>
          <w:tcPr>
            <w:tcW w:w="1321" w:type="dxa"/>
            <w:shd w:val="clear" w:color="auto" w:fill="008F54"/>
          </w:tcPr>
          <w:p w:rsidR="00D840DF" w:rsidRDefault="00961020">
            <w:pPr>
              <w:pStyle w:val="TableParagraph"/>
              <w:spacing w:before="30"/>
              <w:ind w:left="232"/>
              <w:rPr>
                <w:rFonts w:ascii="Futura PT Demi"/>
                <w:sz w:val="17"/>
              </w:rPr>
            </w:pPr>
            <w:r>
              <w:rPr>
                <w:rFonts w:ascii="Futura PT Demi"/>
                <w:color w:val="FFFFFF"/>
                <w:sz w:val="17"/>
              </w:rPr>
              <w:t>2016</w:t>
            </w:r>
          </w:p>
        </w:tc>
      </w:tr>
      <w:tr w:rsidR="00D840DF">
        <w:trPr>
          <w:trHeight w:val="420"/>
        </w:trPr>
        <w:tc>
          <w:tcPr>
            <w:tcW w:w="1169" w:type="dxa"/>
            <w:tcBorders>
              <w:bottom w:val="single" w:sz="4" w:space="0" w:color="C7C8CA"/>
            </w:tcBorders>
          </w:tcPr>
          <w:p w:rsidR="00D840DF" w:rsidRDefault="00961020">
            <w:pPr>
              <w:pStyle w:val="TableParagraph"/>
              <w:spacing w:before="21" w:line="190" w:lineRule="exact"/>
              <w:ind w:left="113"/>
              <w:rPr>
                <w:rFonts w:ascii="Futura PT Medium"/>
                <w:sz w:val="16"/>
              </w:rPr>
            </w:pPr>
            <w:r>
              <w:rPr>
                <w:rFonts w:ascii="Futura PT Medium"/>
                <w:color w:val="636466"/>
                <w:sz w:val="16"/>
              </w:rPr>
              <w:t>Leasehold improvements</w:t>
            </w:r>
          </w:p>
        </w:tc>
        <w:tc>
          <w:tcPr>
            <w:tcW w:w="1115" w:type="dxa"/>
            <w:tcBorders>
              <w:bottom w:val="single" w:sz="4" w:space="0" w:color="C7C8CA"/>
            </w:tcBorders>
          </w:tcPr>
          <w:p w:rsidR="00D840DF" w:rsidRDefault="00961020">
            <w:pPr>
              <w:pStyle w:val="TableParagraph"/>
              <w:ind w:left="145"/>
              <w:rPr>
                <w:sz w:val="16"/>
              </w:rPr>
            </w:pPr>
            <w:r>
              <w:rPr>
                <w:color w:val="636466"/>
                <w:sz w:val="16"/>
              </w:rPr>
              <w:t>Lease terms</w:t>
            </w:r>
          </w:p>
        </w:tc>
        <w:tc>
          <w:tcPr>
            <w:tcW w:w="1321" w:type="dxa"/>
            <w:tcBorders>
              <w:bottom w:val="single" w:sz="4" w:space="0" w:color="C7C8CA"/>
            </w:tcBorders>
          </w:tcPr>
          <w:p w:rsidR="00D840DF" w:rsidRDefault="00961020">
            <w:pPr>
              <w:pStyle w:val="TableParagraph"/>
              <w:ind w:left="232"/>
              <w:rPr>
                <w:sz w:val="16"/>
              </w:rPr>
            </w:pPr>
            <w:r>
              <w:rPr>
                <w:color w:val="636466"/>
                <w:sz w:val="16"/>
              </w:rPr>
              <w:t>Lease terms</w:t>
            </w:r>
          </w:p>
        </w:tc>
      </w:tr>
      <w:tr w:rsidR="00D840DF">
        <w:trPr>
          <w:trHeight w:val="420"/>
        </w:trPr>
        <w:tc>
          <w:tcPr>
            <w:tcW w:w="1169" w:type="dxa"/>
            <w:tcBorders>
              <w:top w:val="single" w:sz="4" w:space="0" w:color="C7C8CA"/>
              <w:bottom w:val="single" w:sz="4" w:space="0" w:color="C7C8CA"/>
            </w:tcBorders>
          </w:tcPr>
          <w:p w:rsidR="00D840DF" w:rsidRDefault="00961020">
            <w:pPr>
              <w:pStyle w:val="TableParagraph"/>
              <w:spacing w:before="21" w:line="190" w:lineRule="exact"/>
              <w:ind w:left="113"/>
              <w:rPr>
                <w:rFonts w:ascii="Futura PT Medium"/>
                <w:sz w:val="16"/>
              </w:rPr>
            </w:pPr>
            <w:r>
              <w:rPr>
                <w:rFonts w:ascii="Futura PT Medium"/>
                <w:color w:val="636466"/>
                <w:sz w:val="16"/>
              </w:rPr>
              <w:t>Plant and equipment</w:t>
            </w:r>
          </w:p>
        </w:tc>
        <w:tc>
          <w:tcPr>
            <w:tcW w:w="1115" w:type="dxa"/>
            <w:tcBorders>
              <w:top w:val="single" w:sz="4" w:space="0" w:color="C7C8CA"/>
              <w:bottom w:val="single" w:sz="4" w:space="0" w:color="C7C8CA"/>
            </w:tcBorders>
          </w:tcPr>
          <w:p w:rsidR="00D840DF" w:rsidRDefault="00961020">
            <w:pPr>
              <w:pStyle w:val="TableParagraph"/>
              <w:ind w:left="145"/>
              <w:rPr>
                <w:sz w:val="16"/>
              </w:rPr>
            </w:pPr>
            <w:r>
              <w:rPr>
                <w:color w:val="636466"/>
                <w:sz w:val="16"/>
              </w:rPr>
              <w:t>3–6 years</w:t>
            </w:r>
          </w:p>
        </w:tc>
        <w:tc>
          <w:tcPr>
            <w:tcW w:w="1321" w:type="dxa"/>
            <w:tcBorders>
              <w:top w:val="single" w:sz="4" w:space="0" w:color="C7C8CA"/>
              <w:bottom w:val="single" w:sz="4" w:space="0" w:color="C7C8CA"/>
            </w:tcBorders>
          </w:tcPr>
          <w:p w:rsidR="00D840DF" w:rsidRDefault="00961020">
            <w:pPr>
              <w:pStyle w:val="TableParagraph"/>
              <w:ind w:left="232"/>
              <w:rPr>
                <w:sz w:val="16"/>
              </w:rPr>
            </w:pPr>
            <w:r>
              <w:rPr>
                <w:color w:val="636466"/>
                <w:sz w:val="16"/>
              </w:rPr>
              <w:t>3–6 years</w:t>
            </w:r>
          </w:p>
        </w:tc>
      </w:tr>
    </w:tbl>
    <w:p w:rsidR="00D840DF" w:rsidRDefault="00D840DF">
      <w:pPr>
        <w:pStyle w:val="BodyText"/>
        <w:rPr>
          <w:sz w:val="22"/>
        </w:rPr>
      </w:pPr>
    </w:p>
    <w:p w:rsidR="00D840DF" w:rsidRDefault="00961020" w:rsidP="008D2169">
      <w:pPr>
        <w:pStyle w:val="Heading6"/>
      </w:pPr>
      <w:r>
        <w:t>Impairment</w:t>
      </w:r>
    </w:p>
    <w:p w:rsidR="00D840DF" w:rsidRPr="008D2169" w:rsidRDefault="00961020" w:rsidP="008D2169">
      <w:pPr>
        <w:pStyle w:val="BodyText"/>
        <w:spacing w:before="186" w:line="256" w:lineRule="auto"/>
        <w:ind w:left="103" w:right="324"/>
      </w:pPr>
      <w:r>
        <w:rPr>
          <w:color w:val="636466"/>
        </w:rPr>
        <w:t>All assets were assessed for impairment at 30 June 2017. Where indications of impairment exist, the assets recoverable amount is estimated and an impairment adjustment made if the asset’s recoverable amount is less than its carrying</w:t>
      </w:r>
      <w:r w:rsidR="00E314B6">
        <w:rPr>
          <w:color w:val="636466"/>
        </w:rPr>
        <w:t xml:space="preserve"> </w:t>
      </w:r>
      <w:r>
        <w:rPr>
          <w:color w:val="636466"/>
        </w:rPr>
        <w:t>amount.</w:t>
      </w:r>
    </w:p>
    <w:p w:rsidR="00D840DF" w:rsidRPr="008D2169" w:rsidRDefault="00961020" w:rsidP="008D2169">
      <w:pPr>
        <w:pStyle w:val="BodyText"/>
        <w:spacing w:before="1" w:line="256" w:lineRule="auto"/>
        <w:ind w:left="103" w:right="175"/>
      </w:pPr>
      <w:r>
        <w:rPr>
          <w:color w:val="636466"/>
        </w:rPr>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entity were deprived of the asset,</w:t>
      </w:r>
      <w:r w:rsidR="00E314B6">
        <w:rPr>
          <w:color w:val="636466"/>
        </w:rPr>
        <w:t xml:space="preserve"> </w:t>
      </w:r>
      <w:r>
        <w:rPr>
          <w:color w:val="636466"/>
        </w:rPr>
        <w:t>its value in use is taken to be its depreciated replacement</w:t>
      </w:r>
      <w:r w:rsidR="00E314B6">
        <w:rPr>
          <w:color w:val="636466"/>
        </w:rPr>
        <w:t xml:space="preserve"> </w:t>
      </w:r>
      <w:r>
        <w:rPr>
          <w:color w:val="636466"/>
        </w:rPr>
        <w:t>cost.</w:t>
      </w:r>
    </w:p>
    <w:p w:rsidR="00D840DF" w:rsidRDefault="00961020" w:rsidP="008D2169">
      <w:pPr>
        <w:pStyle w:val="Heading6"/>
      </w:pPr>
      <w:proofErr w:type="spellStart"/>
      <w:r>
        <w:t>Derecognition</w:t>
      </w:r>
      <w:proofErr w:type="spellEnd"/>
    </w:p>
    <w:p w:rsidR="00D840DF" w:rsidRPr="008D2169" w:rsidRDefault="00961020" w:rsidP="008D2169">
      <w:pPr>
        <w:pStyle w:val="BodyText"/>
        <w:spacing w:before="186" w:line="256" w:lineRule="auto"/>
        <w:ind w:left="103" w:right="175"/>
      </w:pPr>
      <w:r>
        <w:rPr>
          <w:color w:val="636466"/>
        </w:rPr>
        <w:t xml:space="preserve">An item of property, plant and equipment is </w:t>
      </w:r>
      <w:proofErr w:type="spellStart"/>
      <w:r>
        <w:rPr>
          <w:color w:val="636466"/>
        </w:rPr>
        <w:t>derecognised</w:t>
      </w:r>
      <w:proofErr w:type="spellEnd"/>
      <w:r>
        <w:rPr>
          <w:color w:val="636466"/>
        </w:rPr>
        <w:t xml:space="preserve"> upon disposal or when no further future economic benefits are expected from its use or</w:t>
      </w:r>
      <w:r w:rsidR="00E314B6">
        <w:rPr>
          <w:color w:val="636466"/>
        </w:rPr>
        <w:t xml:space="preserve"> </w:t>
      </w:r>
      <w:r>
        <w:rPr>
          <w:color w:val="636466"/>
        </w:rPr>
        <w:t>disposal.</w:t>
      </w:r>
    </w:p>
    <w:p w:rsidR="00D840DF" w:rsidRDefault="00961020" w:rsidP="008D2169">
      <w:pPr>
        <w:pStyle w:val="Heading6"/>
      </w:pPr>
      <w:r>
        <w:t>Intangibles</w:t>
      </w:r>
    </w:p>
    <w:p w:rsidR="00D840DF" w:rsidRPr="008D2169" w:rsidRDefault="00961020" w:rsidP="008D2169">
      <w:pPr>
        <w:pStyle w:val="BodyText"/>
        <w:spacing w:before="186" w:line="256" w:lineRule="auto"/>
        <w:ind w:left="103" w:right="175"/>
      </w:pPr>
      <w:r>
        <w:rPr>
          <w:color w:val="636466"/>
        </w:rPr>
        <w:t xml:space="preserve">The entity’s intangibles comprise internally developed software for internal use. These assets are carried at cost less accumulated </w:t>
      </w:r>
      <w:proofErr w:type="spellStart"/>
      <w:r>
        <w:rPr>
          <w:color w:val="636466"/>
        </w:rPr>
        <w:t>amortisation</w:t>
      </w:r>
      <w:proofErr w:type="spellEnd"/>
      <w:r>
        <w:rPr>
          <w:color w:val="636466"/>
        </w:rPr>
        <w:t xml:space="preserve"> and accumulated impairment losses.</w:t>
      </w:r>
    </w:p>
    <w:p w:rsidR="00D840DF" w:rsidRPr="008D2169" w:rsidRDefault="00961020" w:rsidP="008D2169">
      <w:pPr>
        <w:pStyle w:val="BodyText"/>
        <w:spacing w:before="1" w:line="256" w:lineRule="auto"/>
        <w:ind w:left="103" w:right="175"/>
      </w:pPr>
      <w:r>
        <w:rPr>
          <w:color w:val="636466"/>
        </w:rPr>
        <w:t xml:space="preserve">Software is </w:t>
      </w:r>
      <w:proofErr w:type="spellStart"/>
      <w:r>
        <w:rPr>
          <w:color w:val="636466"/>
        </w:rPr>
        <w:t>amortised</w:t>
      </w:r>
      <w:proofErr w:type="spellEnd"/>
      <w:r>
        <w:rPr>
          <w:color w:val="636466"/>
        </w:rPr>
        <w:t xml:space="preserve"> on a straight-line basis over its anticipated useful life. The useful lives of the entity’s software are 1 to 4 years (2016: 1 to 3 years).</w:t>
      </w:r>
    </w:p>
    <w:p w:rsidR="00D840DF" w:rsidRPr="008D2169" w:rsidRDefault="00961020" w:rsidP="008D2169">
      <w:pPr>
        <w:pStyle w:val="BodyText"/>
        <w:ind w:left="103"/>
      </w:pPr>
      <w:r>
        <w:rPr>
          <w:color w:val="636466"/>
        </w:rPr>
        <w:t>All software assets were assessed for indications of impairment as at 30 June 2017.</w:t>
      </w:r>
    </w:p>
    <w:p w:rsidR="00DB6009" w:rsidRDefault="00DB6009" w:rsidP="008D2169">
      <w:pPr>
        <w:pStyle w:val="Heading6"/>
      </w:pPr>
      <w:r>
        <w:br w:type="page"/>
      </w:r>
    </w:p>
    <w:p w:rsidR="00DB6009" w:rsidRDefault="00961020" w:rsidP="00DB6009">
      <w:pPr>
        <w:pStyle w:val="Heading6"/>
        <w:ind w:left="0"/>
      </w:pPr>
      <w:r>
        <w:lastRenderedPageBreak/>
        <w:t>Fair value measurement</w:t>
      </w:r>
      <w:bookmarkStart w:id="162" w:name="Note_2.3_Payables"/>
      <w:bookmarkStart w:id="163" w:name="_bookmark43"/>
      <w:bookmarkEnd w:id="162"/>
      <w:bookmarkEnd w:id="163"/>
    </w:p>
    <w:p w:rsidR="00D840DF" w:rsidRPr="008D2169" w:rsidRDefault="00961020" w:rsidP="00DB6009">
      <w:pPr>
        <w:pStyle w:val="BodyText"/>
      </w:pPr>
      <w:r>
        <w:t xml:space="preserve">IHPA </w:t>
      </w:r>
      <w:r w:rsidRPr="008D2169">
        <w:t>undertook a comprehensive valuation of all its non-financial assets at 30 June 2017.</w:t>
      </w:r>
      <w:r w:rsidR="00E314B6">
        <w:t xml:space="preserve"> </w:t>
      </w:r>
      <w:r w:rsidRPr="008D2169">
        <w:t>IHPA</w:t>
      </w:r>
      <w:r w:rsidR="00E314B6">
        <w:t xml:space="preserve"> </w:t>
      </w:r>
      <w:r w:rsidRPr="008D2169">
        <w:t xml:space="preserve">tests the procedures of the valuation model as an internal management review at least once every 12 months (with a formal revaluation undertaken once every three years). If a particular asset class experiences significant and volatile </w:t>
      </w:r>
      <w:r w:rsidRPr="00DB6009">
        <w:t>changes</w:t>
      </w:r>
      <w:r w:rsidRPr="008D2169">
        <w:t xml:space="preserve"> in fair value (i.e. where indicators suggest that the</w:t>
      </w:r>
      <w:r w:rsidR="00E314B6">
        <w:t xml:space="preserve"> </w:t>
      </w:r>
      <w:r w:rsidRPr="008D2169">
        <w:t>value of the class has changed materially since the previous reporting period), that class is subject</w:t>
      </w:r>
      <w:r w:rsidR="00E314B6">
        <w:t xml:space="preserve"> </w:t>
      </w:r>
      <w:r w:rsidRPr="008D2169">
        <w:t>to specific valuation in the reporting period, where practicable, regardless of the timing of the</w:t>
      </w:r>
    </w:p>
    <w:p w:rsidR="00D840DF" w:rsidRPr="008D2169" w:rsidRDefault="00961020">
      <w:pPr>
        <w:pStyle w:val="BodyText"/>
      </w:pPr>
      <w:proofErr w:type="gramStart"/>
      <w:r w:rsidRPr="008D2169">
        <w:t>last</w:t>
      </w:r>
      <w:proofErr w:type="gramEnd"/>
      <w:r w:rsidRPr="008D2169">
        <w:t xml:space="preserve"> specific</w:t>
      </w:r>
      <w:r>
        <w:t xml:space="preserve"> valuation. IHPA has engaged Australian Valuation Solutions (AVS) to provide written assurance that the models developed comply with AASB</w:t>
      </w:r>
      <w:r w:rsidR="00E314B6">
        <w:t xml:space="preserve"> </w:t>
      </w:r>
      <w:r>
        <w:t>13.</w:t>
      </w:r>
    </w:p>
    <w:p w:rsidR="00D840DF" w:rsidRDefault="00961020" w:rsidP="008D2169">
      <w:pPr>
        <w:pStyle w:val="Heading4"/>
      </w:pPr>
      <w:bookmarkStart w:id="164" w:name="_Note_2.3_Payables"/>
      <w:bookmarkEnd w:id="164"/>
      <w:r>
        <w:t>Note 2.3 Payables</w:t>
      </w:r>
    </w:p>
    <w:p w:rsidR="00D840DF" w:rsidRDefault="00D840DF">
      <w:pPr>
        <w:pStyle w:val="BodyText"/>
        <w:spacing w:before="6" w:after="1"/>
        <w:rPr>
          <w:rFonts w:ascii="Futura PT Bold"/>
          <w:b/>
        </w:rPr>
      </w:pPr>
    </w:p>
    <w:tbl>
      <w:tblPr>
        <w:tblW w:w="0" w:type="auto"/>
        <w:tblInd w:w="112" w:type="dxa"/>
        <w:tblLayout w:type="fixed"/>
        <w:tblCellMar>
          <w:left w:w="0" w:type="dxa"/>
          <w:right w:w="0" w:type="dxa"/>
        </w:tblCellMar>
        <w:tblLook w:val="01E0" w:firstRow="1" w:lastRow="1" w:firstColumn="1" w:lastColumn="1" w:noHBand="0" w:noVBand="0"/>
      </w:tblPr>
      <w:tblGrid>
        <w:gridCol w:w="3907"/>
        <w:gridCol w:w="2601"/>
        <w:gridCol w:w="1043"/>
      </w:tblGrid>
      <w:tr w:rsidR="00D840DF">
        <w:trPr>
          <w:trHeight w:val="480"/>
        </w:trPr>
        <w:tc>
          <w:tcPr>
            <w:tcW w:w="3907" w:type="dxa"/>
            <w:shd w:val="clear" w:color="auto" w:fill="008F54"/>
          </w:tcPr>
          <w:p w:rsidR="00D840DF" w:rsidRDefault="00D840DF">
            <w:pPr>
              <w:pStyle w:val="TableParagraph"/>
              <w:spacing w:before="0"/>
              <w:rPr>
                <w:rFonts w:ascii="Times New Roman"/>
                <w:sz w:val="16"/>
              </w:rPr>
            </w:pPr>
          </w:p>
        </w:tc>
        <w:tc>
          <w:tcPr>
            <w:tcW w:w="2601" w:type="dxa"/>
            <w:shd w:val="clear" w:color="auto" w:fill="008F54"/>
          </w:tcPr>
          <w:p w:rsidR="00D840DF" w:rsidRDefault="00961020">
            <w:pPr>
              <w:pStyle w:val="TableParagraph"/>
              <w:spacing w:before="30" w:line="209" w:lineRule="exact"/>
              <w:ind w:right="494"/>
              <w:jc w:val="right"/>
              <w:rPr>
                <w:rFonts w:ascii="Futura PT Demi"/>
                <w:sz w:val="17"/>
              </w:rPr>
            </w:pPr>
            <w:r>
              <w:rPr>
                <w:rFonts w:ascii="Futura PT Demi"/>
                <w:color w:val="FFFFFF"/>
                <w:sz w:val="17"/>
              </w:rPr>
              <w:t>2017</w:t>
            </w:r>
          </w:p>
          <w:p w:rsidR="00D840DF" w:rsidRDefault="00961020">
            <w:pPr>
              <w:pStyle w:val="TableParagraph"/>
              <w:spacing w:before="0" w:line="209" w:lineRule="exact"/>
              <w:ind w:right="477"/>
              <w:jc w:val="right"/>
              <w:rPr>
                <w:rFonts w:ascii="Futura PT Demi" w:hAnsi="Futura PT Demi"/>
                <w:sz w:val="17"/>
              </w:rPr>
            </w:pPr>
            <w:r>
              <w:rPr>
                <w:rFonts w:ascii="Futura PT Demi" w:hAnsi="Futura PT Demi"/>
                <w:color w:val="FFFFFF"/>
                <w:sz w:val="17"/>
              </w:rPr>
              <w:t>$’000</w:t>
            </w:r>
          </w:p>
        </w:tc>
        <w:tc>
          <w:tcPr>
            <w:tcW w:w="1043" w:type="dxa"/>
            <w:shd w:val="clear" w:color="auto" w:fill="008F54"/>
          </w:tcPr>
          <w:p w:rsidR="00D840DF" w:rsidRDefault="00961020">
            <w:pPr>
              <w:pStyle w:val="TableParagraph"/>
              <w:spacing w:before="30" w:line="209" w:lineRule="exact"/>
              <w:ind w:left="554"/>
              <w:rPr>
                <w:rFonts w:ascii="Futura PT Demi"/>
                <w:sz w:val="17"/>
              </w:rPr>
            </w:pPr>
            <w:r>
              <w:rPr>
                <w:rFonts w:ascii="Futura PT Demi"/>
                <w:color w:val="FFFFFF"/>
                <w:sz w:val="17"/>
              </w:rPr>
              <w:t>2016</w:t>
            </w:r>
          </w:p>
          <w:p w:rsidR="00D840DF" w:rsidRDefault="00961020">
            <w:pPr>
              <w:pStyle w:val="TableParagraph"/>
              <w:spacing w:before="0" w:line="209" w:lineRule="exact"/>
              <w:ind w:left="479"/>
              <w:rPr>
                <w:rFonts w:ascii="Futura PT Demi" w:hAnsi="Futura PT Demi"/>
                <w:sz w:val="17"/>
              </w:rPr>
            </w:pPr>
            <w:r>
              <w:rPr>
                <w:rFonts w:ascii="Futura PT Demi" w:hAnsi="Futura PT Demi"/>
                <w:color w:val="FFFFFF"/>
                <w:sz w:val="17"/>
              </w:rPr>
              <w:t>$’000</w:t>
            </w:r>
          </w:p>
        </w:tc>
      </w:tr>
      <w:tr w:rsidR="00D840DF">
        <w:trPr>
          <w:trHeight w:val="260"/>
        </w:trPr>
        <w:tc>
          <w:tcPr>
            <w:tcW w:w="3907" w:type="dxa"/>
          </w:tcPr>
          <w:p w:rsidR="00D840DF" w:rsidRDefault="00961020">
            <w:pPr>
              <w:pStyle w:val="TableParagraph"/>
              <w:spacing w:before="33"/>
              <w:ind w:left="114"/>
              <w:rPr>
                <w:rFonts w:ascii="Futura PT Bold"/>
                <w:b/>
                <w:sz w:val="16"/>
              </w:rPr>
            </w:pPr>
            <w:r>
              <w:rPr>
                <w:rFonts w:ascii="Futura PT Bold"/>
                <w:b/>
                <w:color w:val="003E2D"/>
                <w:sz w:val="16"/>
              </w:rPr>
              <w:t>NOTE 2.3A: SUPPLIERS</w:t>
            </w:r>
          </w:p>
        </w:tc>
        <w:tc>
          <w:tcPr>
            <w:tcW w:w="2601" w:type="dxa"/>
          </w:tcPr>
          <w:p w:rsidR="00D840DF" w:rsidRDefault="00D840DF">
            <w:pPr>
              <w:pStyle w:val="TableParagraph"/>
              <w:spacing w:before="0"/>
              <w:rPr>
                <w:rFonts w:ascii="Times New Roman"/>
                <w:sz w:val="16"/>
              </w:rPr>
            </w:pPr>
          </w:p>
        </w:tc>
        <w:tc>
          <w:tcPr>
            <w:tcW w:w="1043" w:type="dxa"/>
          </w:tcPr>
          <w:p w:rsidR="00D840DF" w:rsidRDefault="00D840DF">
            <w:pPr>
              <w:pStyle w:val="TableParagraph"/>
              <w:spacing w:before="0"/>
              <w:rPr>
                <w:rFonts w:ascii="Times New Roman"/>
                <w:sz w:val="16"/>
              </w:rPr>
            </w:pPr>
          </w:p>
        </w:tc>
      </w:tr>
      <w:tr w:rsidR="00D840DF">
        <w:trPr>
          <w:trHeight w:val="240"/>
        </w:trPr>
        <w:tc>
          <w:tcPr>
            <w:tcW w:w="3907" w:type="dxa"/>
          </w:tcPr>
          <w:p w:rsidR="00D840DF" w:rsidRDefault="00961020">
            <w:pPr>
              <w:pStyle w:val="TableParagraph"/>
              <w:spacing w:before="28"/>
              <w:ind w:left="113"/>
              <w:rPr>
                <w:sz w:val="16"/>
              </w:rPr>
            </w:pPr>
            <w:r>
              <w:rPr>
                <w:color w:val="636466"/>
                <w:sz w:val="16"/>
              </w:rPr>
              <w:t>Trade creditors</w:t>
            </w:r>
            <w:r w:rsidR="00E314B6">
              <w:rPr>
                <w:color w:val="636466"/>
                <w:sz w:val="16"/>
              </w:rPr>
              <w:t xml:space="preserve"> </w:t>
            </w:r>
            <w:r>
              <w:rPr>
                <w:color w:val="636466"/>
                <w:sz w:val="16"/>
              </w:rPr>
              <w:t>and accruals</w:t>
            </w:r>
          </w:p>
        </w:tc>
        <w:tc>
          <w:tcPr>
            <w:tcW w:w="2601" w:type="dxa"/>
          </w:tcPr>
          <w:p w:rsidR="00D840DF" w:rsidRDefault="00961020">
            <w:pPr>
              <w:pStyle w:val="TableParagraph"/>
              <w:spacing w:before="28"/>
              <w:ind w:right="485"/>
              <w:jc w:val="right"/>
              <w:rPr>
                <w:rFonts w:ascii="Futura PT Medium"/>
                <w:sz w:val="16"/>
              </w:rPr>
            </w:pPr>
            <w:r>
              <w:rPr>
                <w:rFonts w:ascii="Futura PT Medium"/>
                <w:color w:val="636466"/>
                <w:sz w:val="16"/>
              </w:rPr>
              <w:t>2,543</w:t>
            </w:r>
          </w:p>
        </w:tc>
        <w:tc>
          <w:tcPr>
            <w:tcW w:w="1043" w:type="dxa"/>
          </w:tcPr>
          <w:p w:rsidR="00D840DF" w:rsidRDefault="00961020">
            <w:pPr>
              <w:pStyle w:val="TableParagraph"/>
              <w:spacing w:before="28"/>
              <w:ind w:right="122"/>
              <w:jc w:val="right"/>
              <w:rPr>
                <w:sz w:val="16"/>
              </w:rPr>
            </w:pPr>
            <w:r>
              <w:rPr>
                <w:color w:val="636466"/>
                <w:sz w:val="16"/>
              </w:rPr>
              <w:t>1,931</w:t>
            </w:r>
          </w:p>
        </w:tc>
      </w:tr>
      <w:tr w:rsidR="00D840DF">
        <w:trPr>
          <w:trHeight w:val="240"/>
        </w:trPr>
        <w:tc>
          <w:tcPr>
            <w:tcW w:w="3907"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suppliers</w:t>
            </w:r>
          </w:p>
        </w:tc>
        <w:tc>
          <w:tcPr>
            <w:tcW w:w="2601" w:type="dxa"/>
            <w:tcBorders>
              <w:bottom w:val="single" w:sz="4" w:space="0" w:color="C7C8CA"/>
            </w:tcBorders>
            <w:shd w:val="clear" w:color="auto" w:fill="E6E7E8"/>
          </w:tcPr>
          <w:p w:rsidR="00D840DF" w:rsidRDefault="00961020">
            <w:pPr>
              <w:pStyle w:val="TableParagraph"/>
              <w:spacing w:before="21" w:line="200" w:lineRule="exact"/>
              <w:ind w:right="485"/>
              <w:jc w:val="right"/>
              <w:rPr>
                <w:rFonts w:ascii="Futura PT Medium"/>
                <w:sz w:val="16"/>
              </w:rPr>
            </w:pPr>
            <w:r>
              <w:rPr>
                <w:rFonts w:ascii="Futura PT Medium"/>
                <w:sz w:val="16"/>
              </w:rPr>
              <w:t>2,543</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33"/>
              <w:jc w:val="right"/>
              <w:rPr>
                <w:rFonts w:ascii="Futura PT Medium"/>
                <w:sz w:val="16"/>
              </w:rPr>
            </w:pPr>
            <w:r>
              <w:rPr>
                <w:rFonts w:ascii="Futura PT Medium"/>
                <w:sz w:val="16"/>
              </w:rPr>
              <w:t>1,931</w:t>
            </w:r>
          </w:p>
        </w:tc>
      </w:tr>
      <w:tr w:rsidR="00D840DF">
        <w:trPr>
          <w:trHeight w:val="160"/>
        </w:trPr>
        <w:tc>
          <w:tcPr>
            <w:tcW w:w="3907" w:type="dxa"/>
            <w:tcBorders>
              <w:top w:val="single" w:sz="4" w:space="0" w:color="C7C8CA"/>
              <w:bottom w:val="single" w:sz="4" w:space="0" w:color="C7C8CA"/>
            </w:tcBorders>
          </w:tcPr>
          <w:p w:rsidR="00D840DF" w:rsidRDefault="00D840DF">
            <w:pPr>
              <w:pStyle w:val="TableParagraph"/>
              <w:spacing w:before="0"/>
              <w:rPr>
                <w:rFonts w:ascii="Times New Roman"/>
                <w:sz w:val="10"/>
              </w:rPr>
            </w:pPr>
          </w:p>
        </w:tc>
        <w:tc>
          <w:tcPr>
            <w:tcW w:w="2601" w:type="dxa"/>
            <w:tcBorders>
              <w:top w:val="single" w:sz="4" w:space="0" w:color="C7C8CA"/>
              <w:bottom w:val="single" w:sz="4" w:space="0" w:color="C7C8CA"/>
            </w:tcBorders>
          </w:tcPr>
          <w:p w:rsidR="00D840DF" w:rsidRDefault="00D840DF">
            <w:pPr>
              <w:pStyle w:val="TableParagraph"/>
              <w:spacing w:before="0"/>
              <w:rPr>
                <w:rFonts w:ascii="Times New Roman"/>
                <w:sz w:val="10"/>
              </w:rPr>
            </w:pPr>
          </w:p>
        </w:tc>
        <w:tc>
          <w:tcPr>
            <w:tcW w:w="1043" w:type="dxa"/>
            <w:tcBorders>
              <w:top w:val="single" w:sz="4" w:space="0" w:color="C7C8CA"/>
              <w:bottom w:val="single" w:sz="4" w:space="0" w:color="C7C8CA"/>
            </w:tcBorders>
          </w:tcPr>
          <w:p w:rsidR="00D840DF" w:rsidRDefault="00D840DF">
            <w:pPr>
              <w:pStyle w:val="TableParagraph"/>
              <w:spacing w:before="0"/>
              <w:rPr>
                <w:rFonts w:ascii="Times New Roman"/>
                <w:sz w:val="10"/>
              </w:rPr>
            </w:pPr>
          </w:p>
        </w:tc>
      </w:tr>
      <w:tr w:rsidR="00D840DF">
        <w:trPr>
          <w:trHeight w:val="220"/>
        </w:trPr>
        <w:tc>
          <w:tcPr>
            <w:tcW w:w="7551" w:type="dxa"/>
            <w:gridSpan w:val="3"/>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Amounts are expected to be settled in no more than 12 months.</w:t>
            </w:r>
          </w:p>
        </w:tc>
      </w:tr>
      <w:tr w:rsidR="00D840DF">
        <w:trPr>
          <w:trHeight w:val="440"/>
        </w:trPr>
        <w:tc>
          <w:tcPr>
            <w:tcW w:w="3907" w:type="dxa"/>
            <w:tcBorders>
              <w:top w:val="single" w:sz="4" w:space="0" w:color="C7C8CA"/>
            </w:tcBorders>
          </w:tcPr>
          <w:p w:rsidR="00D840DF" w:rsidRDefault="00D840DF">
            <w:pPr>
              <w:pStyle w:val="TableParagraph"/>
              <w:spacing w:before="1"/>
              <w:rPr>
                <w:rFonts w:ascii="Futura PT Bold"/>
                <w:b/>
                <w:sz w:val="16"/>
              </w:rPr>
            </w:pPr>
          </w:p>
          <w:p w:rsidR="00D840DF" w:rsidRDefault="00961020">
            <w:pPr>
              <w:pStyle w:val="TableParagraph"/>
              <w:spacing w:before="0"/>
              <w:ind w:left="114"/>
              <w:rPr>
                <w:rFonts w:ascii="Futura PT Bold"/>
                <w:b/>
                <w:sz w:val="16"/>
              </w:rPr>
            </w:pPr>
            <w:r>
              <w:rPr>
                <w:rFonts w:ascii="Futura PT Bold"/>
                <w:b/>
                <w:color w:val="003E2D"/>
                <w:sz w:val="16"/>
              </w:rPr>
              <w:t>NOTE 2.3B: OTHER PAYABLES</w:t>
            </w:r>
          </w:p>
        </w:tc>
        <w:tc>
          <w:tcPr>
            <w:tcW w:w="2601" w:type="dxa"/>
            <w:tcBorders>
              <w:top w:val="single" w:sz="4" w:space="0" w:color="C7C8CA"/>
            </w:tcBorders>
          </w:tcPr>
          <w:p w:rsidR="00D840DF" w:rsidRDefault="00D840DF">
            <w:pPr>
              <w:pStyle w:val="TableParagraph"/>
              <w:spacing w:before="0"/>
              <w:rPr>
                <w:rFonts w:ascii="Times New Roman"/>
                <w:sz w:val="16"/>
              </w:rPr>
            </w:pPr>
          </w:p>
        </w:tc>
        <w:tc>
          <w:tcPr>
            <w:tcW w:w="1043" w:type="dxa"/>
            <w:tcBorders>
              <w:top w:val="single" w:sz="4" w:space="0" w:color="C7C8CA"/>
            </w:tcBorders>
          </w:tcPr>
          <w:p w:rsidR="00D840DF" w:rsidRDefault="00D840DF">
            <w:pPr>
              <w:pStyle w:val="TableParagraph"/>
              <w:spacing w:before="0"/>
              <w:rPr>
                <w:rFonts w:ascii="Times New Roman"/>
                <w:sz w:val="16"/>
              </w:rPr>
            </w:pPr>
          </w:p>
        </w:tc>
      </w:tr>
      <w:tr w:rsidR="00D840DF">
        <w:trPr>
          <w:trHeight w:val="240"/>
        </w:trPr>
        <w:tc>
          <w:tcPr>
            <w:tcW w:w="3907"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Payable to Department of</w:t>
            </w:r>
            <w:r w:rsidR="00E314B6">
              <w:rPr>
                <w:color w:val="636466"/>
                <w:sz w:val="16"/>
              </w:rPr>
              <w:t xml:space="preserve"> </w:t>
            </w:r>
            <w:r>
              <w:rPr>
                <w:color w:val="636466"/>
                <w:sz w:val="16"/>
              </w:rPr>
              <w:t>Health</w:t>
            </w:r>
          </w:p>
        </w:tc>
        <w:tc>
          <w:tcPr>
            <w:tcW w:w="2601" w:type="dxa"/>
            <w:tcBorders>
              <w:bottom w:val="single" w:sz="4" w:space="0" w:color="C7C8CA"/>
            </w:tcBorders>
          </w:tcPr>
          <w:p w:rsidR="00D840DF" w:rsidRDefault="00961020">
            <w:pPr>
              <w:pStyle w:val="TableParagraph"/>
              <w:spacing w:before="28" w:line="200" w:lineRule="exact"/>
              <w:ind w:right="485"/>
              <w:jc w:val="right"/>
              <w:rPr>
                <w:rFonts w:ascii="Futura PT Medium"/>
                <w:sz w:val="16"/>
              </w:rPr>
            </w:pPr>
            <w:r>
              <w:rPr>
                <w:rFonts w:ascii="Futura PT Medium"/>
                <w:color w:val="636466"/>
                <w:sz w:val="16"/>
              </w:rPr>
              <w:t>-</w:t>
            </w:r>
          </w:p>
        </w:tc>
        <w:tc>
          <w:tcPr>
            <w:tcW w:w="1043" w:type="dxa"/>
            <w:tcBorders>
              <w:bottom w:val="single" w:sz="4" w:space="0" w:color="C7C8CA"/>
            </w:tcBorders>
          </w:tcPr>
          <w:p w:rsidR="00D840DF" w:rsidRDefault="00961020">
            <w:pPr>
              <w:pStyle w:val="TableParagraph"/>
              <w:spacing w:before="28" w:line="200" w:lineRule="exact"/>
              <w:ind w:right="112"/>
              <w:jc w:val="right"/>
              <w:rPr>
                <w:sz w:val="16"/>
              </w:rPr>
            </w:pPr>
            <w:r>
              <w:rPr>
                <w:color w:val="636466"/>
                <w:sz w:val="16"/>
              </w:rPr>
              <w:t>536</w:t>
            </w:r>
          </w:p>
        </w:tc>
      </w:tr>
      <w:tr w:rsidR="00D840DF">
        <w:trPr>
          <w:trHeight w:val="220"/>
        </w:trPr>
        <w:tc>
          <w:tcPr>
            <w:tcW w:w="3907"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Salaries</w:t>
            </w:r>
            <w:r w:rsidR="00E314B6">
              <w:rPr>
                <w:color w:val="636466"/>
                <w:sz w:val="16"/>
              </w:rPr>
              <w:t xml:space="preserve"> </w:t>
            </w:r>
            <w:r>
              <w:rPr>
                <w:color w:val="636466"/>
                <w:sz w:val="16"/>
              </w:rPr>
              <w:t>and wages</w:t>
            </w:r>
          </w:p>
        </w:tc>
        <w:tc>
          <w:tcPr>
            <w:tcW w:w="2601"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8</w:t>
            </w:r>
          </w:p>
        </w:tc>
        <w:tc>
          <w:tcPr>
            <w:tcW w:w="1043" w:type="dxa"/>
            <w:tcBorders>
              <w:top w:val="single" w:sz="4" w:space="0" w:color="C7C8CA"/>
              <w:bottom w:val="single" w:sz="4" w:space="0" w:color="C7C8CA"/>
            </w:tcBorders>
          </w:tcPr>
          <w:p w:rsidR="00D840DF" w:rsidRDefault="00961020">
            <w:pPr>
              <w:pStyle w:val="TableParagraph"/>
              <w:spacing w:line="200" w:lineRule="exact"/>
              <w:ind w:right="112"/>
              <w:jc w:val="right"/>
              <w:rPr>
                <w:sz w:val="16"/>
              </w:rPr>
            </w:pPr>
            <w:r>
              <w:rPr>
                <w:color w:val="636466"/>
                <w:sz w:val="16"/>
              </w:rPr>
              <w:t>24</w:t>
            </w:r>
          </w:p>
        </w:tc>
      </w:tr>
      <w:tr w:rsidR="00D840DF">
        <w:trPr>
          <w:trHeight w:val="220"/>
        </w:trPr>
        <w:tc>
          <w:tcPr>
            <w:tcW w:w="3907"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Superannuation</w:t>
            </w:r>
          </w:p>
        </w:tc>
        <w:tc>
          <w:tcPr>
            <w:tcW w:w="2601"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1</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4</w:t>
            </w:r>
          </w:p>
        </w:tc>
      </w:tr>
      <w:tr w:rsidR="00D840DF">
        <w:trPr>
          <w:trHeight w:val="220"/>
        </w:trPr>
        <w:tc>
          <w:tcPr>
            <w:tcW w:w="3907"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Lease incentive</w:t>
            </w:r>
          </w:p>
        </w:tc>
        <w:tc>
          <w:tcPr>
            <w:tcW w:w="2601"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100</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209</w:t>
            </w:r>
          </w:p>
        </w:tc>
      </w:tr>
      <w:tr w:rsidR="00D840DF">
        <w:trPr>
          <w:trHeight w:val="220"/>
        </w:trPr>
        <w:tc>
          <w:tcPr>
            <w:tcW w:w="3907"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FBT payable</w:t>
            </w:r>
          </w:p>
        </w:tc>
        <w:tc>
          <w:tcPr>
            <w:tcW w:w="2601"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3</w:t>
            </w:r>
          </w:p>
        </w:tc>
      </w:tr>
      <w:tr w:rsidR="00D840DF">
        <w:trPr>
          <w:trHeight w:val="240"/>
        </w:trPr>
        <w:tc>
          <w:tcPr>
            <w:tcW w:w="3907" w:type="dxa"/>
            <w:tcBorders>
              <w:top w:val="single" w:sz="4" w:space="0" w:color="C7C8CA"/>
            </w:tcBorders>
          </w:tcPr>
          <w:p w:rsidR="00D840DF" w:rsidRDefault="00961020">
            <w:pPr>
              <w:pStyle w:val="TableParagraph"/>
              <w:ind w:left="113"/>
              <w:rPr>
                <w:sz w:val="16"/>
              </w:rPr>
            </w:pPr>
            <w:r>
              <w:rPr>
                <w:color w:val="636466"/>
                <w:sz w:val="16"/>
              </w:rPr>
              <w:t>Other – credit card</w:t>
            </w:r>
          </w:p>
        </w:tc>
        <w:tc>
          <w:tcPr>
            <w:tcW w:w="2601" w:type="dxa"/>
            <w:tcBorders>
              <w:top w:val="single" w:sz="4" w:space="0" w:color="C7C8CA"/>
            </w:tcBorders>
          </w:tcPr>
          <w:p w:rsidR="00D840DF" w:rsidRDefault="00961020">
            <w:pPr>
              <w:pStyle w:val="TableParagraph"/>
              <w:ind w:right="485"/>
              <w:jc w:val="right"/>
              <w:rPr>
                <w:rFonts w:ascii="Futura PT Medium"/>
                <w:sz w:val="16"/>
              </w:rPr>
            </w:pPr>
            <w:r>
              <w:rPr>
                <w:rFonts w:ascii="Futura PT Medium"/>
                <w:color w:val="636466"/>
                <w:sz w:val="16"/>
              </w:rPr>
              <w:t>-</w:t>
            </w:r>
          </w:p>
        </w:tc>
        <w:tc>
          <w:tcPr>
            <w:tcW w:w="1043" w:type="dxa"/>
            <w:tcBorders>
              <w:top w:val="single" w:sz="4" w:space="0" w:color="C7C8CA"/>
            </w:tcBorders>
          </w:tcPr>
          <w:p w:rsidR="00D840DF" w:rsidRDefault="00961020">
            <w:pPr>
              <w:pStyle w:val="TableParagraph"/>
              <w:ind w:right="129"/>
              <w:jc w:val="right"/>
              <w:rPr>
                <w:sz w:val="16"/>
              </w:rPr>
            </w:pPr>
            <w:r>
              <w:rPr>
                <w:color w:val="636466"/>
                <w:sz w:val="16"/>
              </w:rPr>
              <w:t>11</w:t>
            </w:r>
          </w:p>
        </w:tc>
      </w:tr>
      <w:tr w:rsidR="00D840DF">
        <w:trPr>
          <w:trHeight w:val="240"/>
        </w:trPr>
        <w:tc>
          <w:tcPr>
            <w:tcW w:w="3907"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other payables</w:t>
            </w:r>
          </w:p>
        </w:tc>
        <w:tc>
          <w:tcPr>
            <w:tcW w:w="2601" w:type="dxa"/>
            <w:tcBorders>
              <w:bottom w:val="single" w:sz="4" w:space="0" w:color="C7C8CA"/>
            </w:tcBorders>
            <w:shd w:val="clear" w:color="auto" w:fill="E6E7E8"/>
          </w:tcPr>
          <w:p w:rsidR="00D840DF" w:rsidRDefault="00961020">
            <w:pPr>
              <w:pStyle w:val="TableParagraph"/>
              <w:spacing w:before="21" w:line="200" w:lineRule="exact"/>
              <w:ind w:right="485"/>
              <w:jc w:val="right"/>
              <w:rPr>
                <w:rFonts w:ascii="Futura PT Medium"/>
                <w:sz w:val="16"/>
              </w:rPr>
            </w:pPr>
            <w:r>
              <w:rPr>
                <w:rFonts w:ascii="Futura PT Medium"/>
                <w:sz w:val="16"/>
              </w:rPr>
              <w:t>109</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787</w:t>
            </w:r>
          </w:p>
        </w:tc>
      </w:tr>
    </w:tbl>
    <w:p w:rsidR="00D840DF" w:rsidRDefault="00961020">
      <w:pPr>
        <w:spacing w:before="194"/>
        <w:ind w:left="112"/>
        <w:rPr>
          <w:sz w:val="16"/>
        </w:rPr>
      </w:pPr>
      <w:r>
        <w:rPr>
          <w:color w:val="636466"/>
          <w:sz w:val="16"/>
        </w:rPr>
        <w:t>Amounts are expected to be settled in no more than 12 months.</w:t>
      </w:r>
    </w:p>
    <w:p w:rsidR="00D840DF" w:rsidRDefault="00D840DF">
      <w:pPr>
        <w:pStyle w:val="BodyText"/>
        <w:spacing w:before="3"/>
        <w:rPr>
          <w:sz w:val="11"/>
        </w:rPr>
      </w:pPr>
    </w:p>
    <w:tbl>
      <w:tblPr>
        <w:tblW w:w="0" w:type="auto"/>
        <w:tblInd w:w="112" w:type="dxa"/>
        <w:tblLayout w:type="fixed"/>
        <w:tblCellMar>
          <w:left w:w="0" w:type="dxa"/>
          <w:right w:w="0" w:type="dxa"/>
        </w:tblCellMar>
        <w:tblLook w:val="01E0" w:firstRow="1" w:lastRow="1" w:firstColumn="1" w:lastColumn="1" w:noHBand="0" w:noVBand="0"/>
      </w:tblPr>
      <w:tblGrid>
        <w:gridCol w:w="4474"/>
        <w:gridCol w:w="2025"/>
        <w:gridCol w:w="1043"/>
      </w:tblGrid>
      <w:tr w:rsidR="00D840DF">
        <w:trPr>
          <w:trHeight w:val="680"/>
        </w:trPr>
        <w:tc>
          <w:tcPr>
            <w:tcW w:w="4474" w:type="dxa"/>
            <w:shd w:val="clear" w:color="auto" w:fill="008F54"/>
          </w:tcPr>
          <w:p w:rsidR="00D840DF" w:rsidRDefault="00D840DF">
            <w:pPr>
              <w:pStyle w:val="TableParagraph"/>
              <w:spacing w:before="0"/>
              <w:rPr>
                <w:rFonts w:ascii="Times New Roman"/>
                <w:sz w:val="16"/>
              </w:rPr>
            </w:pPr>
          </w:p>
        </w:tc>
        <w:tc>
          <w:tcPr>
            <w:tcW w:w="2025" w:type="dxa"/>
            <w:shd w:val="clear" w:color="auto" w:fill="008F54"/>
          </w:tcPr>
          <w:p w:rsidR="00D840DF" w:rsidRDefault="00961020">
            <w:pPr>
              <w:pStyle w:val="TableParagraph"/>
              <w:spacing w:before="48" w:line="220" w:lineRule="auto"/>
              <w:ind w:left="717" w:hanging="121"/>
              <w:rPr>
                <w:rFonts w:ascii="Futura PT Demi"/>
                <w:sz w:val="17"/>
              </w:rPr>
            </w:pPr>
            <w:r>
              <w:rPr>
                <w:rFonts w:ascii="Futura PT Demi"/>
                <w:color w:val="FFFFFF"/>
                <w:sz w:val="17"/>
              </w:rPr>
              <w:t>Provision for restoration</w:t>
            </w:r>
          </w:p>
          <w:p w:rsidR="00D840DF" w:rsidRDefault="00961020">
            <w:pPr>
              <w:pStyle w:val="TableParagraph"/>
              <w:spacing w:before="0" w:line="200" w:lineRule="exact"/>
              <w:ind w:left="1087"/>
              <w:rPr>
                <w:rFonts w:ascii="Futura PT Demi" w:hAnsi="Futura PT Demi"/>
                <w:sz w:val="17"/>
              </w:rPr>
            </w:pPr>
            <w:r>
              <w:rPr>
                <w:rFonts w:ascii="Futura PT Demi" w:hAnsi="Futura PT Demi"/>
                <w:color w:val="FFFFFF"/>
                <w:sz w:val="17"/>
              </w:rPr>
              <w:t>$’000</w:t>
            </w:r>
          </w:p>
        </w:tc>
        <w:tc>
          <w:tcPr>
            <w:tcW w:w="1043" w:type="dxa"/>
            <w:shd w:val="clear" w:color="auto" w:fill="008F54"/>
          </w:tcPr>
          <w:p w:rsidR="00D840DF" w:rsidRDefault="00961020">
            <w:pPr>
              <w:pStyle w:val="TableParagraph"/>
              <w:spacing w:before="131" w:line="209" w:lineRule="exact"/>
              <w:ind w:left="570"/>
              <w:rPr>
                <w:rFonts w:ascii="Futura PT Demi"/>
                <w:sz w:val="17"/>
              </w:rPr>
            </w:pPr>
            <w:r>
              <w:rPr>
                <w:rFonts w:ascii="Futura PT Demi"/>
                <w:color w:val="FFFFFF"/>
                <w:sz w:val="17"/>
              </w:rPr>
              <w:t>Total</w:t>
            </w:r>
          </w:p>
          <w:p w:rsidR="00D840DF" w:rsidRDefault="00961020">
            <w:pPr>
              <w:pStyle w:val="TableParagraph"/>
              <w:spacing w:before="0" w:line="209" w:lineRule="exact"/>
              <w:ind w:left="479"/>
              <w:rPr>
                <w:rFonts w:ascii="Futura PT Demi" w:hAnsi="Futura PT Demi"/>
                <w:sz w:val="17"/>
              </w:rPr>
            </w:pPr>
            <w:r>
              <w:rPr>
                <w:rFonts w:ascii="Futura PT Demi" w:hAnsi="Futura PT Demi"/>
                <w:color w:val="FFFFFF"/>
                <w:sz w:val="17"/>
              </w:rPr>
              <w:t>$’000</w:t>
            </w:r>
          </w:p>
        </w:tc>
      </w:tr>
      <w:tr w:rsidR="00D840DF">
        <w:trPr>
          <w:trHeight w:val="260"/>
        </w:trPr>
        <w:tc>
          <w:tcPr>
            <w:tcW w:w="4474" w:type="dxa"/>
          </w:tcPr>
          <w:p w:rsidR="00D840DF" w:rsidRDefault="00961020">
            <w:pPr>
              <w:pStyle w:val="TableParagraph"/>
              <w:spacing w:before="33"/>
              <w:ind w:left="114"/>
              <w:rPr>
                <w:rFonts w:ascii="Futura PT Bold"/>
                <w:b/>
                <w:sz w:val="16"/>
              </w:rPr>
            </w:pPr>
            <w:r>
              <w:rPr>
                <w:rFonts w:ascii="Futura PT Bold"/>
                <w:b/>
                <w:color w:val="003E2D"/>
                <w:sz w:val="16"/>
              </w:rPr>
              <w:t>NOTE 2.4 OTHER PROVISIONS</w:t>
            </w:r>
          </w:p>
        </w:tc>
        <w:tc>
          <w:tcPr>
            <w:tcW w:w="2025" w:type="dxa"/>
          </w:tcPr>
          <w:p w:rsidR="00D840DF" w:rsidRDefault="00D840DF">
            <w:pPr>
              <w:pStyle w:val="TableParagraph"/>
              <w:spacing w:before="0"/>
              <w:rPr>
                <w:rFonts w:ascii="Times New Roman"/>
                <w:sz w:val="16"/>
              </w:rPr>
            </w:pPr>
          </w:p>
        </w:tc>
        <w:tc>
          <w:tcPr>
            <w:tcW w:w="1043" w:type="dxa"/>
          </w:tcPr>
          <w:p w:rsidR="00D840DF" w:rsidRDefault="00D840DF">
            <w:pPr>
              <w:pStyle w:val="TableParagraph"/>
              <w:spacing w:before="0"/>
              <w:rPr>
                <w:rFonts w:ascii="Times New Roman"/>
                <w:sz w:val="16"/>
              </w:rPr>
            </w:pPr>
          </w:p>
        </w:tc>
      </w:tr>
      <w:tr w:rsidR="00D840DF">
        <w:trPr>
          <w:trHeight w:val="260"/>
        </w:trPr>
        <w:tc>
          <w:tcPr>
            <w:tcW w:w="4474" w:type="dxa"/>
            <w:shd w:val="clear" w:color="auto" w:fill="E2F0D8"/>
          </w:tcPr>
          <w:p w:rsidR="00D840DF" w:rsidRDefault="00961020">
            <w:pPr>
              <w:pStyle w:val="TableParagraph"/>
              <w:spacing w:before="33"/>
              <w:ind w:left="113"/>
              <w:rPr>
                <w:rFonts w:ascii="Futura PT Bold"/>
                <w:b/>
                <w:sz w:val="16"/>
              </w:rPr>
            </w:pPr>
            <w:r>
              <w:rPr>
                <w:rFonts w:ascii="Futura PT Bold"/>
                <w:b/>
                <w:color w:val="003E2D"/>
                <w:sz w:val="16"/>
              </w:rPr>
              <w:t>As at 1 July 2016</w:t>
            </w:r>
          </w:p>
        </w:tc>
        <w:tc>
          <w:tcPr>
            <w:tcW w:w="2025" w:type="dxa"/>
            <w:shd w:val="clear" w:color="auto" w:fill="E2F0D8"/>
          </w:tcPr>
          <w:p w:rsidR="00D840DF" w:rsidRDefault="00961020">
            <w:pPr>
              <w:pStyle w:val="TableParagraph"/>
              <w:spacing w:before="33"/>
              <w:ind w:right="485"/>
              <w:jc w:val="right"/>
              <w:rPr>
                <w:rFonts w:ascii="Futura PT Bold"/>
                <w:b/>
                <w:sz w:val="16"/>
              </w:rPr>
            </w:pPr>
            <w:r>
              <w:rPr>
                <w:rFonts w:ascii="Futura PT Bold"/>
                <w:b/>
                <w:color w:val="003E2D"/>
                <w:sz w:val="16"/>
              </w:rPr>
              <w:t>165</w:t>
            </w:r>
          </w:p>
        </w:tc>
        <w:tc>
          <w:tcPr>
            <w:tcW w:w="1043" w:type="dxa"/>
            <w:shd w:val="clear" w:color="auto" w:fill="E2F0D8"/>
          </w:tcPr>
          <w:p w:rsidR="00D840DF" w:rsidRDefault="00961020">
            <w:pPr>
              <w:pStyle w:val="TableParagraph"/>
              <w:spacing w:before="33"/>
              <w:ind w:right="111"/>
              <w:jc w:val="right"/>
              <w:rPr>
                <w:rFonts w:ascii="Futura PT Bold"/>
                <w:b/>
                <w:sz w:val="16"/>
              </w:rPr>
            </w:pPr>
            <w:r>
              <w:rPr>
                <w:rFonts w:ascii="Futura PT Bold"/>
                <w:b/>
                <w:color w:val="003E2D"/>
                <w:sz w:val="16"/>
              </w:rPr>
              <w:t>165</w:t>
            </w:r>
          </w:p>
        </w:tc>
      </w:tr>
      <w:tr w:rsidR="00D840DF">
        <w:trPr>
          <w:trHeight w:val="240"/>
        </w:trPr>
        <w:tc>
          <w:tcPr>
            <w:tcW w:w="4474" w:type="dxa"/>
          </w:tcPr>
          <w:p w:rsidR="00D840DF" w:rsidRDefault="00961020">
            <w:pPr>
              <w:pStyle w:val="TableParagraph"/>
              <w:spacing w:before="21"/>
              <w:ind w:left="113"/>
              <w:rPr>
                <w:sz w:val="16"/>
              </w:rPr>
            </w:pPr>
            <w:r>
              <w:rPr>
                <w:color w:val="636466"/>
                <w:sz w:val="16"/>
              </w:rPr>
              <w:t>Unwinding of discount or change in discount rate</w:t>
            </w:r>
          </w:p>
        </w:tc>
        <w:tc>
          <w:tcPr>
            <w:tcW w:w="2025" w:type="dxa"/>
          </w:tcPr>
          <w:p w:rsidR="00D840DF" w:rsidRDefault="00961020">
            <w:pPr>
              <w:pStyle w:val="TableParagraph"/>
              <w:spacing w:before="21"/>
              <w:ind w:right="493"/>
              <w:jc w:val="right"/>
              <w:rPr>
                <w:rFonts w:ascii="Futura PT Medium"/>
                <w:sz w:val="16"/>
              </w:rPr>
            </w:pPr>
            <w:r>
              <w:rPr>
                <w:rFonts w:ascii="Futura PT Medium"/>
                <w:color w:val="636466"/>
                <w:sz w:val="16"/>
              </w:rPr>
              <w:t>21</w:t>
            </w:r>
          </w:p>
        </w:tc>
        <w:tc>
          <w:tcPr>
            <w:tcW w:w="1043" w:type="dxa"/>
          </w:tcPr>
          <w:p w:rsidR="00D840DF" w:rsidRDefault="00961020">
            <w:pPr>
              <w:pStyle w:val="TableParagraph"/>
              <w:spacing w:before="21"/>
              <w:ind w:right="121"/>
              <w:jc w:val="right"/>
              <w:rPr>
                <w:sz w:val="16"/>
              </w:rPr>
            </w:pPr>
            <w:r>
              <w:rPr>
                <w:color w:val="636466"/>
                <w:sz w:val="16"/>
              </w:rPr>
              <w:t>21</w:t>
            </w:r>
          </w:p>
        </w:tc>
      </w:tr>
      <w:tr w:rsidR="00D840DF">
        <w:trPr>
          <w:trHeight w:val="240"/>
        </w:trPr>
        <w:tc>
          <w:tcPr>
            <w:tcW w:w="4474"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as at 30 June 2017</w:t>
            </w:r>
          </w:p>
        </w:tc>
        <w:tc>
          <w:tcPr>
            <w:tcW w:w="2025" w:type="dxa"/>
            <w:tcBorders>
              <w:bottom w:val="single" w:sz="4" w:space="0" w:color="C7C8CA"/>
            </w:tcBorders>
            <w:shd w:val="clear" w:color="auto" w:fill="E6E7E8"/>
          </w:tcPr>
          <w:p w:rsidR="00D840DF" w:rsidRDefault="00961020">
            <w:pPr>
              <w:pStyle w:val="TableParagraph"/>
              <w:spacing w:before="21" w:line="200" w:lineRule="exact"/>
              <w:ind w:right="485"/>
              <w:jc w:val="right"/>
              <w:rPr>
                <w:rFonts w:ascii="Futura PT Medium"/>
                <w:sz w:val="16"/>
              </w:rPr>
            </w:pPr>
            <w:r>
              <w:rPr>
                <w:rFonts w:ascii="Futura PT Medium"/>
                <w:sz w:val="16"/>
              </w:rPr>
              <w:t>186</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186</w:t>
            </w:r>
          </w:p>
        </w:tc>
      </w:tr>
    </w:tbl>
    <w:p w:rsidR="00D840DF" w:rsidRDefault="00D840DF">
      <w:pPr>
        <w:pStyle w:val="BodyText"/>
        <w:spacing w:before="10"/>
        <w:rPr>
          <w:sz w:val="21"/>
        </w:rPr>
      </w:pPr>
    </w:p>
    <w:p w:rsidR="00D840DF" w:rsidRDefault="00961020">
      <w:pPr>
        <w:ind w:left="112"/>
        <w:rPr>
          <w:sz w:val="16"/>
        </w:rPr>
      </w:pPr>
      <w:r>
        <w:rPr>
          <w:color w:val="636466"/>
          <w:sz w:val="16"/>
        </w:rPr>
        <w:t>Amounts are expected to be settled in no more than 12 months.</w:t>
      </w:r>
    </w:p>
    <w:p w:rsidR="00D840DF" w:rsidRDefault="00961020">
      <w:pPr>
        <w:spacing w:before="118" w:line="244" w:lineRule="auto"/>
        <w:ind w:left="112" w:right="391"/>
        <w:rPr>
          <w:sz w:val="16"/>
        </w:rPr>
      </w:pPr>
      <w:r>
        <w:rPr>
          <w:color w:val="636466"/>
          <w:sz w:val="16"/>
        </w:rPr>
        <w:t>IHPA currently has one agreement for the leasing of premises which has provisions requiring IHPA to restore the premises to their original condition at the conclusion of the lease. IHPA has made a provision to reflect the present value of this obligation.</w:t>
      </w:r>
    </w:p>
    <w:p w:rsidR="00D840DF" w:rsidRDefault="00D840DF">
      <w:pPr>
        <w:spacing w:line="244" w:lineRule="auto"/>
        <w:rPr>
          <w:sz w:val="16"/>
        </w:rPr>
        <w:sectPr w:rsidR="00D840DF">
          <w:pgSz w:w="9980" w:h="14180"/>
          <w:pgMar w:top="1320" w:right="1180" w:bottom="280" w:left="1020" w:header="720" w:footer="720" w:gutter="0"/>
          <w:cols w:space="720"/>
        </w:sectPr>
      </w:pPr>
    </w:p>
    <w:p w:rsidR="00D840DF" w:rsidRDefault="00961020" w:rsidP="008D2169">
      <w:pPr>
        <w:pStyle w:val="Heading3"/>
      </w:pPr>
      <w:bookmarkStart w:id="165" w:name="Funding"/>
      <w:bookmarkStart w:id="166" w:name="Note_3.1_Cash_flow_reconciliation"/>
      <w:bookmarkStart w:id="167" w:name="_bookmark44"/>
      <w:bookmarkStart w:id="168" w:name="_Funding"/>
      <w:bookmarkEnd w:id="165"/>
      <w:bookmarkEnd w:id="166"/>
      <w:bookmarkEnd w:id="167"/>
      <w:bookmarkEnd w:id="168"/>
      <w:r>
        <w:lastRenderedPageBreak/>
        <w:t>Funding</w:t>
      </w:r>
    </w:p>
    <w:p w:rsidR="00D840DF" w:rsidRPr="008D2169" w:rsidRDefault="00961020" w:rsidP="008D2169">
      <w:pPr>
        <w:pStyle w:val="BodyText"/>
      </w:pPr>
      <w:r>
        <w:t xml:space="preserve">This </w:t>
      </w:r>
      <w:r w:rsidRPr="008D2169">
        <w:t>section</w:t>
      </w:r>
      <w:r>
        <w:t xml:space="preserve"> identifies the IHPA’s</w:t>
      </w:r>
      <w:r w:rsidR="00E314B6">
        <w:t xml:space="preserve"> </w:t>
      </w:r>
      <w:r>
        <w:t>funding structure.</w:t>
      </w:r>
    </w:p>
    <w:p w:rsidR="00D840DF" w:rsidRPr="008D2169" w:rsidRDefault="00961020" w:rsidP="008D2169">
      <w:pPr>
        <w:pStyle w:val="Heading4"/>
      </w:pPr>
      <w:bookmarkStart w:id="169" w:name="_Note_3.1_Cash"/>
      <w:bookmarkEnd w:id="169"/>
      <w:r>
        <w:t>Note 3.1 Cash flow reconciliation</w:t>
      </w:r>
    </w:p>
    <w:tbl>
      <w:tblPr>
        <w:tblW w:w="0" w:type="auto"/>
        <w:tblInd w:w="103" w:type="dxa"/>
        <w:tblLayout w:type="fixed"/>
        <w:tblCellMar>
          <w:left w:w="0" w:type="dxa"/>
          <w:right w:w="0" w:type="dxa"/>
        </w:tblCellMar>
        <w:tblLook w:val="01E0" w:firstRow="1" w:lastRow="1" w:firstColumn="1" w:lastColumn="1" w:noHBand="0" w:noVBand="0"/>
      </w:tblPr>
      <w:tblGrid>
        <w:gridCol w:w="4206"/>
        <w:gridCol w:w="2246"/>
        <w:gridCol w:w="1102"/>
      </w:tblGrid>
      <w:tr w:rsidR="00D840DF">
        <w:trPr>
          <w:trHeight w:val="480"/>
        </w:trPr>
        <w:tc>
          <w:tcPr>
            <w:tcW w:w="4206" w:type="dxa"/>
            <w:shd w:val="clear" w:color="auto" w:fill="008F54"/>
          </w:tcPr>
          <w:p w:rsidR="00D840DF" w:rsidRDefault="00D840DF">
            <w:pPr>
              <w:pStyle w:val="TableParagraph"/>
              <w:spacing w:before="0"/>
              <w:rPr>
                <w:rFonts w:ascii="Times New Roman"/>
                <w:sz w:val="16"/>
              </w:rPr>
            </w:pPr>
          </w:p>
        </w:tc>
        <w:tc>
          <w:tcPr>
            <w:tcW w:w="2246" w:type="dxa"/>
            <w:shd w:val="clear" w:color="auto" w:fill="008F54"/>
          </w:tcPr>
          <w:p w:rsidR="00D840DF" w:rsidRDefault="00961020">
            <w:pPr>
              <w:pStyle w:val="TableParagraph"/>
              <w:spacing w:before="30" w:line="209" w:lineRule="exact"/>
              <w:ind w:left="1443"/>
              <w:rPr>
                <w:rFonts w:ascii="Futura PT Demi"/>
                <w:sz w:val="17"/>
              </w:rPr>
            </w:pPr>
            <w:r>
              <w:rPr>
                <w:rFonts w:ascii="Futura PT Demi"/>
                <w:color w:val="FFFFFF"/>
                <w:sz w:val="17"/>
              </w:rPr>
              <w:t>2017</w:t>
            </w:r>
          </w:p>
          <w:p w:rsidR="00D840DF" w:rsidRDefault="00961020">
            <w:pPr>
              <w:pStyle w:val="TableParagraph"/>
              <w:spacing w:before="0" w:line="209" w:lineRule="exact"/>
              <w:ind w:left="1367"/>
              <w:rPr>
                <w:rFonts w:ascii="Futura PT Demi" w:hAnsi="Futura PT Demi"/>
                <w:sz w:val="17"/>
              </w:rPr>
            </w:pPr>
            <w:r>
              <w:rPr>
                <w:rFonts w:ascii="Futura PT Demi" w:hAnsi="Futura PT Demi"/>
                <w:color w:val="FFFFFF"/>
                <w:sz w:val="17"/>
              </w:rPr>
              <w:t>$’000</w:t>
            </w:r>
          </w:p>
        </w:tc>
        <w:tc>
          <w:tcPr>
            <w:tcW w:w="1102" w:type="dxa"/>
            <w:shd w:val="clear" w:color="auto" w:fill="008F54"/>
          </w:tcPr>
          <w:p w:rsidR="00D840DF" w:rsidRDefault="00961020">
            <w:pPr>
              <w:pStyle w:val="TableParagraph"/>
              <w:spacing w:before="30" w:line="209" w:lineRule="exact"/>
              <w:ind w:left="613"/>
              <w:rPr>
                <w:rFonts w:ascii="Futura PT Demi"/>
                <w:sz w:val="17"/>
              </w:rPr>
            </w:pPr>
            <w:r>
              <w:rPr>
                <w:rFonts w:ascii="Futura PT Demi"/>
                <w:color w:val="FFFFFF"/>
                <w:sz w:val="17"/>
              </w:rPr>
              <w:t>2016</w:t>
            </w:r>
          </w:p>
          <w:p w:rsidR="00D840DF" w:rsidRDefault="00961020">
            <w:pPr>
              <w:pStyle w:val="TableParagraph"/>
              <w:spacing w:before="0" w:line="209" w:lineRule="exact"/>
              <w:ind w:left="538"/>
              <w:rPr>
                <w:rFonts w:ascii="Futura PT Demi" w:hAnsi="Futura PT Demi"/>
                <w:sz w:val="17"/>
              </w:rPr>
            </w:pPr>
            <w:r>
              <w:rPr>
                <w:rFonts w:ascii="Futura PT Demi" w:hAnsi="Futura PT Demi"/>
                <w:color w:val="FFFFFF"/>
                <w:sz w:val="17"/>
              </w:rPr>
              <w:t>$’000</w:t>
            </w:r>
          </w:p>
        </w:tc>
      </w:tr>
      <w:tr w:rsidR="00D840DF">
        <w:trPr>
          <w:trHeight w:val="440"/>
        </w:trPr>
        <w:tc>
          <w:tcPr>
            <w:tcW w:w="7554" w:type="dxa"/>
            <w:gridSpan w:val="3"/>
          </w:tcPr>
          <w:p w:rsidR="00D840DF" w:rsidRDefault="00961020">
            <w:pPr>
              <w:pStyle w:val="TableParagraph"/>
              <w:spacing w:before="57" w:line="211" w:lineRule="auto"/>
              <w:ind w:left="114" w:right="207"/>
              <w:rPr>
                <w:rFonts w:ascii="Futura PT Bold"/>
                <w:b/>
                <w:sz w:val="16"/>
              </w:rPr>
            </w:pPr>
            <w:r>
              <w:rPr>
                <w:rFonts w:ascii="Futura PT Bold"/>
                <w:b/>
                <w:color w:val="003E2D"/>
                <w:sz w:val="16"/>
              </w:rPr>
              <w:t>RECONCILIATION OF CASH AND CASH EQUIVALENTS AS PER STATEMENT OF FINANCIAL POSITION AND CASH FLOW STATEMENT</w:t>
            </w:r>
          </w:p>
        </w:tc>
      </w:tr>
      <w:tr w:rsidR="00DB6009" w:rsidTr="00DB6009">
        <w:trPr>
          <w:trHeight w:val="260"/>
        </w:trPr>
        <w:tc>
          <w:tcPr>
            <w:tcW w:w="7554" w:type="dxa"/>
            <w:gridSpan w:val="3"/>
            <w:shd w:val="clear" w:color="auto" w:fill="E1EFD8"/>
          </w:tcPr>
          <w:p w:rsidR="00DB6009" w:rsidRDefault="00DB6009">
            <w:pPr>
              <w:pStyle w:val="TableParagraph"/>
              <w:spacing w:before="0"/>
              <w:rPr>
                <w:rFonts w:ascii="Times New Roman"/>
                <w:sz w:val="16"/>
              </w:rPr>
            </w:pPr>
            <w:r>
              <w:rPr>
                <w:rFonts w:ascii="Futura PT Bold"/>
                <w:b/>
                <w:color w:val="003E2D"/>
                <w:sz w:val="16"/>
                <w:shd w:val="clear" w:color="auto" w:fill="E2F0D8"/>
              </w:rPr>
              <w:t xml:space="preserve"> Cash and cash equivalents as per</w:t>
            </w:r>
            <w:r>
              <w:rPr>
                <w:rFonts w:ascii="Futura PT Bold"/>
                <w:b/>
                <w:color w:val="003E2D"/>
                <w:sz w:val="16"/>
                <w:shd w:val="clear" w:color="auto" w:fill="E2F0D8"/>
              </w:rPr>
              <w:tab/>
            </w:r>
          </w:p>
        </w:tc>
      </w:tr>
      <w:tr w:rsidR="00D840DF">
        <w:trPr>
          <w:trHeight w:val="240"/>
        </w:trPr>
        <w:tc>
          <w:tcPr>
            <w:tcW w:w="4206"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Cash</w:t>
            </w:r>
            <w:r w:rsidR="00E314B6">
              <w:rPr>
                <w:color w:val="636466"/>
                <w:sz w:val="16"/>
              </w:rPr>
              <w:t xml:space="preserve"> </w:t>
            </w:r>
            <w:r>
              <w:rPr>
                <w:color w:val="636466"/>
                <w:sz w:val="16"/>
              </w:rPr>
              <w:t>flow statement</w:t>
            </w:r>
          </w:p>
        </w:tc>
        <w:tc>
          <w:tcPr>
            <w:tcW w:w="2246" w:type="dxa"/>
            <w:tcBorders>
              <w:bottom w:val="single" w:sz="4" w:space="0" w:color="C7C8CA"/>
            </w:tcBorders>
          </w:tcPr>
          <w:p w:rsidR="00D840DF" w:rsidRDefault="00961020">
            <w:pPr>
              <w:pStyle w:val="TableParagraph"/>
              <w:spacing w:before="28" w:line="200" w:lineRule="exact"/>
              <w:ind w:right="426"/>
              <w:jc w:val="right"/>
              <w:rPr>
                <w:rFonts w:ascii="Futura PT Medium"/>
                <w:sz w:val="16"/>
              </w:rPr>
            </w:pPr>
            <w:r>
              <w:rPr>
                <w:rFonts w:ascii="Futura PT Medium"/>
                <w:color w:val="636466"/>
                <w:sz w:val="16"/>
              </w:rPr>
              <w:t>9,793</w:t>
            </w:r>
          </w:p>
        </w:tc>
        <w:tc>
          <w:tcPr>
            <w:tcW w:w="1102"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8,400</w:t>
            </w:r>
          </w:p>
        </w:tc>
      </w:tr>
      <w:tr w:rsidR="00D840DF">
        <w:trPr>
          <w:trHeight w:val="240"/>
        </w:trPr>
        <w:tc>
          <w:tcPr>
            <w:tcW w:w="4206" w:type="dxa"/>
            <w:tcBorders>
              <w:top w:val="single" w:sz="4" w:space="0" w:color="C7C8CA"/>
            </w:tcBorders>
          </w:tcPr>
          <w:p w:rsidR="00D840DF" w:rsidRDefault="00961020">
            <w:pPr>
              <w:pStyle w:val="TableParagraph"/>
              <w:ind w:left="113"/>
              <w:rPr>
                <w:sz w:val="16"/>
              </w:rPr>
            </w:pPr>
            <w:r>
              <w:rPr>
                <w:color w:val="636466"/>
                <w:sz w:val="16"/>
              </w:rPr>
              <w:t>Statement of financial</w:t>
            </w:r>
            <w:r w:rsidR="00E314B6">
              <w:rPr>
                <w:color w:val="636466"/>
                <w:sz w:val="16"/>
              </w:rPr>
              <w:t xml:space="preserve"> </w:t>
            </w:r>
            <w:r>
              <w:rPr>
                <w:color w:val="636466"/>
                <w:sz w:val="16"/>
              </w:rPr>
              <w:t>position</w:t>
            </w:r>
          </w:p>
        </w:tc>
        <w:tc>
          <w:tcPr>
            <w:tcW w:w="2246" w:type="dxa"/>
            <w:tcBorders>
              <w:top w:val="single" w:sz="4" w:space="0" w:color="C7C8CA"/>
            </w:tcBorders>
          </w:tcPr>
          <w:p w:rsidR="00D840DF" w:rsidRDefault="00961020">
            <w:pPr>
              <w:pStyle w:val="TableParagraph"/>
              <w:ind w:right="426"/>
              <w:jc w:val="right"/>
              <w:rPr>
                <w:rFonts w:ascii="Futura PT Medium"/>
                <w:sz w:val="16"/>
              </w:rPr>
            </w:pPr>
            <w:r>
              <w:rPr>
                <w:rFonts w:ascii="Futura PT Medium"/>
                <w:color w:val="636466"/>
                <w:sz w:val="16"/>
              </w:rPr>
              <w:t>9,793</w:t>
            </w:r>
          </w:p>
        </w:tc>
        <w:tc>
          <w:tcPr>
            <w:tcW w:w="1102" w:type="dxa"/>
            <w:tcBorders>
              <w:top w:val="single" w:sz="4" w:space="0" w:color="C7C8CA"/>
            </w:tcBorders>
          </w:tcPr>
          <w:p w:rsidR="00D840DF" w:rsidRDefault="00961020">
            <w:pPr>
              <w:pStyle w:val="TableParagraph"/>
              <w:ind w:right="111"/>
              <w:jc w:val="right"/>
              <w:rPr>
                <w:sz w:val="16"/>
              </w:rPr>
            </w:pPr>
            <w:r>
              <w:rPr>
                <w:color w:val="636466"/>
                <w:sz w:val="16"/>
              </w:rPr>
              <w:t>8,400</w:t>
            </w:r>
          </w:p>
        </w:tc>
      </w:tr>
      <w:tr w:rsidR="00D840DF">
        <w:trPr>
          <w:trHeight w:val="240"/>
        </w:trPr>
        <w:tc>
          <w:tcPr>
            <w:tcW w:w="4206"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Discrepancy</w:t>
            </w:r>
          </w:p>
        </w:tc>
        <w:tc>
          <w:tcPr>
            <w:tcW w:w="2246" w:type="dxa"/>
            <w:tcBorders>
              <w:bottom w:val="single" w:sz="4" w:space="0" w:color="C7C8CA"/>
            </w:tcBorders>
            <w:shd w:val="clear" w:color="auto" w:fill="E6E7E8"/>
          </w:tcPr>
          <w:p w:rsidR="00D840DF" w:rsidRDefault="00961020">
            <w:pPr>
              <w:pStyle w:val="TableParagraph"/>
              <w:spacing w:before="21" w:line="200" w:lineRule="exact"/>
              <w:ind w:right="426"/>
              <w:jc w:val="right"/>
              <w:rPr>
                <w:rFonts w:ascii="Futura PT Medium"/>
                <w:sz w:val="16"/>
              </w:rPr>
            </w:pPr>
            <w:r>
              <w:rPr>
                <w:rFonts w:ascii="Futura PT Medium"/>
                <w:sz w:val="16"/>
              </w:rPr>
              <w:t>-</w:t>
            </w:r>
          </w:p>
        </w:tc>
        <w:tc>
          <w:tcPr>
            <w:tcW w:w="1102"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w:t>
            </w:r>
          </w:p>
        </w:tc>
      </w:tr>
      <w:tr w:rsidR="00D840DF">
        <w:trPr>
          <w:trHeight w:val="160"/>
        </w:trPr>
        <w:tc>
          <w:tcPr>
            <w:tcW w:w="4206" w:type="dxa"/>
            <w:tcBorders>
              <w:top w:val="single" w:sz="4" w:space="0" w:color="C7C8CA"/>
            </w:tcBorders>
          </w:tcPr>
          <w:p w:rsidR="00D840DF" w:rsidRDefault="00D840DF">
            <w:pPr>
              <w:pStyle w:val="TableParagraph"/>
              <w:spacing w:before="0"/>
              <w:rPr>
                <w:rFonts w:ascii="Times New Roman"/>
                <w:sz w:val="10"/>
              </w:rPr>
            </w:pPr>
          </w:p>
        </w:tc>
        <w:tc>
          <w:tcPr>
            <w:tcW w:w="2246" w:type="dxa"/>
            <w:tcBorders>
              <w:top w:val="single" w:sz="4" w:space="0" w:color="C7C8CA"/>
            </w:tcBorders>
          </w:tcPr>
          <w:p w:rsidR="00D840DF" w:rsidRDefault="00D840DF">
            <w:pPr>
              <w:pStyle w:val="TableParagraph"/>
              <w:spacing w:before="0"/>
              <w:rPr>
                <w:rFonts w:ascii="Times New Roman"/>
                <w:sz w:val="10"/>
              </w:rPr>
            </w:pPr>
          </w:p>
        </w:tc>
        <w:tc>
          <w:tcPr>
            <w:tcW w:w="1102" w:type="dxa"/>
            <w:tcBorders>
              <w:top w:val="single" w:sz="4" w:space="0" w:color="C7C8CA"/>
            </w:tcBorders>
          </w:tcPr>
          <w:p w:rsidR="00D840DF" w:rsidRDefault="00D840DF">
            <w:pPr>
              <w:pStyle w:val="TableParagraph"/>
              <w:spacing w:before="0"/>
              <w:rPr>
                <w:rFonts w:ascii="Times New Roman"/>
                <w:sz w:val="10"/>
              </w:rPr>
            </w:pPr>
          </w:p>
        </w:tc>
      </w:tr>
      <w:tr w:rsidR="00D840DF">
        <w:trPr>
          <w:trHeight w:val="440"/>
        </w:trPr>
        <w:tc>
          <w:tcPr>
            <w:tcW w:w="4206" w:type="dxa"/>
            <w:shd w:val="clear" w:color="auto" w:fill="E2F0D8"/>
          </w:tcPr>
          <w:p w:rsidR="00D840DF" w:rsidRDefault="00961020">
            <w:pPr>
              <w:pStyle w:val="TableParagraph"/>
              <w:spacing w:before="57" w:line="211" w:lineRule="auto"/>
              <w:ind w:left="113"/>
              <w:rPr>
                <w:rFonts w:ascii="Futura PT Bold"/>
                <w:b/>
                <w:sz w:val="16"/>
              </w:rPr>
            </w:pPr>
            <w:r>
              <w:rPr>
                <w:rFonts w:ascii="Futura PT Bold"/>
                <w:b/>
                <w:color w:val="003E2D"/>
                <w:sz w:val="16"/>
              </w:rPr>
              <w:t>Reconciliation of net cost of services to net cash from operating activities</w:t>
            </w:r>
          </w:p>
        </w:tc>
        <w:tc>
          <w:tcPr>
            <w:tcW w:w="2246" w:type="dxa"/>
            <w:shd w:val="clear" w:color="auto" w:fill="E2F0D8"/>
          </w:tcPr>
          <w:p w:rsidR="00D840DF" w:rsidRDefault="00D840DF">
            <w:pPr>
              <w:pStyle w:val="TableParagraph"/>
              <w:spacing w:before="0"/>
              <w:rPr>
                <w:rFonts w:ascii="Times New Roman"/>
                <w:sz w:val="16"/>
              </w:rPr>
            </w:pPr>
          </w:p>
        </w:tc>
        <w:tc>
          <w:tcPr>
            <w:tcW w:w="1102" w:type="dxa"/>
            <w:shd w:val="clear" w:color="auto" w:fill="E2F0D8"/>
          </w:tcPr>
          <w:p w:rsidR="00D840DF" w:rsidRDefault="00D840DF">
            <w:pPr>
              <w:pStyle w:val="TableParagraph"/>
              <w:spacing w:before="0"/>
              <w:rPr>
                <w:rFonts w:ascii="Times New Roman"/>
                <w:sz w:val="16"/>
              </w:rPr>
            </w:pPr>
          </w:p>
        </w:tc>
      </w:tr>
      <w:tr w:rsidR="00D840DF">
        <w:trPr>
          <w:trHeight w:val="240"/>
        </w:trPr>
        <w:tc>
          <w:tcPr>
            <w:tcW w:w="4206" w:type="dxa"/>
            <w:tcBorders>
              <w:bottom w:val="single" w:sz="4" w:space="0" w:color="C7C8CA"/>
            </w:tcBorders>
          </w:tcPr>
          <w:p w:rsidR="00D840DF" w:rsidRDefault="00961020">
            <w:pPr>
              <w:pStyle w:val="TableParagraph"/>
              <w:spacing w:before="21" w:line="200" w:lineRule="exact"/>
              <w:ind w:left="113"/>
              <w:rPr>
                <w:sz w:val="16"/>
              </w:rPr>
            </w:pPr>
            <w:r>
              <w:rPr>
                <w:color w:val="636466"/>
                <w:sz w:val="16"/>
              </w:rPr>
              <w:t>Surplus</w:t>
            </w:r>
          </w:p>
        </w:tc>
        <w:tc>
          <w:tcPr>
            <w:tcW w:w="2246" w:type="dxa"/>
            <w:tcBorders>
              <w:bottom w:val="single" w:sz="4" w:space="0" w:color="C7C8CA"/>
            </w:tcBorders>
          </w:tcPr>
          <w:p w:rsidR="00D840DF" w:rsidRDefault="00961020">
            <w:pPr>
              <w:pStyle w:val="TableParagraph"/>
              <w:spacing w:before="21" w:line="200" w:lineRule="exact"/>
              <w:ind w:right="425"/>
              <w:jc w:val="right"/>
              <w:rPr>
                <w:rFonts w:ascii="Futura PT Medium"/>
                <w:sz w:val="16"/>
              </w:rPr>
            </w:pPr>
            <w:r>
              <w:rPr>
                <w:rFonts w:ascii="Futura PT Medium"/>
                <w:color w:val="636466"/>
                <w:sz w:val="16"/>
              </w:rPr>
              <w:t>2,686</w:t>
            </w:r>
          </w:p>
        </w:tc>
        <w:tc>
          <w:tcPr>
            <w:tcW w:w="1102" w:type="dxa"/>
            <w:tcBorders>
              <w:bottom w:val="single" w:sz="4" w:space="0" w:color="C7C8CA"/>
            </w:tcBorders>
          </w:tcPr>
          <w:p w:rsidR="00D840DF" w:rsidRDefault="00961020">
            <w:pPr>
              <w:pStyle w:val="TableParagraph"/>
              <w:spacing w:before="21" w:line="200" w:lineRule="exact"/>
              <w:ind w:right="111"/>
              <w:jc w:val="right"/>
              <w:rPr>
                <w:sz w:val="16"/>
              </w:rPr>
            </w:pPr>
            <w:r>
              <w:rPr>
                <w:color w:val="636466"/>
                <w:sz w:val="16"/>
              </w:rPr>
              <w:t>(21,897)</w:t>
            </w:r>
          </w:p>
        </w:tc>
      </w:tr>
      <w:tr w:rsidR="00D840DF">
        <w:trPr>
          <w:trHeight w:val="220"/>
        </w:trPr>
        <w:tc>
          <w:tcPr>
            <w:tcW w:w="4206"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Revenue</w:t>
            </w:r>
            <w:r w:rsidR="00E314B6">
              <w:rPr>
                <w:color w:val="636466"/>
                <w:sz w:val="16"/>
              </w:rPr>
              <w:t xml:space="preserve"> </w:t>
            </w:r>
            <w:r>
              <w:rPr>
                <w:color w:val="636466"/>
                <w:sz w:val="16"/>
              </w:rPr>
              <w:t>from Government</w:t>
            </w:r>
          </w:p>
        </w:tc>
        <w:tc>
          <w:tcPr>
            <w:tcW w:w="2246" w:type="dxa"/>
            <w:tcBorders>
              <w:top w:val="single" w:sz="4" w:space="0" w:color="C7C8CA"/>
              <w:bottom w:val="single" w:sz="4" w:space="0" w:color="C7C8CA"/>
            </w:tcBorders>
          </w:tcPr>
          <w:p w:rsidR="00D840DF" w:rsidRDefault="00961020">
            <w:pPr>
              <w:pStyle w:val="TableParagraph"/>
              <w:spacing w:line="200" w:lineRule="exact"/>
              <w:ind w:right="426"/>
              <w:jc w:val="right"/>
              <w:rPr>
                <w:rFonts w:ascii="Futura PT Medium"/>
                <w:sz w:val="16"/>
              </w:rPr>
            </w:pPr>
            <w:r>
              <w:rPr>
                <w:rFonts w:ascii="Futura PT Medium"/>
                <w:color w:val="636466"/>
                <w:sz w:val="16"/>
              </w:rPr>
              <w:t>-</w:t>
            </w:r>
          </w:p>
        </w:tc>
        <w:tc>
          <w:tcPr>
            <w:tcW w:w="1102"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25,877</w:t>
            </w:r>
          </w:p>
        </w:tc>
      </w:tr>
      <w:tr w:rsidR="00DB6009" w:rsidTr="00DB6009">
        <w:trPr>
          <w:trHeight w:val="308"/>
        </w:trPr>
        <w:tc>
          <w:tcPr>
            <w:tcW w:w="7554" w:type="dxa"/>
            <w:gridSpan w:val="3"/>
            <w:tcBorders>
              <w:top w:val="single" w:sz="4" w:space="0" w:color="C7C8CA"/>
            </w:tcBorders>
            <w:shd w:val="clear" w:color="auto" w:fill="E1EFD8"/>
          </w:tcPr>
          <w:p w:rsidR="00DB6009" w:rsidRDefault="00DB6009">
            <w:pPr>
              <w:pStyle w:val="TableParagraph"/>
              <w:spacing w:before="0"/>
              <w:rPr>
                <w:rFonts w:ascii="Times New Roman"/>
                <w:sz w:val="16"/>
              </w:rPr>
            </w:pPr>
            <w:r>
              <w:rPr>
                <w:rFonts w:ascii="Futura PT Bold"/>
                <w:b/>
                <w:color w:val="003E2D"/>
                <w:sz w:val="16"/>
                <w:shd w:val="clear" w:color="auto" w:fill="E2F0D8"/>
              </w:rPr>
              <w:t xml:space="preserve">Adjustments for </w:t>
            </w:r>
            <w:r>
              <w:rPr>
                <w:rFonts w:ascii="Futura PT Bold"/>
                <w:b/>
                <w:color w:val="003E2D"/>
                <w:spacing w:val="1"/>
                <w:sz w:val="16"/>
                <w:shd w:val="clear" w:color="auto" w:fill="E2F0D8"/>
              </w:rPr>
              <w:t xml:space="preserve">non-cash </w:t>
            </w:r>
            <w:r>
              <w:rPr>
                <w:rFonts w:ascii="Futura PT Bold"/>
                <w:b/>
                <w:color w:val="003E2D"/>
                <w:sz w:val="16"/>
                <w:shd w:val="clear" w:color="auto" w:fill="E2F0D8"/>
              </w:rPr>
              <w:t>items</w:t>
            </w:r>
            <w:r>
              <w:rPr>
                <w:rFonts w:ascii="Futura PT Bold"/>
                <w:b/>
                <w:color w:val="003E2D"/>
                <w:sz w:val="16"/>
                <w:shd w:val="clear" w:color="auto" w:fill="E2F0D8"/>
              </w:rPr>
              <w:tab/>
            </w:r>
          </w:p>
        </w:tc>
      </w:tr>
      <w:tr w:rsidR="00D840DF">
        <w:trPr>
          <w:trHeight w:val="240"/>
        </w:trPr>
        <w:tc>
          <w:tcPr>
            <w:tcW w:w="4206"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Depreciation/</w:t>
            </w:r>
            <w:proofErr w:type="spellStart"/>
            <w:r>
              <w:rPr>
                <w:color w:val="636466"/>
                <w:sz w:val="16"/>
              </w:rPr>
              <w:t>amortisation</w:t>
            </w:r>
            <w:proofErr w:type="spellEnd"/>
          </w:p>
        </w:tc>
        <w:tc>
          <w:tcPr>
            <w:tcW w:w="2246" w:type="dxa"/>
            <w:tcBorders>
              <w:bottom w:val="single" w:sz="4" w:space="0" w:color="C7C8CA"/>
            </w:tcBorders>
          </w:tcPr>
          <w:p w:rsidR="00D840DF" w:rsidRDefault="00961020">
            <w:pPr>
              <w:pStyle w:val="TableParagraph"/>
              <w:spacing w:before="28" w:line="200" w:lineRule="exact"/>
              <w:ind w:right="426"/>
              <w:jc w:val="right"/>
              <w:rPr>
                <w:rFonts w:ascii="Futura PT Medium"/>
                <w:sz w:val="16"/>
              </w:rPr>
            </w:pPr>
            <w:r>
              <w:rPr>
                <w:rFonts w:ascii="Futura PT Medium"/>
                <w:color w:val="636466"/>
                <w:sz w:val="16"/>
              </w:rPr>
              <w:t>533</w:t>
            </w:r>
          </w:p>
        </w:tc>
        <w:tc>
          <w:tcPr>
            <w:tcW w:w="1102" w:type="dxa"/>
            <w:tcBorders>
              <w:bottom w:val="single" w:sz="4" w:space="0" w:color="C7C8CA"/>
            </w:tcBorders>
          </w:tcPr>
          <w:p w:rsidR="00D840DF" w:rsidRDefault="00961020">
            <w:pPr>
              <w:pStyle w:val="TableParagraph"/>
              <w:spacing w:before="28" w:line="200" w:lineRule="exact"/>
              <w:ind w:right="115"/>
              <w:jc w:val="right"/>
              <w:rPr>
                <w:sz w:val="16"/>
              </w:rPr>
            </w:pPr>
            <w:r>
              <w:rPr>
                <w:color w:val="636466"/>
                <w:sz w:val="16"/>
              </w:rPr>
              <w:t>671</w:t>
            </w:r>
          </w:p>
        </w:tc>
      </w:tr>
      <w:tr w:rsidR="00D840DF">
        <w:trPr>
          <w:trHeight w:val="220"/>
        </w:trPr>
        <w:tc>
          <w:tcPr>
            <w:tcW w:w="4206"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Net write down of non-financial</w:t>
            </w:r>
            <w:r w:rsidR="00E314B6">
              <w:rPr>
                <w:color w:val="636466"/>
                <w:sz w:val="16"/>
              </w:rPr>
              <w:t xml:space="preserve"> </w:t>
            </w:r>
            <w:r>
              <w:rPr>
                <w:color w:val="636466"/>
                <w:sz w:val="16"/>
              </w:rPr>
              <w:t>assets</w:t>
            </w:r>
          </w:p>
        </w:tc>
        <w:tc>
          <w:tcPr>
            <w:tcW w:w="2246" w:type="dxa"/>
            <w:tcBorders>
              <w:top w:val="single" w:sz="4" w:space="0" w:color="C7C8CA"/>
              <w:bottom w:val="single" w:sz="4" w:space="0" w:color="C7C8CA"/>
            </w:tcBorders>
          </w:tcPr>
          <w:p w:rsidR="00D840DF" w:rsidRDefault="00961020">
            <w:pPr>
              <w:pStyle w:val="TableParagraph"/>
              <w:spacing w:line="200" w:lineRule="exact"/>
              <w:ind w:right="440"/>
              <w:jc w:val="right"/>
              <w:rPr>
                <w:rFonts w:ascii="Futura PT Medium"/>
                <w:sz w:val="16"/>
              </w:rPr>
            </w:pPr>
            <w:r>
              <w:rPr>
                <w:rFonts w:ascii="Futura PT Medium"/>
                <w:color w:val="636466"/>
                <w:sz w:val="16"/>
              </w:rPr>
              <w:t>74</w:t>
            </w:r>
          </w:p>
        </w:tc>
        <w:tc>
          <w:tcPr>
            <w:tcW w:w="1102"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1</w:t>
            </w:r>
          </w:p>
        </w:tc>
      </w:tr>
      <w:tr w:rsidR="00D840DF">
        <w:trPr>
          <w:trHeight w:val="220"/>
        </w:trPr>
        <w:tc>
          <w:tcPr>
            <w:tcW w:w="4206"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Lapsing receivable from</w:t>
            </w:r>
            <w:r w:rsidR="00E314B6">
              <w:rPr>
                <w:color w:val="636466"/>
                <w:sz w:val="16"/>
              </w:rPr>
              <w:t xml:space="preserve"> </w:t>
            </w:r>
            <w:r>
              <w:rPr>
                <w:color w:val="636466"/>
                <w:sz w:val="16"/>
              </w:rPr>
              <w:t>Government</w:t>
            </w:r>
          </w:p>
        </w:tc>
        <w:tc>
          <w:tcPr>
            <w:tcW w:w="2246" w:type="dxa"/>
            <w:tcBorders>
              <w:top w:val="single" w:sz="4" w:space="0" w:color="C7C8CA"/>
              <w:bottom w:val="single" w:sz="4" w:space="0" w:color="C7C8CA"/>
            </w:tcBorders>
          </w:tcPr>
          <w:p w:rsidR="00D840DF" w:rsidRDefault="00961020">
            <w:pPr>
              <w:pStyle w:val="TableParagraph"/>
              <w:spacing w:line="200" w:lineRule="exact"/>
              <w:ind w:right="426"/>
              <w:jc w:val="right"/>
              <w:rPr>
                <w:rFonts w:ascii="Futura PT Medium"/>
                <w:sz w:val="16"/>
              </w:rPr>
            </w:pPr>
            <w:r>
              <w:rPr>
                <w:rFonts w:ascii="Futura PT Medium"/>
                <w:color w:val="636466"/>
                <w:sz w:val="16"/>
              </w:rPr>
              <w:t>(18,176)</w:t>
            </w:r>
          </w:p>
        </w:tc>
        <w:tc>
          <w:tcPr>
            <w:tcW w:w="1102"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w:t>
            </w:r>
          </w:p>
        </w:tc>
      </w:tr>
      <w:tr w:rsidR="00D840DF" w:rsidTr="00DB6009">
        <w:trPr>
          <w:trHeight w:val="279"/>
        </w:trPr>
        <w:tc>
          <w:tcPr>
            <w:tcW w:w="4206" w:type="dxa"/>
            <w:tcBorders>
              <w:top w:val="single" w:sz="4" w:space="0" w:color="C7C8CA"/>
            </w:tcBorders>
          </w:tcPr>
          <w:p w:rsidR="00D840DF" w:rsidRDefault="00961020" w:rsidP="00DB6009">
            <w:pPr>
              <w:pStyle w:val="TableParagraph"/>
              <w:spacing w:before="0"/>
              <w:rPr>
                <w:rFonts w:ascii="Futura PT Bold"/>
                <w:b/>
                <w:sz w:val="16"/>
              </w:rPr>
            </w:pPr>
            <w:r>
              <w:rPr>
                <w:rFonts w:ascii="Futura PT Bold"/>
                <w:b/>
                <w:color w:val="003E2D"/>
                <w:sz w:val="16"/>
              </w:rPr>
              <w:t>MOVEMENT IN ASSETS AND LIABILITIES</w:t>
            </w:r>
          </w:p>
        </w:tc>
        <w:tc>
          <w:tcPr>
            <w:tcW w:w="2246" w:type="dxa"/>
            <w:tcBorders>
              <w:top w:val="single" w:sz="4" w:space="0" w:color="C7C8CA"/>
            </w:tcBorders>
          </w:tcPr>
          <w:p w:rsidR="00D840DF" w:rsidRDefault="00D840DF">
            <w:pPr>
              <w:pStyle w:val="TableParagraph"/>
              <w:spacing w:before="0"/>
              <w:rPr>
                <w:rFonts w:ascii="Times New Roman"/>
                <w:sz w:val="16"/>
              </w:rPr>
            </w:pPr>
          </w:p>
        </w:tc>
        <w:tc>
          <w:tcPr>
            <w:tcW w:w="1102" w:type="dxa"/>
            <w:tcBorders>
              <w:top w:val="single" w:sz="4" w:space="0" w:color="C7C8CA"/>
            </w:tcBorders>
          </w:tcPr>
          <w:p w:rsidR="00D840DF" w:rsidRDefault="00D840DF">
            <w:pPr>
              <w:pStyle w:val="TableParagraph"/>
              <w:spacing w:before="0"/>
              <w:rPr>
                <w:rFonts w:ascii="Times New Roman"/>
                <w:sz w:val="16"/>
              </w:rPr>
            </w:pPr>
          </w:p>
        </w:tc>
      </w:tr>
      <w:tr w:rsidR="00DB6009" w:rsidTr="00B05462">
        <w:trPr>
          <w:trHeight w:val="260"/>
        </w:trPr>
        <w:tc>
          <w:tcPr>
            <w:tcW w:w="7554" w:type="dxa"/>
            <w:gridSpan w:val="3"/>
            <w:shd w:val="clear" w:color="auto" w:fill="E1EFD8"/>
          </w:tcPr>
          <w:p w:rsidR="00DB6009" w:rsidRDefault="00DB6009" w:rsidP="00DB6009">
            <w:pPr>
              <w:pStyle w:val="TableParagraph"/>
              <w:spacing w:before="0"/>
              <w:rPr>
                <w:rFonts w:ascii="Times New Roman"/>
                <w:sz w:val="16"/>
              </w:rPr>
            </w:pPr>
            <w:r>
              <w:rPr>
                <w:rFonts w:ascii="Futura PT Bold"/>
                <w:b/>
                <w:color w:val="003E2D"/>
                <w:sz w:val="16"/>
                <w:shd w:val="clear" w:color="auto" w:fill="E2F0D8"/>
              </w:rPr>
              <w:t xml:space="preserve"> </w:t>
            </w:r>
            <w:r>
              <w:rPr>
                <w:rFonts w:ascii="Futura PT Bold"/>
                <w:b/>
                <w:color w:val="003E2D"/>
                <w:spacing w:val="1"/>
                <w:sz w:val="16"/>
                <w:shd w:val="clear" w:color="auto" w:fill="E2F0D8"/>
              </w:rPr>
              <w:t>Assets</w:t>
            </w:r>
          </w:p>
        </w:tc>
      </w:tr>
      <w:tr w:rsidR="00D840DF">
        <w:trPr>
          <w:trHeight w:val="240"/>
        </w:trPr>
        <w:tc>
          <w:tcPr>
            <w:tcW w:w="4206"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(Increase)/Decrease in net</w:t>
            </w:r>
            <w:r w:rsidR="00E314B6">
              <w:rPr>
                <w:color w:val="636466"/>
                <w:sz w:val="16"/>
              </w:rPr>
              <w:t xml:space="preserve"> </w:t>
            </w:r>
            <w:r>
              <w:rPr>
                <w:color w:val="636466"/>
                <w:sz w:val="16"/>
              </w:rPr>
              <w:t>receivables</w:t>
            </w:r>
          </w:p>
        </w:tc>
        <w:tc>
          <w:tcPr>
            <w:tcW w:w="2246" w:type="dxa"/>
            <w:tcBorders>
              <w:bottom w:val="single" w:sz="4" w:space="0" w:color="C7C8CA"/>
            </w:tcBorders>
          </w:tcPr>
          <w:p w:rsidR="00D840DF" w:rsidRDefault="00961020">
            <w:pPr>
              <w:pStyle w:val="TableParagraph"/>
              <w:spacing w:before="28" w:line="200" w:lineRule="exact"/>
              <w:ind w:right="426"/>
              <w:jc w:val="right"/>
              <w:rPr>
                <w:rFonts w:ascii="Futura PT Medium"/>
                <w:sz w:val="16"/>
              </w:rPr>
            </w:pPr>
            <w:r>
              <w:rPr>
                <w:rFonts w:ascii="Futura PT Medium"/>
                <w:color w:val="636466"/>
                <w:sz w:val="16"/>
              </w:rPr>
              <w:t>18,304</w:t>
            </w:r>
          </w:p>
        </w:tc>
        <w:tc>
          <w:tcPr>
            <w:tcW w:w="1102"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1,349</w:t>
            </w:r>
          </w:p>
        </w:tc>
      </w:tr>
      <w:tr w:rsidR="00D840DF">
        <w:trPr>
          <w:trHeight w:val="240"/>
        </w:trPr>
        <w:tc>
          <w:tcPr>
            <w:tcW w:w="4206" w:type="dxa"/>
            <w:tcBorders>
              <w:top w:val="single" w:sz="4" w:space="0" w:color="C7C8CA"/>
            </w:tcBorders>
          </w:tcPr>
          <w:p w:rsidR="00D840DF" w:rsidRDefault="00961020">
            <w:pPr>
              <w:pStyle w:val="TableParagraph"/>
              <w:ind w:left="113"/>
              <w:rPr>
                <w:sz w:val="16"/>
              </w:rPr>
            </w:pPr>
            <w:r>
              <w:rPr>
                <w:color w:val="636466"/>
                <w:sz w:val="16"/>
              </w:rPr>
              <w:t>(Increase)/Decrease</w:t>
            </w:r>
            <w:r w:rsidR="00E314B6">
              <w:rPr>
                <w:color w:val="636466"/>
                <w:sz w:val="16"/>
              </w:rPr>
              <w:t xml:space="preserve"> </w:t>
            </w:r>
            <w:r>
              <w:rPr>
                <w:color w:val="636466"/>
                <w:sz w:val="16"/>
              </w:rPr>
              <w:t>in prepayments</w:t>
            </w:r>
          </w:p>
        </w:tc>
        <w:tc>
          <w:tcPr>
            <w:tcW w:w="2246" w:type="dxa"/>
            <w:tcBorders>
              <w:top w:val="single" w:sz="4" w:space="0" w:color="C7C8CA"/>
            </w:tcBorders>
          </w:tcPr>
          <w:p w:rsidR="00D840DF" w:rsidRDefault="00961020">
            <w:pPr>
              <w:pStyle w:val="TableParagraph"/>
              <w:ind w:right="428"/>
              <w:jc w:val="right"/>
              <w:rPr>
                <w:rFonts w:ascii="Futura PT Medium"/>
                <w:sz w:val="16"/>
              </w:rPr>
            </w:pPr>
            <w:r>
              <w:rPr>
                <w:rFonts w:ascii="Futura PT Medium"/>
                <w:color w:val="636466"/>
                <w:sz w:val="16"/>
              </w:rPr>
              <w:t>(205)</w:t>
            </w:r>
          </w:p>
        </w:tc>
        <w:tc>
          <w:tcPr>
            <w:tcW w:w="1102" w:type="dxa"/>
            <w:tcBorders>
              <w:top w:val="single" w:sz="4" w:space="0" w:color="C7C8CA"/>
            </w:tcBorders>
          </w:tcPr>
          <w:p w:rsidR="00D840DF" w:rsidRDefault="00961020">
            <w:pPr>
              <w:pStyle w:val="TableParagraph"/>
              <w:ind w:right="121"/>
              <w:jc w:val="right"/>
              <w:rPr>
                <w:sz w:val="16"/>
              </w:rPr>
            </w:pPr>
            <w:r>
              <w:rPr>
                <w:color w:val="636466"/>
                <w:sz w:val="16"/>
              </w:rPr>
              <w:t>(1)</w:t>
            </w:r>
          </w:p>
        </w:tc>
      </w:tr>
      <w:tr w:rsidR="00DB6009" w:rsidTr="00DB6009">
        <w:trPr>
          <w:trHeight w:val="260"/>
        </w:trPr>
        <w:tc>
          <w:tcPr>
            <w:tcW w:w="7554" w:type="dxa"/>
            <w:gridSpan w:val="3"/>
            <w:shd w:val="clear" w:color="auto" w:fill="E1EFD8"/>
          </w:tcPr>
          <w:p w:rsidR="00DB6009" w:rsidRDefault="00DB6009" w:rsidP="00DB6009">
            <w:pPr>
              <w:pStyle w:val="TableParagraph"/>
              <w:spacing w:before="0"/>
              <w:rPr>
                <w:rFonts w:ascii="Times New Roman"/>
                <w:sz w:val="16"/>
              </w:rPr>
            </w:pPr>
            <w:r>
              <w:rPr>
                <w:rFonts w:ascii="Futura PT Bold"/>
                <w:b/>
                <w:color w:val="003E2D"/>
                <w:sz w:val="16"/>
                <w:shd w:val="clear" w:color="auto" w:fill="E2F0D8"/>
              </w:rPr>
              <w:t xml:space="preserve"> Liabilities</w:t>
            </w:r>
          </w:p>
        </w:tc>
      </w:tr>
      <w:tr w:rsidR="00D840DF">
        <w:trPr>
          <w:trHeight w:val="240"/>
        </w:trPr>
        <w:tc>
          <w:tcPr>
            <w:tcW w:w="4206"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Increase/(Decrease) in employee</w:t>
            </w:r>
            <w:r w:rsidR="00E314B6">
              <w:rPr>
                <w:color w:val="636466"/>
                <w:sz w:val="16"/>
              </w:rPr>
              <w:t xml:space="preserve"> </w:t>
            </w:r>
            <w:r>
              <w:rPr>
                <w:color w:val="636466"/>
                <w:sz w:val="16"/>
              </w:rPr>
              <w:t>provisions</w:t>
            </w:r>
          </w:p>
        </w:tc>
        <w:tc>
          <w:tcPr>
            <w:tcW w:w="2246" w:type="dxa"/>
            <w:tcBorders>
              <w:bottom w:val="single" w:sz="4" w:space="0" w:color="C7C8CA"/>
            </w:tcBorders>
          </w:tcPr>
          <w:p w:rsidR="00D840DF" w:rsidRDefault="00961020">
            <w:pPr>
              <w:pStyle w:val="TableParagraph"/>
              <w:spacing w:before="28" w:line="200" w:lineRule="exact"/>
              <w:ind w:right="429"/>
              <w:jc w:val="right"/>
              <w:rPr>
                <w:rFonts w:ascii="Futura PT Medium"/>
                <w:sz w:val="16"/>
              </w:rPr>
            </w:pPr>
            <w:r>
              <w:rPr>
                <w:rFonts w:ascii="Futura PT Medium"/>
                <w:color w:val="636466"/>
                <w:sz w:val="16"/>
              </w:rPr>
              <w:t>(962)</w:t>
            </w:r>
          </w:p>
        </w:tc>
        <w:tc>
          <w:tcPr>
            <w:tcW w:w="1102" w:type="dxa"/>
            <w:tcBorders>
              <w:bottom w:val="single" w:sz="4" w:space="0" w:color="C7C8CA"/>
            </w:tcBorders>
          </w:tcPr>
          <w:p w:rsidR="00D840DF" w:rsidRDefault="00961020">
            <w:pPr>
              <w:pStyle w:val="TableParagraph"/>
              <w:spacing w:before="28" w:line="200" w:lineRule="exact"/>
              <w:ind w:right="113"/>
              <w:jc w:val="right"/>
              <w:rPr>
                <w:sz w:val="16"/>
              </w:rPr>
            </w:pPr>
            <w:r>
              <w:rPr>
                <w:color w:val="636466"/>
                <w:sz w:val="16"/>
              </w:rPr>
              <w:t>(55)</w:t>
            </w:r>
          </w:p>
        </w:tc>
      </w:tr>
      <w:tr w:rsidR="00D840DF">
        <w:trPr>
          <w:trHeight w:val="220"/>
        </w:trPr>
        <w:tc>
          <w:tcPr>
            <w:tcW w:w="4206"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Increase/(Decrease) in suppliers</w:t>
            </w:r>
            <w:r w:rsidR="00E314B6">
              <w:rPr>
                <w:color w:val="636466"/>
                <w:sz w:val="16"/>
              </w:rPr>
              <w:t xml:space="preserve"> </w:t>
            </w:r>
            <w:r>
              <w:rPr>
                <w:color w:val="636466"/>
                <w:sz w:val="16"/>
              </w:rPr>
              <w:t>payables</w:t>
            </w:r>
          </w:p>
        </w:tc>
        <w:tc>
          <w:tcPr>
            <w:tcW w:w="2246" w:type="dxa"/>
            <w:tcBorders>
              <w:top w:val="single" w:sz="4" w:space="0" w:color="C7C8CA"/>
              <w:bottom w:val="single" w:sz="4" w:space="0" w:color="C7C8CA"/>
            </w:tcBorders>
          </w:tcPr>
          <w:p w:rsidR="00D840DF" w:rsidRDefault="00961020">
            <w:pPr>
              <w:pStyle w:val="TableParagraph"/>
              <w:spacing w:line="200" w:lineRule="exact"/>
              <w:ind w:right="426"/>
              <w:jc w:val="right"/>
              <w:rPr>
                <w:rFonts w:ascii="Futura PT Medium"/>
                <w:sz w:val="16"/>
              </w:rPr>
            </w:pPr>
            <w:r>
              <w:rPr>
                <w:rFonts w:ascii="Futura PT Medium"/>
                <w:color w:val="636466"/>
                <w:sz w:val="16"/>
              </w:rPr>
              <w:t>612</w:t>
            </w:r>
          </w:p>
        </w:tc>
        <w:tc>
          <w:tcPr>
            <w:tcW w:w="1102"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(1,960)</w:t>
            </w:r>
          </w:p>
        </w:tc>
      </w:tr>
      <w:tr w:rsidR="00D840DF">
        <w:trPr>
          <w:trHeight w:val="220"/>
        </w:trPr>
        <w:tc>
          <w:tcPr>
            <w:tcW w:w="4206"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Increase/(Decrease) in other</w:t>
            </w:r>
            <w:r w:rsidR="00E314B6">
              <w:rPr>
                <w:color w:val="636466"/>
                <w:sz w:val="16"/>
              </w:rPr>
              <w:t xml:space="preserve"> </w:t>
            </w:r>
            <w:r>
              <w:rPr>
                <w:color w:val="636466"/>
                <w:sz w:val="16"/>
              </w:rPr>
              <w:t>payables</w:t>
            </w:r>
          </w:p>
        </w:tc>
        <w:tc>
          <w:tcPr>
            <w:tcW w:w="2246" w:type="dxa"/>
            <w:tcBorders>
              <w:top w:val="single" w:sz="4" w:space="0" w:color="C7C8CA"/>
              <w:bottom w:val="single" w:sz="4" w:space="0" w:color="C7C8CA"/>
            </w:tcBorders>
          </w:tcPr>
          <w:p w:rsidR="00D840DF" w:rsidRDefault="00961020">
            <w:pPr>
              <w:pStyle w:val="TableParagraph"/>
              <w:spacing w:line="200" w:lineRule="exact"/>
              <w:ind w:right="426"/>
              <w:jc w:val="right"/>
              <w:rPr>
                <w:rFonts w:ascii="Futura PT Medium"/>
                <w:sz w:val="16"/>
              </w:rPr>
            </w:pPr>
            <w:r>
              <w:rPr>
                <w:rFonts w:ascii="Futura PT Medium"/>
                <w:color w:val="636466"/>
                <w:sz w:val="16"/>
              </w:rPr>
              <w:t>(678)</w:t>
            </w:r>
          </w:p>
        </w:tc>
        <w:tc>
          <w:tcPr>
            <w:tcW w:w="1102"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99</w:t>
            </w:r>
          </w:p>
        </w:tc>
      </w:tr>
      <w:tr w:rsidR="00D840DF">
        <w:trPr>
          <w:trHeight w:val="240"/>
        </w:trPr>
        <w:tc>
          <w:tcPr>
            <w:tcW w:w="4206" w:type="dxa"/>
            <w:tcBorders>
              <w:top w:val="single" w:sz="4" w:space="0" w:color="C7C8CA"/>
            </w:tcBorders>
          </w:tcPr>
          <w:p w:rsidR="00D840DF" w:rsidRDefault="00961020">
            <w:pPr>
              <w:pStyle w:val="TableParagraph"/>
              <w:ind w:left="113"/>
              <w:rPr>
                <w:sz w:val="16"/>
              </w:rPr>
            </w:pPr>
            <w:r>
              <w:rPr>
                <w:color w:val="636466"/>
                <w:sz w:val="16"/>
              </w:rPr>
              <w:t>Increase/(Decrease) in other</w:t>
            </w:r>
            <w:r w:rsidR="00E314B6">
              <w:rPr>
                <w:color w:val="636466"/>
                <w:sz w:val="16"/>
              </w:rPr>
              <w:t xml:space="preserve"> </w:t>
            </w:r>
            <w:r>
              <w:rPr>
                <w:color w:val="636466"/>
                <w:sz w:val="16"/>
              </w:rPr>
              <w:t>provisions</w:t>
            </w:r>
          </w:p>
        </w:tc>
        <w:tc>
          <w:tcPr>
            <w:tcW w:w="2246" w:type="dxa"/>
            <w:tcBorders>
              <w:top w:val="single" w:sz="4" w:space="0" w:color="C7C8CA"/>
            </w:tcBorders>
          </w:tcPr>
          <w:p w:rsidR="00D840DF" w:rsidRDefault="00961020">
            <w:pPr>
              <w:pStyle w:val="TableParagraph"/>
              <w:ind w:right="434"/>
              <w:jc w:val="right"/>
              <w:rPr>
                <w:rFonts w:ascii="Futura PT Medium"/>
                <w:sz w:val="16"/>
              </w:rPr>
            </w:pPr>
            <w:r>
              <w:rPr>
                <w:rFonts w:ascii="Futura PT Medium"/>
                <w:color w:val="636466"/>
                <w:sz w:val="16"/>
              </w:rPr>
              <w:t>21</w:t>
            </w:r>
          </w:p>
        </w:tc>
        <w:tc>
          <w:tcPr>
            <w:tcW w:w="1102" w:type="dxa"/>
            <w:tcBorders>
              <w:top w:val="single" w:sz="4" w:space="0" w:color="C7C8CA"/>
            </w:tcBorders>
          </w:tcPr>
          <w:p w:rsidR="00D840DF" w:rsidRDefault="00961020">
            <w:pPr>
              <w:pStyle w:val="TableParagraph"/>
              <w:ind w:right="111"/>
              <w:jc w:val="right"/>
              <w:rPr>
                <w:sz w:val="16"/>
              </w:rPr>
            </w:pPr>
            <w:r>
              <w:rPr>
                <w:color w:val="636466"/>
                <w:sz w:val="16"/>
              </w:rPr>
              <w:t>3</w:t>
            </w:r>
          </w:p>
        </w:tc>
      </w:tr>
      <w:tr w:rsidR="00D840DF">
        <w:trPr>
          <w:trHeight w:val="240"/>
        </w:trPr>
        <w:tc>
          <w:tcPr>
            <w:tcW w:w="4206"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Net cash from operating activities</w:t>
            </w:r>
          </w:p>
        </w:tc>
        <w:tc>
          <w:tcPr>
            <w:tcW w:w="2246" w:type="dxa"/>
            <w:tcBorders>
              <w:bottom w:val="single" w:sz="4" w:space="0" w:color="C7C8CA"/>
            </w:tcBorders>
            <w:shd w:val="clear" w:color="auto" w:fill="E6E7E8"/>
          </w:tcPr>
          <w:p w:rsidR="00D840DF" w:rsidRDefault="00961020">
            <w:pPr>
              <w:pStyle w:val="TableParagraph"/>
              <w:spacing w:before="21" w:line="200" w:lineRule="exact"/>
              <w:ind w:right="426"/>
              <w:jc w:val="right"/>
              <w:rPr>
                <w:rFonts w:ascii="Futura PT Medium"/>
                <w:sz w:val="16"/>
              </w:rPr>
            </w:pPr>
            <w:r>
              <w:rPr>
                <w:rFonts w:ascii="Futura PT Medium"/>
                <w:sz w:val="16"/>
              </w:rPr>
              <w:t>2,209</w:t>
            </w:r>
          </w:p>
        </w:tc>
        <w:tc>
          <w:tcPr>
            <w:tcW w:w="1102"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4,087</w:t>
            </w:r>
          </w:p>
        </w:tc>
      </w:tr>
    </w:tbl>
    <w:p w:rsidR="00D840DF" w:rsidRDefault="00D840DF">
      <w:pPr>
        <w:spacing w:line="200" w:lineRule="exact"/>
        <w:jc w:val="right"/>
        <w:rPr>
          <w:rFonts w:ascii="Futura PT Medium"/>
          <w:sz w:val="16"/>
        </w:rPr>
        <w:sectPr w:rsidR="00D840DF">
          <w:pgSz w:w="9980" w:h="14180"/>
          <w:pgMar w:top="1320" w:right="1000" w:bottom="280" w:left="1200" w:header="720" w:footer="720" w:gutter="0"/>
          <w:cols w:space="720"/>
        </w:sectPr>
      </w:pPr>
    </w:p>
    <w:p w:rsidR="00D840DF" w:rsidRDefault="00961020" w:rsidP="008D2169">
      <w:pPr>
        <w:pStyle w:val="Heading3"/>
      </w:pPr>
      <w:bookmarkStart w:id="170" w:name="People_and_Relationships"/>
      <w:bookmarkStart w:id="171" w:name="Note_4.1_Employee_Provisions"/>
      <w:bookmarkStart w:id="172" w:name="_bookmark45"/>
      <w:bookmarkStart w:id="173" w:name="_People_and_Relationships"/>
      <w:bookmarkEnd w:id="170"/>
      <w:bookmarkEnd w:id="171"/>
      <w:bookmarkEnd w:id="172"/>
      <w:bookmarkEnd w:id="173"/>
      <w:r>
        <w:lastRenderedPageBreak/>
        <w:t>People and Relationships</w:t>
      </w:r>
    </w:p>
    <w:p w:rsidR="00D840DF" w:rsidRPr="008D2169" w:rsidRDefault="00961020" w:rsidP="008D2169">
      <w:pPr>
        <w:pStyle w:val="BodyText"/>
      </w:pPr>
      <w:r>
        <w:t xml:space="preserve">This </w:t>
      </w:r>
      <w:r w:rsidRPr="008D2169">
        <w:t>section</w:t>
      </w:r>
      <w:r>
        <w:t xml:space="preserve"> describes a range of employment and </w:t>
      </w:r>
      <w:proofErr w:type="spellStart"/>
      <w:r>
        <w:t>post employment</w:t>
      </w:r>
      <w:proofErr w:type="spellEnd"/>
      <w:r>
        <w:t xml:space="preserve"> benefits provided to our people and our relationships with other key people.</w:t>
      </w:r>
    </w:p>
    <w:p w:rsidR="00D840DF" w:rsidRPr="008D2169" w:rsidRDefault="00961020" w:rsidP="008D2169">
      <w:pPr>
        <w:pStyle w:val="Heading4"/>
      </w:pPr>
      <w:bookmarkStart w:id="174" w:name="_Note_4.1_Employee"/>
      <w:bookmarkEnd w:id="174"/>
      <w:r>
        <w:t>Note 4.1 Employee Provisions</w:t>
      </w:r>
    </w:p>
    <w:tbl>
      <w:tblPr>
        <w:tblW w:w="0" w:type="auto"/>
        <w:tblInd w:w="113" w:type="dxa"/>
        <w:tblLayout w:type="fixed"/>
        <w:tblCellMar>
          <w:left w:w="0" w:type="dxa"/>
          <w:right w:w="0" w:type="dxa"/>
        </w:tblCellMar>
        <w:tblLook w:val="01E0" w:firstRow="1" w:lastRow="1" w:firstColumn="1" w:lastColumn="1" w:noHBand="0" w:noVBand="0"/>
      </w:tblPr>
      <w:tblGrid>
        <w:gridCol w:w="3754"/>
        <w:gridCol w:w="2745"/>
        <w:gridCol w:w="1043"/>
      </w:tblGrid>
      <w:tr w:rsidR="00D840DF">
        <w:trPr>
          <w:trHeight w:val="480"/>
        </w:trPr>
        <w:tc>
          <w:tcPr>
            <w:tcW w:w="3754" w:type="dxa"/>
            <w:shd w:val="clear" w:color="auto" w:fill="008F54"/>
          </w:tcPr>
          <w:p w:rsidR="00D840DF" w:rsidRDefault="00D840DF">
            <w:pPr>
              <w:pStyle w:val="TableParagraph"/>
              <w:spacing w:before="0"/>
              <w:rPr>
                <w:rFonts w:ascii="Times New Roman"/>
                <w:sz w:val="16"/>
              </w:rPr>
            </w:pPr>
          </w:p>
        </w:tc>
        <w:tc>
          <w:tcPr>
            <w:tcW w:w="2745" w:type="dxa"/>
            <w:shd w:val="clear" w:color="auto" w:fill="008F54"/>
          </w:tcPr>
          <w:p w:rsidR="00D840DF" w:rsidRDefault="00961020">
            <w:pPr>
              <w:pStyle w:val="TableParagraph"/>
              <w:spacing w:before="30" w:line="209" w:lineRule="exact"/>
              <w:ind w:right="494"/>
              <w:jc w:val="right"/>
              <w:rPr>
                <w:rFonts w:ascii="Futura PT Demi"/>
                <w:sz w:val="17"/>
              </w:rPr>
            </w:pPr>
            <w:r>
              <w:rPr>
                <w:rFonts w:ascii="Futura PT Demi"/>
                <w:color w:val="FFFFFF"/>
                <w:sz w:val="17"/>
              </w:rPr>
              <w:t>2017</w:t>
            </w:r>
          </w:p>
          <w:p w:rsidR="00D840DF" w:rsidRDefault="00961020">
            <w:pPr>
              <w:pStyle w:val="TableParagraph"/>
              <w:spacing w:before="0" w:line="209" w:lineRule="exact"/>
              <w:ind w:right="477"/>
              <w:jc w:val="right"/>
              <w:rPr>
                <w:rFonts w:ascii="Futura PT Demi" w:hAnsi="Futura PT Demi"/>
                <w:sz w:val="17"/>
              </w:rPr>
            </w:pPr>
            <w:r>
              <w:rPr>
                <w:rFonts w:ascii="Futura PT Demi" w:hAnsi="Futura PT Demi"/>
                <w:color w:val="FFFFFF"/>
                <w:sz w:val="17"/>
              </w:rPr>
              <w:t>$’000</w:t>
            </w:r>
          </w:p>
        </w:tc>
        <w:tc>
          <w:tcPr>
            <w:tcW w:w="1043" w:type="dxa"/>
            <w:shd w:val="clear" w:color="auto" w:fill="008F54"/>
          </w:tcPr>
          <w:p w:rsidR="00D840DF" w:rsidRDefault="00961020">
            <w:pPr>
              <w:pStyle w:val="TableParagraph"/>
              <w:spacing w:before="30" w:line="209" w:lineRule="exact"/>
              <w:ind w:left="554"/>
              <w:rPr>
                <w:rFonts w:ascii="Futura PT Demi"/>
                <w:sz w:val="17"/>
              </w:rPr>
            </w:pPr>
            <w:r>
              <w:rPr>
                <w:rFonts w:ascii="Futura PT Demi"/>
                <w:color w:val="FFFFFF"/>
                <w:sz w:val="17"/>
              </w:rPr>
              <w:t>2016</w:t>
            </w:r>
          </w:p>
          <w:p w:rsidR="00D840DF" w:rsidRDefault="00961020">
            <w:pPr>
              <w:pStyle w:val="TableParagraph"/>
              <w:spacing w:before="0" w:line="209" w:lineRule="exact"/>
              <w:ind w:left="479"/>
              <w:rPr>
                <w:rFonts w:ascii="Futura PT Demi" w:hAnsi="Futura PT Demi"/>
                <w:sz w:val="17"/>
              </w:rPr>
            </w:pPr>
            <w:r>
              <w:rPr>
                <w:rFonts w:ascii="Futura PT Demi" w:hAnsi="Futura PT Demi"/>
                <w:color w:val="FFFFFF"/>
                <w:sz w:val="17"/>
              </w:rPr>
              <w:t>$’000</w:t>
            </w:r>
          </w:p>
        </w:tc>
      </w:tr>
      <w:tr w:rsidR="00D840DF">
        <w:trPr>
          <w:trHeight w:val="260"/>
        </w:trPr>
        <w:tc>
          <w:tcPr>
            <w:tcW w:w="3754" w:type="dxa"/>
          </w:tcPr>
          <w:p w:rsidR="00D840DF" w:rsidRDefault="00961020">
            <w:pPr>
              <w:pStyle w:val="TableParagraph"/>
              <w:spacing w:before="33"/>
              <w:ind w:left="114"/>
              <w:rPr>
                <w:rFonts w:ascii="Futura PT Bold"/>
                <w:b/>
                <w:sz w:val="16"/>
              </w:rPr>
            </w:pPr>
            <w:r>
              <w:rPr>
                <w:rFonts w:ascii="Futura PT Bold"/>
                <w:b/>
                <w:color w:val="003E2D"/>
                <w:sz w:val="16"/>
              </w:rPr>
              <w:t>NOTE 4.1A: EMPLOYEE PROVISIONS</w:t>
            </w:r>
          </w:p>
        </w:tc>
        <w:tc>
          <w:tcPr>
            <w:tcW w:w="2745" w:type="dxa"/>
          </w:tcPr>
          <w:p w:rsidR="00D840DF" w:rsidRDefault="00D840DF">
            <w:pPr>
              <w:pStyle w:val="TableParagraph"/>
              <w:spacing w:before="0"/>
              <w:rPr>
                <w:rFonts w:ascii="Times New Roman"/>
                <w:sz w:val="16"/>
              </w:rPr>
            </w:pPr>
          </w:p>
        </w:tc>
        <w:tc>
          <w:tcPr>
            <w:tcW w:w="1043" w:type="dxa"/>
          </w:tcPr>
          <w:p w:rsidR="00D840DF" w:rsidRDefault="00D840DF">
            <w:pPr>
              <w:pStyle w:val="TableParagraph"/>
              <w:spacing w:before="0"/>
              <w:rPr>
                <w:rFonts w:ascii="Times New Roman"/>
                <w:sz w:val="16"/>
              </w:rPr>
            </w:pPr>
          </w:p>
        </w:tc>
      </w:tr>
      <w:tr w:rsidR="00D840DF">
        <w:trPr>
          <w:trHeight w:val="240"/>
        </w:trPr>
        <w:tc>
          <w:tcPr>
            <w:tcW w:w="3754" w:type="dxa"/>
          </w:tcPr>
          <w:p w:rsidR="00D840DF" w:rsidRDefault="00961020">
            <w:pPr>
              <w:pStyle w:val="TableParagraph"/>
              <w:spacing w:before="28"/>
              <w:ind w:left="113"/>
              <w:rPr>
                <w:sz w:val="16"/>
              </w:rPr>
            </w:pPr>
            <w:r>
              <w:rPr>
                <w:color w:val="636466"/>
                <w:sz w:val="16"/>
              </w:rPr>
              <w:t>Leave</w:t>
            </w:r>
          </w:p>
        </w:tc>
        <w:tc>
          <w:tcPr>
            <w:tcW w:w="2745" w:type="dxa"/>
          </w:tcPr>
          <w:p w:rsidR="00D840DF" w:rsidRDefault="00961020">
            <w:pPr>
              <w:pStyle w:val="TableParagraph"/>
              <w:spacing w:before="28"/>
              <w:ind w:right="485"/>
              <w:jc w:val="right"/>
              <w:rPr>
                <w:rFonts w:ascii="Futura PT Medium"/>
                <w:sz w:val="16"/>
              </w:rPr>
            </w:pPr>
            <w:r>
              <w:rPr>
                <w:rFonts w:ascii="Futura PT Medium"/>
                <w:color w:val="636466"/>
                <w:sz w:val="16"/>
              </w:rPr>
              <w:t>123</w:t>
            </w:r>
          </w:p>
        </w:tc>
        <w:tc>
          <w:tcPr>
            <w:tcW w:w="1043" w:type="dxa"/>
          </w:tcPr>
          <w:p w:rsidR="00D840DF" w:rsidRDefault="00961020">
            <w:pPr>
              <w:pStyle w:val="TableParagraph"/>
              <w:spacing w:before="28"/>
              <w:ind w:right="111"/>
              <w:jc w:val="right"/>
              <w:rPr>
                <w:sz w:val="16"/>
              </w:rPr>
            </w:pPr>
            <w:r>
              <w:rPr>
                <w:color w:val="636466"/>
                <w:sz w:val="16"/>
              </w:rPr>
              <w:t>1,085</w:t>
            </w:r>
          </w:p>
        </w:tc>
      </w:tr>
      <w:tr w:rsidR="00D840DF">
        <w:trPr>
          <w:trHeight w:val="240"/>
        </w:trPr>
        <w:tc>
          <w:tcPr>
            <w:tcW w:w="3754"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employee provisions</w:t>
            </w:r>
          </w:p>
        </w:tc>
        <w:tc>
          <w:tcPr>
            <w:tcW w:w="2745" w:type="dxa"/>
            <w:tcBorders>
              <w:bottom w:val="single" w:sz="4" w:space="0" w:color="C7C8CA"/>
            </w:tcBorders>
            <w:shd w:val="clear" w:color="auto" w:fill="E6E7E8"/>
          </w:tcPr>
          <w:p w:rsidR="00D840DF" w:rsidRDefault="00961020">
            <w:pPr>
              <w:pStyle w:val="TableParagraph"/>
              <w:spacing w:before="21" w:line="200" w:lineRule="exact"/>
              <w:ind w:right="485"/>
              <w:jc w:val="right"/>
              <w:rPr>
                <w:rFonts w:ascii="Futura PT Medium"/>
                <w:sz w:val="16"/>
              </w:rPr>
            </w:pPr>
            <w:r>
              <w:rPr>
                <w:rFonts w:ascii="Futura PT Medium"/>
                <w:sz w:val="16"/>
              </w:rPr>
              <w:t>123</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1,085</w:t>
            </w:r>
          </w:p>
        </w:tc>
      </w:tr>
      <w:tr w:rsidR="00DB6009" w:rsidTr="00DB6009">
        <w:trPr>
          <w:trHeight w:val="271"/>
        </w:trPr>
        <w:tc>
          <w:tcPr>
            <w:tcW w:w="7542" w:type="dxa"/>
            <w:gridSpan w:val="3"/>
            <w:tcBorders>
              <w:top w:val="single" w:sz="4" w:space="0" w:color="C7C8CA"/>
            </w:tcBorders>
            <w:shd w:val="clear" w:color="auto" w:fill="E1EFD8"/>
          </w:tcPr>
          <w:p w:rsidR="00DB6009" w:rsidRDefault="00DB6009">
            <w:pPr>
              <w:pStyle w:val="TableParagraph"/>
              <w:spacing w:before="0"/>
              <w:rPr>
                <w:rFonts w:ascii="Times New Roman"/>
                <w:sz w:val="16"/>
              </w:rPr>
            </w:pPr>
            <w:r>
              <w:rPr>
                <w:rFonts w:ascii="Futura PT Bold"/>
                <w:b/>
                <w:color w:val="003E2D"/>
                <w:sz w:val="16"/>
                <w:shd w:val="clear" w:color="auto" w:fill="E2F0D8"/>
              </w:rPr>
              <w:t xml:space="preserve">Employee provisions expected to be </w:t>
            </w:r>
            <w:r>
              <w:rPr>
                <w:rFonts w:ascii="Futura PT Bold"/>
                <w:b/>
                <w:color w:val="003E2D"/>
                <w:spacing w:val="1"/>
                <w:sz w:val="16"/>
                <w:shd w:val="clear" w:color="auto" w:fill="E2F0D8"/>
              </w:rPr>
              <w:t>settled</w:t>
            </w:r>
            <w:r>
              <w:rPr>
                <w:rFonts w:ascii="Futura PT Bold"/>
                <w:b/>
                <w:color w:val="003E2D"/>
                <w:spacing w:val="1"/>
                <w:sz w:val="16"/>
                <w:shd w:val="clear" w:color="auto" w:fill="E2F0D8"/>
              </w:rPr>
              <w:tab/>
            </w:r>
          </w:p>
        </w:tc>
      </w:tr>
      <w:tr w:rsidR="00D840DF">
        <w:trPr>
          <w:trHeight w:val="240"/>
        </w:trPr>
        <w:tc>
          <w:tcPr>
            <w:tcW w:w="3754"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No more than 12</w:t>
            </w:r>
            <w:r w:rsidR="00E314B6">
              <w:rPr>
                <w:color w:val="636466"/>
                <w:sz w:val="16"/>
              </w:rPr>
              <w:t xml:space="preserve"> </w:t>
            </w:r>
            <w:r>
              <w:rPr>
                <w:color w:val="636466"/>
                <w:sz w:val="16"/>
              </w:rPr>
              <w:t>months</w:t>
            </w:r>
          </w:p>
        </w:tc>
        <w:tc>
          <w:tcPr>
            <w:tcW w:w="2745" w:type="dxa"/>
            <w:tcBorders>
              <w:bottom w:val="single" w:sz="4" w:space="0" w:color="C7C8CA"/>
            </w:tcBorders>
          </w:tcPr>
          <w:p w:rsidR="00D840DF" w:rsidRDefault="00961020">
            <w:pPr>
              <w:pStyle w:val="TableParagraph"/>
              <w:spacing w:before="28" w:line="200" w:lineRule="exact"/>
              <w:ind w:right="485"/>
              <w:jc w:val="right"/>
              <w:rPr>
                <w:rFonts w:ascii="Futura PT Medium"/>
                <w:sz w:val="16"/>
              </w:rPr>
            </w:pPr>
            <w:r>
              <w:rPr>
                <w:rFonts w:ascii="Futura PT Medium"/>
                <w:color w:val="636466"/>
                <w:sz w:val="16"/>
              </w:rPr>
              <w:t>27</w:t>
            </w:r>
          </w:p>
        </w:tc>
        <w:tc>
          <w:tcPr>
            <w:tcW w:w="1043"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318</w:t>
            </w:r>
          </w:p>
        </w:tc>
      </w:tr>
      <w:tr w:rsidR="00D840DF">
        <w:trPr>
          <w:trHeight w:val="240"/>
        </w:trPr>
        <w:tc>
          <w:tcPr>
            <w:tcW w:w="3754" w:type="dxa"/>
            <w:tcBorders>
              <w:top w:val="single" w:sz="4" w:space="0" w:color="C7C8CA"/>
            </w:tcBorders>
          </w:tcPr>
          <w:p w:rsidR="00D840DF" w:rsidRDefault="00961020">
            <w:pPr>
              <w:pStyle w:val="TableParagraph"/>
              <w:ind w:left="113"/>
              <w:rPr>
                <w:sz w:val="16"/>
              </w:rPr>
            </w:pPr>
            <w:r>
              <w:rPr>
                <w:color w:val="636466"/>
                <w:sz w:val="16"/>
              </w:rPr>
              <w:t>More than 12 months</w:t>
            </w:r>
          </w:p>
        </w:tc>
        <w:tc>
          <w:tcPr>
            <w:tcW w:w="2745" w:type="dxa"/>
            <w:tcBorders>
              <w:top w:val="single" w:sz="4" w:space="0" w:color="C7C8CA"/>
            </w:tcBorders>
          </w:tcPr>
          <w:p w:rsidR="00D840DF" w:rsidRDefault="00961020">
            <w:pPr>
              <w:pStyle w:val="TableParagraph"/>
              <w:ind w:right="487"/>
              <w:jc w:val="right"/>
              <w:rPr>
                <w:rFonts w:ascii="Futura PT Medium"/>
                <w:sz w:val="16"/>
              </w:rPr>
            </w:pPr>
            <w:r>
              <w:rPr>
                <w:rFonts w:ascii="Futura PT Medium"/>
                <w:color w:val="636466"/>
                <w:sz w:val="16"/>
              </w:rPr>
              <w:t>96</w:t>
            </w:r>
          </w:p>
        </w:tc>
        <w:tc>
          <w:tcPr>
            <w:tcW w:w="1043" w:type="dxa"/>
            <w:tcBorders>
              <w:top w:val="single" w:sz="4" w:space="0" w:color="C7C8CA"/>
            </w:tcBorders>
          </w:tcPr>
          <w:p w:rsidR="00D840DF" w:rsidRDefault="00961020">
            <w:pPr>
              <w:pStyle w:val="TableParagraph"/>
              <w:ind w:right="111"/>
              <w:jc w:val="right"/>
              <w:rPr>
                <w:sz w:val="16"/>
              </w:rPr>
            </w:pPr>
            <w:r>
              <w:rPr>
                <w:color w:val="636466"/>
                <w:sz w:val="16"/>
              </w:rPr>
              <w:t>767</w:t>
            </w:r>
          </w:p>
        </w:tc>
      </w:tr>
      <w:tr w:rsidR="00D840DF">
        <w:trPr>
          <w:trHeight w:val="240"/>
        </w:trPr>
        <w:tc>
          <w:tcPr>
            <w:tcW w:w="3754"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employee provisions</w:t>
            </w:r>
          </w:p>
        </w:tc>
        <w:tc>
          <w:tcPr>
            <w:tcW w:w="2745" w:type="dxa"/>
            <w:tcBorders>
              <w:bottom w:val="single" w:sz="4" w:space="0" w:color="C7C8CA"/>
            </w:tcBorders>
            <w:shd w:val="clear" w:color="auto" w:fill="E6E7E8"/>
          </w:tcPr>
          <w:p w:rsidR="00D840DF" w:rsidRDefault="00961020">
            <w:pPr>
              <w:pStyle w:val="TableParagraph"/>
              <w:spacing w:before="21" w:line="200" w:lineRule="exact"/>
              <w:ind w:right="485"/>
              <w:jc w:val="right"/>
              <w:rPr>
                <w:rFonts w:ascii="Futura PT Medium"/>
                <w:sz w:val="16"/>
              </w:rPr>
            </w:pPr>
            <w:r>
              <w:rPr>
                <w:rFonts w:ascii="Futura PT Medium"/>
                <w:sz w:val="16"/>
              </w:rPr>
              <w:t>123</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1,085</w:t>
            </w:r>
          </w:p>
        </w:tc>
      </w:tr>
    </w:tbl>
    <w:p w:rsidR="00D840DF" w:rsidRDefault="00961020" w:rsidP="008F7C36">
      <w:pPr>
        <w:pStyle w:val="Heading5"/>
      </w:pPr>
      <w:r>
        <w:t>Accounting policy</w:t>
      </w:r>
    </w:p>
    <w:p w:rsidR="00D840DF" w:rsidRDefault="00961020" w:rsidP="00DB6009">
      <w:pPr>
        <w:pStyle w:val="Heading6"/>
        <w:ind w:left="0"/>
      </w:pPr>
      <w:r>
        <w:t>Employee provisions</w:t>
      </w:r>
    </w:p>
    <w:p w:rsidR="00D840DF" w:rsidRDefault="00961020" w:rsidP="00DB6009">
      <w:pPr>
        <w:spacing w:before="4" w:line="244" w:lineRule="auto"/>
        <w:ind w:right="269"/>
        <w:rPr>
          <w:sz w:val="16"/>
        </w:rPr>
      </w:pPr>
      <w:r>
        <w:rPr>
          <w:color w:val="636466"/>
          <w:sz w:val="16"/>
        </w:rPr>
        <w:t>Liabilities for short-term employee benefits and termination benefits expected within twelve months of the end of reporting period are measured at their nominal amounts.</w:t>
      </w:r>
    </w:p>
    <w:p w:rsidR="00D840DF" w:rsidRDefault="00961020" w:rsidP="00DB6009">
      <w:pPr>
        <w:spacing w:before="113" w:line="244" w:lineRule="auto"/>
        <w:ind w:right="265"/>
        <w:rPr>
          <w:sz w:val="16"/>
        </w:rPr>
      </w:pPr>
      <w:r>
        <w:rPr>
          <w:color w:val="636466"/>
          <w:sz w:val="16"/>
        </w:rPr>
        <w:t>Other long-term employee benefits are measured as net total of the present value of the defined benefit obligation at</w:t>
      </w:r>
      <w:r w:rsidR="00E314B6">
        <w:rPr>
          <w:color w:val="636466"/>
          <w:sz w:val="16"/>
        </w:rPr>
        <w:t xml:space="preserve"> </w:t>
      </w:r>
      <w:r>
        <w:rPr>
          <w:color w:val="636466"/>
          <w:sz w:val="16"/>
        </w:rPr>
        <w:t>the end of the reporting period minus the fair value at the end of the reporting period of plan assets (if any) out of which</w:t>
      </w:r>
      <w:r w:rsidR="00E314B6">
        <w:rPr>
          <w:color w:val="636466"/>
          <w:sz w:val="16"/>
        </w:rPr>
        <w:t xml:space="preserve"> </w:t>
      </w:r>
      <w:r>
        <w:rPr>
          <w:color w:val="636466"/>
          <w:sz w:val="16"/>
        </w:rPr>
        <w:t>the</w:t>
      </w:r>
      <w:r>
        <w:rPr>
          <w:color w:val="636466"/>
          <w:spacing w:val="8"/>
          <w:sz w:val="16"/>
        </w:rPr>
        <w:t xml:space="preserve"> </w:t>
      </w:r>
      <w:r>
        <w:rPr>
          <w:color w:val="636466"/>
          <w:sz w:val="16"/>
        </w:rPr>
        <w:t>obligations</w:t>
      </w:r>
      <w:r>
        <w:rPr>
          <w:color w:val="636466"/>
          <w:spacing w:val="8"/>
          <w:sz w:val="16"/>
        </w:rPr>
        <w:t xml:space="preserve"> </w:t>
      </w:r>
      <w:r>
        <w:rPr>
          <w:color w:val="636466"/>
          <w:sz w:val="16"/>
        </w:rPr>
        <w:t>are</w:t>
      </w:r>
      <w:r>
        <w:rPr>
          <w:color w:val="636466"/>
          <w:spacing w:val="8"/>
          <w:sz w:val="16"/>
        </w:rPr>
        <w:t xml:space="preserve"> </w:t>
      </w:r>
      <w:r>
        <w:rPr>
          <w:color w:val="636466"/>
          <w:sz w:val="16"/>
        </w:rPr>
        <w:t>to</w:t>
      </w:r>
      <w:r>
        <w:rPr>
          <w:color w:val="636466"/>
          <w:spacing w:val="8"/>
          <w:sz w:val="16"/>
        </w:rPr>
        <w:t xml:space="preserve"> </w:t>
      </w:r>
      <w:r>
        <w:rPr>
          <w:color w:val="636466"/>
          <w:sz w:val="16"/>
        </w:rPr>
        <w:t>be</w:t>
      </w:r>
      <w:r>
        <w:rPr>
          <w:color w:val="636466"/>
          <w:spacing w:val="8"/>
          <w:sz w:val="16"/>
        </w:rPr>
        <w:t xml:space="preserve"> </w:t>
      </w:r>
      <w:r>
        <w:rPr>
          <w:color w:val="636466"/>
          <w:sz w:val="16"/>
        </w:rPr>
        <w:t>settled</w:t>
      </w:r>
      <w:r>
        <w:rPr>
          <w:color w:val="636466"/>
          <w:spacing w:val="8"/>
          <w:sz w:val="16"/>
        </w:rPr>
        <w:t xml:space="preserve"> </w:t>
      </w:r>
      <w:r>
        <w:rPr>
          <w:color w:val="636466"/>
          <w:sz w:val="16"/>
        </w:rPr>
        <w:t>directly.</w:t>
      </w:r>
    </w:p>
    <w:p w:rsidR="00D840DF" w:rsidRDefault="00961020" w:rsidP="00DB6009">
      <w:pPr>
        <w:pStyle w:val="Heading6"/>
        <w:ind w:left="0"/>
      </w:pPr>
      <w:r>
        <w:t>Leave</w:t>
      </w:r>
    </w:p>
    <w:p w:rsidR="00D840DF" w:rsidRDefault="00961020" w:rsidP="00DB6009">
      <w:pPr>
        <w:spacing w:before="4"/>
        <w:rPr>
          <w:sz w:val="16"/>
        </w:rPr>
      </w:pPr>
      <w:r>
        <w:rPr>
          <w:color w:val="636466"/>
          <w:sz w:val="16"/>
        </w:rPr>
        <w:t>The liability for employee benefits includes provision for annual leave and long service leave.</w:t>
      </w:r>
    </w:p>
    <w:p w:rsidR="00D840DF" w:rsidRDefault="00961020" w:rsidP="00DB6009">
      <w:pPr>
        <w:spacing w:before="118" w:line="244" w:lineRule="auto"/>
        <w:ind w:right="325"/>
        <w:jc w:val="both"/>
        <w:rPr>
          <w:sz w:val="16"/>
        </w:rPr>
      </w:pPr>
      <w:r>
        <w:rPr>
          <w:color w:val="636466"/>
          <w:sz w:val="16"/>
        </w:rPr>
        <w:t>The leave liabilities are calculated on the basis of employees’ remuneration at the estimated salary rates that will be applied at the time the leave is taken, including the entity’s employer superannuation contribution rates to the extent</w:t>
      </w:r>
      <w:r w:rsidR="00E314B6">
        <w:rPr>
          <w:color w:val="636466"/>
          <w:sz w:val="16"/>
        </w:rPr>
        <w:t xml:space="preserve"> </w:t>
      </w:r>
      <w:r>
        <w:rPr>
          <w:color w:val="636466"/>
          <w:sz w:val="16"/>
        </w:rPr>
        <w:t>that</w:t>
      </w:r>
      <w:r>
        <w:rPr>
          <w:color w:val="636466"/>
          <w:spacing w:val="7"/>
          <w:sz w:val="16"/>
        </w:rPr>
        <w:t xml:space="preserve"> </w:t>
      </w:r>
      <w:r>
        <w:rPr>
          <w:color w:val="636466"/>
          <w:sz w:val="16"/>
        </w:rPr>
        <w:t>the</w:t>
      </w:r>
      <w:r>
        <w:rPr>
          <w:color w:val="636466"/>
          <w:spacing w:val="7"/>
          <w:sz w:val="16"/>
        </w:rPr>
        <w:t xml:space="preserve"> </w:t>
      </w:r>
      <w:r>
        <w:rPr>
          <w:color w:val="636466"/>
          <w:sz w:val="16"/>
        </w:rPr>
        <w:t>leave</w:t>
      </w:r>
      <w:r>
        <w:rPr>
          <w:color w:val="636466"/>
          <w:spacing w:val="7"/>
          <w:sz w:val="16"/>
        </w:rPr>
        <w:t xml:space="preserve"> </w:t>
      </w:r>
      <w:r>
        <w:rPr>
          <w:color w:val="636466"/>
          <w:sz w:val="16"/>
        </w:rPr>
        <w:t>is</w:t>
      </w:r>
      <w:r>
        <w:rPr>
          <w:color w:val="636466"/>
          <w:spacing w:val="7"/>
          <w:sz w:val="16"/>
        </w:rPr>
        <w:t xml:space="preserve"> </w:t>
      </w:r>
      <w:r>
        <w:rPr>
          <w:color w:val="636466"/>
          <w:sz w:val="16"/>
        </w:rPr>
        <w:t>likely</w:t>
      </w:r>
      <w:r>
        <w:rPr>
          <w:color w:val="636466"/>
          <w:spacing w:val="7"/>
          <w:sz w:val="16"/>
        </w:rPr>
        <w:t xml:space="preserve"> </w:t>
      </w:r>
      <w:r>
        <w:rPr>
          <w:color w:val="636466"/>
          <w:sz w:val="16"/>
        </w:rPr>
        <w:t>to</w:t>
      </w:r>
      <w:r>
        <w:rPr>
          <w:color w:val="636466"/>
          <w:spacing w:val="7"/>
          <w:sz w:val="16"/>
        </w:rPr>
        <w:t xml:space="preserve"> </w:t>
      </w:r>
      <w:r>
        <w:rPr>
          <w:color w:val="636466"/>
          <w:sz w:val="16"/>
        </w:rPr>
        <w:t>be</w:t>
      </w:r>
      <w:r>
        <w:rPr>
          <w:color w:val="636466"/>
          <w:spacing w:val="7"/>
          <w:sz w:val="16"/>
        </w:rPr>
        <w:t xml:space="preserve"> </w:t>
      </w:r>
      <w:r>
        <w:rPr>
          <w:color w:val="636466"/>
          <w:sz w:val="16"/>
        </w:rPr>
        <w:t>taken</w:t>
      </w:r>
      <w:r>
        <w:rPr>
          <w:color w:val="636466"/>
          <w:spacing w:val="7"/>
          <w:sz w:val="16"/>
        </w:rPr>
        <w:t xml:space="preserve"> </w:t>
      </w:r>
      <w:r>
        <w:rPr>
          <w:color w:val="636466"/>
          <w:sz w:val="16"/>
        </w:rPr>
        <w:t>during</w:t>
      </w:r>
      <w:r>
        <w:rPr>
          <w:color w:val="636466"/>
          <w:spacing w:val="7"/>
          <w:sz w:val="16"/>
        </w:rPr>
        <w:t xml:space="preserve"> </w:t>
      </w:r>
      <w:r>
        <w:rPr>
          <w:color w:val="636466"/>
          <w:sz w:val="16"/>
        </w:rPr>
        <w:t>service</w:t>
      </w:r>
      <w:r>
        <w:rPr>
          <w:color w:val="636466"/>
          <w:spacing w:val="7"/>
          <w:sz w:val="16"/>
        </w:rPr>
        <w:t xml:space="preserve"> </w:t>
      </w:r>
      <w:r>
        <w:rPr>
          <w:color w:val="636466"/>
          <w:sz w:val="16"/>
        </w:rPr>
        <w:t>rather</w:t>
      </w:r>
      <w:r>
        <w:rPr>
          <w:color w:val="636466"/>
          <w:spacing w:val="7"/>
          <w:sz w:val="16"/>
        </w:rPr>
        <w:t xml:space="preserve"> </w:t>
      </w:r>
      <w:r>
        <w:rPr>
          <w:color w:val="636466"/>
          <w:sz w:val="16"/>
        </w:rPr>
        <w:t>than</w:t>
      </w:r>
      <w:r>
        <w:rPr>
          <w:color w:val="636466"/>
          <w:spacing w:val="7"/>
          <w:sz w:val="16"/>
        </w:rPr>
        <w:t xml:space="preserve"> </w:t>
      </w:r>
      <w:r>
        <w:rPr>
          <w:color w:val="636466"/>
          <w:sz w:val="16"/>
        </w:rPr>
        <w:t>paid</w:t>
      </w:r>
      <w:r>
        <w:rPr>
          <w:color w:val="636466"/>
          <w:spacing w:val="7"/>
          <w:sz w:val="16"/>
        </w:rPr>
        <w:t xml:space="preserve"> </w:t>
      </w:r>
      <w:r>
        <w:rPr>
          <w:color w:val="636466"/>
          <w:sz w:val="16"/>
        </w:rPr>
        <w:t>out</w:t>
      </w:r>
      <w:r>
        <w:rPr>
          <w:color w:val="636466"/>
          <w:spacing w:val="7"/>
          <w:sz w:val="16"/>
        </w:rPr>
        <w:t xml:space="preserve"> </w:t>
      </w:r>
      <w:r>
        <w:rPr>
          <w:color w:val="636466"/>
          <w:sz w:val="16"/>
        </w:rPr>
        <w:t>on</w:t>
      </w:r>
      <w:r>
        <w:rPr>
          <w:color w:val="636466"/>
          <w:spacing w:val="7"/>
          <w:sz w:val="16"/>
        </w:rPr>
        <w:t xml:space="preserve"> </w:t>
      </w:r>
      <w:r>
        <w:rPr>
          <w:color w:val="636466"/>
          <w:sz w:val="16"/>
        </w:rPr>
        <w:t>termination.</w:t>
      </w:r>
    </w:p>
    <w:p w:rsidR="00D840DF" w:rsidRDefault="00961020" w:rsidP="00DB6009">
      <w:pPr>
        <w:spacing w:before="114" w:line="244" w:lineRule="auto"/>
        <w:rPr>
          <w:sz w:val="16"/>
        </w:rPr>
      </w:pPr>
      <w:r>
        <w:rPr>
          <w:color w:val="636466"/>
          <w:sz w:val="16"/>
        </w:rPr>
        <w:t>The liability for long service leave has been determined by reference to the work of an actuary as at 30 June 2017. The estimate of the present value of the liability takes into account attrition rates and pay increases through promotion and inflation.</w:t>
      </w:r>
    </w:p>
    <w:p w:rsidR="00D840DF" w:rsidRDefault="00961020" w:rsidP="00DB6009">
      <w:pPr>
        <w:pStyle w:val="Heading6"/>
        <w:ind w:left="0"/>
      </w:pPr>
      <w:r>
        <w:t>Superannuation</w:t>
      </w:r>
    </w:p>
    <w:p w:rsidR="00D840DF" w:rsidRDefault="00961020" w:rsidP="00DB6009">
      <w:pPr>
        <w:spacing w:before="5" w:line="244" w:lineRule="auto"/>
        <w:rPr>
          <w:sz w:val="16"/>
        </w:rPr>
      </w:pPr>
      <w:r>
        <w:rPr>
          <w:color w:val="636466"/>
          <w:sz w:val="16"/>
        </w:rPr>
        <w:t>The entity’s staff are members of the Commonwealth Superannuation Scheme (CSS), the Public Sector Superannuation Scheme (PSS), or the PSS accumulation plan (</w:t>
      </w:r>
      <w:proofErr w:type="spellStart"/>
      <w:r>
        <w:rPr>
          <w:color w:val="636466"/>
          <w:sz w:val="16"/>
        </w:rPr>
        <w:t>PSSap</w:t>
      </w:r>
      <w:proofErr w:type="spellEnd"/>
      <w:r>
        <w:rPr>
          <w:color w:val="636466"/>
          <w:sz w:val="16"/>
        </w:rPr>
        <w:t>), or other superannuation funds held outside the Australian Government.</w:t>
      </w:r>
    </w:p>
    <w:p w:rsidR="00D840DF" w:rsidRDefault="00961020" w:rsidP="00DB6009">
      <w:pPr>
        <w:spacing w:before="114" w:line="244" w:lineRule="auto"/>
        <w:ind w:right="703"/>
        <w:rPr>
          <w:sz w:val="16"/>
        </w:rPr>
      </w:pPr>
      <w:r>
        <w:rPr>
          <w:color w:val="636466"/>
          <w:sz w:val="16"/>
        </w:rPr>
        <w:t xml:space="preserve">The CSS and PSS are defined benefit schemes for the Australian Government. The </w:t>
      </w:r>
      <w:proofErr w:type="spellStart"/>
      <w:r>
        <w:rPr>
          <w:color w:val="636466"/>
          <w:sz w:val="16"/>
        </w:rPr>
        <w:t>PSSap</w:t>
      </w:r>
      <w:proofErr w:type="spellEnd"/>
      <w:r>
        <w:rPr>
          <w:color w:val="636466"/>
          <w:sz w:val="16"/>
        </w:rPr>
        <w:t xml:space="preserve"> is a defined contribution</w:t>
      </w:r>
      <w:r w:rsidR="00E314B6">
        <w:rPr>
          <w:color w:val="636466"/>
          <w:sz w:val="16"/>
        </w:rPr>
        <w:t xml:space="preserve"> </w:t>
      </w:r>
      <w:r>
        <w:rPr>
          <w:color w:val="636466"/>
          <w:sz w:val="16"/>
        </w:rPr>
        <w:t>scheme.</w:t>
      </w:r>
    </w:p>
    <w:p w:rsidR="00D840DF" w:rsidRDefault="00961020" w:rsidP="00DB6009">
      <w:pPr>
        <w:spacing w:before="114" w:line="244" w:lineRule="auto"/>
        <w:ind w:right="503"/>
        <w:rPr>
          <w:sz w:val="16"/>
        </w:rPr>
        <w:sectPr w:rsidR="00D840DF">
          <w:pgSz w:w="9980" w:h="14180"/>
          <w:pgMar w:top="1320" w:right="1200" w:bottom="280" w:left="1020" w:header="720" w:footer="720" w:gutter="0"/>
          <w:cols w:space="720"/>
        </w:sectPr>
      </w:pPr>
      <w:r>
        <w:rPr>
          <w:color w:val="636466"/>
          <w:sz w:val="16"/>
        </w:rPr>
        <w:t xml:space="preserve">The liability for defined benefits is </w:t>
      </w:r>
      <w:proofErr w:type="spellStart"/>
      <w:r>
        <w:rPr>
          <w:color w:val="636466"/>
          <w:sz w:val="16"/>
        </w:rPr>
        <w:t>recognised</w:t>
      </w:r>
      <w:proofErr w:type="spellEnd"/>
      <w:r>
        <w:rPr>
          <w:color w:val="636466"/>
          <w:sz w:val="16"/>
        </w:rPr>
        <w:t xml:space="preserve"> in the financial statements of the Australian Government and is settled</w:t>
      </w:r>
      <w:r w:rsidR="00E314B6">
        <w:rPr>
          <w:color w:val="636466"/>
          <w:sz w:val="16"/>
        </w:rPr>
        <w:t xml:space="preserve"> </w:t>
      </w:r>
      <w:r>
        <w:rPr>
          <w:color w:val="636466"/>
          <w:sz w:val="16"/>
        </w:rPr>
        <w:t>by the Australian Government in due course. This liability is reported in the Department of Finance’s administered schedules</w:t>
      </w:r>
      <w:r w:rsidR="00E314B6">
        <w:rPr>
          <w:color w:val="636466"/>
          <w:sz w:val="16"/>
        </w:rPr>
        <w:t xml:space="preserve"> </w:t>
      </w:r>
      <w:r>
        <w:rPr>
          <w:color w:val="636466"/>
          <w:sz w:val="16"/>
        </w:rPr>
        <w:t>and</w:t>
      </w:r>
      <w:r>
        <w:rPr>
          <w:color w:val="636466"/>
          <w:spacing w:val="-5"/>
          <w:sz w:val="16"/>
        </w:rPr>
        <w:t xml:space="preserve"> </w:t>
      </w:r>
      <w:r>
        <w:rPr>
          <w:color w:val="636466"/>
          <w:sz w:val="16"/>
        </w:rPr>
        <w:t>notes.</w:t>
      </w:r>
    </w:p>
    <w:p w:rsidR="00D840DF" w:rsidRDefault="00961020" w:rsidP="00A13FEE">
      <w:pPr>
        <w:spacing w:before="91" w:line="244" w:lineRule="auto"/>
        <w:ind w:right="269"/>
        <w:rPr>
          <w:sz w:val="16"/>
        </w:rPr>
      </w:pPr>
      <w:bookmarkStart w:id="175" w:name="Note_4.2_Key_management_personnel_remune"/>
      <w:bookmarkStart w:id="176" w:name="Note_4.3_Related_party_disclosures"/>
      <w:bookmarkStart w:id="177" w:name="_bookmark46"/>
      <w:bookmarkEnd w:id="175"/>
      <w:bookmarkEnd w:id="176"/>
      <w:bookmarkEnd w:id="177"/>
      <w:r>
        <w:rPr>
          <w:color w:val="636466"/>
          <w:sz w:val="16"/>
        </w:rPr>
        <w:lastRenderedPageBreak/>
        <w:t>The entity makes employer contributions to the employees’ defined benefit superannuation scheme at rates determined</w:t>
      </w:r>
      <w:r w:rsidR="00E314B6">
        <w:rPr>
          <w:color w:val="636466"/>
          <w:sz w:val="16"/>
        </w:rPr>
        <w:t xml:space="preserve"> </w:t>
      </w:r>
      <w:r>
        <w:rPr>
          <w:color w:val="636466"/>
          <w:sz w:val="16"/>
        </w:rPr>
        <w:t>by an actuary to be sufficient to meet the current cost to the Government. The entity accounts for the contributions as if</w:t>
      </w:r>
      <w:r w:rsidR="00E314B6">
        <w:rPr>
          <w:color w:val="636466"/>
          <w:sz w:val="16"/>
        </w:rPr>
        <w:t xml:space="preserve"> </w:t>
      </w:r>
      <w:r>
        <w:rPr>
          <w:color w:val="636466"/>
          <w:sz w:val="16"/>
        </w:rPr>
        <w:t>they</w:t>
      </w:r>
      <w:r>
        <w:rPr>
          <w:color w:val="636466"/>
          <w:spacing w:val="12"/>
          <w:sz w:val="16"/>
        </w:rPr>
        <w:t xml:space="preserve"> </w:t>
      </w:r>
      <w:r>
        <w:rPr>
          <w:color w:val="636466"/>
          <w:sz w:val="16"/>
        </w:rPr>
        <w:t>were</w:t>
      </w:r>
      <w:r>
        <w:rPr>
          <w:color w:val="636466"/>
          <w:spacing w:val="12"/>
          <w:sz w:val="16"/>
        </w:rPr>
        <w:t xml:space="preserve"> </w:t>
      </w:r>
      <w:r>
        <w:rPr>
          <w:color w:val="636466"/>
          <w:sz w:val="16"/>
        </w:rPr>
        <w:t>contributions</w:t>
      </w:r>
      <w:r>
        <w:rPr>
          <w:color w:val="636466"/>
          <w:spacing w:val="12"/>
          <w:sz w:val="16"/>
        </w:rPr>
        <w:t xml:space="preserve"> </w:t>
      </w:r>
      <w:r>
        <w:rPr>
          <w:color w:val="636466"/>
          <w:sz w:val="16"/>
        </w:rPr>
        <w:t>to</w:t>
      </w:r>
      <w:r>
        <w:rPr>
          <w:color w:val="636466"/>
          <w:spacing w:val="12"/>
          <w:sz w:val="16"/>
        </w:rPr>
        <w:t xml:space="preserve"> </w:t>
      </w:r>
      <w:r>
        <w:rPr>
          <w:color w:val="636466"/>
          <w:sz w:val="16"/>
        </w:rPr>
        <w:t>defined</w:t>
      </w:r>
      <w:r>
        <w:rPr>
          <w:color w:val="636466"/>
          <w:spacing w:val="12"/>
          <w:sz w:val="16"/>
        </w:rPr>
        <w:t xml:space="preserve"> </w:t>
      </w:r>
      <w:r>
        <w:rPr>
          <w:color w:val="636466"/>
          <w:sz w:val="16"/>
        </w:rPr>
        <w:t>contribution</w:t>
      </w:r>
      <w:r>
        <w:rPr>
          <w:color w:val="636466"/>
          <w:spacing w:val="12"/>
          <w:sz w:val="16"/>
        </w:rPr>
        <w:t xml:space="preserve"> </w:t>
      </w:r>
      <w:r>
        <w:rPr>
          <w:color w:val="636466"/>
          <w:sz w:val="16"/>
        </w:rPr>
        <w:t>plans.</w:t>
      </w:r>
    </w:p>
    <w:p w:rsidR="00D840DF" w:rsidRPr="00A13FEE" w:rsidRDefault="00961020" w:rsidP="00DB6009">
      <w:pPr>
        <w:spacing w:before="114"/>
        <w:rPr>
          <w:sz w:val="16"/>
        </w:rPr>
      </w:pPr>
      <w:r>
        <w:rPr>
          <w:color w:val="636466"/>
          <w:sz w:val="16"/>
        </w:rPr>
        <w:t xml:space="preserve">The liability for superannuation </w:t>
      </w:r>
      <w:proofErr w:type="spellStart"/>
      <w:r>
        <w:rPr>
          <w:color w:val="636466"/>
          <w:sz w:val="16"/>
        </w:rPr>
        <w:t>recognised</w:t>
      </w:r>
      <w:proofErr w:type="spellEnd"/>
      <w:r>
        <w:rPr>
          <w:color w:val="636466"/>
          <w:sz w:val="16"/>
        </w:rPr>
        <w:t xml:space="preserve"> as at 30 June represents outstanding contributions.</w:t>
      </w:r>
    </w:p>
    <w:p w:rsidR="00D840DF" w:rsidRDefault="00961020" w:rsidP="00DB6009">
      <w:pPr>
        <w:pStyle w:val="Heading4"/>
      </w:pPr>
      <w:r>
        <w:t>Note 4.2 Key management personnel remuneration</w:t>
      </w:r>
    </w:p>
    <w:p w:rsidR="00D840DF" w:rsidRDefault="00961020" w:rsidP="00DB6009">
      <w:pPr>
        <w:spacing w:before="138" w:line="244" w:lineRule="auto"/>
        <w:ind w:right="503"/>
        <w:rPr>
          <w:sz w:val="16"/>
        </w:rPr>
      </w:pPr>
      <w:r>
        <w:rPr>
          <w:color w:val="636466"/>
          <w:sz w:val="16"/>
        </w:rPr>
        <w:t>Key management personnel are those persons having authority and responsibility for planning, directing and controlling the activities of the entity, directly or indirectly, including any Pricing Authority member. The entity has determined the key management personnel to be the Portfolio Ministers, Chief Executive Officer, Executive Director (Activity Based Funding) and the Pricing Authority members.</w:t>
      </w:r>
    </w:p>
    <w:p w:rsidR="00D840DF" w:rsidRPr="00A13FEE" w:rsidRDefault="00961020" w:rsidP="008F7C36">
      <w:pPr>
        <w:pStyle w:val="Heading5"/>
      </w:pPr>
      <w:r>
        <w:t>Key management personnel remuneration is reported in the table below:</w:t>
      </w:r>
    </w:p>
    <w:tbl>
      <w:tblPr>
        <w:tblW w:w="0" w:type="auto"/>
        <w:tblInd w:w="103" w:type="dxa"/>
        <w:tblLayout w:type="fixed"/>
        <w:tblCellMar>
          <w:left w:w="0" w:type="dxa"/>
          <w:right w:w="0" w:type="dxa"/>
        </w:tblCellMar>
        <w:tblLook w:val="01E0" w:firstRow="1" w:lastRow="1" w:firstColumn="1" w:lastColumn="1" w:noHBand="0" w:noVBand="0"/>
      </w:tblPr>
      <w:tblGrid>
        <w:gridCol w:w="4748"/>
        <w:gridCol w:w="1750"/>
        <w:gridCol w:w="1043"/>
      </w:tblGrid>
      <w:tr w:rsidR="00D840DF">
        <w:trPr>
          <w:trHeight w:val="480"/>
        </w:trPr>
        <w:tc>
          <w:tcPr>
            <w:tcW w:w="4748" w:type="dxa"/>
            <w:shd w:val="clear" w:color="auto" w:fill="008F54"/>
          </w:tcPr>
          <w:p w:rsidR="00D840DF" w:rsidRDefault="00D840DF">
            <w:pPr>
              <w:pStyle w:val="TableParagraph"/>
              <w:spacing w:before="0"/>
              <w:rPr>
                <w:rFonts w:ascii="Times New Roman"/>
                <w:sz w:val="16"/>
              </w:rPr>
            </w:pPr>
          </w:p>
        </w:tc>
        <w:tc>
          <w:tcPr>
            <w:tcW w:w="1750" w:type="dxa"/>
            <w:shd w:val="clear" w:color="auto" w:fill="008F54"/>
          </w:tcPr>
          <w:p w:rsidR="00D840DF" w:rsidRDefault="00961020">
            <w:pPr>
              <w:pStyle w:val="TableParagraph"/>
              <w:spacing w:before="30" w:line="209" w:lineRule="exact"/>
              <w:ind w:left="888"/>
              <w:rPr>
                <w:rFonts w:ascii="Futura PT Demi"/>
                <w:sz w:val="17"/>
              </w:rPr>
            </w:pPr>
            <w:r>
              <w:rPr>
                <w:rFonts w:ascii="Futura PT Demi"/>
                <w:color w:val="FFFFFF"/>
                <w:sz w:val="17"/>
              </w:rPr>
              <w:t>2017</w:t>
            </w:r>
          </w:p>
          <w:p w:rsidR="00D840DF" w:rsidRDefault="00961020">
            <w:pPr>
              <w:pStyle w:val="TableParagraph"/>
              <w:spacing w:before="0" w:line="209" w:lineRule="exact"/>
              <w:ind w:left="812"/>
              <w:rPr>
                <w:rFonts w:ascii="Futura PT Demi" w:hAnsi="Futura PT Demi"/>
                <w:sz w:val="17"/>
              </w:rPr>
            </w:pPr>
            <w:r>
              <w:rPr>
                <w:rFonts w:ascii="Futura PT Demi" w:hAnsi="Futura PT Demi"/>
                <w:color w:val="FFFFFF"/>
                <w:sz w:val="17"/>
              </w:rPr>
              <w:t>$’000</w:t>
            </w:r>
          </w:p>
        </w:tc>
        <w:tc>
          <w:tcPr>
            <w:tcW w:w="1043" w:type="dxa"/>
            <w:shd w:val="clear" w:color="auto" w:fill="008F54"/>
          </w:tcPr>
          <w:p w:rsidR="00D840DF" w:rsidRDefault="00961020">
            <w:pPr>
              <w:pStyle w:val="TableParagraph"/>
              <w:spacing w:before="30" w:line="209" w:lineRule="exact"/>
              <w:ind w:left="554"/>
              <w:rPr>
                <w:rFonts w:ascii="Futura PT Demi"/>
                <w:sz w:val="17"/>
              </w:rPr>
            </w:pPr>
            <w:r>
              <w:rPr>
                <w:rFonts w:ascii="Futura PT Demi"/>
                <w:color w:val="FFFFFF"/>
                <w:sz w:val="17"/>
              </w:rPr>
              <w:t>2016</w:t>
            </w:r>
          </w:p>
          <w:p w:rsidR="00D840DF" w:rsidRDefault="00961020">
            <w:pPr>
              <w:pStyle w:val="TableParagraph"/>
              <w:spacing w:before="0" w:line="209" w:lineRule="exact"/>
              <w:ind w:left="479"/>
              <w:rPr>
                <w:rFonts w:ascii="Futura PT Demi" w:hAnsi="Futura PT Demi"/>
                <w:sz w:val="17"/>
              </w:rPr>
            </w:pPr>
            <w:r>
              <w:rPr>
                <w:rFonts w:ascii="Futura PT Demi" w:hAnsi="Futura PT Demi"/>
                <w:color w:val="FFFFFF"/>
                <w:sz w:val="17"/>
              </w:rPr>
              <w:t>$’000</w:t>
            </w:r>
          </w:p>
        </w:tc>
      </w:tr>
      <w:tr w:rsidR="00D840DF">
        <w:trPr>
          <w:trHeight w:val="220"/>
        </w:trPr>
        <w:tc>
          <w:tcPr>
            <w:tcW w:w="4748" w:type="dxa"/>
            <w:tcBorders>
              <w:bottom w:val="single" w:sz="4" w:space="0" w:color="C7C8CA"/>
            </w:tcBorders>
          </w:tcPr>
          <w:p w:rsidR="00D840DF" w:rsidRDefault="00961020">
            <w:pPr>
              <w:pStyle w:val="TableParagraph"/>
              <w:spacing w:line="200" w:lineRule="exact"/>
              <w:ind w:left="113"/>
              <w:rPr>
                <w:sz w:val="16"/>
              </w:rPr>
            </w:pPr>
            <w:r>
              <w:rPr>
                <w:color w:val="636466"/>
                <w:sz w:val="16"/>
              </w:rPr>
              <w:t>Short-term</w:t>
            </w:r>
            <w:r w:rsidR="00E314B6">
              <w:rPr>
                <w:color w:val="636466"/>
                <w:sz w:val="16"/>
              </w:rPr>
              <w:t xml:space="preserve"> </w:t>
            </w:r>
            <w:r>
              <w:rPr>
                <w:color w:val="636466"/>
                <w:sz w:val="16"/>
              </w:rPr>
              <w:t>employee benefits</w:t>
            </w:r>
          </w:p>
        </w:tc>
        <w:tc>
          <w:tcPr>
            <w:tcW w:w="1750" w:type="dxa"/>
            <w:tcBorders>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625</w:t>
            </w:r>
          </w:p>
        </w:tc>
        <w:tc>
          <w:tcPr>
            <w:tcW w:w="1043" w:type="dxa"/>
            <w:tcBorders>
              <w:bottom w:val="single" w:sz="4" w:space="0" w:color="C7C8CA"/>
            </w:tcBorders>
          </w:tcPr>
          <w:p w:rsidR="00D840DF" w:rsidRDefault="00961020">
            <w:pPr>
              <w:pStyle w:val="TableParagraph"/>
              <w:spacing w:line="200" w:lineRule="exact"/>
              <w:ind w:right="111"/>
              <w:jc w:val="right"/>
              <w:rPr>
                <w:sz w:val="16"/>
              </w:rPr>
            </w:pPr>
            <w:r>
              <w:rPr>
                <w:color w:val="636466"/>
                <w:sz w:val="16"/>
              </w:rPr>
              <w:t>789</w:t>
            </w:r>
          </w:p>
        </w:tc>
      </w:tr>
      <w:tr w:rsidR="00D840DF">
        <w:trPr>
          <w:trHeight w:val="220"/>
        </w:trPr>
        <w:tc>
          <w:tcPr>
            <w:tcW w:w="4748"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Post-employment</w:t>
            </w:r>
            <w:r w:rsidR="00E314B6">
              <w:rPr>
                <w:color w:val="636466"/>
                <w:sz w:val="16"/>
              </w:rPr>
              <w:t xml:space="preserve"> </w:t>
            </w:r>
            <w:r>
              <w:rPr>
                <w:color w:val="636466"/>
                <w:sz w:val="16"/>
              </w:rPr>
              <w:t>benefits</w:t>
            </w:r>
          </w:p>
        </w:tc>
        <w:tc>
          <w:tcPr>
            <w:tcW w:w="1750" w:type="dxa"/>
            <w:tcBorders>
              <w:top w:val="single" w:sz="4" w:space="0" w:color="C7C8CA"/>
              <w:bottom w:val="single" w:sz="4" w:space="0" w:color="C7C8CA"/>
            </w:tcBorders>
          </w:tcPr>
          <w:p w:rsidR="00D840DF" w:rsidRDefault="00961020">
            <w:pPr>
              <w:pStyle w:val="TableParagraph"/>
              <w:spacing w:line="200" w:lineRule="exact"/>
              <w:ind w:right="486"/>
              <w:jc w:val="right"/>
              <w:rPr>
                <w:rFonts w:ascii="Futura PT Medium"/>
                <w:sz w:val="16"/>
              </w:rPr>
            </w:pPr>
            <w:r>
              <w:rPr>
                <w:rFonts w:ascii="Futura PT Medium"/>
                <w:color w:val="636466"/>
                <w:sz w:val="16"/>
              </w:rPr>
              <w:t>73</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103</w:t>
            </w:r>
          </w:p>
        </w:tc>
      </w:tr>
      <w:tr w:rsidR="00D840DF">
        <w:trPr>
          <w:trHeight w:val="220"/>
        </w:trPr>
        <w:tc>
          <w:tcPr>
            <w:tcW w:w="4748"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Other</w:t>
            </w:r>
            <w:r w:rsidR="00E314B6">
              <w:rPr>
                <w:color w:val="636466"/>
                <w:sz w:val="16"/>
              </w:rPr>
              <w:t xml:space="preserve"> </w:t>
            </w:r>
            <w:r>
              <w:rPr>
                <w:color w:val="636466"/>
                <w:sz w:val="16"/>
              </w:rPr>
              <w:t>long-term benefits</w:t>
            </w:r>
          </w:p>
        </w:tc>
        <w:tc>
          <w:tcPr>
            <w:tcW w:w="1750"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39</w:t>
            </w:r>
          </w:p>
        </w:tc>
        <w:tc>
          <w:tcPr>
            <w:tcW w:w="1043" w:type="dxa"/>
            <w:tcBorders>
              <w:top w:val="single" w:sz="4" w:space="0" w:color="C7C8CA"/>
              <w:bottom w:val="single" w:sz="4" w:space="0" w:color="C7C8CA"/>
            </w:tcBorders>
          </w:tcPr>
          <w:p w:rsidR="00D840DF" w:rsidRDefault="00961020">
            <w:pPr>
              <w:pStyle w:val="TableParagraph"/>
              <w:spacing w:line="200" w:lineRule="exact"/>
              <w:ind w:right="111"/>
              <w:jc w:val="right"/>
              <w:rPr>
                <w:sz w:val="16"/>
              </w:rPr>
            </w:pPr>
            <w:r>
              <w:rPr>
                <w:color w:val="636466"/>
                <w:sz w:val="16"/>
              </w:rPr>
              <w:t>88</w:t>
            </w:r>
          </w:p>
        </w:tc>
      </w:tr>
      <w:tr w:rsidR="00D840DF">
        <w:trPr>
          <w:trHeight w:val="240"/>
        </w:trPr>
        <w:tc>
          <w:tcPr>
            <w:tcW w:w="4748" w:type="dxa"/>
            <w:tcBorders>
              <w:top w:val="single" w:sz="4" w:space="0" w:color="C7C8CA"/>
            </w:tcBorders>
          </w:tcPr>
          <w:p w:rsidR="00D840DF" w:rsidRDefault="00961020">
            <w:pPr>
              <w:pStyle w:val="TableParagraph"/>
              <w:ind w:left="113"/>
              <w:rPr>
                <w:sz w:val="16"/>
              </w:rPr>
            </w:pPr>
            <w:r>
              <w:rPr>
                <w:color w:val="636466"/>
                <w:sz w:val="16"/>
              </w:rPr>
              <w:t>Termination benefits</w:t>
            </w:r>
          </w:p>
        </w:tc>
        <w:tc>
          <w:tcPr>
            <w:tcW w:w="1750" w:type="dxa"/>
            <w:tcBorders>
              <w:top w:val="single" w:sz="4" w:space="0" w:color="C7C8CA"/>
            </w:tcBorders>
          </w:tcPr>
          <w:p w:rsidR="00D840DF" w:rsidRDefault="00961020">
            <w:pPr>
              <w:pStyle w:val="TableParagraph"/>
              <w:ind w:right="485"/>
              <w:jc w:val="right"/>
              <w:rPr>
                <w:rFonts w:ascii="Futura PT Medium"/>
                <w:sz w:val="16"/>
              </w:rPr>
            </w:pPr>
            <w:r>
              <w:rPr>
                <w:rFonts w:ascii="Futura PT Medium"/>
                <w:color w:val="636466"/>
                <w:sz w:val="16"/>
              </w:rPr>
              <w:t>-</w:t>
            </w:r>
          </w:p>
        </w:tc>
        <w:tc>
          <w:tcPr>
            <w:tcW w:w="1043" w:type="dxa"/>
            <w:tcBorders>
              <w:top w:val="single" w:sz="4" w:space="0" w:color="C7C8CA"/>
            </w:tcBorders>
          </w:tcPr>
          <w:p w:rsidR="00D840DF" w:rsidRDefault="00961020">
            <w:pPr>
              <w:pStyle w:val="TableParagraph"/>
              <w:ind w:right="111"/>
              <w:jc w:val="right"/>
              <w:rPr>
                <w:sz w:val="16"/>
              </w:rPr>
            </w:pPr>
            <w:r>
              <w:rPr>
                <w:color w:val="636466"/>
                <w:sz w:val="16"/>
              </w:rPr>
              <w:t>-</w:t>
            </w:r>
          </w:p>
        </w:tc>
      </w:tr>
      <w:tr w:rsidR="00D840DF">
        <w:trPr>
          <w:trHeight w:val="240"/>
        </w:trPr>
        <w:tc>
          <w:tcPr>
            <w:tcW w:w="4748"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9"/>
              </w:rPr>
            </w:pPr>
            <w:r>
              <w:rPr>
                <w:rFonts w:ascii="Futura PT Medium"/>
                <w:sz w:val="16"/>
              </w:rPr>
              <w:t>Total key management personnel remuneration expenses</w:t>
            </w:r>
            <w:r>
              <w:rPr>
                <w:rFonts w:ascii="Futura PT Medium"/>
                <w:position w:val="5"/>
                <w:sz w:val="9"/>
              </w:rPr>
              <w:t>1</w:t>
            </w:r>
          </w:p>
        </w:tc>
        <w:tc>
          <w:tcPr>
            <w:tcW w:w="1750" w:type="dxa"/>
            <w:tcBorders>
              <w:bottom w:val="single" w:sz="4" w:space="0" w:color="C7C8CA"/>
            </w:tcBorders>
            <w:shd w:val="clear" w:color="auto" w:fill="E6E7E8"/>
          </w:tcPr>
          <w:p w:rsidR="00D840DF" w:rsidRDefault="00961020">
            <w:pPr>
              <w:pStyle w:val="TableParagraph"/>
              <w:spacing w:before="21" w:line="200" w:lineRule="exact"/>
              <w:ind w:right="496"/>
              <w:jc w:val="right"/>
              <w:rPr>
                <w:rFonts w:ascii="Futura PT Medium"/>
                <w:sz w:val="16"/>
              </w:rPr>
            </w:pPr>
            <w:r>
              <w:rPr>
                <w:rFonts w:ascii="Futura PT Medium"/>
                <w:sz w:val="16"/>
              </w:rPr>
              <w:t>737</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980</w:t>
            </w:r>
          </w:p>
        </w:tc>
      </w:tr>
    </w:tbl>
    <w:p w:rsidR="00D840DF" w:rsidRDefault="00961020" w:rsidP="00A13FEE">
      <w:pPr>
        <w:ind w:firstLine="103"/>
        <w:rPr>
          <w:sz w:val="16"/>
        </w:rPr>
      </w:pPr>
      <w:r>
        <w:rPr>
          <w:color w:val="636466"/>
          <w:sz w:val="16"/>
        </w:rPr>
        <w:t>The total number of key management personnel that are included in the above table is ten (2016: ten).</w:t>
      </w:r>
    </w:p>
    <w:p w:rsidR="00D840DF" w:rsidRPr="00A13FEE" w:rsidRDefault="00961020" w:rsidP="00A13FEE">
      <w:pPr>
        <w:spacing w:before="118" w:line="244" w:lineRule="auto"/>
        <w:ind w:left="217" w:right="269" w:hanging="114"/>
        <w:rPr>
          <w:sz w:val="16"/>
        </w:rPr>
      </w:pPr>
      <w:r>
        <w:rPr>
          <w:color w:val="636466"/>
          <w:position w:val="5"/>
          <w:sz w:val="9"/>
        </w:rPr>
        <w:t xml:space="preserve">1 </w:t>
      </w:r>
      <w:r>
        <w:rPr>
          <w:color w:val="636466"/>
          <w:sz w:val="16"/>
        </w:rPr>
        <w:t>The above key management personnel remuneration excludes the remuneration and other benefits of the Portfolio Ministers whose remuneration and other benefits are set by the Remuneration Tribunal and are not paid by the entity.</w:t>
      </w:r>
    </w:p>
    <w:p w:rsidR="00D840DF" w:rsidRDefault="00961020" w:rsidP="00A13FEE">
      <w:pPr>
        <w:pStyle w:val="Heading4"/>
      </w:pPr>
      <w:r>
        <w:t>Note 4.3 Related party disclosures</w:t>
      </w:r>
    </w:p>
    <w:p w:rsidR="00D840DF" w:rsidRDefault="00961020" w:rsidP="008F7C36">
      <w:pPr>
        <w:pStyle w:val="Heading5"/>
      </w:pPr>
      <w:r>
        <w:t>Related</w:t>
      </w:r>
      <w:r w:rsidR="00E314B6">
        <w:t xml:space="preserve"> </w:t>
      </w:r>
      <w:r>
        <w:t>party relationships:</w:t>
      </w:r>
    </w:p>
    <w:p w:rsidR="00D840DF" w:rsidRPr="00A13FEE" w:rsidRDefault="00961020" w:rsidP="00DB6009">
      <w:pPr>
        <w:spacing w:before="108" w:line="244" w:lineRule="auto"/>
        <w:ind w:right="703"/>
        <w:rPr>
          <w:sz w:val="16"/>
        </w:rPr>
      </w:pPr>
      <w:r>
        <w:rPr>
          <w:color w:val="636466"/>
          <w:sz w:val="16"/>
        </w:rPr>
        <w:t>The entity is an Australian Government controlled entity. Related parties to this entity are the key management personnel as per Note 4.2 Key management personnel remuneration and other Australian Government entities.</w:t>
      </w:r>
    </w:p>
    <w:p w:rsidR="00D840DF" w:rsidRDefault="00961020" w:rsidP="008F7C36">
      <w:pPr>
        <w:pStyle w:val="Heading5"/>
      </w:pPr>
      <w:r>
        <w:t>Transactions with related</w:t>
      </w:r>
      <w:r w:rsidR="00E314B6">
        <w:t xml:space="preserve"> </w:t>
      </w:r>
      <w:r>
        <w:t>parties:</w:t>
      </w:r>
    </w:p>
    <w:p w:rsidR="00D840DF" w:rsidRDefault="00961020" w:rsidP="00DB6009">
      <w:pPr>
        <w:spacing w:before="109" w:line="244" w:lineRule="auto"/>
        <w:ind w:right="342"/>
        <w:rPr>
          <w:sz w:val="16"/>
        </w:rPr>
      </w:pPr>
      <w:r>
        <w:rPr>
          <w:color w:val="636466"/>
          <w:sz w:val="16"/>
        </w:rPr>
        <w:t>Given the breadth of Government activities, related parties may transact with the Government sector in the same capacity as ordinary citizens. Such transactions include the payment or refund of taxes, receipt of a Medicare rebate</w:t>
      </w:r>
      <w:r w:rsidR="00E314B6">
        <w:rPr>
          <w:color w:val="636466"/>
          <w:sz w:val="16"/>
        </w:rPr>
        <w:t xml:space="preserve"> </w:t>
      </w:r>
      <w:r>
        <w:rPr>
          <w:color w:val="636466"/>
          <w:sz w:val="16"/>
        </w:rPr>
        <w:t>or</w:t>
      </w:r>
      <w:r>
        <w:rPr>
          <w:color w:val="636466"/>
          <w:spacing w:val="10"/>
          <w:sz w:val="16"/>
        </w:rPr>
        <w:t xml:space="preserve"> </w:t>
      </w:r>
      <w:r>
        <w:rPr>
          <w:color w:val="636466"/>
          <w:sz w:val="16"/>
        </w:rPr>
        <w:t>higher</w:t>
      </w:r>
      <w:r>
        <w:rPr>
          <w:color w:val="636466"/>
          <w:spacing w:val="10"/>
          <w:sz w:val="16"/>
        </w:rPr>
        <w:t xml:space="preserve"> </w:t>
      </w:r>
      <w:r>
        <w:rPr>
          <w:color w:val="636466"/>
          <w:sz w:val="16"/>
        </w:rPr>
        <w:t>education</w:t>
      </w:r>
      <w:r>
        <w:rPr>
          <w:color w:val="636466"/>
          <w:spacing w:val="10"/>
          <w:sz w:val="16"/>
        </w:rPr>
        <w:t xml:space="preserve"> </w:t>
      </w:r>
      <w:r>
        <w:rPr>
          <w:color w:val="636466"/>
          <w:sz w:val="16"/>
        </w:rPr>
        <w:t>loans.</w:t>
      </w:r>
      <w:r>
        <w:rPr>
          <w:color w:val="636466"/>
          <w:spacing w:val="10"/>
          <w:sz w:val="16"/>
        </w:rPr>
        <w:t xml:space="preserve"> </w:t>
      </w:r>
      <w:r>
        <w:rPr>
          <w:color w:val="636466"/>
          <w:sz w:val="16"/>
        </w:rPr>
        <w:t>These</w:t>
      </w:r>
      <w:r>
        <w:rPr>
          <w:color w:val="636466"/>
          <w:spacing w:val="10"/>
          <w:sz w:val="16"/>
        </w:rPr>
        <w:t xml:space="preserve"> </w:t>
      </w:r>
      <w:r>
        <w:rPr>
          <w:color w:val="636466"/>
          <w:sz w:val="16"/>
        </w:rPr>
        <w:t>transactions</w:t>
      </w:r>
      <w:r>
        <w:rPr>
          <w:color w:val="636466"/>
          <w:spacing w:val="10"/>
          <w:sz w:val="16"/>
        </w:rPr>
        <w:t xml:space="preserve"> </w:t>
      </w:r>
      <w:r>
        <w:rPr>
          <w:color w:val="636466"/>
          <w:sz w:val="16"/>
        </w:rPr>
        <w:t>have</w:t>
      </w:r>
      <w:r>
        <w:rPr>
          <w:color w:val="636466"/>
          <w:spacing w:val="10"/>
          <w:sz w:val="16"/>
        </w:rPr>
        <w:t xml:space="preserve"> </w:t>
      </w:r>
      <w:r>
        <w:rPr>
          <w:color w:val="636466"/>
          <w:sz w:val="16"/>
        </w:rPr>
        <w:t>not</w:t>
      </w:r>
      <w:r>
        <w:rPr>
          <w:color w:val="636466"/>
          <w:spacing w:val="10"/>
          <w:sz w:val="16"/>
        </w:rPr>
        <w:t xml:space="preserve"> </w:t>
      </w:r>
      <w:r>
        <w:rPr>
          <w:color w:val="636466"/>
          <w:sz w:val="16"/>
        </w:rPr>
        <w:t>been</w:t>
      </w:r>
      <w:r>
        <w:rPr>
          <w:color w:val="636466"/>
          <w:spacing w:val="10"/>
          <w:sz w:val="16"/>
        </w:rPr>
        <w:t xml:space="preserve"> </w:t>
      </w:r>
      <w:r>
        <w:rPr>
          <w:color w:val="636466"/>
          <w:sz w:val="16"/>
        </w:rPr>
        <w:t>separately</w:t>
      </w:r>
      <w:r>
        <w:rPr>
          <w:color w:val="636466"/>
          <w:spacing w:val="10"/>
          <w:sz w:val="16"/>
        </w:rPr>
        <w:t xml:space="preserve"> </w:t>
      </w:r>
      <w:r>
        <w:rPr>
          <w:color w:val="636466"/>
          <w:sz w:val="16"/>
        </w:rPr>
        <w:t>disclosed</w:t>
      </w:r>
      <w:r>
        <w:rPr>
          <w:color w:val="636466"/>
          <w:spacing w:val="10"/>
          <w:sz w:val="16"/>
        </w:rPr>
        <w:t xml:space="preserve"> </w:t>
      </w:r>
      <w:r>
        <w:rPr>
          <w:color w:val="636466"/>
          <w:sz w:val="16"/>
        </w:rPr>
        <w:t>in</w:t>
      </w:r>
      <w:r>
        <w:rPr>
          <w:color w:val="636466"/>
          <w:spacing w:val="10"/>
          <w:sz w:val="16"/>
        </w:rPr>
        <w:t xml:space="preserve"> </w:t>
      </w:r>
      <w:r>
        <w:rPr>
          <w:color w:val="636466"/>
          <w:sz w:val="16"/>
        </w:rPr>
        <w:t>this</w:t>
      </w:r>
      <w:r>
        <w:rPr>
          <w:color w:val="636466"/>
          <w:spacing w:val="10"/>
          <w:sz w:val="16"/>
        </w:rPr>
        <w:t xml:space="preserve"> </w:t>
      </w:r>
      <w:r>
        <w:rPr>
          <w:color w:val="636466"/>
          <w:sz w:val="16"/>
        </w:rPr>
        <w:t>note.</w:t>
      </w:r>
    </w:p>
    <w:p w:rsidR="00D840DF" w:rsidRDefault="00961020" w:rsidP="00DB6009">
      <w:pPr>
        <w:spacing w:before="114" w:line="244" w:lineRule="auto"/>
        <w:ind w:right="558"/>
        <w:rPr>
          <w:sz w:val="16"/>
        </w:rPr>
      </w:pPr>
      <w:r>
        <w:rPr>
          <w:color w:val="636466"/>
          <w:sz w:val="16"/>
        </w:rPr>
        <w:t xml:space="preserve">Giving consideration to relationships with related entities, and </w:t>
      </w:r>
      <w:proofErr w:type="spellStart"/>
      <w:r>
        <w:rPr>
          <w:color w:val="636466"/>
          <w:sz w:val="16"/>
        </w:rPr>
        <w:t>transations</w:t>
      </w:r>
      <w:proofErr w:type="spellEnd"/>
      <w:r>
        <w:rPr>
          <w:color w:val="636466"/>
          <w:sz w:val="16"/>
        </w:rPr>
        <w:t xml:space="preserve"> entered into during reporting period by</w:t>
      </w:r>
      <w:r w:rsidR="00E314B6">
        <w:rPr>
          <w:color w:val="636466"/>
          <w:sz w:val="16"/>
        </w:rPr>
        <w:t xml:space="preserve"> </w:t>
      </w:r>
      <w:r>
        <w:rPr>
          <w:color w:val="636466"/>
          <w:sz w:val="16"/>
        </w:rPr>
        <w:t>the</w:t>
      </w:r>
      <w:r>
        <w:rPr>
          <w:color w:val="636466"/>
          <w:spacing w:val="8"/>
          <w:sz w:val="16"/>
        </w:rPr>
        <w:t xml:space="preserve"> </w:t>
      </w:r>
      <w:r>
        <w:rPr>
          <w:color w:val="636466"/>
          <w:sz w:val="16"/>
        </w:rPr>
        <w:t>entity,</w:t>
      </w:r>
      <w:r>
        <w:rPr>
          <w:color w:val="636466"/>
          <w:spacing w:val="8"/>
          <w:sz w:val="16"/>
        </w:rPr>
        <w:t xml:space="preserve"> </w:t>
      </w:r>
      <w:r>
        <w:rPr>
          <w:color w:val="636466"/>
          <w:sz w:val="16"/>
        </w:rPr>
        <w:t>it</w:t>
      </w:r>
      <w:r>
        <w:rPr>
          <w:color w:val="636466"/>
          <w:spacing w:val="8"/>
          <w:sz w:val="16"/>
        </w:rPr>
        <w:t xml:space="preserve"> </w:t>
      </w:r>
      <w:r>
        <w:rPr>
          <w:color w:val="636466"/>
          <w:sz w:val="16"/>
        </w:rPr>
        <w:t>has</w:t>
      </w:r>
      <w:r>
        <w:rPr>
          <w:color w:val="636466"/>
          <w:spacing w:val="8"/>
          <w:sz w:val="16"/>
        </w:rPr>
        <w:t xml:space="preserve"> </w:t>
      </w:r>
      <w:r>
        <w:rPr>
          <w:color w:val="636466"/>
          <w:sz w:val="16"/>
        </w:rPr>
        <w:t>been</w:t>
      </w:r>
      <w:r>
        <w:rPr>
          <w:color w:val="636466"/>
          <w:spacing w:val="8"/>
          <w:sz w:val="16"/>
        </w:rPr>
        <w:t xml:space="preserve"> </w:t>
      </w:r>
      <w:r>
        <w:rPr>
          <w:color w:val="636466"/>
          <w:sz w:val="16"/>
        </w:rPr>
        <w:t>determined</w:t>
      </w:r>
      <w:r>
        <w:rPr>
          <w:color w:val="636466"/>
          <w:spacing w:val="8"/>
          <w:sz w:val="16"/>
        </w:rPr>
        <w:t xml:space="preserve"> </w:t>
      </w:r>
      <w:r>
        <w:rPr>
          <w:color w:val="636466"/>
          <w:sz w:val="16"/>
        </w:rPr>
        <w:t>that</w:t>
      </w:r>
      <w:r>
        <w:rPr>
          <w:color w:val="636466"/>
          <w:spacing w:val="8"/>
          <w:sz w:val="16"/>
        </w:rPr>
        <w:t xml:space="preserve"> </w:t>
      </w:r>
      <w:r>
        <w:rPr>
          <w:color w:val="636466"/>
          <w:sz w:val="16"/>
        </w:rPr>
        <w:t>there</w:t>
      </w:r>
      <w:r>
        <w:rPr>
          <w:color w:val="636466"/>
          <w:spacing w:val="8"/>
          <w:sz w:val="16"/>
        </w:rPr>
        <w:t xml:space="preserve"> </w:t>
      </w:r>
      <w:r>
        <w:rPr>
          <w:color w:val="636466"/>
          <w:sz w:val="16"/>
        </w:rPr>
        <w:t>are</w:t>
      </w:r>
      <w:r>
        <w:rPr>
          <w:color w:val="636466"/>
          <w:spacing w:val="8"/>
          <w:sz w:val="16"/>
        </w:rPr>
        <w:t xml:space="preserve"> </w:t>
      </w:r>
      <w:r>
        <w:rPr>
          <w:color w:val="636466"/>
          <w:sz w:val="16"/>
        </w:rPr>
        <w:t>no</w:t>
      </w:r>
      <w:r>
        <w:rPr>
          <w:color w:val="636466"/>
          <w:spacing w:val="8"/>
          <w:sz w:val="16"/>
        </w:rPr>
        <w:t xml:space="preserve"> </w:t>
      </w:r>
      <w:r>
        <w:rPr>
          <w:color w:val="636466"/>
          <w:sz w:val="16"/>
        </w:rPr>
        <w:t>related</w:t>
      </w:r>
      <w:r>
        <w:rPr>
          <w:color w:val="636466"/>
          <w:spacing w:val="8"/>
          <w:sz w:val="16"/>
        </w:rPr>
        <w:t xml:space="preserve"> </w:t>
      </w:r>
      <w:r>
        <w:rPr>
          <w:color w:val="636466"/>
          <w:spacing w:val="2"/>
          <w:sz w:val="16"/>
        </w:rPr>
        <w:t>party</w:t>
      </w:r>
      <w:r>
        <w:rPr>
          <w:color w:val="636466"/>
          <w:spacing w:val="8"/>
          <w:sz w:val="16"/>
        </w:rPr>
        <w:t xml:space="preserve"> </w:t>
      </w:r>
      <w:r>
        <w:rPr>
          <w:color w:val="636466"/>
          <w:sz w:val="16"/>
        </w:rPr>
        <w:t>transactions</w:t>
      </w:r>
      <w:r>
        <w:rPr>
          <w:color w:val="636466"/>
          <w:spacing w:val="8"/>
          <w:sz w:val="16"/>
        </w:rPr>
        <w:t xml:space="preserve"> </w:t>
      </w:r>
      <w:r>
        <w:rPr>
          <w:color w:val="636466"/>
          <w:sz w:val="16"/>
        </w:rPr>
        <w:t>to</w:t>
      </w:r>
      <w:r>
        <w:rPr>
          <w:color w:val="636466"/>
          <w:spacing w:val="8"/>
          <w:sz w:val="16"/>
        </w:rPr>
        <w:t xml:space="preserve"> </w:t>
      </w:r>
      <w:r>
        <w:rPr>
          <w:color w:val="636466"/>
          <w:sz w:val="16"/>
        </w:rPr>
        <w:t>be</w:t>
      </w:r>
      <w:r>
        <w:rPr>
          <w:color w:val="636466"/>
          <w:spacing w:val="8"/>
          <w:sz w:val="16"/>
        </w:rPr>
        <w:t xml:space="preserve"> </w:t>
      </w:r>
      <w:r>
        <w:rPr>
          <w:color w:val="636466"/>
          <w:sz w:val="16"/>
        </w:rPr>
        <w:t>separately</w:t>
      </w:r>
      <w:r>
        <w:rPr>
          <w:color w:val="636466"/>
          <w:spacing w:val="8"/>
          <w:sz w:val="16"/>
        </w:rPr>
        <w:t xml:space="preserve"> </w:t>
      </w:r>
      <w:r>
        <w:rPr>
          <w:color w:val="636466"/>
          <w:sz w:val="16"/>
        </w:rPr>
        <w:t>disclosed.</w:t>
      </w:r>
    </w:p>
    <w:p w:rsidR="00D840DF" w:rsidRDefault="00D840DF">
      <w:pPr>
        <w:spacing w:line="244" w:lineRule="auto"/>
        <w:rPr>
          <w:sz w:val="16"/>
        </w:rPr>
        <w:sectPr w:rsidR="00D840DF" w:rsidSect="00DB6009">
          <w:pgSz w:w="9980" w:h="14180"/>
          <w:pgMar w:top="1320" w:right="1020" w:bottom="280" w:left="993" w:header="720" w:footer="720" w:gutter="0"/>
          <w:cols w:space="720"/>
        </w:sectPr>
      </w:pPr>
    </w:p>
    <w:p w:rsidR="00D840DF" w:rsidRDefault="00961020" w:rsidP="00A13FEE">
      <w:pPr>
        <w:pStyle w:val="Heading3"/>
      </w:pPr>
      <w:bookmarkStart w:id="178" w:name="Managing_Uncertainties"/>
      <w:bookmarkStart w:id="179" w:name="Note_5.1_Contingent_Assets_and_Liabiliti"/>
      <w:bookmarkStart w:id="180" w:name="_bookmark47"/>
      <w:bookmarkEnd w:id="178"/>
      <w:bookmarkEnd w:id="179"/>
      <w:bookmarkEnd w:id="180"/>
      <w:r>
        <w:lastRenderedPageBreak/>
        <w:t>Managing Uncertainties</w:t>
      </w:r>
    </w:p>
    <w:p w:rsidR="00D840DF" w:rsidRPr="00A13FEE" w:rsidRDefault="00961020">
      <w:pPr>
        <w:pStyle w:val="BodyText"/>
      </w:pPr>
      <w:r w:rsidRPr="00A13FEE">
        <w:t>This</w:t>
      </w:r>
      <w:r>
        <w:t xml:space="preserve"> section analyses how IHPA manages financial risks within its operating environment.</w:t>
      </w:r>
    </w:p>
    <w:p w:rsidR="00D840DF" w:rsidRDefault="00961020" w:rsidP="00A13FEE">
      <w:pPr>
        <w:pStyle w:val="Heading4"/>
      </w:pPr>
      <w:r>
        <w:t>Note 5.1 Contingent Assets and Liabilities</w:t>
      </w:r>
    </w:p>
    <w:p w:rsidR="00D840DF" w:rsidRDefault="00961020" w:rsidP="008F7C36">
      <w:pPr>
        <w:pStyle w:val="Heading5"/>
      </w:pPr>
      <w:r>
        <w:t>Quantifiable Contingencies</w:t>
      </w:r>
    </w:p>
    <w:p w:rsidR="00D840DF" w:rsidRPr="00A13FEE" w:rsidRDefault="00961020" w:rsidP="00A13FEE">
      <w:pPr>
        <w:spacing w:before="108"/>
        <w:rPr>
          <w:sz w:val="16"/>
        </w:rPr>
      </w:pPr>
      <w:r>
        <w:rPr>
          <w:color w:val="636466"/>
          <w:sz w:val="16"/>
        </w:rPr>
        <w:t>There were no quantifiable contingent assets or liabilities in this reporting period (2016: nil)</w:t>
      </w:r>
    </w:p>
    <w:p w:rsidR="00D840DF" w:rsidRDefault="00961020" w:rsidP="008F7C36">
      <w:pPr>
        <w:pStyle w:val="Heading5"/>
      </w:pPr>
      <w:r>
        <w:t>Unquantifiable Contingencies</w:t>
      </w:r>
    </w:p>
    <w:p w:rsidR="00D840DF" w:rsidRPr="00A13FEE" w:rsidRDefault="00961020" w:rsidP="00A13FEE">
      <w:pPr>
        <w:spacing w:before="108"/>
        <w:rPr>
          <w:sz w:val="16"/>
        </w:rPr>
      </w:pPr>
      <w:r>
        <w:rPr>
          <w:color w:val="636466"/>
          <w:sz w:val="16"/>
        </w:rPr>
        <w:t>There were no unquantifiable contingent assets or liabilities in this reporting period (2016: nil)</w:t>
      </w:r>
    </w:p>
    <w:p w:rsidR="00D840DF" w:rsidRDefault="00961020" w:rsidP="008F7C36">
      <w:pPr>
        <w:pStyle w:val="Heading5"/>
      </w:pPr>
      <w:r>
        <w:t>Significant</w:t>
      </w:r>
      <w:r w:rsidR="00E314B6">
        <w:t xml:space="preserve"> </w:t>
      </w:r>
      <w:r>
        <w:t>Remote Contingencies</w:t>
      </w:r>
    </w:p>
    <w:p w:rsidR="00D840DF" w:rsidRPr="00A13FEE" w:rsidRDefault="00961020" w:rsidP="00A13FEE">
      <w:pPr>
        <w:spacing w:before="108"/>
        <w:rPr>
          <w:sz w:val="16"/>
        </w:rPr>
      </w:pPr>
      <w:r>
        <w:rPr>
          <w:color w:val="636466"/>
          <w:sz w:val="16"/>
        </w:rPr>
        <w:t>There were no significant remote contingent assets or liabilities in this reporting period (2016: nil).</w:t>
      </w:r>
    </w:p>
    <w:p w:rsidR="00D840DF" w:rsidRDefault="00961020" w:rsidP="008F7C36">
      <w:pPr>
        <w:pStyle w:val="Heading5"/>
      </w:pPr>
      <w:r>
        <w:t>Accounting Policy</w:t>
      </w:r>
    </w:p>
    <w:p w:rsidR="00D840DF" w:rsidRDefault="00961020" w:rsidP="00A13FEE">
      <w:pPr>
        <w:pStyle w:val="Heading6"/>
        <w:ind w:left="0"/>
      </w:pPr>
      <w:r>
        <w:t>Contingent</w:t>
      </w:r>
      <w:r w:rsidR="00E314B6">
        <w:t xml:space="preserve"> </w:t>
      </w:r>
      <w:r>
        <w:t>Asset</w:t>
      </w:r>
      <w:r w:rsidR="00E314B6">
        <w:t xml:space="preserve"> </w:t>
      </w:r>
      <w:r>
        <w:t>and Liabilities</w:t>
      </w:r>
    </w:p>
    <w:p w:rsidR="00D840DF" w:rsidRPr="00A13FEE" w:rsidRDefault="00961020" w:rsidP="00A13FEE">
      <w:pPr>
        <w:spacing w:before="5" w:line="244" w:lineRule="auto"/>
        <w:ind w:right="269"/>
        <w:rPr>
          <w:sz w:val="16"/>
        </w:rPr>
      </w:pPr>
      <w:r>
        <w:rPr>
          <w:color w:val="636466"/>
          <w:sz w:val="16"/>
        </w:rPr>
        <w:t xml:space="preserve">Contingent liabilities and contingent assets are not </w:t>
      </w:r>
      <w:proofErr w:type="spellStart"/>
      <w:r>
        <w:rPr>
          <w:color w:val="636466"/>
          <w:sz w:val="16"/>
        </w:rPr>
        <w:t>recognised</w:t>
      </w:r>
      <w:proofErr w:type="spellEnd"/>
      <w:r>
        <w:rPr>
          <w:color w:val="636466"/>
          <w:sz w:val="16"/>
        </w:rPr>
        <w:t xml:space="preserve"> in the statement of financial position but are reported in</w:t>
      </w:r>
      <w:r w:rsidR="00E314B6">
        <w:rPr>
          <w:color w:val="636466"/>
          <w:sz w:val="16"/>
        </w:rPr>
        <w:t xml:space="preserve"> </w:t>
      </w:r>
      <w:r>
        <w:rPr>
          <w:color w:val="636466"/>
          <w:sz w:val="16"/>
        </w:rPr>
        <w:t>the notes. They may arise from uncertainty as to the existence of a liability or asset or represent an asset or liability in respect of which the amount cannot be reliably measured. Contingent assets are disclosed when settlement is probable</w:t>
      </w:r>
      <w:r w:rsidR="00E314B6">
        <w:rPr>
          <w:color w:val="636466"/>
          <w:sz w:val="16"/>
        </w:rPr>
        <w:t xml:space="preserve"> </w:t>
      </w:r>
      <w:r>
        <w:rPr>
          <w:color w:val="636466"/>
          <w:sz w:val="16"/>
        </w:rPr>
        <w:t>but</w:t>
      </w:r>
      <w:r>
        <w:rPr>
          <w:color w:val="636466"/>
          <w:spacing w:val="11"/>
          <w:sz w:val="16"/>
        </w:rPr>
        <w:t xml:space="preserve"> </w:t>
      </w:r>
      <w:r>
        <w:rPr>
          <w:color w:val="636466"/>
          <w:sz w:val="16"/>
        </w:rPr>
        <w:t>not</w:t>
      </w:r>
      <w:r>
        <w:rPr>
          <w:color w:val="636466"/>
          <w:spacing w:val="11"/>
          <w:sz w:val="16"/>
        </w:rPr>
        <w:t xml:space="preserve"> </w:t>
      </w:r>
      <w:r>
        <w:rPr>
          <w:color w:val="636466"/>
          <w:sz w:val="16"/>
        </w:rPr>
        <w:t>virtually</w:t>
      </w:r>
      <w:r>
        <w:rPr>
          <w:color w:val="636466"/>
          <w:spacing w:val="11"/>
          <w:sz w:val="16"/>
        </w:rPr>
        <w:t xml:space="preserve"> </w:t>
      </w:r>
      <w:r>
        <w:rPr>
          <w:color w:val="636466"/>
          <w:sz w:val="16"/>
        </w:rPr>
        <w:t>certain</w:t>
      </w:r>
      <w:r>
        <w:rPr>
          <w:color w:val="636466"/>
          <w:spacing w:val="11"/>
          <w:sz w:val="16"/>
        </w:rPr>
        <w:t xml:space="preserve"> </w:t>
      </w:r>
      <w:r>
        <w:rPr>
          <w:color w:val="636466"/>
          <w:sz w:val="16"/>
        </w:rPr>
        <w:t>and</w:t>
      </w:r>
      <w:r>
        <w:rPr>
          <w:color w:val="636466"/>
          <w:spacing w:val="11"/>
          <w:sz w:val="16"/>
        </w:rPr>
        <w:t xml:space="preserve"> </w:t>
      </w:r>
      <w:r>
        <w:rPr>
          <w:color w:val="636466"/>
          <w:sz w:val="16"/>
        </w:rPr>
        <w:t>contingent</w:t>
      </w:r>
      <w:r>
        <w:rPr>
          <w:color w:val="636466"/>
          <w:spacing w:val="10"/>
          <w:sz w:val="16"/>
        </w:rPr>
        <w:t xml:space="preserve"> </w:t>
      </w:r>
      <w:r>
        <w:rPr>
          <w:color w:val="636466"/>
          <w:sz w:val="16"/>
        </w:rPr>
        <w:t>liabilities</w:t>
      </w:r>
      <w:r>
        <w:rPr>
          <w:color w:val="636466"/>
          <w:spacing w:val="11"/>
          <w:sz w:val="16"/>
        </w:rPr>
        <w:t xml:space="preserve"> </w:t>
      </w:r>
      <w:r>
        <w:rPr>
          <w:color w:val="636466"/>
          <w:sz w:val="16"/>
        </w:rPr>
        <w:t>are</w:t>
      </w:r>
      <w:r>
        <w:rPr>
          <w:color w:val="636466"/>
          <w:spacing w:val="11"/>
          <w:sz w:val="16"/>
        </w:rPr>
        <w:t xml:space="preserve"> </w:t>
      </w:r>
      <w:r>
        <w:rPr>
          <w:color w:val="636466"/>
          <w:sz w:val="16"/>
        </w:rPr>
        <w:t>disclosed</w:t>
      </w:r>
      <w:r>
        <w:rPr>
          <w:color w:val="636466"/>
          <w:spacing w:val="11"/>
          <w:sz w:val="16"/>
        </w:rPr>
        <w:t xml:space="preserve"> </w:t>
      </w:r>
      <w:r>
        <w:rPr>
          <w:color w:val="636466"/>
          <w:sz w:val="16"/>
        </w:rPr>
        <w:t>when</w:t>
      </w:r>
      <w:r>
        <w:rPr>
          <w:color w:val="636466"/>
          <w:spacing w:val="11"/>
          <w:sz w:val="16"/>
        </w:rPr>
        <w:t xml:space="preserve"> </w:t>
      </w:r>
      <w:r>
        <w:rPr>
          <w:color w:val="636466"/>
          <w:sz w:val="16"/>
        </w:rPr>
        <w:t>settlement</w:t>
      </w:r>
      <w:r>
        <w:rPr>
          <w:color w:val="636466"/>
          <w:spacing w:val="11"/>
          <w:sz w:val="16"/>
        </w:rPr>
        <w:t xml:space="preserve"> </w:t>
      </w:r>
      <w:r>
        <w:rPr>
          <w:color w:val="636466"/>
          <w:sz w:val="16"/>
        </w:rPr>
        <w:t>is</w:t>
      </w:r>
      <w:r>
        <w:rPr>
          <w:color w:val="636466"/>
          <w:spacing w:val="11"/>
          <w:sz w:val="16"/>
        </w:rPr>
        <w:t xml:space="preserve"> </w:t>
      </w:r>
      <w:r>
        <w:rPr>
          <w:color w:val="636466"/>
          <w:sz w:val="16"/>
        </w:rPr>
        <w:t>greater</w:t>
      </w:r>
      <w:r>
        <w:rPr>
          <w:color w:val="636466"/>
          <w:spacing w:val="11"/>
          <w:sz w:val="16"/>
        </w:rPr>
        <w:t xml:space="preserve"> </w:t>
      </w:r>
      <w:r>
        <w:rPr>
          <w:color w:val="636466"/>
          <w:sz w:val="16"/>
        </w:rPr>
        <w:t>than</w:t>
      </w:r>
      <w:r>
        <w:rPr>
          <w:color w:val="636466"/>
          <w:spacing w:val="11"/>
          <w:sz w:val="16"/>
        </w:rPr>
        <w:t xml:space="preserve"> </w:t>
      </w:r>
      <w:r>
        <w:rPr>
          <w:color w:val="636466"/>
          <w:sz w:val="16"/>
        </w:rPr>
        <w:t>remote.</w:t>
      </w:r>
    </w:p>
    <w:p w:rsidR="00D840DF" w:rsidRPr="00A13FEE" w:rsidRDefault="00961020" w:rsidP="00A13FEE">
      <w:pPr>
        <w:pStyle w:val="Heading4"/>
      </w:pPr>
      <w:r>
        <w:t>Note 5.2 Financial instruments</w:t>
      </w:r>
    </w:p>
    <w:tbl>
      <w:tblPr>
        <w:tblW w:w="0" w:type="auto"/>
        <w:tblInd w:w="112" w:type="dxa"/>
        <w:tblLayout w:type="fixed"/>
        <w:tblCellMar>
          <w:left w:w="0" w:type="dxa"/>
          <w:right w:w="0" w:type="dxa"/>
        </w:tblCellMar>
        <w:tblLook w:val="01E0" w:firstRow="1" w:lastRow="1" w:firstColumn="1" w:lastColumn="1" w:noHBand="0" w:noVBand="0"/>
      </w:tblPr>
      <w:tblGrid>
        <w:gridCol w:w="4479"/>
        <w:gridCol w:w="2019"/>
        <w:gridCol w:w="1043"/>
      </w:tblGrid>
      <w:tr w:rsidR="00D840DF">
        <w:trPr>
          <w:trHeight w:val="480"/>
        </w:trPr>
        <w:tc>
          <w:tcPr>
            <w:tcW w:w="4479" w:type="dxa"/>
            <w:shd w:val="clear" w:color="auto" w:fill="008F54"/>
          </w:tcPr>
          <w:p w:rsidR="00D840DF" w:rsidRDefault="00D840DF">
            <w:pPr>
              <w:pStyle w:val="TableParagraph"/>
              <w:spacing w:before="0"/>
              <w:rPr>
                <w:rFonts w:ascii="Times New Roman"/>
                <w:sz w:val="16"/>
              </w:rPr>
            </w:pPr>
          </w:p>
        </w:tc>
        <w:tc>
          <w:tcPr>
            <w:tcW w:w="2019" w:type="dxa"/>
            <w:shd w:val="clear" w:color="auto" w:fill="008F54"/>
          </w:tcPr>
          <w:p w:rsidR="00D840DF" w:rsidRDefault="00961020">
            <w:pPr>
              <w:pStyle w:val="TableParagraph"/>
              <w:spacing w:before="31" w:line="209" w:lineRule="exact"/>
              <w:ind w:left="1157"/>
              <w:rPr>
                <w:rFonts w:ascii="Futura PT Demi"/>
                <w:sz w:val="17"/>
              </w:rPr>
            </w:pPr>
            <w:r>
              <w:rPr>
                <w:rFonts w:ascii="Futura PT Demi"/>
                <w:color w:val="FFFFFF"/>
                <w:sz w:val="17"/>
              </w:rPr>
              <w:t>2017</w:t>
            </w:r>
          </w:p>
          <w:p w:rsidR="00D840DF" w:rsidRDefault="00961020">
            <w:pPr>
              <w:pStyle w:val="TableParagraph"/>
              <w:spacing w:before="0" w:line="209" w:lineRule="exact"/>
              <w:ind w:left="1081"/>
              <w:rPr>
                <w:rFonts w:ascii="Futura PT Demi" w:hAnsi="Futura PT Demi"/>
                <w:sz w:val="17"/>
              </w:rPr>
            </w:pPr>
            <w:r>
              <w:rPr>
                <w:rFonts w:ascii="Futura PT Demi" w:hAnsi="Futura PT Demi"/>
                <w:color w:val="FFFFFF"/>
                <w:sz w:val="17"/>
              </w:rPr>
              <w:t>$’000</w:t>
            </w:r>
          </w:p>
        </w:tc>
        <w:tc>
          <w:tcPr>
            <w:tcW w:w="1043" w:type="dxa"/>
            <w:shd w:val="clear" w:color="auto" w:fill="008F54"/>
          </w:tcPr>
          <w:p w:rsidR="00D840DF" w:rsidRDefault="00961020">
            <w:pPr>
              <w:pStyle w:val="TableParagraph"/>
              <w:spacing w:before="31" w:line="209" w:lineRule="exact"/>
              <w:ind w:left="554"/>
              <w:rPr>
                <w:rFonts w:ascii="Futura PT Demi"/>
                <w:sz w:val="17"/>
              </w:rPr>
            </w:pPr>
            <w:r>
              <w:rPr>
                <w:rFonts w:ascii="Futura PT Demi"/>
                <w:color w:val="FFFFFF"/>
                <w:sz w:val="17"/>
              </w:rPr>
              <w:t>2016</w:t>
            </w:r>
          </w:p>
          <w:p w:rsidR="00D840DF" w:rsidRDefault="00961020">
            <w:pPr>
              <w:pStyle w:val="TableParagraph"/>
              <w:spacing w:before="0" w:line="209" w:lineRule="exact"/>
              <w:ind w:left="479"/>
              <w:rPr>
                <w:rFonts w:ascii="Futura PT Demi" w:hAnsi="Futura PT Demi"/>
                <w:sz w:val="17"/>
              </w:rPr>
            </w:pPr>
            <w:r>
              <w:rPr>
                <w:rFonts w:ascii="Futura PT Demi" w:hAnsi="Futura PT Demi"/>
                <w:color w:val="FFFFFF"/>
                <w:sz w:val="17"/>
              </w:rPr>
              <w:t>$’000</w:t>
            </w:r>
          </w:p>
        </w:tc>
      </w:tr>
      <w:tr w:rsidR="00D840DF">
        <w:trPr>
          <w:trHeight w:val="260"/>
        </w:trPr>
        <w:tc>
          <w:tcPr>
            <w:tcW w:w="4479" w:type="dxa"/>
          </w:tcPr>
          <w:p w:rsidR="00D840DF" w:rsidRDefault="00961020">
            <w:pPr>
              <w:pStyle w:val="TableParagraph"/>
              <w:spacing w:before="33"/>
              <w:ind w:left="114"/>
              <w:rPr>
                <w:rFonts w:ascii="Futura PT Bold"/>
                <w:b/>
                <w:sz w:val="16"/>
              </w:rPr>
            </w:pPr>
            <w:r>
              <w:rPr>
                <w:rFonts w:ascii="Futura PT Bold"/>
                <w:b/>
                <w:color w:val="003E2D"/>
                <w:sz w:val="16"/>
              </w:rPr>
              <w:t>NOTE 5.2A: CATEGORIES OF FINANCIAL INSTRUMENTS</w:t>
            </w:r>
          </w:p>
        </w:tc>
        <w:tc>
          <w:tcPr>
            <w:tcW w:w="2019" w:type="dxa"/>
          </w:tcPr>
          <w:p w:rsidR="00D840DF" w:rsidRDefault="00D840DF">
            <w:pPr>
              <w:pStyle w:val="TableParagraph"/>
              <w:spacing w:before="0"/>
              <w:rPr>
                <w:rFonts w:ascii="Times New Roman"/>
                <w:sz w:val="16"/>
              </w:rPr>
            </w:pPr>
          </w:p>
        </w:tc>
        <w:tc>
          <w:tcPr>
            <w:tcW w:w="1043" w:type="dxa"/>
          </w:tcPr>
          <w:p w:rsidR="00D840DF" w:rsidRDefault="00D840DF">
            <w:pPr>
              <w:pStyle w:val="TableParagraph"/>
              <w:spacing w:before="0"/>
              <w:rPr>
                <w:rFonts w:ascii="Times New Roman"/>
                <w:sz w:val="16"/>
              </w:rPr>
            </w:pPr>
          </w:p>
        </w:tc>
      </w:tr>
      <w:tr w:rsidR="00DB6009" w:rsidTr="00DB6009">
        <w:trPr>
          <w:trHeight w:val="260"/>
        </w:trPr>
        <w:tc>
          <w:tcPr>
            <w:tcW w:w="7541" w:type="dxa"/>
            <w:gridSpan w:val="3"/>
            <w:shd w:val="clear" w:color="auto" w:fill="E1EFD8"/>
          </w:tcPr>
          <w:p w:rsidR="00DB6009" w:rsidRDefault="00DB6009">
            <w:pPr>
              <w:pStyle w:val="TableParagraph"/>
              <w:spacing w:before="0"/>
              <w:rPr>
                <w:rFonts w:ascii="Times New Roman"/>
                <w:sz w:val="16"/>
              </w:rPr>
            </w:pPr>
            <w:r>
              <w:rPr>
                <w:rFonts w:ascii="Futura PT Bold"/>
                <w:b/>
                <w:color w:val="003E2D"/>
                <w:sz w:val="16"/>
                <w:shd w:val="clear" w:color="auto" w:fill="E2F0D8"/>
              </w:rPr>
              <w:t xml:space="preserve"> Loans and</w:t>
            </w:r>
            <w:r>
              <w:rPr>
                <w:rFonts w:ascii="Futura PT Bold"/>
                <w:b/>
                <w:color w:val="003E2D"/>
                <w:spacing w:val="-1"/>
                <w:sz w:val="16"/>
                <w:shd w:val="clear" w:color="auto" w:fill="E2F0D8"/>
              </w:rPr>
              <w:t xml:space="preserve"> </w:t>
            </w:r>
            <w:r>
              <w:rPr>
                <w:rFonts w:ascii="Futura PT Bold"/>
                <w:b/>
                <w:color w:val="003E2D"/>
                <w:sz w:val="16"/>
                <w:shd w:val="clear" w:color="auto" w:fill="E2F0D8"/>
              </w:rPr>
              <w:t>receivables</w:t>
            </w:r>
            <w:r>
              <w:rPr>
                <w:rFonts w:ascii="Futura PT Bold"/>
                <w:b/>
                <w:color w:val="003E2D"/>
                <w:sz w:val="16"/>
                <w:shd w:val="clear" w:color="auto" w:fill="E2F0D8"/>
              </w:rPr>
              <w:tab/>
            </w:r>
          </w:p>
        </w:tc>
      </w:tr>
      <w:tr w:rsidR="00D840DF">
        <w:trPr>
          <w:trHeight w:val="240"/>
        </w:trPr>
        <w:tc>
          <w:tcPr>
            <w:tcW w:w="4479"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Cash and cash equivalents</w:t>
            </w:r>
          </w:p>
        </w:tc>
        <w:tc>
          <w:tcPr>
            <w:tcW w:w="2019" w:type="dxa"/>
            <w:tcBorders>
              <w:bottom w:val="single" w:sz="4" w:space="0" w:color="C7C8CA"/>
            </w:tcBorders>
          </w:tcPr>
          <w:p w:rsidR="00D840DF" w:rsidRDefault="00961020">
            <w:pPr>
              <w:pStyle w:val="TableParagraph"/>
              <w:spacing w:before="28" w:line="200" w:lineRule="exact"/>
              <w:ind w:right="485"/>
              <w:jc w:val="right"/>
              <w:rPr>
                <w:rFonts w:ascii="Futura PT Medium"/>
                <w:sz w:val="16"/>
              </w:rPr>
            </w:pPr>
            <w:r>
              <w:rPr>
                <w:rFonts w:ascii="Futura PT Medium"/>
                <w:color w:val="636466"/>
                <w:sz w:val="16"/>
              </w:rPr>
              <w:t>9,793</w:t>
            </w:r>
          </w:p>
        </w:tc>
        <w:tc>
          <w:tcPr>
            <w:tcW w:w="1043" w:type="dxa"/>
            <w:tcBorders>
              <w:bottom w:val="single" w:sz="4" w:space="0" w:color="C7C8CA"/>
            </w:tcBorders>
          </w:tcPr>
          <w:p w:rsidR="00D840DF" w:rsidRDefault="00961020">
            <w:pPr>
              <w:pStyle w:val="TableParagraph"/>
              <w:spacing w:before="28" w:line="200" w:lineRule="exact"/>
              <w:ind w:right="111"/>
              <w:jc w:val="right"/>
              <w:rPr>
                <w:sz w:val="16"/>
              </w:rPr>
            </w:pPr>
            <w:r>
              <w:rPr>
                <w:color w:val="636466"/>
                <w:sz w:val="16"/>
              </w:rPr>
              <w:t>8,400</w:t>
            </w:r>
          </w:p>
        </w:tc>
      </w:tr>
      <w:tr w:rsidR="00D840DF">
        <w:trPr>
          <w:trHeight w:val="240"/>
        </w:trPr>
        <w:tc>
          <w:tcPr>
            <w:tcW w:w="4479" w:type="dxa"/>
            <w:tcBorders>
              <w:top w:val="single" w:sz="4" w:space="0" w:color="C7C8CA"/>
            </w:tcBorders>
          </w:tcPr>
          <w:p w:rsidR="00D840DF" w:rsidRDefault="00961020">
            <w:pPr>
              <w:pStyle w:val="TableParagraph"/>
              <w:ind w:left="113"/>
              <w:rPr>
                <w:sz w:val="16"/>
              </w:rPr>
            </w:pPr>
            <w:r>
              <w:rPr>
                <w:color w:val="636466"/>
                <w:sz w:val="16"/>
              </w:rPr>
              <w:t>Trade and other receivables</w:t>
            </w:r>
          </w:p>
        </w:tc>
        <w:tc>
          <w:tcPr>
            <w:tcW w:w="2019" w:type="dxa"/>
            <w:tcBorders>
              <w:top w:val="single" w:sz="4" w:space="0" w:color="C7C8CA"/>
            </w:tcBorders>
          </w:tcPr>
          <w:p w:rsidR="00D840DF" w:rsidRDefault="00961020">
            <w:pPr>
              <w:pStyle w:val="TableParagraph"/>
              <w:ind w:right="485"/>
              <w:jc w:val="right"/>
              <w:rPr>
                <w:rFonts w:ascii="Futura PT Medium"/>
                <w:sz w:val="16"/>
              </w:rPr>
            </w:pPr>
            <w:r>
              <w:rPr>
                <w:rFonts w:ascii="Futura PT Medium"/>
                <w:color w:val="636466"/>
                <w:sz w:val="16"/>
              </w:rPr>
              <w:t>128</w:t>
            </w:r>
          </w:p>
        </w:tc>
        <w:tc>
          <w:tcPr>
            <w:tcW w:w="1043" w:type="dxa"/>
            <w:tcBorders>
              <w:top w:val="single" w:sz="4" w:space="0" w:color="C7C8CA"/>
            </w:tcBorders>
          </w:tcPr>
          <w:p w:rsidR="00D840DF" w:rsidRDefault="00961020">
            <w:pPr>
              <w:pStyle w:val="TableParagraph"/>
              <w:ind w:right="113"/>
              <w:jc w:val="right"/>
              <w:rPr>
                <w:sz w:val="16"/>
              </w:rPr>
            </w:pPr>
            <w:r>
              <w:rPr>
                <w:color w:val="636466"/>
                <w:sz w:val="16"/>
              </w:rPr>
              <w:t>70</w:t>
            </w:r>
          </w:p>
        </w:tc>
      </w:tr>
      <w:tr w:rsidR="00D840DF">
        <w:trPr>
          <w:trHeight w:val="240"/>
        </w:trPr>
        <w:tc>
          <w:tcPr>
            <w:tcW w:w="4479"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loans and receivables</w:t>
            </w:r>
          </w:p>
        </w:tc>
        <w:tc>
          <w:tcPr>
            <w:tcW w:w="2019" w:type="dxa"/>
            <w:tcBorders>
              <w:bottom w:val="single" w:sz="4" w:space="0" w:color="C7C8CA"/>
            </w:tcBorders>
            <w:shd w:val="clear" w:color="auto" w:fill="E6E7E8"/>
          </w:tcPr>
          <w:p w:rsidR="00D840DF" w:rsidRDefault="00961020">
            <w:pPr>
              <w:pStyle w:val="TableParagraph"/>
              <w:spacing w:before="21" w:line="200" w:lineRule="exact"/>
              <w:ind w:right="507"/>
              <w:jc w:val="right"/>
              <w:rPr>
                <w:rFonts w:ascii="Futura PT Medium"/>
                <w:sz w:val="16"/>
              </w:rPr>
            </w:pPr>
            <w:r>
              <w:rPr>
                <w:rFonts w:ascii="Futura PT Medium"/>
                <w:sz w:val="16"/>
              </w:rPr>
              <w:t>9,921</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8,470</w:t>
            </w:r>
          </w:p>
        </w:tc>
      </w:tr>
      <w:tr w:rsidR="00D840DF">
        <w:trPr>
          <w:trHeight w:val="220"/>
        </w:trPr>
        <w:tc>
          <w:tcPr>
            <w:tcW w:w="4479" w:type="dxa"/>
            <w:tcBorders>
              <w:top w:val="single" w:sz="4" w:space="0" w:color="C7C8CA"/>
              <w:bottom w:val="single" w:sz="4" w:space="0" w:color="C7C8CA"/>
            </w:tcBorders>
            <w:shd w:val="clear" w:color="auto" w:fill="E6E7E8"/>
          </w:tcPr>
          <w:p w:rsidR="00D840DF" w:rsidRDefault="00961020">
            <w:pPr>
              <w:pStyle w:val="TableParagraph"/>
              <w:spacing w:line="200" w:lineRule="exact"/>
              <w:ind w:left="113"/>
              <w:rPr>
                <w:rFonts w:ascii="Futura PT Medium"/>
                <w:sz w:val="16"/>
              </w:rPr>
            </w:pPr>
            <w:r>
              <w:rPr>
                <w:rFonts w:ascii="Futura PT Medium"/>
                <w:sz w:val="16"/>
              </w:rPr>
              <w:t>Total financial assets</w:t>
            </w:r>
          </w:p>
        </w:tc>
        <w:tc>
          <w:tcPr>
            <w:tcW w:w="2019" w:type="dxa"/>
            <w:tcBorders>
              <w:top w:val="single" w:sz="4" w:space="0" w:color="C7C8CA"/>
              <w:bottom w:val="single" w:sz="4" w:space="0" w:color="C7C8CA"/>
            </w:tcBorders>
            <w:shd w:val="clear" w:color="auto" w:fill="E6E7E8"/>
          </w:tcPr>
          <w:p w:rsidR="00D840DF" w:rsidRDefault="00961020">
            <w:pPr>
              <w:pStyle w:val="TableParagraph"/>
              <w:spacing w:line="200" w:lineRule="exact"/>
              <w:ind w:right="507"/>
              <w:jc w:val="right"/>
              <w:rPr>
                <w:rFonts w:ascii="Futura PT Medium"/>
                <w:sz w:val="16"/>
              </w:rPr>
            </w:pPr>
            <w:r>
              <w:rPr>
                <w:rFonts w:ascii="Futura PT Medium"/>
                <w:sz w:val="16"/>
              </w:rPr>
              <w:t>9,921</w:t>
            </w:r>
          </w:p>
        </w:tc>
        <w:tc>
          <w:tcPr>
            <w:tcW w:w="1043" w:type="dxa"/>
            <w:tcBorders>
              <w:top w:val="single" w:sz="4" w:space="0" w:color="C7C8CA"/>
              <w:bottom w:val="single" w:sz="4" w:space="0" w:color="C7C8CA"/>
            </w:tcBorders>
            <w:shd w:val="clear" w:color="auto" w:fill="E6E7E8"/>
          </w:tcPr>
          <w:p w:rsidR="00D840DF" w:rsidRDefault="00961020">
            <w:pPr>
              <w:pStyle w:val="TableParagraph"/>
              <w:spacing w:line="200" w:lineRule="exact"/>
              <w:ind w:right="111"/>
              <w:jc w:val="right"/>
              <w:rPr>
                <w:rFonts w:ascii="Futura PT Medium"/>
                <w:sz w:val="16"/>
              </w:rPr>
            </w:pPr>
            <w:r>
              <w:rPr>
                <w:rFonts w:ascii="Futura PT Medium"/>
                <w:sz w:val="16"/>
              </w:rPr>
              <w:t>8,470</w:t>
            </w:r>
          </w:p>
        </w:tc>
      </w:tr>
      <w:tr w:rsidR="00D840DF" w:rsidTr="00DB6009">
        <w:trPr>
          <w:trHeight w:val="209"/>
        </w:trPr>
        <w:tc>
          <w:tcPr>
            <w:tcW w:w="4479" w:type="dxa"/>
            <w:tcBorders>
              <w:top w:val="single" w:sz="4" w:space="0" w:color="C7C8CA"/>
            </w:tcBorders>
          </w:tcPr>
          <w:p w:rsidR="00D840DF" w:rsidRDefault="00961020" w:rsidP="00DB6009">
            <w:pPr>
              <w:pStyle w:val="TableParagraph"/>
              <w:spacing w:before="0"/>
              <w:rPr>
                <w:rFonts w:ascii="Futura PT Bold"/>
                <w:b/>
                <w:sz w:val="16"/>
              </w:rPr>
            </w:pPr>
            <w:r>
              <w:rPr>
                <w:rFonts w:ascii="Futura PT Bold"/>
                <w:b/>
                <w:color w:val="003E2D"/>
                <w:sz w:val="16"/>
              </w:rPr>
              <w:t>FINANCIAL LIABILITIES</w:t>
            </w:r>
          </w:p>
        </w:tc>
        <w:tc>
          <w:tcPr>
            <w:tcW w:w="2019" w:type="dxa"/>
            <w:tcBorders>
              <w:top w:val="single" w:sz="4" w:space="0" w:color="C7C8CA"/>
            </w:tcBorders>
          </w:tcPr>
          <w:p w:rsidR="00D840DF" w:rsidRDefault="00D840DF">
            <w:pPr>
              <w:pStyle w:val="TableParagraph"/>
              <w:spacing w:before="0"/>
              <w:rPr>
                <w:rFonts w:ascii="Times New Roman"/>
                <w:sz w:val="16"/>
              </w:rPr>
            </w:pPr>
          </w:p>
        </w:tc>
        <w:tc>
          <w:tcPr>
            <w:tcW w:w="1043" w:type="dxa"/>
            <w:tcBorders>
              <w:top w:val="single" w:sz="4" w:space="0" w:color="C7C8CA"/>
            </w:tcBorders>
          </w:tcPr>
          <w:p w:rsidR="00D840DF" w:rsidRDefault="00D840DF">
            <w:pPr>
              <w:pStyle w:val="TableParagraph"/>
              <w:spacing w:before="0"/>
              <w:rPr>
                <w:rFonts w:ascii="Times New Roman"/>
                <w:sz w:val="16"/>
              </w:rPr>
            </w:pPr>
          </w:p>
        </w:tc>
      </w:tr>
      <w:tr w:rsidR="00DB6009" w:rsidTr="00DB6009">
        <w:trPr>
          <w:trHeight w:val="260"/>
        </w:trPr>
        <w:tc>
          <w:tcPr>
            <w:tcW w:w="7541" w:type="dxa"/>
            <w:gridSpan w:val="3"/>
            <w:shd w:val="clear" w:color="auto" w:fill="E1EFD8"/>
          </w:tcPr>
          <w:p w:rsidR="00DB6009" w:rsidRDefault="00DB6009">
            <w:pPr>
              <w:pStyle w:val="TableParagraph"/>
              <w:spacing w:before="0"/>
              <w:rPr>
                <w:rFonts w:ascii="Times New Roman"/>
                <w:sz w:val="16"/>
              </w:rPr>
            </w:pPr>
            <w:r>
              <w:rPr>
                <w:rFonts w:ascii="Futura PT Bold"/>
                <w:b/>
                <w:color w:val="003E2D"/>
                <w:sz w:val="16"/>
                <w:shd w:val="clear" w:color="auto" w:fill="E2F0D8"/>
              </w:rPr>
              <w:t xml:space="preserve"> Financial</w:t>
            </w:r>
            <w:r>
              <w:rPr>
                <w:rFonts w:ascii="Futura PT Bold"/>
                <w:b/>
                <w:color w:val="003E2D"/>
                <w:spacing w:val="20"/>
                <w:sz w:val="16"/>
                <w:shd w:val="clear" w:color="auto" w:fill="E2F0D8"/>
              </w:rPr>
              <w:t xml:space="preserve"> </w:t>
            </w:r>
            <w:r>
              <w:rPr>
                <w:rFonts w:ascii="Futura PT Bold"/>
                <w:b/>
                <w:color w:val="003E2D"/>
                <w:sz w:val="16"/>
                <w:shd w:val="clear" w:color="auto" w:fill="E2F0D8"/>
              </w:rPr>
              <w:t>liabilities</w:t>
            </w:r>
            <w:r>
              <w:rPr>
                <w:rFonts w:ascii="Futura PT Bold"/>
                <w:b/>
                <w:color w:val="003E2D"/>
                <w:spacing w:val="20"/>
                <w:sz w:val="16"/>
                <w:shd w:val="clear" w:color="auto" w:fill="E2F0D8"/>
              </w:rPr>
              <w:t xml:space="preserve"> </w:t>
            </w:r>
            <w:r>
              <w:rPr>
                <w:rFonts w:ascii="Futura PT Bold"/>
                <w:b/>
                <w:color w:val="003E2D"/>
                <w:sz w:val="16"/>
                <w:shd w:val="clear" w:color="auto" w:fill="E2F0D8"/>
              </w:rPr>
              <w:t>measured</w:t>
            </w:r>
            <w:r>
              <w:rPr>
                <w:rFonts w:ascii="Futura PT Bold"/>
                <w:b/>
                <w:color w:val="003E2D"/>
                <w:spacing w:val="18"/>
                <w:sz w:val="16"/>
                <w:shd w:val="clear" w:color="auto" w:fill="E2F0D8"/>
              </w:rPr>
              <w:t xml:space="preserve"> </w:t>
            </w:r>
            <w:r>
              <w:rPr>
                <w:rFonts w:ascii="Futura PT Bold"/>
                <w:b/>
                <w:color w:val="003E2D"/>
                <w:sz w:val="16"/>
                <w:shd w:val="clear" w:color="auto" w:fill="E2F0D8"/>
              </w:rPr>
              <w:t>at</w:t>
            </w:r>
            <w:r>
              <w:rPr>
                <w:rFonts w:ascii="Futura PT Bold"/>
                <w:b/>
                <w:color w:val="003E2D"/>
                <w:spacing w:val="20"/>
                <w:sz w:val="16"/>
                <w:shd w:val="clear" w:color="auto" w:fill="E2F0D8"/>
              </w:rPr>
              <w:t xml:space="preserve"> </w:t>
            </w:r>
            <w:proofErr w:type="spellStart"/>
            <w:r>
              <w:rPr>
                <w:rFonts w:ascii="Futura PT Bold"/>
                <w:b/>
                <w:color w:val="003E2D"/>
                <w:sz w:val="16"/>
                <w:shd w:val="clear" w:color="auto" w:fill="E2F0D8"/>
              </w:rPr>
              <w:t>amortised</w:t>
            </w:r>
            <w:proofErr w:type="spellEnd"/>
            <w:r>
              <w:rPr>
                <w:rFonts w:ascii="Futura PT Bold"/>
                <w:b/>
                <w:color w:val="003E2D"/>
                <w:spacing w:val="20"/>
                <w:sz w:val="16"/>
                <w:shd w:val="clear" w:color="auto" w:fill="E2F0D8"/>
              </w:rPr>
              <w:t xml:space="preserve"> </w:t>
            </w:r>
            <w:r>
              <w:rPr>
                <w:rFonts w:ascii="Futura PT Bold"/>
                <w:b/>
                <w:color w:val="003E2D"/>
                <w:sz w:val="16"/>
                <w:shd w:val="clear" w:color="auto" w:fill="E2F0D8"/>
              </w:rPr>
              <w:t>cost</w:t>
            </w:r>
            <w:r>
              <w:rPr>
                <w:rFonts w:ascii="Futura PT Bold"/>
                <w:b/>
                <w:color w:val="003E2D"/>
                <w:sz w:val="16"/>
                <w:shd w:val="clear" w:color="auto" w:fill="E2F0D8"/>
              </w:rPr>
              <w:tab/>
            </w:r>
          </w:p>
        </w:tc>
      </w:tr>
      <w:tr w:rsidR="00D840DF">
        <w:trPr>
          <w:trHeight w:val="240"/>
        </w:trPr>
        <w:tc>
          <w:tcPr>
            <w:tcW w:w="4479" w:type="dxa"/>
            <w:tcBorders>
              <w:bottom w:val="single" w:sz="4" w:space="0" w:color="C7C8CA"/>
            </w:tcBorders>
          </w:tcPr>
          <w:p w:rsidR="00D840DF" w:rsidRDefault="00961020">
            <w:pPr>
              <w:pStyle w:val="TableParagraph"/>
              <w:spacing w:before="28" w:line="200" w:lineRule="exact"/>
              <w:ind w:left="113"/>
              <w:rPr>
                <w:sz w:val="16"/>
              </w:rPr>
            </w:pPr>
            <w:r>
              <w:rPr>
                <w:color w:val="636466"/>
                <w:sz w:val="16"/>
              </w:rPr>
              <w:t>Trade creditors</w:t>
            </w:r>
            <w:r w:rsidR="00E314B6">
              <w:rPr>
                <w:color w:val="636466"/>
                <w:sz w:val="16"/>
              </w:rPr>
              <w:t xml:space="preserve"> </w:t>
            </w:r>
            <w:r>
              <w:rPr>
                <w:color w:val="636466"/>
                <w:sz w:val="16"/>
              </w:rPr>
              <w:t>and accruals</w:t>
            </w:r>
          </w:p>
        </w:tc>
        <w:tc>
          <w:tcPr>
            <w:tcW w:w="2019" w:type="dxa"/>
            <w:tcBorders>
              <w:bottom w:val="single" w:sz="4" w:space="0" w:color="C7C8CA"/>
            </w:tcBorders>
          </w:tcPr>
          <w:p w:rsidR="00D840DF" w:rsidRDefault="00961020">
            <w:pPr>
              <w:pStyle w:val="TableParagraph"/>
              <w:spacing w:before="28" w:line="200" w:lineRule="exact"/>
              <w:ind w:right="485"/>
              <w:jc w:val="right"/>
              <w:rPr>
                <w:rFonts w:ascii="Futura PT Medium"/>
                <w:sz w:val="16"/>
              </w:rPr>
            </w:pPr>
            <w:r>
              <w:rPr>
                <w:rFonts w:ascii="Futura PT Medium"/>
                <w:color w:val="636466"/>
                <w:sz w:val="16"/>
              </w:rPr>
              <w:t>2,543</w:t>
            </w:r>
          </w:p>
        </w:tc>
        <w:tc>
          <w:tcPr>
            <w:tcW w:w="1043" w:type="dxa"/>
            <w:tcBorders>
              <w:bottom w:val="single" w:sz="4" w:space="0" w:color="C7C8CA"/>
            </w:tcBorders>
          </w:tcPr>
          <w:p w:rsidR="00D840DF" w:rsidRDefault="00961020">
            <w:pPr>
              <w:pStyle w:val="TableParagraph"/>
              <w:spacing w:before="28" w:line="200" w:lineRule="exact"/>
              <w:ind w:right="122"/>
              <w:jc w:val="right"/>
              <w:rPr>
                <w:sz w:val="16"/>
              </w:rPr>
            </w:pPr>
            <w:r>
              <w:rPr>
                <w:color w:val="636466"/>
                <w:sz w:val="16"/>
              </w:rPr>
              <w:t>1,931</w:t>
            </w:r>
          </w:p>
        </w:tc>
      </w:tr>
      <w:tr w:rsidR="00D840DF">
        <w:trPr>
          <w:trHeight w:val="220"/>
        </w:trPr>
        <w:tc>
          <w:tcPr>
            <w:tcW w:w="4479" w:type="dxa"/>
            <w:tcBorders>
              <w:top w:val="single" w:sz="4" w:space="0" w:color="C7C8CA"/>
              <w:bottom w:val="single" w:sz="4" w:space="0" w:color="C7C8CA"/>
            </w:tcBorders>
          </w:tcPr>
          <w:p w:rsidR="00D840DF" w:rsidRDefault="00961020">
            <w:pPr>
              <w:pStyle w:val="TableParagraph"/>
              <w:spacing w:line="200" w:lineRule="exact"/>
              <w:ind w:left="113"/>
              <w:rPr>
                <w:sz w:val="16"/>
              </w:rPr>
            </w:pPr>
            <w:r>
              <w:rPr>
                <w:color w:val="636466"/>
                <w:sz w:val="16"/>
              </w:rPr>
              <w:t>Payable to the Department of</w:t>
            </w:r>
            <w:r w:rsidR="00E314B6">
              <w:rPr>
                <w:color w:val="636466"/>
                <w:sz w:val="16"/>
              </w:rPr>
              <w:t xml:space="preserve"> </w:t>
            </w:r>
            <w:r>
              <w:rPr>
                <w:color w:val="636466"/>
                <w:sz w:val="16"/>
              </w:rPr>
              <w:t>Health</w:t>
            </w:r>
          </w:p>
        </w:tc>
        <w:tc>
          <w:tcPr>
            <w:tcW w:w="2019" w:type="dxa"/>
            <w:tcBorders>
              <w:top w:val="single" w:sz="4" w:space="0" w:color="C7C8CA"/>
              <w:bottom w:val="single" w:sz="4" w:space="0" w:color="C7C8CA"/>
            </w:tcBorders>
          </w:tcPr>
          <w:p w:rsidR="00D840DF" w:rsidRDefault="00961020">
            <w:pPr>
              <w:pStyle w:val="TableParagraph"/>
              <w:spacing w:line="200" w:lineRule="exact"/>
              <w:ind w:right="485"/>
              <w:jc w:val="right"/>
              <w:rPr>
                <w:rFonts w:ascii="Futura PT Medium"/>
                <w:sz w:val="16"/>
              </w:rPr>
            </w:pPr>
            <w:r>
              <w:rPr>
                <w:rFonts w:ascii="Futura PT Medium"/>
                <w:color w:val="636466"/>
                <w:sz w:val="16"/>
              </w:rPr>
              <w:t>-</w:t>
            </w:r>
          </w:p>
        </w:tc>
        <w:tc>
          <w:tcPr>
            <w:tcW w:w="1043" w:type="dxa"/>
            <w:tcBorders>
              <w:top w:val="single" w:sz="4" w:space="0" w:color="C7C8CA"/>
              <w:bottom w:val="single" w:sz="4" w:space="0" w:color="C7C8CA"/>
            </w:tcBorders>
          </w:tcPr>
          <w:p w:rsidR="00D840DF" w:rsidRDefault="00961020">
            <w:pPr>
              <w:pStyle w:val="TableParagraph"/>
              <w:spacing w:line="200" w:lineRule="exact"/>
              <w:ind w:right="112"/>
              <w:jc w:val="right"/>
              <w:rPr>
                <w:sz w:val="16"/>
              </w:rPr>
            </w:pPr>
            <w:r>
              <w:rPr>
                <w:color w:val="636466"/>
                <w:sz w:val="16"/>
              </w:rPr>
              <w:t>536</w:t>
            </w:r>
          </w:p>
        </w:tc>
      </w:tr>
      <w:tr w:rsidR="00D840DF">
        <w:trPr>
          <w:trHeight w:val="240"/>
        </w:trPr>
        <w:tc>
          <w:tcPr>
            <w:tcW w:w="4479" w:type="dxa"/>
            <w:tcBorders>
              <w:top w:val="single" w:sz="4" w:space="0" w:color="C7C8CA"/>
            </w:tcBorders>
          </w:tcPr>
          <w:p w:rsidR="00D840DF" w:rsidRDefault="00961020">
            <w:pPr>
              <w:pStyle w:val="TableParagraph"/>
              <w:ind w:left="113"/>
              <w:rPr>
                <w:sz w:val="16"/>
              </w:rPr>
            </w:pPr>
            <w:r>
              <w:rPr>
                <w:color w:val="636466"/>
                <w:sz w:val="16"/>
              </w:rPr>
              <w:t>Other payables — credit</w:t>
            </w:r>
            <w:r w:rsidR="00E314B6">
              <w:rPr>
                <w:color w:val="636466"/>
                <w:sz w:val="16"/>
              </w:rPr>
              <w:t xml:space="preserve"> </w:t>
            </w:r>
            <w:r>
              <w:rPr>
                <w:color w:val="636466"/>
                <w:sz w:val="16"/>
              </w:rPr>
              <w:t>card</w:t>
            </w:r>
          </w:p>
        </w:tc>
        <w:tc>
          <w:tcPr>
            <w:tcW w:w="2019" w:type="dxa"/>
            <w:tcBorders>
              <w:top w:val="single" w:sz="4" w:space="0" w:color="C7C8CA"/>
            </w:tcBorders>
          </w:tcPr>
          <w:p w:rsidR="00D840DF" w:rsidRDefault="00961020">
            <w:pPr>
              <w:pStyle w:val="TableParagraph"/>
              <w:ind w:right="485"/>
              <w:jc w:val="right"/>
              <w:rPr>
                <w:rFonts w:ascii="Futura PT Medium"/>
                <w:sz w:val="16"/>
              </w:rPr>
            </w:pPr>
            <w:r>
              <w:rPr>
                <w:rFonts w:ascii="Futura PT Medium"/>
                <w:color w:val="636466"/>
                <w:sz w:val="16"/>
              </w:rPr>
              <w:t>-</w:t>
            </w:r>
          </w:p>
        </w:tc>
        <w:tc>
          <w:tcPr>
            <w:tcW w:w="1043" w:type="dxa"/>
            <w:tcBorders>
              <w:top w:val="single" w:sz="4" w:space="0" w:color="C7C8CA"/>
            </w:tcBorders>
          </w:tcPr>
          <w:p w:rsidR="00D840DF" w:rsidRDefault="00961020">
            <w:pPr>
              <w:pStyle w:val="TableParagraph"/>
              <w:ind w:right="129"/>
              <w:jc w:val="right"/>
              <w:rPr>
                <w:sz w:val="16"/>
              </w:rPr>
            </w:pPr>
            <w:r>
              <w:rPr>
                <w:color w:val="636466"/>
                <w:sz w:val="16"/>
              </w:rPr>
              <w:t>11</w:t>
            </w:r>
          </w:p>
        </w:tc>
      </w:tr>
      <w:tr w:rsidR="00D840DF">
        <w:trPr>
          <w:trHeight w:val="240"/>
        </w:trPr>
        <w:tc>
          <w:tcPr>
            <w:tcW w:w="4479"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 xml:space="preserve">Total financial liabilities measured at </w:t>
            </w:r>
            <w:proofErr w:type="spellStart"/>
            <w:r>
              <w:rPr>
                <w:rFonts w:ascii="Futura PT Medium"/>
                <w:sz w:val="16"/>
              </w:rPr>
              <w:t>amortised</w:t>
            </w:r>
            <w:proofErr w:type="spellEnd"/>
            <w:r>
              <w:rPr>
                <w:rFonts w:ascii="Futura PT Medium"/>
                <w:sz w:val="16"/>
              </w:rPr>
              <w:t xml:space="preserve"> cost</w:t>
            </w:r>
          </w:p>
        </w:tc>
        <w:tc>
          <w:tcPr>
            <w:tcW w:w="2019" w:type="dxa"/>
            <w:tcBorders>
              <w:bottom w:val="single" w:sz="4" w:space="0" w:color="C7C8CA"/>
            </w:tcBorders>
            <w:shd w:val="clear" w:color="auto" w:fill="E6E7E8"/>
          </w:tcPr>
          <w:p w:rsidR="00D840DF" w:rsidRDefault="00961020">
            <w:pPr>
              <w:pStyle w:val="TableParagraph"/>
              <w:spacing w:before="21" w:line="200" w:lineRule="exact"/>
              <w:ind w:right="485"/>
              <w:jc w:val="right"/>
              <w:rPr>
                <w:rFonts w:ascii="Futura PT Medium"/>
                <w:sz w:val="16"/>
              </w:rPr>
            </w:pPr>
            <w:r>
              <w:rPr>
                <w:rFonts w:ascii="Futura PT Medium"/>
                <w:sz w:val="16"/>
              </w:rPr>
              <w:t>2,543</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2,478</w:t>
            </w:r>
          </w:p>
        </w:tc>
      </w:tr>
      <w:tr w:rsidR="00D840DF">
        <w:trPr>
          <w:trHeight w:val="160"/>
        </w:trPr>
        <w:tc>
          <w:tcPr>
            <w:tcW w:w="4479" w:type="dxa"/>
            <w:tcBorders>
              <w:top w:val="single" w:sz="4" w:space="0" w:color="C7C8CA"/>
            </w:tcBorders>
          </w:tcPr>
          <w:p w:rsidR="00D840DF" w:rsidRDefault="00D840DF">
            <w:pPr>
              <w:pStyle w:val="TableParagraph"/>
              <w:spacing w:before="0"/>
              <w:rPr>
                <w:rFonts w:ascii="Times New Roman"/>
                <w:sz w:val="10"/>
              </w:rPr>
            </w:pPr>
          </w:p>
        </w:tc>
        <w:tc>
          <w:tcPr>
            <w:tcW w:w="2019" w:type="dxa"/>
            <w:tcBorders>
              <w:top w:val="single" w:sz="4" w:space="0" w:color="C7C8CA"/>
            </w:tcBorders>
          </w:tcPr>
          <w:p w:rsidR="00D840DF" w:rsidRDefault="00D840DF">
            <w:pPr>
              <w:pStyle w:val="TableParagraph"/>
              <w:spacing w:before="0"/>
              <w:rPr>
                <w:rFonts w:ascii="Times New Roman"/>
                <w:sz w:val="10"/>
              </w:rPr>
            </w:pPr>
          </w:p>
        </w:tc>
        <w:tc>
          <w:tcPr>
            <w:tcW w:w="1043" w:type="dxa"/>
            <w:tcBorders>
              <w:top w:val="single" w:sz="4" w:space="0" w:color="C7C8CA"/>
            </w:tcBorders>
          </w:tcPr>
          <w:p w:rsidR="00D840DF" w:rsidRDefault="00D840DF">
            <w:pPr>
              <w:pStyle w:val="TableParagraph"/>
              <w:spacing w:before="0"/>
              <w:rPr>
                <w:rFonts w:ascii="Times New Roman"/>
                <w:sz w:val="10"/>
              </w:rPr>
            </w:pPr>
          </w:p>
        </w:tc>
      </w:tr>
      <w:tr w:rsidR="00D840DF">
        <w:trPr>
          <w:trHeight w:val="240"/>
        </w:trPr>
        <w:tc>
          <w:tcPr>
            <w:tcW w:w="4479" w:type="dxa"/>
            <w:tcBorders>
              <w:bottom w:val="single" w:sz="4" w:space="0" w:color="C7C8CA"/>
            </w:tcBorders>
            <w:shd w:val="clear" w:color="auto" w:fill="E6E7E8"/>
          </w:tcPr>
          <w:p w:rsidR="00D840DF" w:rsidRDefault="00961020">
            <w:pPr>
              <w:pStyle w:val="TableParagraph"/>
              <w:spacing w:before="21" w:line="200" w:lineRule="exact"/>
              <w:ind w:left="113"/>
              <w:rPr>
                <w:rFonts w:ascii="Futura PT Medium"/>
                <w:sz w:val="16"/>
              </w:rPr>
            </w:pPr>
            <w:r>
              <w:rPr>
                <w:rFonts w:ascii="Futura PT Medium"/>
                <w:sz w:val="16"/>
              </w:rPr>
              <w:t>Total financial liabilities</w:t>
            </w:r>
          </w:p>
        </w:tc>
        <w:tc>
          <w:tcPr>
            <w:tcW w:w="2019" w:type="dxa"/>
            <w:tcBorders>
              <w:bottom w:val="single" w:sz="4" w:space="0" w:color="C7C8CA"/>
            </w:tcBorders>
            <w:shd w:val="clear" w:color="auto" w:fill="E6E7E8"/>
          </w:tcPr>
          <w:p w:rsidR="00D840DF" w:rsidRDefault="00961020">
            <w:pPr>
              <w:pStyle w:val="TableParagraph"/>
              <w:spacing w:before="21" w:line="200" w:lineRule="exact"/>
              <w:ind w:right="485"/>
              <w:jc w:val="right"/>
              <w:rPr>
                <w:rFonts w:ascii="Futura PT Medium"/>
                <w:sz w:val="16"/>
              </w:rPr>
            </w:pPr>
            <w:r>
              <w:rPr>
                <w:rFonts w:ascii="Futura PT Medium"/>
                <w:sz w:val="16"/>
              </w:rPr>
              <w:t>2,543</w:t>
            </w:r>
          </w:p>
        </w:tc>
        <w:tc>
          <w:tcPr>
            <w:tcW w:w="1043" w:type="dxa"/>
            <w:tcBorders>
              <w:bottom w:val="single" w:sz="4" w:space="0" w:color="C7C8CA"/>
            </w:tcBorders>
            <w:shd w:val="clear" w:color="auto" w:fill="E6E7E8"/>
          </w:tcPr>
          <w:p w:rsidR="00D840DF" w:rsidRDefault="00961020">
            <w:pPr>
              <w:pStyle w:val="TableParagraph"/>
              <w:spacing w:before="21" w:line="200" w:lineRule="exact"/>
              <w:ind w:right="111"/>
              <w:jc w:val="right"/>
              <w:rPr>
                <w:rFonts w:ascii="Futura PT Medium"/>
                <w:sz w:val="16"/>
              </w:rPr>
            </w:pPr>
            <w:r>
              <w:rPr>
                <w:rFonts w:ascii="Futura PT Medium"/>
                <w:sz w:val="16"/>
              </w:rPr>
              <w:t>2,478</w:t>
            </w:r>
          </w:p>
        </w:tc>
      </w:tr>
    </w:tbl>
    <w:p w:rsidR="00D840DF" w:rsidRDefault="00D840DF">
      <w:pPr>
        <w:spacing w:line="200" w:lineRule="exact"/>
        <w:jc w:val="right"/>
        <w:rPr>
          <w:rFonts w:ascii="Futura PT Medium"/>
          <w:sz w:val="16"/>
        </w:rPr>
        <w:sectPr w:rsidR="00D840DF">
          <w:pgSz w:w="9980" w:h="14180"/>
          <w:pgMar w:top="1320" w:right="1200" w:bottom="280" w:left="1020" w:header="720" w:footer="720" w:gutter="0"/>
          <w:cols w:space="720"/>
        </w:sectPr>
      </w:pPr>
    </w:p>
    <w:p w:rsidR="00D840DF" w:rsidRDefault="00961020" w:rsidP="008F7C36">
      <w:pPr>
        <w:pStyle w:val="Heading5"/>
      </w:pPr>
      <w:bookmarkStart w:id="181" w:name="Note_5.2_Financial_instruments"/>
      <w:bookmarkStart w:id="182" w:name="_bookmark48"/>
      <w:bookmarkEnd w:id="181"/>
      <w:bookmarkEnd w:id="182"/>
      <w:r>
        <w:lastRenderedPageBreak/>
        <w:t>Accounting Policy</w:t>
      </w:r>
    </w:p>
    <w:p w:rsidR="00D840DF" w:rsidRDefault="00961020" w:rsidP="00DB6009">
      <w:pPr>
        <w:pStyle w:val="Heading6"/>
        <w:ind w:left="0"/>
      </w:pPr>
      <w:r>
        <w:t>Financial assets</w:t>
      </w:r>
    </w:p>
    <w:p w:rsidR="00D840DF" w:rsidRDefault="00961020" w:rsidP="00DB6009">
      <w:pPr>
        <w:spacing w:before="118"/>
        <w:rPr>
          <w:sz w:val="16"/>
        </w:rPr>
      </w:pPr>
      <w:r>
        <w:rPr>
          <w:color w:val="636466"/>
          <w:sz w:val="16"/>
        </w:rPr>
        <w:t>The entity classifies its financial assets in the following categories: financial assets at fair value through profit or loss;</w:t>
      </w:r>
    </w:p>
    <w:p w:rsidR="00D840DF" w:rsidRDefault="00961020">
      <w:pPr>
        <w:pStyle w:val="ListParagraph"/>
        <w:numPr>
          <w:ilvl w:val="0"/>
          <w:numId w:val="3"/>
        </w:numPr>
        <w:tabs>
          <w:tab w:val="left" w:pos="331"/>
        </w:tabs>
        <w:spacing w:before="104"/>
        <w:rPr>
          <w:sz w:val="16"/>
        </w:rPr>
      </w:pPr>
      <w:r>
        <w:rPr>
          <w:color w:val="636466"/>
          <w:sz w:val="16"/>
        </w:rPr>
        <w:t>held-to-maturity</w:t>
      </w:r>
      <w:r w:rsidR="00E314B6">
        <w:rPr>
          <w:color w:val="636466"/>
          <w:sz w:val="16"/>
        </w:rPr>
        <w:t xml:space="preserve"> </w:t>
      </w:r>
      <w:r>
        <w:rPr>
          <w:color w:val="636466"/>
          <w:sz w:val="16"/>
        </w:rPr>
        <w:t>investments;</w:t>
      </w:r>
    </w:p>
    <w:p w:rsidR="00D840DF" w:rsidRDefault="00961020">
      <w:pPr>
        <w:pStyle w:val="ListParagraph"/>
        <w:numPr>
          <w:ilvl w:val="0"/>
          <w:numId w:val="3"/>
        </w:numPr>
        <w:tabs>
          <w:tab w:val="left" w:pos="331"/>
        </w:tabs>
        <w:spacing w:before="104"/>
        <w:rPr>
          <w:sz w:val="16"/>
        </w:rPr>
      </w:pPr>
      <w:r>
        <w:rPr>
          <w:color w:val="636466"/>
          <w:sz w:val="16"/>
        </w:rPr>
        <w:t>available-for-sale</w:t>
      </w:r>
      <w:r w:rsidR="00E314B6">
        <w:rPr>
          <w:color w:val="636466"/>
          <w:sz w:val="16"/>
        </w:rPr>
        <w:t xml:space="preserve"> </w:t>
      </w:r>
      <w:r>
        <w:rPr>
          <w:color w:val="636466"/>
          <w:sz w:val="16"/>
        </w:rPr>
        <w:t>financial</w:t>
      </w:r>
      <w:r w:rsidR="00E314B6">
        <w:rPr>
          <w:color w:val="636466"/>
          <w:sz w:val="16"/>
        </w:rPr>
        <w:t xml:space="preserve"> </w:t>
      </w:r>
      <w:r>
        <w:rPr>
          <w:color w:val="636466"/>
          <w:sz w:val="16"/>
        </w:rPr>
        <w:t>assets;</w:t>
      </w:r>
      <w:r>
        <w:rPr>
          <w:color w:val="636466"/>
          <w:spacing w:val="-9"/>
          <w:sz w:val="16"/>
        </w:rPr>
        <w:t xml:space="preserve"> </w:t>
      </w:r>
      <w:r>
        <w:rPr>
          <w:color w:val="636466"/>
          <w:sz w:val="16"/>
        </w:rPr>
        <w:t>and</w:t>
      </w:r>
    </w:p>
    <w:p w:rsidR="00D840DF" w:rsidRDefault="00961020">
      <w:pPr>
        <w:pStyle w:val="ListParagraph"/>
        <w:numPr>
          <w:ilvl w:val="0"/>
          <w:numId w:val="3"/>
        </w:numPr>
        <w:tabs>
          <w:tab w:val="left" w:pos="331"/>
        </w:tabs>
        <w:spacing w:before="104"/>
        <w:rPr>
          <w:sz w:val="16"/>
        </w:rPr>
      </w:pPr>
      <w:proofErr w:type="gramStart"/>
      <w:r>
        <w:rPr>
          <w:color w:val="636466"/>
          <w:sz w:val="16"/>
        </w:rPr>
        <w:t>loans</w:t>
      </w:r>
      <w:proofErr w:type="gramEnd"/>
      <w:r w:rsidR="00E314B6">
        <w:rPr>
          <w:color w:val="636466"/>
          <w:sz w:val="16"/>
        </w:rPr>
        <w:t xml:space="preserve"> </w:t>
      </w:r>
      <w:r>
        <w:rPr>
          <w:color w:val="636466"/>
          <w:sz w:val="16"/>
        </w:rPr>
        <w:t>and</w:t>
      </w:r>
      <w:r>
        <w:rPr>
          <w:color w:val="636466"/>
          <w:spacing w:val="-7"/>
          <w:sz w:val="16"/>
        </w:rPr>
        <w:t xml:space="preserve"> </w:t>
      </w:r>
      <w:r>
        <w:rPr>
          <w:color w:val="636466"/>
          <w:sz w:val="16"/>
        </w:rPr>
        <w:t>receivables.</w:t>
      </w:r>
    </w:p>
    <w:p w:rsidR="00D840DF" w:rsidRDefault="00961020" w:rsidP="00DB6009">
      <w:pPr>
        <w:spacing w:before="118" w:line="244" w:lineRule="auto"/>
        <w:rPr>
          <w:sz w:val="16"/>
        </w:rPr>
      </w:pPr>
      <w:r>
        <w:rPr>
          <w:color w:val="636466"/>
          <w:sz w:val="16"/>
        </w:rPr>
        <w:t xml:space="preserve">The classification depends on the nature and purpose of the financial assets and is determined at the time of initial recognition. Financial assets are </w:t>
      </w:r>
      <w:proofErr w:type="spellStart"/>
      <w:r>
        <w:rPr>
          <w:color w:val="636466"/>
          <w:sz w:val="16"/>
        </w:rPr>
        <w:t>recognised</w:t>
      </w:r>
      <w:proofErr w:type="spellEnd"/>
      <w:r>
        <w:rPr>
          <w:color w:val="636466"/>
          <w:sz w:val="16"/>
        </w:rPr>
        <w:t xml:space="preserve"> and </w:t>
      </w:r>
      <w:proofErr w:type="spellStart"/>
      <w:r>
        <w:rPr>
          <w:color w:val="636466"/>
          <w:sz w:val="16"/>
        </w:rPr>
        <w:t>derecognised</w:t>
      </w:r>
      <w:proofErr w:type="spellEnd"/>
      <w:r>
        <w:rPr>
          <w:color w:val="636466"/>
          <w:sz w:val="16"/>
        </w:rPr>
        <w:t xml:space="preserve"> upon trade date.</w:t>
      </w:r>
    </w:p>
    <w:p w:rsidR="00D840DF" w:rsidRDefault="00961020" w:rsidP="00DB6009">
      <w:pPr>
        <w:pStyle w:val="Heading6"/>
        <w:ind w:left="0"/>
      </w:pPr>
      <w:r>
        <w:t>Effective interest</w:t>
      </w:r>
      <w:r w:rsidR="00E314B6">
        <w:t xml:space="preserve"> </w:t>
      </w:r>
      <w:r>
        <w:t>method —</w:t>
      </w:r>
    </w:p>
    <w:p w:rsidR="00D840DF" w:rsidRDefault="00961020" w:rsidP="00DB6009">
      <w:pPr>
        <w:spacing w:before="5" w:line="244" w:lineRule="auto"/>
        <w:ind w:right="415"/>
        <w:rPr>
          <w:sz w:val="16"/>
        </w:rPr>
      </w:pPr>
      <w:r>
        <w:rPr>
          <w:color w:val="636466"/>
          <w:sz w:val="16"/>
        </w:rPr>
        <w:t xml:space="preserve">Income is </w:t>
      </w:r>
      <w:proofErr w:type="spellStart"/>
      <w:r>
        <w:rPr>
          <w:color w:val="636466"/>
          <w:sz w:val="16"/>
        </w:rPr>
        <w:t>recognised</w:t>
      </w:r>
      <w:proofErr w:type="spellEnd"/>
      <w:r>
        <w:rPr>
          <w:color w:val="636466"/>
          <w:sz w:val="16"/>
        </w:rPr>
        <w:t xml:space="preserve"> on an effective interest rate basis except for financial assets that are </w:t>
      </w:r>
      <w:proofErr w:type="spellStart"/>
      <w:r>
        <w:rPr>
          <w:color w:val="636466"/>
          <w:sz w:val="16"/>
        </w:rPr>
        <w:t>recognised</w:t>
      </w:r>
      <w:proofErr w:type="spellEnd"/>
      <w:r>
        <w:rPr>
          <w:color w:val="636466"/>
          <w:sz w:val="16"/>
        </w:rPr>
        <w:t xml:space="preserve"> at fair value through profit or loss.</w:t>
      </w:r>
    </w:p>
    <w:p w:rsidR="00D840DF" w:rsidRDefault="00961020" w:rsidP="00DB6009">
      <w:pPr>
        <w:pStyle w:val="Heading6"/>
        <w:ind w:left="0"/>
      </w:pPr>
      <w:r>
        <w:t>Financial assets at fair value through profit or loss —</w:t>
      </w:r>
    </w:p>
    <w:p w:rsidR="00D840DF" w:rsidRDefault="00961020" w:rsidP="00DB6009">
      <w:pPr>
        <w:spacing w:before="4"/>
        <w:rPr>
          <w:sz w:val="16"/>
        </w:rPr>
      </w:pPr>
      <w:r>
        <w:rPr>
          <w:color w:val="636466"/>
          <w:sz w:val="16"/>
        </w:rPr>
        <w:t>Financial assets are classified as financial assets at fair value through profit or loss where the financial assets:</w:t>
      </w:r>
    </w:p>
    <w:p w:rsidR="00D840DF" w:rsidRDefault="00961020">
      <w:pPr>
        <w:pStyle w:val="ListParagraph"/>
        <w:numPr>
          <w:ilvl w:val="0"/>
          <w:numId w:val="2"/>
        </w:numPr>
        <w:tabs>
          <w:tab w:val="left" w:pos="331"/>
        </w:tabs>
        <w:spacing w:before="103"/>
        <w:rPr>
          <w:sz w:val="16"/>
        </w:rPr>
      </w:pPr>
      <w:r>
        <w:rPr>
          <w:color w:val="636466"/>
          <w:sz w:val="16"/>
        </w:rPr>
        <w:t>have</w:t>
      </w:r>
      <w:r>
        <w:rPr>
          <w:color w:val="636466"/>
          <w:spacing w:val="7"/>
          <w:sz w:val="16"/>
        </w:rPr>
        <w:t xml:space="preserve"> </w:t>
      </w:r>
      <w:r>
        <w:rPr>
          <w:color w:val="636466"/>
          <w:sz w:val="16"/>
        </w:rPr>
        <w:t>been</w:t>
      </w:r>
      <w:r>
        <w:rPr>
          <w:color w:val="636466"/>
          <w:spacing w:val="7"/>
          <w:sz w:val="16"/>
        </w:rPr>
        <w:t xml:space="preserve"> </w:t>
      </w:r>
      <w:r>
        <w:rPr>
          <w:color w:val="636466"/>
          <w:sz w:val="16"/>
        </w:rPr>
        <w:t>acquired</w:t>
      </w:r>
      <w:r>
        <w:rPr>
          <w:color w:val="636466"/>
          <w:spacing w:val="7"/>
          <w:sz w:val="16"/>
        </w:rPr>
        <w:t xml:space="preserve"> </w:t>
      </w:r>
      <w:r>
        <w:rPr>
          <w:color w:val="636466"/>
          <w:sz w:val="16"/>
        </w:rPr>
        <w:t>principally</w:t>
      </w:r>
      <w:r>
        <w:rPr>
          <w:color w:val="636466"/>
          <w:spacing w:val="7"/>
          <w:sz w:val="16"/>
        </w:rPr>
        <w:t xml:space="preserve"> </w:t>
      </w:r>
      <w:r>
        <w:rPr>
          <w:color w:val="636466"/>
          <w:sz w:val="16"/>
        </w:rPr>
        <w:t>for</w:t>
      </w:r>
      <w:r>
        <w:rPr>
          <w:color w:val="636466"/>
          <w:spacing w:val="7"/>
          <w:sz w:val="16"/>
        </w:rPr>
        <w:t xml:space="preserve"> </w:t>
      </w:r>
      <w:r>
        <w:rPr>
          <w:color w:val="636466"/>
          <w:sz w:val="16"/>
        </w:rPr>
        <w:t>the</w:t>
      </w:r>
      <w:r>
        <w:rPr>
          <w:color w:val="636466"/>
          <w:spacing w:val="7"/>
          <w:sz w:val="16"/>
        </w:rPr>
        <w:t xml:space="preserve"> </w:t>
      </w:r>
      <w:r>
        <w:rPr>
          <w:color w:val="636466"/>
          <w:sz w:val="16"/>
        </w:rPr>
        <w:t>purpose</w:t>
      </w:r>
      <w:r>
        <w:rPr>
          <w:color w:val="636466"/>
          <w:spacing w:val="7"/>
          <w:sz w:val="16"/>
        </w:rPr>
        <w:t xml:space="preserve"> </w:t>
      </w:r>
      <w:r>
        <w:rPr>
          <w:color w:val="636466"/>
          <w:sz w:val="16"/>
        </w:rPr>
        <w:t>of</w:t>
      </w:r>
      <w:r>
        <w:rPr>
          <w:color w:val="636466"/>
          <w:spacing w:val="7"/>
          <w:sz w:val="16"/>
        </w:rPr>
        <w:t xml:space="preserve"> </w:t>
      </w:r>
      <w:r>
        <w:rPr>
          <w:color w:val="636466"/>
          <w:sz w:val="16"/>
        </w:rPr>
        <w:t>selling</w:t>
      </w:r>
      <w:r>
        <w:rPr>
          <w:color w:val="636466"/>
          <w:spacing w:val="7"/>
          <w:sz w:val="16"/>
        </w:rPr>
        <w:t xml:space="preserve"> </w:t>
      </w:r>
      <w:r>
        <w:rPr>
          <w:color w:val="636466"/>
          <w:sz w:val="16"/>
        </w:rPr>
        <w:t>in</w:t>
      </w:r>
      <w:r>
        <w:rPr>
          <w:color w:val="636466"/>
          <w:spacing w:val="7"/>
          <w:sz w:val="16"/>
        </w:rPr>
        <w:t xml:space="preserve"> </w:t>
      </w:r>
      <w:r>
        <w:rPr>
          <w:color w:val="636466"/>
          <w:sz w:val="16"/>
        </w:rPr>
        <w:t>the</w:t>
      </w:r>
      <w:r>
        <w:rPr>
          <w:color w:val="636466"/>
          <w:spacing w:val="7"/>
          <w:sz w:val="16"/>
        </w:rPr>
        <w:t xml:space="preserve"> </w:t>
      </w:r>
      <w:r>
        <w:rPr>
          <w:color w:val="636466"/>
          <w:sz w:val="16"/>
        </w:rPr>
        <w:t>near</w:t>
      </w:r>
      <w:r>
        <w:rPr>
          <w:color w:val="636466"/>
          <w:spacing w:val="7"/>
          <w:sz w:val="16"/>
        </w:rPr>
        <w:t xml:space="preserve"> </w:t>
      </w:r>
      <w:r>
        <w:rPr>
          <w:color w:val="636466"/>
          <w:sz w:val="16"/>
        </w:rPr>
        <w:t>future;</w:t>
      </w:r>
    </w:p>
    <w:p w:rsidR="00D840DF" w:rsidRDefault="00961020">
      <w:pPr>
        <w:pStyle w:val="ListParagraph"/>
        <w:numPr>
          <w:ilvl w:val="0"/>
          <w:numId w:val="2"/>
        </w:numPr>
        <w:tabs>
          <w:tab w:val="left" w:pos="331"/>
        </w:tabs>
        <w:spacing w:before="103"/>
        <w:rPr>
          <w:sz w:val="16"/>
        </w:rPr>
      </w:pPr>
      <w:r>
        <w:rPr>
          <w:color w:val="636466"/>
          <w:sz w:val="16"/>
        </w:rPr>
        <w:t>are</w:t>
      </w:r>
      <w:r>
        <w:rPr>
          <w:color w:val="636466"/>
          <w:spacing w:val="10"/>
          <w:sz w:val="16"/>
        </w:rPr>
        <w:t xml:space="preserve"> </w:t>
      </w:r>
      <w:r>
        <w:rPr>
          <w:color w:val="636466"/>
          <w:sz w:val="16"/>
        </w:rPr>
        <w:t>derivatives</w:t>
      </w:r>
      <w:r>
        <w:rPr>
          <w:color w:val="636466"/>
          <w:spacing w:val="10"/>
          <w:sz w:val="16"/>
        </w:rPr>
        <w:t xml:space="preserve"> </w:t>
      </w:r>
      <w:r>
        <w:rPr>
          <w:color w:val="636466"/>
          <w:sz w:val="16"/>
        </w:rPr>
        <w:t>that</w:t>
      </w:r>
      <w:r>
        <w:rPr>
          <w:color w:val="636466"/>
          <w:spacing w:val="10"/>
          <w:sz w:val="16"/>
        </w:rPr>
        <w:t xml:space="preserve"> </w:t>
      </w:r>
      <w:r>
        <w:rPr>
          <w:color w:val="636466"/>
          <w:sz w:val="16"/>
        </w:rPr>
        <w:t>are</w:t>
      </w:r>
      <w:r>
        <w:rPr>
          <w:color w:val="636466"/>
          <w:spacing w:val="10"/>
          <w:sz w:val="16"/>
        </w:rPr>
        <w:t xml:space="preserve"> </w:t>
      </w:r>
      <w:r>
        <w:rPr>
          <w:color w:val="636466"/>
          <w:sz w:val="16"/>
        </w:rPr>
        <w:t>not</w:t>
      </w:r>
      <w:r>
        <w:rPr>
          <w:color w:val="636466"/>
          <w:spacing w:val="10"/>
          <w:sz w:val="16"/>
        </w:rPr>
        <w:t xml:space="preserve"> </w:t>
      </w:r>
      <w:r>
        <w:rPr>
          <w:color w:val="636466"/>
          <w:sz w:val="16"/>
        </w:rPr>
        <w:t>designated</w:t>
      </w:r>
      <w:r>
        <w:rPr>
          <w:color w:val="636466"/>
          <w:spacing w:val="10"/>
          <w:sz w:val="16"/>
        </w:rPr>
        <w:t xml:space="preserve"> </w:t>
      </w:r>
      <w:r>
        <w:rPr>
          <w:color w:val="636466"/>
          <w:sz w:val="16"/>
        </w:rPr>
        <w:t>and</w:t>
      </w:r>
      <w:r>
        <w:rPr>
          <w:color w:val="636466"/>
          <w:spacing w:val="10"/>
          <w:sz w:val="16"/>
        </w:rPr>
        <w:t xml:space="preserve"> </w:t>
      </w:r>
      <w:r>
        <w:rPr>
          <w:color w:val="636466"/>
          <w:sz w:val="16"/>
        </w:rPr>
        <w:t>effective</w:t>
      </w:r>
      <w:r>
        <w:rPr>
          <w:color w:val="636466"/>
          <w:spacing w:val="10"/>
          <w:sz w:val="16"/>
        </w:rPr>
        <w:t xml:space="preserve"> </w:t>
      </w:r>
      <w:r>
        <w:rPr>
          <w:color w:val="636466"/>
          <w:sz w:val="16"/>
        </w:rPr>
        <w:t>as</w:t>
      </w:r>
      <w:r>
        <w:rPr>
          <w:color w:val="636466"/>
          <w:spacing w:val="10"/>
          <w:sz w:val="16"/>
        </w:rPr>
        <w:t xml:space="preserve"> </w:t>
      </w:r>
      <w:r>
        <w:rPr>
          <w:color w:val="636466"/>
          <w:sz w:val="16"/>
        </w:rPr>
        <w:t>a</w:t>
      </w:r>
      <w:r>
        <w:rPr>
          <w:color w:val="636466"/>
          <w:spacing w:val="10"/>
          <w:sz w:val="16"/>
        </w:rPr>
        <w:t xml:space="preserve"> </w:t>
      </w:r>
      <w:r>
        <w:rPr>
          <w:color w:val="636466"/>
          <w:sz w:val="16"/>
        </w:rPr>
        <w:t>hedging</w:t>
      </w:r>
      <w:r>
        <w:rPr>
          <w:color w:val="636466"/>
          <w:spacing w:val="10"/>
          <w:sz w:val="16"/>
        </w:rPr>
        <w:t xml:space="preserve"> </w:t>
      </w:r>
      <w:r>
        <w:rPr>
          <w:color w:val="636466"/>
          <w:sz w:val="16"/>
        </w:rPr>
        <w:t>instrument;</w:t>
      </w:r>
      <w:r>
        <w:rPr>
          <w:color w:val="636466"/>
          <w:spacing w:val="10"/>
          <w:sz w:val="16"/>
        </w:rPr>
        <w:t xml:space="preserve"> </w:t>
      </w:r>
      <w:r>
        <w:rPr>
          <w:color w:val="636466"/>
          <w:sz w:val="16"/>
        </w:rPr>
        <w:t>or</w:t>
      </w:r>
    </w:p>
    <w:p w:rsidR="00D840DF" w:rsidRDefault="00961020">
      <w:pPr>
        <w:pStyle w:val="ListParagraph"/>
        <w:numPr>
          <w:ilvl w:val="0"/>
          <w:numId w:val="2"/>
        </w:numPr>
        <w:tabs>
          <w:tab w:val="left" w:pos="331"/>
        </w:tabs>
        <w:spacing w:before="103" w:line="244" w:lineRule="auto"/>
        <w:ind w:right="135"/>
        <w:rPr>
          <w:sz w:val="16"/>
        </w:rPr>
      </w:pPr>
      <w:proofErr w:type="gramStart"/>
      <w:r>
        <w:rPr>
          <w:color w:val="636466"/>
          <w:sz w:val="16"/>
        </w:rPr>
        <w:t>are</w:t>
      </w:r>
      <w:proofErr w:type="gramEnd"/>
      <w:r>
        <w:rPr>
          <w:color w:val="636466"/>
          <w:sz w:val="16"/>
        </w:rPr>
        <w:t xml:space="preserve"> parts of an identified portfolio of financial instruments that the entity manages together and has a recent actual pattern</w:t>
      </w:r>
      <w:r w:rsidR="00E314B6">
        <w:rPr>
          <w:color w:val="636466"/>
          <w:sz w:val="16"/>
        </w:rPr>
        <w:t xml:space="preserve"> </w:t>
      </w:r>
      <w:r>
        <w:rPr>
          <w:color w:val="636466"/>
          <w:sz w:val="16"/>
        </w:rPr>
        <w:t>of</w:t>
      </w:r>
      <w:r w:rsidR="00E314B6">
        <w:rPr>
          <w:color w:val="636466"/>
          <w:sz w:val="16"/>
        </w:rPr>
        <w:t xml:space="preserve"> </w:t>
      </w:r>
      <w:r>
        <w:rPr>
          <w:color w:val="636466"/>
          <w:sz w:val="16"/>
        </w:rPr>
        <w:t>short-term</w:t>
      </w:r>
      <w:r>
        <w:rPr>
          <w:color w:val="636466"/>
          <w:spacing w:val="2"/>
          <w:sz w:val="16"/>
        </w:rPr>
        <w:t xml:space="preserve"> </w:t>
      </w:r>
      <w:r>
        <w:rPr>
          <w:color w:val="636466"/>
          <w:sz w:val="16"/>
        </w:rPr>
        <w:t>profit-taking.</w:t>
      </w:r>
    </w:p>
    <w:p w:rsidR="00D840DF" w:rsidRDefault="00961020" w:rsidP="00DB6009">
      <w:pPr>
        <w:spacing w:before="113"/>
        <w:rPr>
          <w:sz w:val="16"/>
        </w:rPr>
      </w:pPr>
      <w:r>
        <w:rPr>
          <w:color w:val="636466"/>
          <w:sz w:val="16"/>
        </w:rPr>
        <w:t>Assets in this category are classified as current assets.</w:t>
      </w:r>
    </w:p>
    <w:p w:rsidR="00D840DF" w:rsidRDefault="00961020" w:rsidP="00DB6009">
      <w:pPr>
        <w:spacing w:before="117" w:line="244" w:lineRule="auto"/>
        <w:ind w:right="132"/>
        <w:rPr>
          <w:sz w:val="16"/>
        </w:rPr>
      </w:pPr>
      <w:r>
        <w:rPr>
          <w:color w:val="636466"/>
          <w:spacing w:val="1"/>
          <w:sz w:val="16"/>
        </w:rPr>
        <w:t xml:space="preserve">Financial </w:t>
      </w:r>
      <w:r>
        <w:rPr>
          <w:color w:val="636466"/>
          <w:spacing w:val="2"/>
          <w:sz w:val="16"/>
        </w:rPr>
        <w:t xml:space="preserve">assets </w:t>
      </w:r>
      <w:r>
        <w:rPr>
          <w:color w:val="636466"/>
          <w:sz w:val="16"/>
        </w:rPr>
        <w:t xml:space="preserve">at fair value </w:t>
      </w:r>
      <w:r>
        <w:rPr>
          <w:color w:val="636466"/>
          <w:spacing w:val="1"/>
          <w:sz w:val="16"/>
        </w:rPr>
        <w:t xml:space="preserve">through </w:t>
      </w:r>
      <w:r>
        <w:rPr>
          <w:color w:val="636466"/>
          <w:sz w:val="16"/>
        </w:rPr>
        <w:t xml:space="preserve">profit or </w:t>
      </w:r>
      <w:r>
        <w:rPr>
          <w:color w:val="636466"/>
          <w:spacing w:val="1"/>
          <w:sz w:val="16"/>
        </w:rPr>
        <w:t xml:space="preserve">loss </w:t>
      </w:r>
      <w:r>
        <w:rPr>
          <w:color w:val="636466"/>
          <w:sz w:val="16"/>
        </w:rPr>
        <w:t xml:space="preserve">are </w:t>
      </w:r>
      <w:r>
        <w:rPr>
          <w:color w:val="636466"/>
          <w:spacing w:val="1"/>
          <w:sz w:val="16"/>
        </w:rPr>
        <w:t xml:space="preserve">stated </w:t>
      </w:r>
      <w:r>
        <w:rPr>
          <w:color w:val="636466"/>
          <w:sz w:val="16"/>
        </w:rPr>
        <w:t xml:space="preserve">at fair value, </w:t>
      </w:r>
      <w:r>
        <w:rPr>
          <w:color w:val="636466"/>
          <w:spacing w:val="1"/>
          <w:sz w:val="16"/>
        </w:rPr>
        <w:t xml:space="preserve">with </w:t>
      </w:r>
      <w:r>
        <w:rPr>
          <w:color w:val="636466"/>
          <w:sz w:val="16"/>
        </w:rPr>
        <w:t xml:space="preserve">any </w:t>
      </w:r>
      <w:r>
        <w:rPr>
          <w:color w:val="636466"/>
          <w:spacing w:val="1"/>
          <w:sz w:val="16"/>
        </w:rPr>
        <w:t xml:space="preserve">resultant </w:t>
      </w:r>
      <w:r>
        <w:rPr>
          <w:color w:val="636466"/>
          <w:sz w:val="16"/>
        </w:rPr>
        <w:t xml:space="preserve">gain or </w:t>
      </w:r>
      <w:r>
        <w:rPr>
          <w:color w:val="636466"/>
          <w:spacing w:val="1"/>
          <w:sz w:val="16"/>
        </w:rPr>
        <w:t xml:space="preserve">loss </w:t>
      </w:r>
      <w:proofErr w:type="spellStart"/>
      <w:r>
        <w:rPr>
          <w:color w:val="636466"/>
          <w:spacing w:val="1"/>
          <w:sz w:val="16"/>
        </w:rPr>
        <w:t>recognised</w:t>
      </w:r>
      <w:proofErr w:type="spellEnd"/>
      <w:r w:rsidR="00E314B6">
        <w:rPr>
          <w:color w:val="636466"/>
          <w:spacing w:val="1"/>
          <w:sz w:val="16"/>
        </w:rPr>
        <w:t xml:space="preserve"> </w:t>
      </w:r>
      <w:r>
        <w:rPr>
          <w:color w:val="636466"/>
          <w:sz w:val="16"/>
        </w:rPr>
        <w:t>in</w:t>
      </w:r>
      <w:r>
        <w:rPr>
          <w:color w:val="636466"/>
          <w:spacing w:val="8"/>
          <w:sz w:val="16"/>
        </w:rPr>
        <w:t xml:space="preserve"> </w:t>
      </w:r>
      <w:r>
        <w:rPr>
          <w:color w:val="636466"/>
          <w:sz w:val="16"/>
        </w:rPr>
        <w:t>profit</w:t>
      </w:r>
      <w:r>
        <w:rPr>
          <w:color w:val="636466"/>
          <w:spacing w:val="8"/>
          <w:sz w:val="16"/>
        </w:rPr>
        <w:t xml:space="preserve"> </w:t>
      </w:r>
      <w:r>
        <w:rPr>
          <w:color w:val="636466"/>
          <w:sz w:val="16"/>
        </w:rPr>
        <w:t>or</w:t>
      </w:r>
      <w:r>
        <w:rPr>
          <w:color w:val="636466"/>
          <w:spacing w:val="8"/>
          <w:sz w:val="16"/>
        </w:rPr>
        <w:t xml:space="preserve"> </w:t>
      </w:r>
      <w:r>
        <w:rPr>
          <w:color w:val="636466"/>
          <w:spacing w:val="2"/>
          <w:sz w:val="16"/>
        </w:rPr>
        <w:t>loss.</w:t>
      </w:r>
      <w:r>
        <w:rPr>
          <w:color w:val="636466"/>
          <w:spacing w:val="8"/>
          <w:sz w:val="16"/>
        </w:rPr>
        <w:t xml:space="preserve"> </w:t>
      </w:r>
      <w:r>
        <w:rPr>
          <w:color w:val="636466"/>
          <w:sz w:val="16"/>
        </w:rPr>
        <w:t>The</w:t>
      </w:r>
      <w:r>
        <w:rPr>
          <w:color w:val="636466"/>
          <w:spacing w:val="8"/>
          <w:sz w:val="16"/>
        </w:rPr>
        <w:t xml:space="preserve"> </w:t>
      </w:r>
      <w:r>
        <w:rPr>
          <w:color w:val="636466"/>
          <w:sz w:val="16"/>
        </w:rPr>
        <w:t>net</w:t>
      </w:r>
      <w:r>
        <w:rPr>
          <w:color w:val="636466"/>
          <w:spacing w:val="8"/>
          <w:sz w:val="16"/>
        </w:rPr>
        <w:t xml:space="preserve"> </w:t>
      </w:r>
      <w:r>
        <w:rPr>
          <w:color w:val="636466"/>
          <w:sz w:val="16"/>
        </w:rPr>
        <w:t xml:space="preserve">gain or loss </w:t>
      </w:r>
      <w:proofErr w:type="spellStart"/>
      <w:r>
        <w:rPr>
          <w:color w:val="636466"/>
          <w:sz w:val="16"/>
        </w:rPr>
        <w:t>recognised</w:t>
      </w:r>
      <w:proofErr w:type="spellEnd"/>
      <w:r>
        <w:rPr>
          <w:color w:val="636466"/>
          <w:sz w:val="16"/>
        </w:rPr>
        <w:t xml:space="preserve"> in profit or loss incorporates any</w:t>
      </w:r>
      <w:r>
        <w:rPr>
          <w:color w:val="636466"/>
          <w:spacing w:val="3"/>
          <w:sz w:val="16"/>
        </w:rPr>
        <w:t xml:space="preserve"> </w:t>
      </w:r>
      <w:r>
        <w:rPr>
          <w:color w:val="636466"/>
          <w:sz w:val="16"/>
        </w:rPr>
        <w:t>interest</w:t>
      </w:r>
      <w:r>
        <w:rPr>
          <w:color w:val="636466"/>
          <w:spacing w:val="5"/>
          <w:sz w:val="16"/>
        </w:rPr>
        <w:t xml:space="preserve"> </w:t>
      </w:r>
      <w:r>
        <w:rPr>
          <w:color w:val="636466"/>
          <w:sz w:val="16"/>
        </w:rPr>
        <w:t>earned</w:t>
      </w:r>
      <w:r>
        <w:rPr>
          <w:color w:val="636466"/>
          <w:spacing w:val="5"/>
          <w:sz w:val="16"/>
        </w:rPr>
        <w:t xml:space="preserve"> </w:t>
      </w:r>
      <w:r>
        <w:rPr>
          <w:color w:val="636466"/>
          <w:sz w:val="16"/>
        </w:rPr>
        <w:t>on</w:t>
      </w:r>
      <w:r>
        <w:rPr>
          <w:color w:val="636466"/>
          <w:spacing w:val="5"/>
          <w:sz w:val="16"/>
        </w:rPr>
        <w:t xml:space="preserve"> </w:t>
      </w:r>
      <w:r>
        <w:rPr>
          <w:color w:val="636466"/>
          <w:sz w:val="16"/>
        </w:rPr>
        <w:t>the</w:t>
      </w:r>
      <w:r>
        <w:rPr>
          <w:color w:val="636466"/>
          <w:spacing w:val="3"/>
          <w:sz w:val="16"/>
        </w:rPr>
        <w:t xml:space="preserve"> </w:t>
      </w:r>
      <w:r>
        <w:rPr>
          <w:color w:val="636466"/>
          <w:sz w:val="16"/>
        </w:rPr>
        <w:t>financial</w:t>
      </w:r>
      <w:r>
        <w:rPr>
          <w:color w:val="636466"/>
          <w:spacing w:val="5"/>
          <w:sz w:val="16"/>
        </w:rPr>
        <w:t xml:space="preserve"> </w:t>
      </w:r>
      <w:r>
        <w:rPr>
          <w:color w:val="636466"/>
          <w:sz w:val="16"/>
        </w:rPr>
        <w:t>asset.</w:t>
      </w:r>
    </w:p>
    <w:p w:rsidR="00D840DF" w:rsidRDefault="00961020" w:rsidP="00DB6009">
      <w:pPr>
        <w:spacing w:before="113"/>
        <w:rPr>
          <w:i/>
          <w:sz w:val="16"/>
        </w:rPr>
      </w:pPr>
      <w:r>
        <w:rPr>
          <w:i/>
          <w:color w:val="636466"/>
          <w:sz w:val="16"/>
        </w:rPr>
        <w:t>Available-for-sale</w:t>
      </w:r>
      <w:r w:rsidR="00E314B6">
        <w:rPr>
          <w:i/>
          <w:color w:val="636466"/>
          <w:sz w:val="16"/>
        </w:rPr>
        <w:t xml:space="preserve"> </w:t>
      </w:r>
      <w:r>
        <w:rPr>
          <w:i/>
          <w:color w:val="636466"/>
          <w:sz w:val="16"/>
        </w:rPr>
        <w:t>financial</w:t>
      </w:r>
      <w:r w:rsidR="00E314B6">
        <w:rPr>
          <w:i/>
          <w:color w:val="636466"/>
          <w:sz w:val="16"/>
        </w:rPr>
        <w:t xml:space="preserve"> </w:t>
      </w:r>
      <w:r>
        <w:rPr>
          <w:i/>
          <w:color w:val="636466"/>
          <w:sz w:val="16"/>
        </w:rPr>
        <w:t>assets —</w:t>
      </w:r>
    </w:p>
    <w:p w:rsidR="00D840DF" w:rsidRDefault="00961020" w:rsidP="00DB6009">
      <w:pPr>
        <w:spacing w:before="4" w:line="244" w:lineRule="auto"/>
        <w:ind w:right="109"/>
        <w:rPr>
          <w:sz w:val="16"/>
        </w:rPr>
      </w:pPr>
      <w:r>
        <w:rPr>
          <w:color w:val="636466"/>
          <w:sz w:val="16"/>
        </w:rPr>
        <w:t>Available-for-sale financial assets are non-derivatives that are either designated in this category or not classified in any of the other categories.</w:t>
      </w:r>
    </w:p>
    <w:p w:rsidR="00D840DF" w:rsidRDefault="00961020" w:rsidP="00DB6009">
      <w:pPr>
        <w:spacing w:before="113" w:line="244" w:lineRule="auto"/>
        <w:rPr>
          <w:sz w:val="16"/>
        </w:rPr>
      </w:pPr>
      <w:r>
        <w:rPr>
          <w:color w:val="636466"/>
          <w:sz w:val="16"/>
        </w:rPr>
        <w:t xml:space="preserve">Available-for-sale financial assets are recorded at fair value. Gains and losses arising from changes in fair value are </w:t>
      </w:r>
      <w:proofErr w:type="spellStart"/>
      <w:r>
        <w:rPr>
          <w:color w:val="636466"/>
          <w:sz w:val="16"/>
        </w:rPr>
        <w:t>recognised</w:t>
      </w:r>
      <w:proofErr w:type="spellEnd"/>
      <w:r>
        <w:rPr>
          <w:color w:val="636466"/>
          <w:sz w:val="16"/>
        </w:rPr>
        <w:t xml:space="preserve"> directly in reserves (equity) with the exception of impairment losses.</w:t>
      </w:r>
    </w:p>
    <w:p w:rsidR="00D840DF" w:rsidRDefault="00961020" w:rsidP="00DB6009">
      <w:pPr>
        <w:spacing w:before="113" w:line="244" w:lineRule="auto"/>
        <w:rPr>
          <w:sz w:val="16"/>
        </w:rPr>
      </w:pPr>
      <w:r>
        <w:rPr>
          <w:color w:val="636466"/>
          <w:sz w:val="16"/>
        </w:rPr>
        <w:t xml:space="preserve">Interest is calculated using the effective interest method and foreign exchange gains and losses on monetary assets are </w:t>
      </w:r>
      <w:proofErr w:type="spellStart"/>
      <w:r>
        <w:rPr>
          <w:color w:val="636466"/>
          <w:sz w:val="16"/>
        </w:rPr>
        <w:t>recognised</w:t>
      </w:r>
      <w:proofErr w:type="spellEnd"/>
      <w:r>
        <w:rPr>
          <w:color w:val="636466"/>
          <w:sz w:val="16"/>
        </w:rPr>
        <w:t xml:space="preserve"> directly in profit or loss. Where the asset is disposed of or is determined to be impaired, part (or all) of the cumulative gain or loss previously </w:t>
      </w:r>
      <w:proofErr w:type="spellStart"/>
      <w:r>
        <w:rPr>
          <w:color w:val="636466"/>
          <w:sz w:val="16"/>
        </w:rPr>
        <w:t>recognised</w:t>
      </w:r>
      <w:proofErr w:type="spellEnd"/>
      <w:r>
        <w:rPr>
          <w:color w:val="636466"/>
          <w:sz w:val="16"/>
        </w:rPr>
        <w:t xml:space="preserve"> in the reserve is included in surplus and deficit for the period.</w:t>
      </w:r>
    </w:p>
    <w:p w:rsidR="00D840DF" w:rsidRDefault="00961020" w:rsidP="00DB6009">
      <w:pPr>
        <w:pStyle w:val="Heading6"/>
        <w:ind w:left="0"/>
      </w:pPr>
      <w:r>
        <w:t>Impairment of financial assets</w:t>
      </w:r>
      <w:r w:rsidR="00E314B6">
        <w:t xml:space="preserve"> </w:t>
      </w:r>
      <w:r>
        <w:t>—</w:t>
      </w:r>
    </w:p>
    <w:p w:rsidR="00D840DF" w:rsidRDefault="00961020" w:rsidP="00DB6009">
      <w:pPr>
        <w:spacing w:before="4"/>
        <w:rPr>
          <w:sz w:val="16"/>
        </w:rPr>
      </w:pPr>
      <w:r>
        <w:rPr>
          <w:color w:val="636466"/>
          <w:sz w:val="16"/>
        </w:rPr>
        <w:t>Financial assets are assessed for impairment at the end of each reporting period.</w:t>
      </w:r>
    </w:p>
    <w:p w:rsidR="00D840DF" w:rsidRDefault="00961020" w:rsidP="00DB6009">
      <w:pPr>
        <w:pStyle w:val="Heading6"/>
        <w:ind w:left="0"/>
      </w:pPr>
      <w:r>
        <w:t xml:space="preserve">Financial assets held at </w:t>
      </w:r>
      <w:proofErr w:type="spellStart"/>
      <w:r>
        <w:t>amortised</w:t>
      </w:r>
      <w:proofErr w:type="spellEnd"/>
      <w:r>
        <w:t xml:space="preserve"> cost —</w:t>
      </w:r>
    </w:p>
    <w:p w:rsidR="00D840DF" w:rsidRDefault="00961020" w:rsidP="00DB6009">
      <w:pPr>
        <w:spacing w:before="4"/>
        <w:rPr>
          <w:sz w:val="16"/>
        </w:rPr>
      </w:pPr>
      <w:proofErr w:type="gramStart"/>
      <w:r>
        <w:rPr>
          <w:color w:val="636466"/>
          <w:sz w:val="16"/>
        </w:rPr>
        <w:t>if</w:t>
      </w:r>
      <w:proofErr w:type="gramEnd"/>
      <w:r>
        <w:rPr>
          <w:color w:val="636466"/>
          <w:sz w:val="16"/>
        </w:rPr>
        <w:t xml:space="preserve"> there is objective evidence that an impairment loss has been incurred for loans and receivables or held to maturity</w:t>
      </w:r>
      <w:r w:rsidR="00A13FEE">
        <w:rPr>
          <w:sz w:val="16"/>
        </w:rPr>
        <w:t xml:space="preserve"> </w:t>
      </w:r>
      <w:r>
        <w:rPr>
          <w:color w:val="636466"/>
          <w:sz w:val="16"/>
        </w:rPr>
        <w:t xml:space="preserve">investments held at </w:t>
      </w:r>
      <w:proofErr w:type="spellStart"/>
      <w:r>
        <w:rPr>
          <w:color w:val="636466"/>
          <w:sz w:val="16"/>
        </w:rPr>
        <w:t>amortised</w:t>
      </w:r>
      <w:proofErr w:type="spellEnd"/>
      <w:r>
        <w:rPr>
          <w:color w:val="636466"/>
          <w:sz w:val="16"/>
        </w:rPr>
        <w:t xml:space="preserve"> cost, the amount of the loss is measured as the difference between the asset’s carrying amount and the present value of estimated future cash flows discounted at the asset’s original effective interest</w:t>
      </w:r>
      <w:r w:rsidR="00A13FEE">
        <w:rPr>
          <w:sz w:val="16"/>
        </w:rPr>
        <w:t xml:space="preserve"> </w:t>
      </w:r>
      <w:r>
        <w:rPr>
          <w:color w:val="636466"/>
          <w:sz w:val="16"/>
        </w:rPr>
        <w:t xml:space="preserve">rate. The carrying amount is reduced by way of an allowance account. The loss is </w:t>
      </w:r>
      <w:proofErr w:type="spellStart"/>
      <w:r>
        <w:rPr>
          <w:color w:val="636466"/>
          <w:sz w:val="16"/>
        </w:rPr>
        <w:t>recognised</w:t>
      </w:r>
      <w:proofErr w:type="spellEnd"/>
      <w:r>
        <w:rPr>
          <w:color w:val="636466"/>
          <w:sz w:val="16"/>
        </w:rPr>
        <w:t xml:space="preserve"> in the Statement of Comprehensive Income.</w:t>
      </w:r>
    </w:p>
    <w:p w:rsidR="00A13FEE" w:rsidRDefault="00961020" w:rsidP="00DB6009">
      <w:pPr>
        <w:pStyle w:val="Heading6"/>
        <w:ind w:left="0"/>
      </w:pPr>
      <w:r>
        <w:t>Available for sale financial assets —</w:t>
      </w:r>
    </w:p>
    <w:p w:rsidR="00D840DF" w:rsidRDefault="00961020" w:rsidP="00DB6009">
      <w:pPr>
        <w:spacing w:before="114" w:line="244" w:lineRule="auto"/>
        <w:ind w:right="270"/>
        <w:rPr>
          <w:sz w:val="16"/>
        </w:rPr>
      </w:pPr>
      <w:r>
        <w:rPr>
          <w:color w:val="636466"/>
          <w:sz w:val="16"/>
        </w:rPr>
        <w:t xml:space="preserve"> if there is objective evidence that an impairment loss on an available-for-sale financial asset has been incurred, the amount of the difference between its cost, less principal repayments and </w:t>
      </w:r>
      <w:proofErr w:type="spellStart"/>
      <w:r>
        <w:rPr>
          <w:color w:val="636466"/>
          <w:sz w:val="16"/>
        </w:rPr>
        <w:t>amortisation</w:t>
      </w:r>
      <w:proofErr w:type="spellEnd"/>
      <w:r>
        <w:rPr>
          <w:color w:val="636466"/>
          <w:sz w:val="16"/>
        </w:rPr>
        <w:t xml:space="preserve">, and its current fair value, less any impairment loss previously </w:t>
      </w:r>
      <w:proofErr w:type="spellStart"/>
      <w:r>
        <w:rPr>
          <w:color w:val="636466"/>
          <w:sz w:val="16"/>
        </w:rPr>
        <w:t>recognised</w:t>
      </w:r>
      <w:proofErr w:type="spellEnd"/>
      <w:r>
        <w:rPr>
          <w:color w:val="636466"/>
          <w:sz w:val="16"/>
        </w:rPr>
        <w:t xml:space="preserve"> in expenses, is transferred from equity to the Statement of Comprehensive Income.</w:t>
      </w:r>
    </w:p>
    <w:p w:rsidR="00D840DF" w:rsidRDefault="00D840DF">
      <w:pPr>
        <w:spacing w:line="244" w:lineRule="auto"/>
        <w:rPr>
          <w:sz w:val="16"/>
        </w:rPr>
        <w:sectPr w:rsidR="00D840DF">
          <w:pgSz w:w="9980" w:h="14180"/>
          <w:pgMar w:top="1320" w:right="1060" w:bottom="280" w:left="1200" w:header="720" w:footer="720" w:gutter="0"/>
          <w:cols w:space="720"/>
        </w:sectPr>
      </w:pPr>
    </w:p>
    <w:p w:rsidR="00A13FEE" w:rsidRDefault="00961020" w:rsidP="00DB6009">
      <w:pPr>
        <w:pStyle w:val="Heading6"/>
        <w:ind w:left="0"/>
      </w:pPr>
      <w:r>
        <w:lastRenderedPageBreak/>
        <w:t xml:space="preserve">Financial assets held at cost — </w:t>
      </w:r>
    </w:p>
    <w:p w:rsidR="00D840DF" w:rsidRPr="00A13FEE" w:rsidRDefault="00961020" w:rsidP="00DB6009">
      <w:pPr>
        <w:spacing w:before="91" w:line="244" w:lineRule="auto"/>
        <w:ind w:right="244"/>
        <w:jc w:val="both"/>
        <w:rPr>
          <w:sz w:val="16"/>
        </w:rPr>
      </w:pPr>
      <w:r>
        <w:rPr>
          <w:color w:val="636466"/>
          <w:sz w:val="16"/>
        </w:rPr>
        <w:t>if there is objective evidence that an impairment loss has been incurred, the amount of</w:t>
      </w:r>
      <w:r w:rsidR="00E314B6">
        <w:rPr>
          <w:color w:val="636466"/>
          <w:sz w:val="16"/>
        </w:rPr>
        <w:t xml:space="preserve"> </w:t>
      </w:r>
      <w:r>
        <w:rPr>
          <w:color w:val="636466"/>
          <w:sz w:val="16"/>
        </w:rPr>
        <w:t>the impairment loss is the difference between the carrying amount of the asset and the present value of the estimated future</w:t>
      </w:r>
      <w:r>
        <w:rPr>
          <w:color w:val="636466"/>
          <w:spacing w:val="8"/>
          <w:sz w:val="16"/>
        </w:rPr>
        <w:t xml:space="preserve"> </w:t>
      </w:r>
      <w:r>
        <w:rPr>
          <w:color w:val="636466"/>
          <w:sz w:val="16"/>
        </w:rPr>
        <w:t>cash</w:t>
      </w:r>
      <w:r>
        <w:rPr>
          <w:color w:val="636466"/>
          <w:spacing w:val="8"/>
          <w:sz w:val="16"/>
        </w:rPr>
        <w:t xml:space="preserve"> </w:t>
      </w:r>
      <w:r>
        <w:rPr>
          <w:color w:val="636466"/>
          <w:sz w:val="16"/>
        </w:rPr>
        <w:t>flows</w:t>
      </w:r>
      <w:r>
        <w:rPr>
          <w:color w:val="636466"/>
          <w:spacing w:val="8"/>
          <w:sz w:val="16"/>
        </w:rPr>
        <w:t xml:space="preserve"> </w:t>
      </w:r>
      <w:r>
        <w:rPr>
          <w:color w:val="636466"/>
          <w:sz w:val="16"/>
        </w:rPr>
        <w:t>discounted</w:t>
      </w:r>
      <w:r>
        <w:rPr>
          <w:color w:val="636466"/>
          <w:spacing w:val="8"/>
          <w:sz w:val="16"/>
        </w:rPr>
        <w:t xml:space="preserve"> </w:t>
      </w:r>
      <w:r>
        <w:rPr>
          <w:color w:val="636466"/>
          <w:sz w:val="16"/>
        </w:rPr>
        <w:t>at</w:t>
      </w:r>
      <w:r>
        <w:rPr>
          <w:color w:val="636466"/>
          <w:spacing w:val="8"/>
          <w:sz w:val="16"/>
        </w:rPr>
        <w:t xml:space="preserve"> </w:t>
      </w:r>
      <w:r>
        <w:rPr>
          <w:color w:val="636466"/>
          <w:sz w:val="16"/>
        </w:rPr>
        <w:t>the</w:t>
      </w:r>
      <w:r>
        <w:rPr>
          <w:color w:val="636466"/>
          <w:spacing w:val="8"/>
          <w:sz w:val="16"/>
        </w:rPr>
        <w:t xml:space="preserve"> </w:t>
      </w:r>
      <w:r>
        <w:rPr>
          <w:color w:val="636466"/>
          <w:sz w:val="16"/>
        </w:rPr>
        <w:t>current</w:t>
      </w:r>
      <w:r>
        <w:rPr>
          <w:color w:val="636466"/>
          <w:spacing w:val="8"/>
          <w:sz w:val="16"/>
        </w:rPr>
        <w:t xml:space="preserve"> </w:t>
      </w:r>
      <w:r>
        <w:rPr>
          <w:color w:val="636466"/>
          <w:sz w:val="16"/>
        </w:rPr>
        <w:t>market</w:t>
      </w:r>
      <w:r>
        <w:rPr>
          <w:color w:val="636466"/>
          <w:spacing w:val="8"/>
          <w:sz w:val="16"/>
        </w:rPr>
        <w:t xml:space="preserve"> </w:t>
      </w:r>
      <w:r>
        <w:rPr>
          <w:color w:val="636466"/>
          <w:sz w:val="16"/>
        </w:rPr>
        <w:t>rate</w:t>
      </w:r>
      <w:r>
        <w:rPr>
          <w:color w:val="636466"/>
          <w:spacing w:val="8"/>
          <w:sz w:val="16"/>
        </w:rPr>
        <w:t xml:space="preserve"> </w:t>
      </w:r>
      <w:r>
        <w:rPr>
          <w:color w:val="636466"/>
          <w:sz w:val="16"/>
        </w:rPr>
        <w:t>for</w:t>
      </w:r>
      <w:r>
        <w:rPr>
          <w:color w:val="636466"/>
          <w:spacing w:val="8"/>
          <w:sz w:val="16"/>
        </w:rPr>
        <w:t xml:space="preserve"> </w:t>
      </w:r>
      <w:r>
        <w:rPr>
          <w:color w:val="636466"/>
          <w:sz w:val="16"/>
        </w:rPr>
        <w:t>similar</w:t>
      </w:r>
      <w:r>
        <w:rPr>
          <w:color w:val="636466"/>
          <w:spacing w:val="8"/>
          <w:sz w:val="16"/>
        </w:rPr>
        <w:t xml:space="preserve"> </w:t>
      </w:r>
      <w:r>
        <w:rPr>
          <w:color w:val="636466"/>
          <w:sz w:val="16"/>
        </w:rPr>
        <w:t>assets.</w:t>
      </w:r>
    </w:p>
    <w:p w:rsidR="00D840DF" w:rsidRDefault="00961020" w:rsidP="008F7C36">
      <w:pPr>
        <w:pStyle w:val="Heading5"/>
      </w:pPr>
      <w:r>
        <w:t>Accounting Policy</w:t>
      </w:r>
    </w:p>
    <w:p w:rsidR="00D840DF" w:rsidRDefault="00961020" w:rsidP="00DB6009">
      <w:pPr>
        <w:pStyle w:val="Heading6"/>
        <w:ind w:left="0"/>
      </w:pPr>
      <w:r>
        <w:t>Financial</w:t>
      </w:r>
      <w:r w:rsidR="00E314B6">
        <w:t xml:space="preserve"> </w:t>
      </w:r>
      <w:r>
        <w:t>liabilities</w:t>
      </w:r>
    </w:p>
    <w:p w:rsidR="00D840DF" w:rsidRDefault="00961020" w:rsidP="00DB6009">
      <w:pPr>
        <w:spacing w:before="4" w:line="244" w:lineRule="auto"/>
        <w:ind w:right="246"/>
        <w:rPr>
          <w:sz w:val="16"/>
        </w:rPr>
      </w:pPr>
      <w:r>
        <w:rPr>
          <w:color w:val="636466"/>
          <w:sz w:val="16"/>
        </w:rPr>
        <w:t xml:space="preserve">Financial liabilities are classified as either financial liabilities ‘at fair value through profit or loss’ or other financial liabilities. Financial liabilities are </w:t>
      </w:r>
      <w:proofErr w:type="spellStart"/>
      <w:r>
        <w:rPr>
          <w:color w:val="636466"/>
          <w:sz w:val="16"/>
        </w:rPr>
        <w:t>recognised</w:t>
      </w:r>
      <w:proofErr w:type="spellEnd"/>
      <w:r>
        <w:rPr>
          <w:color w:val="636466"/>
          <w:sz w:val="16"/>
        </w:rPr>
        <w:t xml:space="preserve"> and </w:t>
      </w:r>
      <w:proofErr w:type="spellStart"/>
      <w:r>
        <w:rPr>
          <w:color w:val="636466"/>
          <w:sz w:val="16"/>
        </w:rPr>
        <w:t>derecognised</w:t>
      </w:r>
      <w:proofErr w:type="spellEnd"/>
      <w:r>
        <w:rPr>
          <w:color w:val="636466"/>
          <w:sz w:val="16"/>
        </w:rPr>
        <w:t xml:space="preserve"> upon ‘trade date’.</w:t>
      </w:r>
    </w:p>
    <w:p w:rsidR="00D840DF" w:rsidRDefault="00961020" w:rsidP="00DB6009">
      <w:pPr>
        <w:spacing w:before="113"/>
        <w:rPr>
          <w:i/>
          <w:sz w:val="16"/>
        </w:rPr>
      </w:pPr>
      <w:r>
        <w:rPr>
          <w:i/>
          <w:color w:val="636466"/>
          <w:sz w:val="16"/>
        </w:rPr>
        <w:t>Financial liabilities at fair value through profit or loss</w:t>
      </w:r>
    </w:p>
    <w:p w:rsidR="00D840DF" w:rsidRDefault="00961020" w:rsidP="00DB6009">
      <w:pPr>
        <w:spacing w:before="4" w:line="244" w:lineRule="auto"/>
        <w:ind w:right="246"/>
        <w:rPr>
          <w:sz w:val="16"/>
        </w:rPr>
      </w:pPr>
      <w:r>
        <w:rPr>
          <w:color w:val="636466"/>
          <w:sz w:val="16"/>
        </w:rPr>
        <w:t xml:space="preserve">Financial liabilities at fair value through profit or loss are initially measured at fair value. Subsequent fair value adjustments are </w:t>
      </w:r>
      <w:proofErr w:type="spellStart"/>
      <w:r>
        <w:rPr>
          <w:color w:val="636466"/>
          <w:sz w:val="16"/>
        </w:rPr>
        <w:t>recognised</w:t>
      </w:r>
      <w:proofErr w:type="spellEnd"/>
      <w:r>
        <w:rPr>
          <w:color w:val="636466"/>
          <w:sz w:val="16"/>
        </w:rPr>
        <w:t xml:space="preserve"> in profit or loss. The net gain or loss </w:t>
      </w:r>
      <w:proofErr w:type="spellStart"/>
      <w:r>
        <w:rPr>
          <w:color w:val="636466"/>
          <w:sz w:val="16"/>
        </w:rPr>
        <w:t>recognised</w:t>
      </w:r>
      <w:proofErr w:type="spellEnd"/>
      <w:r>
        <w:rPr>
          <w:color w:val="636466"/>
          <w:sz w:val="16"/>
        </w:rPr>
        <w:t xml:space="preserve"> in profit or loss incorporates any interest paid on the financial</w:t>
      </w:r>
      <w:r w:rsidR="00E314B6">
        <w:rPr>
          <w:color w:val="636466"/>
          <w:sz w:val="16"/>
        </w:rPr>
        <w:t xml:space="preserve"> </w:t>
      </w:r>
      <w:r>
        <w:rPr>
          <w:color w:val="636466"/>
          <w:sz w:val="16"/>
        </w:rPr>
        <w:t>liability.</w:t>
      </w:r>
    </w:p>
    <w:p w:rsidR="00D840DF" w:rsidRDefault="00961020" w:rsidP="00DB6009">
      <w:pPr>
        <w:pStyle w:val="Heading6"/>
        <w:ind w:left="0"/>
      </w:pPr>
      <w:r>
        <w:t>Other</w:t>
      </w:r>
      <w:r w:rsidR="00E314B6">
        <w:t xml:space="preserve"> </w:t>
      </w:r>
      <w:r>
        <w:t>financial liabilities</w:t>
      </w:r>
    </w:p>
    <w:p w:rsidR="00D840DF" w:rsidRDefault="00961020" w:rsidP="00DB6009">
      <w:pPr>
        <w:spacing w:before="4" w:line="244" w:lineRule="auto"/>
        <w:ind w:right="246"/>
        <w:rPr>
          <w:sz w:val="16"/>
        </w:rPr>
      </w:pPr>
      <w:r>
        <w:rPr>
          <w:color w:val="636466"/>
          <w:sz w:val="16"/>
        </w:rPr>
        <w:t xml:space="preserve">Other financial liabilities, including borrowings, are initially measured at fair value, net of transaction costs. These liabilities are subsequently measured at </w:t>
      </w:r>
      <w:proofErr w:type="spellStart"/>
      <w:r>
        <w:rPr>
          <w:color w:val="636466"/>
          <w:sz w:val="16"/>
        </w:rPr>
        <w:t>amortised</w:t>
      </w:r>
      <w:proofErr w:type="spellEnd"/>
      <w:r>
        <w:rPr>
          <w:color w:val="636466"/>
          <w:sz w:val="16"/>
        </w:rPr>
        <w:t xml:space="preserve"> cost using the effective interest method, with interest expense </w:t>
      </w:r>
      <w:proofErr w:type="spellStart"/>
      <w:r>
        <w:rPr>
          <w:color w:val="636466"/>
          <w:sz w:val="16"/>
        </w:rPr>
        <w:t>recognised</w:t>
      </w:r>
      <w:proofErr w:type="spellEnd"/>
      <w:r>
        <w:rPr>
          <w:color w:val="636466"/>
          <w:sz w:val="16"/>
        </w:rPr>
        <w:t xml:space="preserve"> on an effective interest basis.</w:t>
      </w:r>
    </w:p>
    <w:p w:rsidR="00D840DF" w:rsidRDefault="00961020" w:rsidP="00DB6009">
      <w:pPr>
        <w:spacing w:before="114" w:line="244" w:lineRule="auto"/>
        <w:rPr>
          <w:sz w:val="16"/>
        </w:rPr>
      </w:pPr>
      <w:r>
        <w:rPr>
          <w:color w:val="636466"/>
          <w:sz w:val="16"/>
        </w:rPr>
        <w:t xml:space="preserve">Supplier and other payables are </w:t>
      </w:r>
      <w:proofErr w:type="spellStart"/>
      <w:r>
        <w:rPr>
          <w:color w:val="636466"/>
          <w:sz w:val="16"/>
        </w:rPr>
        <w:t>recognised</w:t>
      </w:r>
      <w:proofErr w:type="spellEnd"/>
      <w:r>
        <w:rPr>
          <w:color w:val="636466"/>
          <w:sz w:val="16"/>
        </w:rPr>
        <w:t xml:space="preserve"> at </w:t>
      </w:r>
      <w:proofErr w:type="spellStart"/>
      <w:r>
        <w:rPr>
          <w:color w:val="636466"/>
          <w:sz w:val="16"/>
        </w:rPr>
        <w:t>amortised</w:t>
      </w:r>
      <w:proofErr w:type="spellEnd"/>
      <w:r>
        <w:rPr>
          <w:color w:val="636466"/>
          <w:sz w:val="16"/>
        </w:rPr>
        <w:t xml:space="preserve"> cost. Liabilities are </w:t>
      </w:r>
      <w:proofErr w:type="spellStart"/>
      <w:r>
        <w:rPr>
          <w:color w:val="636466"/>
          <w:sz w:val="16"/>
        </w:rPr>
        <w:t>recognised</w:t>
      </w:r>
      <w:proofErr w:type="spellEnd"/>
      <w:r>
        <w:rPr>
          <w:color w:val="636466"/>
          <w:sz w:val="16"/>
        </w:rPr>
        <w:t xml:space="preserve"> to the extent that the goods or services have been received (and irrespective of having been invoiced).</w:t>
      </w:r>
    </w:p>
    <w:p w:rsidR="00D840DF" w:rsidRDefault="00D840DF">
      <w:pPr>
        <w:spacing w:line="244" w:lineRule="auto"/>
        <w:rPr>
          <w:sz w:val="16"/>
        </w:rPr>
        <w:sectPr w:rsidR="00D840DF">
          <w:pgSz w:w="9980" w:h="14180"/>
          <w:pgMar w:top="1320" w:right="1220" w:bottom="280" w:left="1020" w:header="720" w:footer="720" w:gutter="0"/>
          <w:cols w:space="720"/>
        </w:sectPr>
      </w:pPr>
    </w:p>
    <w:p w:rsidR="00D840DF" w:rsidRDefault="00961020" w:rsidP="00A13FEE">
      <w:pPr>
        <w:pStyle w:val="Heading1"/>
      </w:pPr>
      <w:bookmarkStart w:id="183" w:name="_Toc496088506"/>
      <w:r>
        <w:lastRenderedPageBreak/>
        <w:t xml:space="preserve">Appendix A: </w:t>
      </w:r>
      <w:r w:rsidR="00A13FEE">
        <w:br/>
      </w:r>
      <w:r>
        <w:t>Figures and tables</w:t>
      </w:r>
      <w:bookmarkEnd w:id="183"/>
    </w:p>
    <w:p w:rsidR="00D840DF" w:rsidRPr="009341A6" w:rsidRDefault="009341A6" w:rsidP="009341A6">
      <w:pPr>
        <w:pStyle w:val="BodyText"/>
        <w:tabs>
          <w:tab w:val="right" w:pos="7655"/>
        </w:tabs>
        <w:rPr>
          <w:rFonts w:ascii="Futura-Book" w:hAnsi="Futura-Book"/>
          <w:color w:val="808080" w:themeColor="background1" w:themeShade="80"/>
        </w:rPr>
      </w:pPr>
      <w:hyperlink w:anchor="_Figure_1:_IHPA’s" w:history="1">
        <w:r w:rsidR="00961020" w:rsidRPr="009341A6">
          <w:rPr>
            <w:rStyle w:val="Hyperlink"/>
            <w:rFonts w:ascii="Futura-Book" w:hAnsi="Futura-Book"/>
            <w:b/>
            <w:color w:val="003E2D"/>
            <w:u w:val="none"/>
          </w:rPr>
          <w:t xml:space="preserve">Figure </w:t>
        </w:r>
        <w:r w:rsidR="00961020" w:rsidRPr="009341A6">
          <w:rPr>
            <w:rStyle w:val="Hyperlink"/>
            <w:rFonts w:ascii="Futura-Book" w:hAnsi="Futura-Book"/>
            <w:b/>
            <w:color w:val="003E2D"/>
            <w:spacing w:val="-4"/>
            <w:u w:val="none"/>
          </w:rPr>
          <w:t>1:</w:t>
        </w:r>
        <w:r w:rsidR="00961020" w:rsidRPr="009341A6">
          <w:rPr>
            <w:rStyle w:val="Hyperlink"/>
            <w:rFonts w:ascii="Futura-Book" w:hAnsi="Futura-Book"/>
            <w:b/>
            <w:color w:val="808080" w:themeColor="background1" w:themeShade="80"/>
            <w:spacing w:val="-4"/>
            <w:u w:val="none"/>
          </w:rPr>
          <w:t xml:space="preserve"> </w:t>
        </w:r>
        <w:r w:rsidR="00961020" w:rsidRPr="009341A6">
          <w:rPr>
            <w:rStyle w:val="Hyperlink"/>
            <w:rFonts w:ascii="Futura-Book" w:hAnsi="Futura-Book"/>
            <w:color w:val="808080" w:themeColor="background1" w:themeShade="80"/>
            <w:spacing w:val="-5"/>
            <w:u w:val="none"/>
          </w:rPr>
          <w:t xml:space="preserve">IHPA’s </w:t>
        </w:r>
        <w:proofErr w:type="spellStart"/>
        <w:r w:rsidR="00961020" w:rsidRPr="009341A6">
          <w:rPr>
            <w:rStyle w:val="Hyperlink"/>
            <w:rFonts w:ascii="Futura-Book" w:hAnsi="Futura-Book"/>
            <w:color w:val="808080" w:themeColor="background1" w:themeShade="80"/>
            <w:u w:val="none"/>
          </w:rPr>
          <w:t>organisational</w:t>
        </w:r>
        <w:proofErr w:type="spellEnd"/>
        <w:r w:rsidR="00961020" w:rsidRPr="009341A6">
          <w:rPr>
            <w:rStyle w:val="Hyperlink"/>
            <w:rFonts w:ascii="Futura-Book" w:hAnsi="Futura-Book"/>
            <w:color w:val="808080" w:themeColor="background1" w:themeShade="80"/>
            <w:u w:val="none"/>
          </w:rPr>
          <w:t xml:space="preserve"> structure at 30</w:t>
        </w:r>
        <w:r w:rsidR="00961020" w:rsidRPr="009341A6">
          <w:rPr>
            <w:rStyle w:val="Hyperlink"/>
            <w:rFonts w:ascii="Futura-Book" w:hAnsi="Futura-Book"/>
            <w:color w:val="808080" w:themeColor="background1" w:themeShade="80"/>
            <w:spacing w:val="12"/>
            <w:u w:val="none"/>
          </w:rPr>
          <w:t xml:space="preserve"> </w:t>
        </w:r>
        <w:r w:rsidR="00961020" w:rsidRPr="009341A6">
          <w:rPr>
            <w:rStyle w:val="Hyperlink"/>
            <w:rFonts w:ascii="Futura-Book" w:hAnsi="Futura-Book"/>
            <w:color w:val="808080" w:themeColor="background1" w:themeShade="80"/>
            <w:u w:val="none"/>
          </w:rPr>
          <w:t xml:space="preserve">June </w:t>
        </w:r>
        <w:r w:rsidR="00DB6009" w:rsidRPr="009341A6">
          <w:rPr>
            <w:rStyle w:val="Hyperlink"/>
            <w:rFonts w:ascii="Futura-Book" w:hAnsi="Futura-Book"/>
            <w:color w:val="808080" w:themeColor="background1" w:themeShade="80"/>
            <w:spacing w:val="-8"/>
            <w:u w:val="none"/>
          </w:rPr>
          <w:t>2017</w:t>
        </w:r>
        <w:r w:rsidR="00B05462" w:rsidRPr="009341A6">
          <w:rPr>
            <w:rStyle w:val="Hyperlink"/>
            <w:rFonts w:ascii="Futura-Book" w:hAnsi="Futura-Book"/>
            <w:color w:val="808080" w:themeColor="background1" w:themeShade="80"/>
            <w:spacing w:val="-7"/>
            <w:u w:val="none"/>
          </w:rPr>
          <w:tab/>
          <w:t>11</w:t>
        </w:r>
      </w:hyperlink>
    </w:p>
    <w:p w:rsidR="00D840DF" w:rsidRPr="009341A6" w:rsidRDefault="009341A6" w:rsidP="009341A6">
      <w:pPr>
        <w:pStyle w:val="BodyText"/>
        <w:tabs>
          <w:tab w:val="right" w:pos="7655"/>
        </w:tabs>
        <w:rPr>
          <w:rStyle w:val="Hyperlink"/>
          <w:rFonts w:ascii="Futura-Book" w:hAnsi="Futura-Book"/>
          <w:color w:val="808080" w:themeColor="background1" w:themeShade="80"/>
          <w:u w:val="none"/>
        </w:rPr>
      </w:pPr>
      <w:r w:rsidRPr="009341A6">
        <w:rPr>
          <w:rFonts w:ascii="Futura-Book" w:hAnsi="Futura-Book"/>
          <w:b/>
          <w:color w:val="808080" w:themeColor="background1" w:themeShade="80"/>
        </w:rPr>
        <w:fldChar w:fldCharType="begin"/>
      </w:r>
      <w:r w:rsidRPr="009341A6">
        <w:rPr>
          <w:rFonts w:ascii="Futura-Book" w:hAnsi="Futura-Book"/>
          <w:b/>
          <w:color w:val="808080" w:themeColor="background1" w:themeShade="80"/>
        </w:rPr>
        <w:instrText xml:space="preserve"> HYPERLINK  \l "_Figure_2:_IHPA’s" </w:instrText>
      </w:r>
      <w:r w:rsidRPr="009341A6">
        <w:rPr>
          <w:rFonts w:ascii="Futura-Book" w:hAnsi="Futura-Book"/>
          <w:b/>
          <w:color w:val="808080" w:themeColor="background1" w:themeShade="80"/>
        </w:rPr>
      </w:r>
      <w:r w:rsidRPr="009341A6">
        <w:rPr>
          <w:rFonts w:ascii="Futura-Book" w:hAnsi="Futura-Book"/>
          <w:b/>
          <w:color w:val="808080" w:themeColor="background1" w:themeShade="80"/>
        </w:rPr>
        <w:fldChar w:fldCharType="separate"/>
      </w:r>
      <w:r w:rsidR="00961020" w:rsidRPr="009341A6">
        <w:rPr>
          <w:rStyle w:val="Hyperlink"/>
          <w:rFonts w:ascii="Futura-Book" w:hAnsi="Futura-Book"/>
          <w:b/>
          <w:color w:val="003E2D"/>
          <w:u w:val="none"/>
        </w:rPr>
        <w:t xml:space="preserve">Figure </w:t>
      </w:r>
      <w:r w:rsidR="00961020" w:rsidRPr="009341A6">
        <w:rPr>
          <w:rStyle w:val="Hyperlink"/>
          <w:rFonts w:ascii="Futura-Book" w:hAnsi="Futura-Book"/>
          <w:b/>
          <w:color w:val="003E2D"/>
          <w:spacing w:val="1"/>
          <w:u w:val="none"/>
        </w:rPr>
        <w:t>2:</w:t>
      </w:r>
      <w:r w:rsidR="00961020" w:rsidRPr="009341A6">
        <w:rPr>
          <w:rStyle w:val="Hyperlink"/>
          <w:rFonts w:ascii="Futura-Book" w:hAnsi="Futura-Book"/>
          <w:b/>
          <w:color w:val="808080" w:themeColor="background1" w:themeShade="80"/>
          <w:spacing w:val="1"/>
          <w:u w:val="none"/>
        </w:rPr>
        <w:t xml:space="preserve"> </w:t>
      </w:r>
      <w:r w:rsidR="00961020" w:rsidRPr="009341A6">
        <w:rPr>
          <w:rStyle w:val="Hyperlink"/>
          <w:rFonts w:ascii="Futura-Book" w:hAnsi="Futura-Book"/>
          <w:color w:val="808080" w:themeColor="background1" w:themeShade="80"/>
          <w:spacing w:val="-5"/>
          <w:u w:val="none"/>
        </w:rPr>
        <w:t xml:space="preserve">IHPA’s </w:t>
      </w:r>
      <w:r w:rsidR="00961020" w:rsidRPr="009341A6">
        <w:rPr>
          <w:rStyle w:val="Hyperlink"/>
          <w:rFonts w:ascii="Futura-Book" w:hAnsi="Futura-Book"/>
          <w:color w:val="808080" w:themeColor="background1" w:themeShade="80"/>
          <w:u w:val="none"/>
        </w:rPr>
        <w:t>management, committees and</w:t>
      </w:r>
      <w:r w:rsidR="00961020" w:rsidRPr="009341A6">
        <w:rPr>
          <w:rStyle w:val="Hyperlink"/>
          <w:rFonts w:ascii="Futura-Book" w:hAnsi="Futura-Book"/>
          <w:color w:val="808080" w:themeColor="background1" w:themeShade="80"/>
          <w:spacing w:val="6"/>
          <w:u w:val="none"/>
        </w:rPr>
        <w:t xml:space="preserve"> </w:t>
      </w:r>
      <w:r w:rsidR="00961020" w:rsidRPr="009341A6">
        <w:rPr>
          <w:rStyle w:val="Hyperlink"/>
          <w:rFonts w:ascii="Futura-Book" w:hAnsi="Futura-Book"/>
          <w:color w:val="808080" w:themeColor="background1" w:themeShade="80"/>
          <w:u w:val="none"/>
        </w:rPr>
        <w:t>working groups</w:t>
      </w:r>
      <w:r w:rsidRPr="009341A6">
        <w:rPr>
          <w:rStyle w:val="Hyperlink"/>
          <w:rFonts w:ascii="Futura-Book" w:hAnsi="Futura-Book"/>
          <w:color w:val="808080" w:themeColor="background1" w:themeShade="80"/>
          <w:spacing w:val="-7"/>
          <w:u w:val="none"/>
        </w:rPr>
        <w:tab/>
        <w:t>14</w:t>
      </w:r>
    </w:p>
    <w:p w:rsidR="00D840DF" w:rsidRPr="009341A6" w:rsidRDefault="009341A6" w:rsidP="009341A6">
      <w:pPr>
        <w:pStyle w:val="BodyText"/>
        <w:tabs>
          <w:tab w:val="right" w:pos="7655"/>
        </w:tabs>
        <w:rPr>
          <w:rStyle w:val="Hyperlink"/>
          <w:rFonts w:ascii="Futura-Book" w:hAnsi="Futura-Book"/>
          <w:color w:val="808080" w:themeColor="background1" w:themeShade="80"/>
          <w:u w:val="none"/>
        </w:rPr>
      </w:pPr>
      <w:r w:rsidRPr="009341A6">
        <w:rPr>
          <w:rFonts w:ascii="Futura-Book" w:hAnsi="Futura-Book"/>
          <w:b/>
          <w:color w:val="808080" w:themeColor="background1" w:themeShade="80"/>
        </w:rPr>
        <w:fldChar w:fldCharType="end"/>
      </w:r>
      <w:r w:rsidRPr="009341A6">
        <w:rPr>
          <w:rFonts w:ascii="Futura-Book" w:hAnsi="Futura-Book"/>
          <w:b/>
          <w:color w:val="808080" w:themeColor="background1" w:themeShade="80"/>
        </w:rPr>
        <w:fldChar w:fldCharType="begin"/>
      </w:r>
      <w:r w:rsidRPr="009341A6">
        <w:rPr>
          <w:rFonts w:ascii="Futura-Book" w:hAnsi="Futura-Book"/>
          <w:b/>
          <w:color w:val="808080" w:themeColor="background1" w:themeShade="80"/>
        </w:rPr>
        <w:instrText xml:space="preserve"> HYPERLINK  \l "_Figure_3:_Cost" </w:instrText>
      </w:r>
      <w:r w:rsidRPr="009341A6">
        <w:rPr>
          <w:rFonts w:ascii="Futura-Book" w:hAnsi="Futura-Book"/>
          <w:b/>
          <w:color w:val="808080" w:themeColor="background1" w:themeShade="80"/>
        </w:rPr>
      </w:r>
      <w:r w:rsidRPr="009341A6">
        <w:rPr>
          <w:rFonts w:ascii="Futura-Book" w:hAnsi="Futura-Book"/>
          <w:b/>
          <w:color w:val="808080" w:themeColor="background1" w:themeShade="80"/>
        </w:rPr>
        <w:fldChar w:fldCharType="separate"/>
      </w:r>
      <w:r w:rsidR="00961020" w:rsidRPr="009341A6">
        <w:rPr>
          <w:rStyle w:val="Hyperlink"/>
          <w:rFonts w:ascii="Futura-Book" w:hAnsi="Futura-Book"/>
          <w:b/>
          <w:color w:val="003E2D"/>
          <w:u w:val="none"/>
        </w:rPr>
        <w:t>Figure 3:</w:t>
      </w:r>
      <w:r w:rsidR="00961020" w:rsidRPr="009341A6">
        <w:rPr>
          <w:rStyle w:val="Hyperlink"/>
          <w:rFonts w:ascii="Futura-Book" w:hAnsi="Futura-Book"/>
          <w:b/>
          <w:color w:val="808080" w:themeColor="background1" w:themeShade="80"/>
          <w:u w:val="none"/>
        </w:rPr>
        <w:t xml:space="preserve"> </w:t>
      </w:r>
      <w:r w:rsidR="00961020" w:rsidRPr="009341A6">
        <w:rPr>
          <w:rStyle w:val="Hyperlink"/>
          <w:rFonts w:ascii="Futura-Book" w:hAnsi="Futura-Book"/>
          <w:color w:val="808080" w:themeColor="background1" w:themeShade="80"/>
          <w:u w:val="none"/>
        </w:rPr>
        <w:t>Cost per National Weighted Activity</w:t>
      </w:r>
      <w:r w:rsidR="00961020" w:rsidRPr="009341A6">
        <w:rPr>
          <w:rStyle w:val="Hyperlink"/>
          <w:rFonts w:ascii="Futura-Book" w:hAnsi="Futura-Book"/>
          <w:color w:val="808080" w:themeColor="background1" w:themeShade="80"/>
          <w:spacing w:val="5"/>
          <w:u w:val="none"/>
        </w:rPr>
        <w:t xml:space="preserve"> </w:t>
      </w:r>
      <w:r w:rsidR="00961020" w:rsidRPr="009341A6">
        <w:rPr>
          <w:rStyle w:val="Hyperlink"/>
          <w:rFonts w:ascii="Futura-Book" w:hAnsi="Futura-Book"/>
          <w:color w:val="808080" w:themeColor="background1" w:themeShade="80"/>
          <w:u w:val="none"/>
        </w:rPr>
        <w:t xml:space="preserve">Unit </w:t>
      </w:r>
      <w:r w:rsidR="00961020" w:rsidRPr="009341A6">
        <w:rPr>
          <w:rStyle w:val="Hyperlink"/>
          <w:rFonts w:ascii="Futura-Book" w:hAnsi="Futura-Book"/>
          <w:color w:val="808080" w:themeColor="background1" w:themeShade="80"/>
          <w:spacing w:val="-3"/>
          <w:u w:val="none"/>
        </w:rPr>
        <w:t>(NWAU)</w:t>
      </w:r>
      <w:r w:rsidRPr="009341A6">
        <w:rPr>
          <w:rStyle w:val="Hyperlink"/>
          <w:rFonts w:ascii="Futura-Book" w:hAnsi="Futura-Book"/>
          <w:color w:val="808080" w:themeColor="background1" w:themeShade="80"/>
          <w:u w:val="none"/>
        </w:rPr>
        <w:tab/>
        <w:t>17</w:t>
      </w:r>
    </w:p>
    <w:p w:rsidR="00DB6009" w:rsidRPr="009341A6" w:rsidRDefault="009341A6" w:rsidP="009341A6">
      <w:pPr>
        <w:pStyle w:val="BodyText"/>
        <w:tabs>
          <w:tab w:val="right" w:pos="7655"/>
        </w:tabs>
        <w:rPr>
          <w:rStyle w:val="Hyperlink"/>
          <w:rFonts w:ascii="Futura-Book" w:hAnsi="Futura-Book"/>
          <w:color w:val="808080" w:themeColor="background1" w:themeShade="80"/>
          <w:u w:val="none"/>
        </w:rPr>
      </w:pPr>
      <w:r w:rsidRPr="009341A6">
        <w:rPr>
          <w:rFonts w:ascii="Futura-Book" w:hAnsi="Futura-Book"/>
          <w:b/>
          <w:color w:val="808080" w:themeColor="background1" w:themeShade="80"/>
        </w:rPr>
        <w:fldChar w:fldCharType="end"/>
      </w:r>
      <w:r w:rsidRPr="009341A6">
        <w:rPr>
          <w:rFonts w:ascii="Futura-Book" w:hAnsi="Futura-Book"/>
          <w:b/>
          <w:color w:val="808080" w:themeColor="background1" w:themeShade="80"/>
        </w:rPr>
        <w:fldChar w:fldCharType="begin"/>
      </w:r>
      <w:r w:rsidRPr="009341A6">
        <w:rPr>
          <w:rFonts w:ascii="Futura-Book" w:hAnsi="Futura-Book"/>
          <w:b/>
          <w:color w:val="808080" w:themeColor="background1" w:themeShade="80"/>
        </w:rPr>
        <w:instrText xml:space="preserve"> HYPERLINK  \l "_Figure_4:_National" </w:instrText>
      </w:r>
      <w:r w:rsidRPr="009341A6">
        <w:rPr>
          <w:rFonts w:ascii="Futura-Book" w:hAnsi="Futura-Book"/>
          <w:b/>
          <w:color w:val="808080" w:themeColor="background1" w:themeShade="80"/>
        </w:rPr>
      </w:r>
      <w:r w:rsidRPr="009341A6">
        <w:rPr>
          <w:rFonts w:ascii="Futura-Book" w:hAnsi="Futura-Book"/>
          <w:b/>
          <w:color w:val="808080" w:themeColor="background1" w:themeShade="80"/>
        </w:rPr>
        <w:fldChar w:fldCharType="separate"/>
      </w:r>
      <w:r w:rsidR="00961020" w:rsidRPr="009341A6">
        <w:rPr>
          <w:rStyle w:val="Hyperlink"/>
          <w:rFonts w:ascii="Futura-Book" w:hAnsi="Futura-Book"/>
          <w:b/>
          <w:color w:val="003E2D"/>
          <w:u w:val="none"/>
        </w:rPr>
        <w:t xml:space="preserve">Figure 4: </w:t>
      </w:r>
      <w:r w:rsidR="00961020" w:rsidRPr="009341A6">
        <w:rPr>
          <w:rStyle w:val="Hyperlink"/>
          <w:rFonts w:ascii="Futura-Book" w:hAnsi="Futura-Book"/>
          <w:color w:val="808080" w:themeColor="background1" w:themeShade="80"/>
          <w:u w:val="none"/>
        </w:rPr>
        <w:t xml:space="preserve">National Efficient Price </w:t>
      </w:r>
      <w:r w:rsidR="00961020" w:rsidRPr="009341A6">
        <w:rPr>
          <w:rStyle w:val="Hyperlink"/>
          <w:rFonts w:ascii="Futura-Book" w:hAnsi="Futura-Book"/>
          <w:color w:val="808080" w:themeColor="background1" w:themeShade="80"/>
          <w:spacing w:val="-9"/>
          <w:u w:val="none"/>
        </w:rPr>
        <w:t>2012–2017</w:t>
      </w:r>
      <w:r w:rsidRPr="009341A6">
        <w:rPr>
          <w:rStyle w:val="Hyperlink"/>
          <w:rFonts w:ascii="Futura-Book" w:hAnsi="Futura-Book"/>
          <w:color w:val="808080" w:themeColor="background1" w:themeShade="80"/>
          <w:u w:val="none"/>
        </w:rPr>
        <w:tab/>
        <w:t>18</w:t>
      </w:r>
    </w:p>
    <w:p w:rsidR="00D840DF" w:rsidRPr="009341A6" w:rsidRDefault="009341A6" w:rsidP="009341A6">
      <w:pPr>
        <w:pStyle w:val="BodyText"/>
        <w:tabs>
          <w:tab w:val="right" w:pos="7655"/>
        </w:tabs>
        <w:rPr>
          <w:rStyle w:val="Hyperlink"/>
          <w:rFonts w:ascii="Futura-Book" w:hAnsi="Futura-Book"/>
          <w:color w:val="808080" w:themeColor="background1" w:themeShade="80"/>
          <w:u w:val="none"/>
        </w:rPr>
      </w:pPr>
      <w:r w:rsidRPr="009341A6">
        <w:rPr>
          <w:rFonts w:ascii="Futura-Book" w:hAnsi="Futura-Book"/>
          <w:b/>
          <w:color w:val="808080" w:themeColor="background1" w:themeShade="80"/>
        </w:rPr>
        <w:fldChar w:fldCharType="end"/>
      </w:r>
      <w:r w:rsidRPr="009341A6">
        <w:rPr>
          <w:rFonts w:ascii="Futura-Book" w:hAnsi="Futura-Book"/>
          <w:b/>
          <w:color w:val="808080" w:themeColor="background1" w:themeShade="80"/>
        </w:rPr>
        <w:fldChar w:fldCharType="begin"/>
      </w:r>
      <w:r w:rsidRPr="009341A6">
        <w:rPr>
          <w:rFonts w:ascii="Futura-Book" w:hAnsi="Futura-Book"/>
          <w:b/>
          <w:color w:val="808080" w:themeColor="background1" w:themeShade="80"/>
        </w:rPr>
        <w:instrText xml:space="preserve"> HYPERLINK  \l "_Table_1:_Pricing" </w:instrText>
      </w:r>
      <w:r w:rsidRPr="009341A6">
        <w:rPr>
          <w:rFonts w:ascii="Futura-Book" w:hAnsi="Futura-Book"/>
          <w:b/>
          <w:color w:val="808080" w:themeColor="background1" w:themeShade="80"/>
        </w:rPr>
      </w:r>
      <w:r w:rsidRPr="009341A6">
        <w:rPr>
          <w:rFonts w:ascii="Futura-Book" w:hAnsi="Futura-Book"/>
          <w:b/>
          <w:color w:val="808080" w:themeColor="background1" w:themeShade="80"/>
        </w:rPr>
        <w:fldChar w:fldCharType="separate"/>
      </w:r>
      <w:r w:rsidR="00961020" w:rsidRPr="009341A6">
        <w:rPr>
          <w:rStyle w:val="Hyperlink"/>
          <w:rFonts w:ascii="Futura-Book" w:hAnsi="Futura-Book"/>
          <w:b/>
          <w:color w:val="003E2D"/>
          <w:u w:val="none"/>
        </w:rPr>
        <w:t xml:space="preserve">Table </w:t>
      </w:r>
      <w:r w:rsidR="00961020" w:rsidRPr="009341A6">
        <w:rPr>
          <w:rStyle w:val="Hyperlink"/>
          <w:rFonts w:ascii="Futura-Book" w:hAnsi="Futura-Book"/>
          <w:b/>
          <w:color w:val="003E2D"/>
          <w:spacing w:val="-4"/>
          <w:u w:val="none"/>
        </w:rPr>
        <w:t xml:space="preserve">1: </w:t>
      </w:r>
      <w:r w:rsidR="00961020" w:rsidRPr="009341A6">
        <w:rPr>
          <w:rStyle w:val="Hyperlink"/>
          <w:rFonts w:ascii="Futura-Book" w:hAnsi="Futura-Book"/>
          <w:color w:val="808080" w:themeColor="background1" w:themeShade="80"/>
          <w:u w:val="none"/>
        </w:rPr>
        <w:t>Pricing Authority meetings and</w:t>
      </w:r>
      <w:r w:rsidR="00961020" w:rsidRPr="009341A6">
        <w:rPr>
          <w:rStyle w:val="Hyperlink"/>
          <w:rFonts w:ascii="Futura-Book" w:hAnsi="Futura-Book"/>
          <w:color w:val="808080" w:themeColor="background1" w:themeShade="80"/>
          <w:spacing w:val="8"/>
          <w:u w:val="none"/>
        </w:rPr>
        <w:t xml:space="preserve"> </w:t>
      </w:r>
      <w:r w:rsidR="00961020" w:rsidRPr="009341A6">
        <w:rPr>
          <w:rStyle w:val="Hyperlink"/>
          <w:rFonts w:ascii="Futura-Book" w:hAnsi="Futura-Book"/>
          <w:color w:val="808080" w:themeColor="background1" w:themeShade="80"/>
          <w:u w:val="none"/>
        </w:rPr>
        <w:t xml:space="preserve">attendances </w:t>
      </w:r>
      <w:r w:rsidR="00961020" w:rsidRPr="009341A6">
        <w:rPr>
          <w:rStyle w:val="Hyperlink"/>
          <w:rFonts w:ascii="Futura-Book" w:hAnsi="Futura-Book"/>
          <w:color w:val="808080" w:themeColor="background1" w:themeShade="80"/>
          <w:spacing w:val="-8"/>
          <w:u w:val="none"/>
        </w:rPr>
        <w:t>2016–17</w:t>
      </w:r>
      <w:r w:rsidRPr="009341A6">
        <w:rPr>
          <w:rStyle w:val="Hyperlink"/>
          <w:rFonts w:ascii="Futura-Book" w:hAnsi="Futura-Book"/>
          <w:color w:val="808080" w:themeColor="background1" w:themeShade="80"/>
          <w:u w:val="none"/>
        </w:rPr>
        <w:tab/>
        <w:t>23</w:t>
      </w:r>
    </w:p>
    <w:p w:rsidR="00D840DF" w:rsidRPr="009341A6" w:rsidRDefault="009341A6" w:rsidP="009341A6">
      <w:pPr>
        <w:pStyle w:val="BodyText"/>
        <w:tabs>
          <w:tab w:val="right" w:pos="7655"/>
        </w:tabs>
        <w:rPr>
          <w:rStyle w:val="Hyperlink"/>
          <w:rFonts w:ascii="Futura-Book" w:hAnsi="Futura-Book"/>
          <w:color w:val="808080" w:themeColor="background1" w:themeShade="80"/>
          <w:u w:val="none"/>
        </w:rPr>
      </w:pPr>
      <w:r w:rsidRPr="009341A6">
        <w:rPr>
          <w:rFonts w:ascii="Futura-Book" w:hAnsi="Futura-Book"/>
          <w:b/>
          <w:color w:val="808080" w:themeColor="background1" w:themeShade="80"/>
        </w:rPr>
        <w:fldChar w:fldCharType="end"/>
      </w:r>
      <w:r w:rsidRPr="009341A6">
        <w:rPr>
          <w:rFonts w:ascii="Futura-Book" w:hAnsi="Futura-Book"/>
          <w:b/>
          <w:color w:val="808080" w:themeColor="background1" w:themeShade="80"/>
        </w:rPr>
        <w:fldChar w:fldCharType="begin"/>
      </w:r>
      <w:r w:rsidRPr="009341A6">
        <w:rPr>
          <w:rFonts w:ascii="Futura-Book" w:hAnsi="Futura-Book"/>
          <w:b/>
          <w:color w:val="808080" w:themeColor="background1" w:themeShade="80"/>
        </w:rPr>
        <w:instrText xml:space="preserve"> HYPERLINK  \l "_Table_2:_Membership" </w:instrText>
      </w:r>
      <w:r w:rsidRPr="009341A6">
        <w:rPr>
          <w:rFonts w:ascii="Futura-Book" w:hAnsi="Futura-Book"/>
          <w:b/>
          <w:color w:val="808080" w:themeColor="background1" w:themeShade="80"/>
        </w:rPr>
      </w:r>
      <w:r w:rsidRPr="009341A6">
        <w:rPr>
          <w:rFonts w:ascii="Futura-Book" w:hAnsi="Futura-Book"/>
          <w:b/>
          <w:color w:val="808080" w:themeColor="background1" w:themeShade="80"/>
        </w:rPr>
        <w:fldChar w:fldCharType="separate"/>
      </w:r>
      <w:r w:rsidR="00961020" w:rsidRPr="009341A6">
        <w:rPr>
          <w:rStyle w:val="Hyperlink"/>
          <w:rFonts w:ascii="Futura-Book" w:hAnsi="Futura-Book"/>
          <w:b/>
          <w:color w:val="003E2D"/>
          <w:u w:val="none"/>
        </w:rPr>
        <w:t xml:space="preserve">Table </w:t>
      </w:r>
      <w:r w:rsidR="00961020" w:rsidRPr="009341A6">
        <w:rPr>
          <w:rStyle w:val="Hyperlink"/>
          <w:rFonts w:ascii="Futura-Book" w:hAnsi="Futura-Book"/>
          <w:b/>
          <w:color w:val="003E2D"/>
          <w:spacing w:val="1"/>
          <w:u w:val="none"/>
        </w:rPr>
        <w:t xml:space="preserve">2: </w:t>
      </w:r>
      <w:r w:rsidR="00961020" w:rsidRPr="009341A6">
        <w:rPr>
          <w:rStyle w:val="Hyperlink"/>
          <w:rFonts w:ascii="Futura-Book" w:hAnsi="Futura-Book"/>
          <w:color w:val="808080" w:themeColor="background1" w:themeShade="80"/>
          <w:u w:val="none"/>
        </w:rPr>
        <w:t xml:space="preserve">Membership and meetings of the CAC in </w:t>
      </w:r>
      <w:r w:rsidR="00961020" w:rsidRPr="009341A6">
        <w:rPr>
          <w:rStyle w:val="Hyperlink"/>
          <w:rFonts w:ascii="Futura-Book" w:hAnsi="Futura-Book"/>
          <w:color w:val="808080" w:themeColor="background1" w:themeShade="80"/>
          <w:spacing w:val="-8"/>
          <w:u w:val="none"/>
        </w:rPr>
        <w:t>2016–17</w:t>
      </w:r>
      <w:r w:rsidRPr="009341A6">
        <w:rPr>
          <w:rStyle w:val="Hyperlink"/>
          <w:rFonts w:ascii="Futura-Book" w:hAnsi="Futura-Book"/>
          <w:color w:val="808080" w:themeColor="background1" w:themeShade="80"/>
          <w:u w:val="none"/>
        </w:rPr>
        <w:tab/>
        <w:t>29</w:t>
      </w:r>
    </w:p>
    <w:p w:rsidR="00D840DF" w:rsidRPr="009341A6" w:rsidRDefault="009341A6" w:rsidP="009341A6">
      <w:pPr>
        <w:pStyle w:val="BodyText"/>
        <w:tabs>
          <w:tab w:val="right" w:pos="7655"/>
        </w:tabs>
        <w:rPr>
          <w:rStyle w:val="Hyperlink"/>
          <w:rFonts w:ascii="Futura-Book" w:hAnsi="Futura-Book"/>
          <w:color w:val="808080" w:themeColor="background1" w:themeShade="80"/>
          <w:u w:val="none"/>
        </w:rPr>
      </w:pPr>
      <w:r w:rsidRPr="009341A6">
        <w:rPr>
          <w:rFonts w:ascii="Futura-Book" w:hAnsi="Futura-Book"/>
          <w:b/>
          <w:color w:val="808080" w:themeColor="background1" w:themeShade="80"/>
        </w:rPr>
        <w:fldChar w:fldCharType="end"/>
      </w:r>
      <w:r w:rsidRPr="009341A6">
        <w:rPr>
          <w:rFonts w:ascii="Futura-Book" w:hAnsi="Futura-Book"/>
          <w:b/>
          <w:color w:val="808080" w:themeColor="background1" w:themeShade="80"/>
        </w:rPr>
        <w:fldChar w:fldCharType="begin"/>
      </w:r>
      <w:r w:rsidRPr="009341A6">
        <w:rPr>
          <w:rFonts w:ascii="Futura-Book" w:hAnsi="Futura-Book"/>
          <w:b/>
          <w:color w:val="808080" w:themeColor="background1" w:themeShade="80"/>
        </w:rPr>
        <w:instrText xml:space="preserve"> HYPERLINK  \l "_Table_3:_Staff" </w:instrText>
      </w:r>
      <w:r w:rsidRPr="009341A6">
        <w:rPr>
          <w:rFonts w:ascii="Futura-Book" w:hAnsi="Futura-Book"/>
          <w:b/>
          <w:color w:val="808080" w:themeColor="background1" w:themeShade="80"/>
        </w:rPr>
      </w:r>
      <w:r w:rsidRPr="009341A6">
        <w:rPr>
          <w:rFonts w:ascii="Futura-Book" w:hAnsi="Futura-Book"/>
          <w:b/>
          <w:color w:val="808080" w:themeColor="background1" w:themeShade="80"/>
        </w:rPr>
        <w:fldChar w:fldCharType="separate"/>
      </w:r>
      <w:r w:rsidR="00961020" w:rsidRPr="009341A6">
        <w:rPr>
          <w:rStyle w:val="Hyperlink"/>
          <w:rFonts w:ascii="Futura-Book" w:hAnsi="Futura-Book"/>
          <w:b/>
          <w:color w:val="003E2D"/>
          <w:u w:val="none"/>
        </w:rPr>
        <w:t xml:space="preserve">Table 3: </w:t>
      </w:r>
      <w:r w:rsidR="00961020" w:rsidRPr="009341A6">
        <w:rPr>
          <w:rStyle w:val="Hyperlink"/>
          <w:rFonts w:ascii="Futura-Book" w:hAnsi="Futura-Book"/>
          <w:color w:val="808080" w:themeColor="background1" w:themeShade="80"/>
          <w:u w:val="none"/>
        </w:rPr>
        <w:t xml:space="preserve">Staff numbers by classification, gender and full-time/part-time status </w:t>
      </w:r>
      <w:r>
        <w:rPr>
          <w:rStyle w:val="Hyperlink"/>
          <w:rFonts w:ascii="Futura-Book" w:hAnsi="Futura-Book"/>
          <w:color w:val="808080" w:themeColor="background1" w:themeShade="80"/>
          <w:u w:val="none"/>
        </w:rPr>
        <w:br/>
      </w:r>
      <w:r w:rsidR="00961020" w:rsidRPr="009341A6">
        <w:rPr>
          <w:rStyle w:val="Hyperlink"/>
          <w:rFonts w:ascii="Futura-Book" w:hAnsi="Futura-Book"/>
          <w:color w:val="808080" w:themeColor="background1" w:themeShade="80"/>
          <w:u w:val="none"/>
        </w:rPr>
        <w:t>at 30</w:t>
      </w:r>
      <w:r w:rsidR="00E314B6" w:rsidRPr="009341A6">
        <w:rPr>
          <w:rStyle w:val="Hyperlink"/>
          <w:rFonts w:ascii="Futura-Book" w:hAnsi="Futura-Book"/>
          <w:color w:val="808080" w:themeColor="background1" w:themeShade="80"/>
          <w:u w:val="none"/>
        </w:rPr>
        <w:t xml:space="preserve"> </w:t>
      </w:r>
      <w:r w:rsidR="00961020" w:rsidRPr="009341A6">
        <w:rPr>
          <w:rStyle w:val="Hyperlink"/>
          <w:rFonts w:ascii="Futura-Book" w:hAnsi="Futura-Book"/>
          <w:color w:val="808080" w:themeColor="background1" w:themeShade="80"/>
          <w:u w:val="none"/>
        </w:rPr>
        <w:t>June</w:t>
      </w:r>
      <w:r w:rsidR="00961020" w:rsidRPr="009341A6">
        <w:rPr>
          <w:rStyle w:val="Hyperlink"/>
          <w:rFonts w:ascii="Futura-Book" w:hAnsi="Futura-Book"/>
          <w:color w:val="808080" w:themeColor="background1" w:themeShade="80"/>
          <w:spacing w:val="3"/>
          <w:u w:val="none"/>
        </w:rPr>
        <w:t xml:space="preserve"> </w:t>
      </w:r>
      <w:r w:rsidR="00961020" w:rsidRPr="009341A6">
        <w:rPr>
          <w:rStyle w:val="Hyperlink"/>
          <w:rFonts w:ascii="Futura-Book" w:hAnsi="Futura-Book"/>
          <w:color w:val="808080" w:themeColor="background1" w:themeShade="80"/>
          <w:spacing w:val="-8"/>
          <w:u w:val="none"/>
        </w:rPr>
        <w:t>2017</w:t>
      </w:r>
      <w:r w:rsidRPr="009341A6">
        <w:rPr>
          <w:rStyle w:val="Hyperlink"/>
          <w:rFonts w:ascii="Futura-Book" w:hAnsi="Futura-Book"/>
          <w:color w:val="808080" w:themeColor="background1" w:themeShade="80"/>
          <w:u w:val="none"/>
        </w:rPr>
        <w:tab/>
        <w:t>34</w:t>
      </w:r>
    </w:p>
    <w:p w:rsidR="00D840DF" w:rsidRPr="009341A6" w:rsidRDefault="009341A6" w:rsidP="009341A6">
      <w:pPr>
        <w:pStyle w:val="BodyText"/>
        <w:tabs>
          <w:tab w:val="right" w:pos="7655"/>
        </w:tabs>
        <w:rPr>
          <w:rFonts w:ascii="Futura-Book" w:hAnsi="Futura-Book"/>
          <w:color w:val="808080" w:themeColor="background1" w:themeShade="80"/>
        </w:rPr>
      </w:pPr>
      <w:r w:rsidRPr="009341A6">
        <w:rPr>
          <w:rFonts w:ascii="Futura-Book" w:hAnsi="Futura-Book"/>
          <w:b/>
          <w:color w:val="808080" w:themeColor="background1" w:themeShade="80"/>
        </w:rPr>
        <w:fldChar w:fldCharType="end"/>
      </w:r>
      <w:hyperlink w:anchor="_Table_4:_Proportion" w:history="1">
        <w:r w:rsidR="00961020" w:rsidRPr="009341A6">
          <w:rPr>
            <w:rStyle w:val="Hyperlink"/>
            <w:rFonts w:ascii="Futura-Book" w:hAnsi="Futura-Book"/>
            <w:b/>
            <w:color w:val="003E2D"/>
            <w:u w:val="none"/>
          </w:rPr>
          <w:t xml:space="preserve">Table 4: </w:t>
        </w:r>
        <w:r w:rsidR="00961020" w:rsidRPr="009341A6">
          <w:rPr>
            <w:rStyle w:val="Hyperlink"/>
            <w:rFonts w:ascii="Futura-Book" w:hAnsi="Futura-Book"/>
            <w:color w:val="808080" w:themeColor="background1" w:themeShade="80"/>
            <w:u w:val="none"/>
          </w:rPr>
          <w:t>Proportion of funding for public hospital services</w:t>
        </w:r>
        <w:r w:rsidR="00961020" w:rsidRPr="009341A6">
          <w:rPr>
            <w:rStyle w:val="Hyperlink"/>
            <w:rFonts w:ascii="Futura-Book" w:hAnsi="Futura-Book"/>
            <w:color w:val="808080" w:themeColor="background1" w:themeShade="80"/>
            <w:spacing w:val="10"/>
            <w:u w:val="none"/>
          </w:rPr>
          <w:t xml:space="preserve"> </w:t>
        </w:r>
        <w:r w:rsidR="00961020" w:rsidRPr="009341A6">
          <w:rPr>
            <w:rStyle w:val="Hyperlink"/>
            <w:rFonts w:ascii="Futura-Book" w:hAnsi="Futura-Book"/>
            <w:color w:val="808080" w:themeColor="background1" w:themeShade="80"/>
            <w:u w:val="none"/>
          </w:rPr>
          <w:t>using ABF</w:t>
        </w:r>
        <w:r w:rsidRPr="009341A6">
          <w:rPr>
            <w:rStyle w:val="Hyperlink"/>
            <w:rFonts w:ascii="Futura-Book" w:hAnsi="Futura-Book"/>
            <w:color w:val="808080" w:themeColor="background1" w:themeShade="80"/>
            <w:u w:val="none"/>
          </w:rPr>
          <w:tab/>
          <w:t>39</w:t>
        </w:r>
      </w:hyperlink>
    </w:p>
    <w:p w:rsidR="00D840DF" w:rsidRPr="009341A6" w:rsidRDefault="009341A6" w:rsidP="009341A6">
      <w:pPr>
        <w:pStyle w:val="BodyText"/>
        <w:tabs>
          <w:tab w:val="right" w:pos="7655"/>
        </w:tabs>
        <w:rPr>
          <w:rStyle w:val="Hyperlink"/>
          <w:rFonts w:ascii="Futura-Book" w:hAnsi="Futura-Book"/>
          <w:color w:val="808080" w:themeColor="background1" w:themeShade="80"/>
          <w:u w:val="none"/>
        </w:rPr>
      </w:pPr>
      <w:r w:rsidRPr="009341A6">
        <w:rPr>
          <w:rFonts w:ascii="Futura-Book" w:hAnsi="Futura-Book"/>
          <w:b/>
          <w:color w:val="808080" w:themeColor="background1" w:themeShade="80"/>
        </w:rPr>
        <w:fldChar w:fldCharType="begin"/>
      </w:r>
      <w:r w:rsidRPr="009341A6">
        <w:rPr>
          <w:rFonts w:ascii="Futura-Book" w:hAnsi="Futura-Book"/>
          <w:b/>
          <w:color w:val="808080" w:themeColor="background1" w:themeShade="80"/>
        </w:rPr>
        <w:instrText>HYPERLINK  \l "_Table_5:_Response"</w:instrText>
      </w:r>
      <w:r w:rsidRPr="009341A6">
        <w:rPr>
          <w:rFonts w:ascii="Futura-Book" w:hAnsi="Futura-Book"/>
          <w:b/>
          <w:color w:val="808080" w:themeColor="background1" w:themeShade="80"/>
        </w:rPr>
      </w:r>
      <w:r w:rsidRPr="009341A6">
        <w:rPr>
          <w:rFonts w:ascii="Futura-Book" w:hAnsi="Futura-Book"/>
          <w:b/>
          <w:color w:val="808080" w:themeColor="background1" w:themeShade="80"/>
        </w:rPr>
        <w:fldChar w:fldCharType="separate"/>
      </w:r>
      <w:r w:rsidR="00961020" w:rsidRPr="009341A6">
        <w:rPr>
          <w:rStyle w:val="Hyperlink"/>
          <w:rFonts w:ascii="Futura-Book" w:hAnsi="Futura-Book"/>
          <w:b/>
          <w:color w:val="003E2D"/>
          <w:u w:val="none"/>
        </w:rPr>
        <w:t>Table 5:</w:t>
      </w:r>
      <w:r w:rsidR="00961020" w:rsidRPr="009341A6">
        <w:rPr>
          <w:rStyle w:val="Hyperlink"/>
          <w:rFonts w:ascii="Futura-Book" w:hAnsi="Futura-Book"/>
          <w:b/>
          <w:color w:val="808080" w:themeColor="background1" w:themeShade="80"/>
          <w:u w:val="none"/>
        </w:rPr>
        <w:t xml:space="preserve"> </w:t>
      </w:r>
      <w:r w:rsidR="00961020" w:rsidRPr="009341A6">
        <w:rPr>
          <w:rStyle w:val="Hyperlink"/>
          <w:rFonts w:ascii="Futura-Book" w:hAnsi="Futura-Book"/>
          <w:color w:val="808080" w:themeColor="background1" w:themeShade="80"/>
          <w:u w:val="none"/>
        </w:rPr>
        <w:t xml:space="preserve">Response rate to enquiries 1 July </w:t>
      </w:r>
      <w:r w:rsidR="00961020" w:rsidRPr="009341A6">
        <w:rPr>
          <w:rStyle w:val="Hyperlink"/>
          <w:rFonts w:ascii="Futura-Book" w:hAnsi="Futura-Book"/>
          <w:color w:val="808080" w:themeColor="background1" w:themeShade="80"/>
          <w:spacing w:val="-7"/>
          <w:u w:val="none"/>
        </w:rPr>
        <w:t xml:space="preserve">2016 </w:t>
      </w:r>
      <w:r w:rsidR="00961020" w:rsidRPr="009341A6">
        <w:rPr>
          <w:rStyle w:val="Hyperlink"/>
          <w:rFonts w:ascii="Futura-Book" w:hAnsi="Futura-Book"/>
          <w:color w:val="808080" w:themeColor="background1" w:themeShade="80"/>
          <w:u w:val="none"/>
        </w:rPr>
        <w:t>– 30</w:t>
      </w:r>
      <w:r w:rsidR="00961020" w:rsidRPr="009341A6">
        <w:rPr>
          <w:rStyle w:val="Hyperlink"/>
          <w:rFonts w:ascii="Futura-Book" w:hAnsi="Futura-Book"/>
          <w:color w:val="808080" w:themeColor="background1" w:themeShade="80"/>
          <w:spacing w:val="11"/>
          <w:u w:val="none"/>
        </w:rPr>
        <w:t xml:space="preserve"> </w:t>
      </w:r>
      <w:r w:rsidR="00961020" w:rsidRPr="009341A6">
        <w:rPr>
          <w:rStyle w:val="Hyperlink"/>
          <w:rFonts w:ascii="Futura-Book" w:hAnsi="Futura-Book"/>
          <w:color w:val="808080" w:themeColor="background1" w:themeShade="80"/>
          <w:u w:val="none"/>
        </w:rPr>
        <w:t xml:space="preserve">June </w:t>
      </w:r>
      <w:r w:rsidR="00961020" w:rsidRPr="009341A6">
        <w:rPr>
          <w:rStyle w:val="Hyperlink"/>
          <w:rFonts w:ascii="Futura-Book" w:hAnsi="Futura-Book"/>
          <w:color w:val="808080" w:themeColor="background1" w:themeShade="80"/>
          <w:spacing w:val="-8"/>
          <w:u w:val="none"/>
        </w:rPr>
        <w:t>2017</w:t>
      </w:r>
      <w:r w:rsidRPr="009341A6">
        <w:rPr>
          <w:rStyle w:val="Hyperlink"/>
          <w:rFonts w:ascii="Futura-Book" w:hAnsi="Futura-Book"/>
          <w:color w:val="808080" w:themeColor="background1" w:themeShade="80"/>
          <w:spacing w:val="-4"/>
          <w:u w:val="none"/>
        </w:rPr>
        <w:tab/>
        <w:t>42</w:t>
      </w:r>
    </w:p>
    <w:p w:rsidR="00D840DF" w:rsidRDefault="009341A6" w:rsidP="009341A6">
      <w:pPr>
        <w:pStyle w:val="BodyText"/>
        <w:tabs>
          <w:tab w:val="right" w:pos="7655"/>
        </w:tabs>
      </w:pPr>
      <w:r w:rsidRPr="009341A6">
        <w:rPr>
          <w:rFonts w:ascii="Futura-Book" w:hAnsi="Futura-Book"/>
          <w:b/>
          <w:color w:val="808080" w:themeColor="background1" w:themeShade="80"/>
        </w:rPr>
        <w:fldChar w:fldCharType="end"/>
      </w:r>
    </w:p>
    <w:p w:rsidR="00742241" w:rsidRDefault="00742241">
      <w:pPr>
        <w:sectPr w:rsidR="00742241">
          <w:pgSz w:w="9980" w:h="14180"/>
          <w:pgMar w:top="1320" w:right="1020" w:bottom="280" w:left="1200" w:header="720" w:footer="720" w:gutter="0"/>
          <w:cols w:space="720"/>
        </w:sectPr>
      </w:pPr>
    </w:p>
    <w:p w:rsidR="00D840DF" w:rsidRPr="00A13FEE" w:rsidRDefault="00961020" w:rsidP="00A13FEE">
      <w:pPr>
        <w:pStyle w:val="Heading1"/>
      </w:pPr>
      <w:bookmarkStart w:id="184" w:name="Appendix_A:_Figures_and_tables"/>
      <w:bookmarkStart w:id="185" w:name="_bookmark49"/>
      <w:bookmarkStart w:id="186" w:name="_Toc496088507"/>
      <w:bookmarkEnd w:id="184"/>
      <w:bookmarkEnd w:id="185"/>
      <w:r>
        <w:rPr>
          <w:spacing w:val="-9"/>
        </w:rPr>
        <w:lastRenderedPageBreak/>
        <w:t xml:space="preserve">Appendix </w:t>
      </w:r>
      <w:r>
        <w:rPr>
          <w:spacing w:val="-4"/>
        </w:rPr>
        <w:t xml:space="preserve">B: </w:t>
      </w:r>
      <w:r>
        <w:t>Acronyms and abbreviations</w:t>
      </w:r>
      <w:bookmarkEnd w:id="186"/>
    </w:p>
    <w:tbl>
      <w:tblPr>
        <w:tblW w:w="0" w:type="auto"/>
        <w:tblInd w:w="113" w:type="dxa"/>
        <w:tblLayout w:type="fixed"/>
        <w:tblCellMar>
          <w:left w:w="0" w:type="dxa"/>
          <w:right w:w="0" w:type="dxa"/>
        </w:tblCellMar>
        <w:tblLook w:val="01E0" w:firstRow="1" w:lastRow="1" w:firstColumn="1" w:lastColumn="1" w:noHBand="0" w:noVBand="0"/>
      </w:tblPr>
      <w:tblGrid>
        <w:gridCol w:w="1501"/>
        <w:gridCol w:w="6039"/>
      </w:tblGrid>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ABF</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Activity</w:t>
            </w:r>
            <w:r w:rsidR="00E314B6">
              <w:rPr>
                <w:color w:val="636466"/>
                <w:sz w:val="16"/>
              </w:rPr>
              <w:t xml:space="preserve"> </w:t>
            </w:r>
            <w:r>
              <w:rPr>
                <w:color w:val="636466"/>
                <w:sz w:val="16"/>
              </w:rPr>
              <w:t>Based Funding</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AM</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Member of the Order of</w:t>
            </w:r>
            <w:r w:rsidR="00E314B6">
              <w:rPr>
                <w:color w:val="636466"/>
                <w:sz w:val="16"/>
              </w:rPr>
              <w:t xml:space="preserve"> </w:t>
            </w:r>
            <w:r>
              <w:rPr>
                <w:color w:val="636466"/>
                <w:sz w:val="16"/>
              </w:rPr>
              <w:t>Australia</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AMHCC</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Australian Mental Health Care Classification</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ANAO</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Australian</w:t>
            </w:r>
            <w:r w:rsidR="00E314B6">
              <w:rPr>
                <w:color w:val="636466"/>
                <w:sz w:val="16"/>
              </w:rPr>
              <w:t xml:space="preserve"> </w:t>
            </w:r>
            <w:r>
              <w:rPr>
                <w:color w:val="636466"/>
                <w:sz w:val="16"/>
              </w:rPr>
              <w:t>National</w:t>
            </w:r>
            <w:r w:rsidR="00E314B6">
              <w:rPr>
                <w:color w:val="636466"/>
                <w:sz w:val="16"/>
              </w:rPr>
              <w:t xml:space="preserve"> </w:t>
            </w:r>
            <w:r>
              <w:rPr>
                <w:color w:val="636466"/>
                <w:sz w:val="16"/>
              </w:rPr>
              <w:t>Audit Office</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ARC Committee</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Audit, Risk and Compliance</w:t>
            </w:r>
            <w:r w:rsidR="00E314B6">
              <w:rPr>
                <w:color w:val="636466"/>
                <w:sz w:val="16"/>
              </w:rPr>
              <w:t xml:space="preserve"> </w:t>
            </w:r>
            <w:r>
              <w:rPr>
                <w:color w:val="636466"/>
                <w:sz w:val="16"/>
              </w:rPr>
              <w:t>Committee</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AR-DRG</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Australian Refined Diagnosis Related</w:t>
            </w:r>
            <w:r w:rsidR="00E314B6">
              <w:rPr>
                <w:color w:val="636466"/>
                <w:sz w:val="16"/>
              </w:rPr>
              <w:t xml:space="preserve"> </w:t>
            </w:r>
            <w:r>
              <w:rPr>
                <w:color w:val="636466"/>
                <w:sz w:val="16"/>
              </w:rPr>
              <w:t>Groups</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CAC</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Clinical</w:t>
            </w:r>
            <w:r w:rsidR="00E314B6">
              <w:rPr>
                <w:color w:val="636466"/>
                <w:sz w:val="16"/>
              </w:rPr>
              <w:t xml:space="preserve"> </w:t>
            </w:r>
            <w:r>
              <w:rPr>
                <w:color w:val="636466"/>
                <w:sz w:val="16"/>
              </w:rPr>
              <w:t>Advisory Committee</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COAG</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Council of Australian</w:t>
            </w:r>
            <w:r w:rsidR="00E314B6">
              <w:rPr>
                <w:color w:val="636466"/>
                <w:sz w:val="16"/>
              </w:rPr>
              <w:t xml:space="preserve"> </w:t>
            </w:r>
            <w:r>
              <w:rPr>
                <w:color w:val="636466"/>
                <w:sz w:val="16"/>
              </w:rPr>
              <w:t>Governments</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JAC</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Jurisdictional</w:t>
            </w:r>
            <w:r w:rsidR="00E314B6">
              <w:rPr>
                <w:color w:val="636466"/>
                <w:sz w:val="16"/>
              </w:rPr>
              <w:t xml:space="preserve"> </w:t>
            </w:r>
            <w:r>
              <w:rPr>
                <w:color w:val="636466"/>
                <w:sz w:val="16"/>
              </w:rPr>
              <w:t>Advisory Committee</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JWP</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Joint Working Party</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IHPA</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Independent</w:t>
            </w:r>
            <w:r w:rsidR="00E314B6">
              <w:rPr>
                <w:color w:val="636466"/>
                <w:sz w:val="16"/>
              </w:rPr>
              <w:t xml:space="preserve"> </w:t>
            </w:r>
            <w:r>
              <w:rPr>
                <w:color w:val="636466"/>
                <w:sz w:val="16"/>
              </w:rPr>
              <w:t>Hospital</w:t>
            </w:r>
            <w:r w:rsidR="00E314B6">
              <w:rPr>
                <w:color w:val="636466"/>
                <w:sz w:val="16"/>
              </w:rPr>
              <w:t xml:space="preserve"> </w:t>
            </w:r>
            <w:r>
              <w:rPr>
                <w:color w:val="636466"/>
                <w:sz w:val="16"/>
              </w:rPr>
              <w:t>Pricing Authority</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proofErr w:type="spellStart"/>
            <w:r>
              <w:rPr>
                <w:rFonts w:ascii="Futura PT Heavy"/>
                <w:b/>
                <w:color w:val="636466"/>
                <w:sz w:val="16"/>
              </w:rPr>
              <w:t>MoG</w:t>
            </w:r>
            <w:proofErr w:type="spellEnd"/>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Machinery</w:t>
            </w:r>
            <w:r w:rsidR="00E314B6">
              <w:rPr>
                <w:color w:val="636466"/>
                <w:sz w:val="16"/>
              </w:rPr>
              <w:t xml:space="preserve"> </w:t>
            </w:r>
            <w:r>
              <w:rPr>
                <w:color w:val="636466"/>
                <w:sz w:val="16"/>
              </w:rPr>
              <w:t>of Government</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MoU</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Memorandum</w:t>
            </w:r>
            <w:r w:rsidR="00E314B6">
              <w:rPr>
                <w:color w:val="636466"/>
                <w:sz w:val="16"/>
              </w:rPr>
              <w:t xml:space="preserve"> </w:t>
            </w:r>
            <w:r>
              <w:rPr>
                <w:color w:val="636466"/>
                <w:sz w:val="16"/>
              </w:rPr>
              <w:t>of Understanding</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NBPD</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National</w:t>
            </w:r>
            <w:r w:rsidR="00E314B6">
              <w:rPr>
                <w:color w:val="636466"/>
                <w:sz w:val="16"/>
              </w:rPr>
              <w:t xml:space="preserve"> </w:t>
            </w:r>
            <w:r>
              <w:rPr>
                <w:color w:val="636466"/>
                <w:sz w:val="16"/>
              </w:rPr>
              <w:t>Benchmarking</w:t>
            </w:r>
            <w:r w:rsidR="00E314B6">
              <w:rPr>
                <w:color w:val="636466"/>
                <w:sz w:val="16"/>
              </w:rPr>
              <w:t xml:space="preserve"> </w:t>
            </w:r>
            <w:r>
              <w:rPr>
                <w:color w:val="636466"/>
                <w:sz w:val="16"/>
              </w:rPr>
              <w:t>Portal Development</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NEC</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National</w:t>
            </w:r>
            <w:r w:rsidR="00E314B6">
              <w:rPr>
                <w:color w:val="636466"/>
                <w:sz w:val="16"/>
              </w:rPr>
              <w:t xml:space="preserve"> </w:t>
            </w:r>
            <w:r>
              <w:rPr>
                <w:color w:val="636466"/>
                <w:sz w:val="16"/>
              </w:rPr>
              <w:t>Efficient Cost</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NEP</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National</w:t>
            </w:r>
            <w:r w:rsidR="00E314B6">
              <w:rPr>
                <w:color w:val="636466"/>
                <w:sz w:val="16"/>
              </w:rPr>
              <w:t xml:space="preserve"> </w:t>
            </w:r>
            <w:r>
              <w:rPr>
                <w:color w:val="636466"/>
                <w:sz w:val="16"/>
              </w:rPr>
              <w:t>Efficient Price</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NHCDC</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National Hospital Cost Data</w:t>
            </w:r>
            <w:r w:rsidR="00E314B6">
              <w:rPr>
                <w:color w:val="636466"/>
                <w:sz w:val="16"/>
              </w:rPr>
              <w:t xml:space="preserve"> </w:t>
            </w:r>
            <w:r>
              <w:rPr>
                <w:color w:val="636466"/>
                <w:sz w:val="16"/>
              </w:rPr>
              <w:t>Collection</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NHRA</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National Health Reform</w:t>
            </w:r>
            <w:r w:rsidR="00E314B6">
              <w:rPr>
                <w:color w:val="636466"/>
                <w:sz w:val="16"/>
              </w:rPr>
              <w:t xml:space="preserve"> </w:t>
            </w:r>
            <w:r>
              <w:rPr>
                <w:color w:val="636466"/>
                <w:sz w:val="16"/>
              </w:rPr>
              <w:t>Agreement</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NWAU</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National Weighted Activity Unit</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OAM</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Medal of the Order of</w:t>
            </w:r>
            <w:r w:rsidR="00E314B6">
              <w:rPr>
                <w:color w:val="636466"/>
                <w:sz w:val="16"/>
              </w:rPr>
              <w:t xml:space="preserve"> </w:t>
            </w:r>
            <w:r>
              <w:rPr>
                <w:color w:val="636466"/>
                <w:sz w:val="16"/>
              </w:rPr>
              <w:t>Australia</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PBS</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Portfolio</w:t>
            </w:r>
            <w:r w:rsidR="00E314B6">
              <w:rPr>
                <w:color w:val="636466"/>
                <w:sz w:val="16"/>
              </w:rPr>
              <w:t xml:space="preserve"> </w:t>
            </w:r>
            <w:r>
              <w:rPr>
                <w:color w:val="636466"/>
                <w:sz w:val="16"/>
              </w:rPr>
              <w:t>Budget Statements</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PGPA Act</w:t>
            </w:r>
          </w:p>
        </w:tc>
        <w:tc>
          <w:tcPr>
            <w:tcW w:w="6039" w:type="dxa"/>
            <w:tcBorders>
              <w:top w:val="single" w:sz="4" w:space="0" w:color="C7C8CA"/>
              <w:bottom w:val="single" w:sz="4" w:space="0" w:color="C7C8CA"/>
            </w:tcBorders>
          </w:tcPr>
          <w:p w:rsidR="00D840DF" w:rsidRDefault="00961020">
            <w:pPr>
              <w:pStyle w:val="TableParagraph"/>
              <w:spacing w:before="59"/>
              <w:ind w:left="242"/>
              <w:rPr>
                <w:i/>
                <w:sz w:val="16"/>
              </w:rPr>
            </w:pPr>
            <w:r>
              <w:rPr>
                <w:i/>
                <w:color w:val="636466"/>
                <w:sz w:val="16"/>
              </w:rPr>
              <w:t>Public Governance, Performance and Accountability Act 2013</w:t>
            </w:r>
          </w:p>
        </w:tc>
      </w:tr>
      <w:tr w:rsidR="00D840DF">
        <w:trPr>
          <w:trHeight w:val="320"/>
        </w:trPr>
        <w:tc>
          <w:tcPr>
            <w:tcW w:w="1501"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WHS</w:t>
            </w:r>
          </w:p>
        </w:tc>
        <w:tc>
          <w:tcPr>
            <w:tcW w:w="6039" w:type="dxa"/>
            <w:tcBorders>
              <w:top w:val="single" w:sz="4" w:space="0" w:color="C7C8CA"/>
              <w:bottom w:val="single" w:sz="4" w:space="0" w:color="C7C8CA"/>
            </w:tcBorders>
          </w:tcPr>
          <w:p w:rsidR="00D840DF" w:rsidRDefault="00961020">
            <w:pPr>
              <w:pStyle w:val="TableParagraph"/>
              <w:spacing w:before="59"/>
              <w:ind w:left="242"/>
              <w:rPr>
                <w:sz w:val="16"/>
              </w:rPr>
            </w:pPr>
            <w:r>
              <w:rPr>
                <w:color w:val="636466"/>
                <w:sz w:val="16"/>
              </w:rPr>
              <w:t>Work Health and Safety</w:t>
            </w:r>
          </w:p>
        </w:tc>
      </w:tr>
    </w:tbl>
    <w:p w:rsidR="00D840DF" w:rsidRDefault="00D840DF">
      <w:pPr>
        <w:rPr>
          <w:sz w:val="16"/>
        </w:rPr>
        <w:sectPr w:rsidR="00D840DF">
          <w:pgSz w:w="9980" w:h="14180"/>
          <w:pgMar w:top="1320" w:right="1200" w:bottom="280" w:left="1020" w:header="720" w:footer="720" w:gutter="0"/>
          <w:cols w:space="720"/>
        </w:sectPr>
      </w:pPr>
    </w:p>
    <w:p w:rsidR="00D840DF" w:rsidRDefault="00961020" w:rsidP="00A13FEE">
      <w:pPr>
        <w:pStyle w:val="Heading1"/>
      </w:pPr>
      <w:bookmarkStart w:id="187" w:name="Appendix_B:_Acronyms_and_abbreviations"/>
      <w:bookmarkStart w:id="188" w:name="_bookmark50"/>
      <w:bookmarkStart w:id="189" w:name="_Toc496088508"/>
      <w:bookmarkEnd w:id="187"/>
      <w:bookmarkEnd w:id="188"/>
      <w:r>
        <w:lastRenderedPageBreak/>
        <w:t>Appendix C: Glossary</w:t>
      </w:r>
      <w:bookmarkEnd w:id="189"/>
    </w:p>
    <w:p w:rsidR="00D840DF" w:rsidRDefault="00961020" w:rsidP="00A13FEE">
      <w:pPr>
        <w:pStyle w:val="Heading3"/>
      </w:pPr>
      <w:r>
        <w:t>Activity Based Funding (ABF)</w:t>
      </w:r>
    </w:p>
    <w:p w:rsidR="00D840DF" w:rsidRPr="00A13FEE" w:rsidRDefault="00961020" w:rsidP="00A13FEE">
      <w:pPr>
        <w:pStyle w:val="BodyText"/>
      </w:pPr>
      <w:r>
        <w:t>A system for funding public hospital services based on the actual number of services provided to patients and the efficient cost of delivering those services. Activity based funding uses national classifications, cost weights and nationally efficient prices to determine the amount of funding for each activity or service.</w:t>
      </w:r>
    </w:p>
    <w:p w:rsidR="00D840DF" w:rsidRDefault="00961020" w:rsidP="00A13FEE">
      <w:pPr>
        <w:pStyle w:val="Heading3"/>
      </w:pPr>
      <w:r>
        <w:t>Australian Refined-Diagnosis Related Groups (AR-DRGs)</w:t>
      </w:r>
    </w:p>
    <w:p w:rsidR="00D840DF" w:rsidRPr="00A13FEE" w:rsidRDefault="00961020">
      <w:pPr>
        <w:pStyle w:val="BodyText"/>
      </w:pPr>
      <w:r>
        <w:t>AR-DRGs is an Australian admitted patient classification system which provides a clinically</w:t>
      </w:r>
      <w:r w:rsidR="00E314B6">
        <w:t xml:space="preserve"> </w:t>
      </w:r>
      <w:r>
        <w:t xml:space="preserve">meaningful way of relating a hospital’s </w:t>
      </w:r>
      <w:proofErr w:type="spellStart"/>
      <w:r>
        <w:t>casemix</w:t>
      </w:r>
      <w:proofErr w:type="spellEnd"/>
      <w:r>
        <w:t xml:space="preserve"> to the resources required by the hospital. Each AR- DRG represents a </w:t>
      </w:r>
      <w:r w:rsidRPr="00A13FEE">
        <w:t>class</w:t>
      </w:r>
      <w:r>
        <w:t xml:space="preserve"> of patients with similar clinical conditions requiring similar hospital services. The classification </w:t>
      </w:r>
      <w:proofErr w:type="spellStart"/>
      <w:r>
        <w:t>categorises</w:t>
      </w:r>
      <w:proofErr w:type="spellEnd"/>
      <w:r>
        <w:t xml:space="preserve"> acute admitted patient episodes of care into groups with similar conditions and similar usage of hospital resources, using information in the hospital morbidity record such</w:t>
      </w:r>
      <w:r>
        <w:rPr>
          <w:spacing w:val="6"/>
        </w:rPr>
        <w:t xml:space="preserve"> </w:t>
      </w:r>
      <w:r>
        <w:t>as</w:t>
      </w:r>
      <w:r>
        <w:rPr>
          <w:spacing w:val="6"/>
        </w:rPr>
        <w:t xml:space="preserve"> </w:t>
      </w:r>
      <w:r>
        <w:t>the</w:t>
      </w:r>
      <w:r>
        <w:rPr>
          <w:spacing w:val="6"/>
        </w:rPr>
        <w:t xml:space="preserve"> </w:t>
      </w:r>
      <w:r>
        <w:t>diagnoses,</w:t>
      </w:r>
      <w:r>
        <w:rPr>
          <w:spacing w:val="6"/>
        </w:rPr>
        <w:t xml:space="preserve"> </w:t>
      </w:r>
      <w:r>
        <w:t>procedures</w:t>
      </w:r>
      <w:r>
        <w:rPr>
          <w:spacing w:val="6"/>
        </w:rPr>
        <w:t xml:space="preserve"> </w:t>
      </w:r>
      <w:r>
        <w:t>and</w:t>
      </w:r>
      <w:r>
        <w:rPr>
          <w:spacing w:val="6"/>
        </w:rPr>
        <w:t xml:space="preserve"> </w:t>
      </w:r>
      <w:r>
        <w:t>demographic</w:t>
      </w:r>
      <w:r>
        <w:rPr>
          <w:spacing w:val="6"/>
        </w:rPr>
        <w:t xml:space="preserve"> </w:t>
      </w:r>
      <w:r>
        <w:t>characteristics</w:t>
      </w:r>
      <w:r>
        <w:rPr>
          <w:spacing w:val="6"/>
        </w:rPr>
        <w:t xml:space="preserve"> </w:t>
      </w:r>
      <w:r>
        <w:t>of</w:t>
      </w:r>
      <w:r>
        <w:rPr>
          <w:spacing w:val="6"/>
        </w:rPr>
        <w:t xml:space="preserve"> </w:t>
      </w:r>
      <w:r>
        <w:t>the</w:t>
      </w:r>
      <w:r>
        <w:rPr>
          <w:spacing w:val="6"/>
        </w:rPr>
        <w:t xml:space="preserve"> </w:t>
      </w:r>
      <w:r>
        <w:t>patient.</w:t>
      </w:r>
    </w:p>
    <w:p w:rsidR="00D840DF" w:rsidRDefault="00961020" w:rsidP="00A13FEE">
      <w:pPr>
        <w:pStyle w:val="Heading3"/>
      </w:pPr>
      <w:proofErr w:type="spellStart"/>
      <w:r>
        <w:t>Backcasting</w:t>
      </w:r>
      <w:proofErr w:type="spellEnd"/>
    </w:p>
    <w:p w:rsidR="00D840DF" w:rsidRPr="00A13FEE" w:rsidRDefault="00961020" w:rsidP="00A13FEE">
      <w:pPr>
        <w:pStyle w:val="BodyText"/>
      </w:pPr>
      <w:r>
        <w:t>The process by which the effect of significant changes to the ABF classification systems</w:t>
      </w:r>
      <w:r w:rsidR="00A13FEE">
        <w:t xml:space="preserve"> </w:t>
      </w:r>
      <w:r>
        <w:t>or costing methodologies are reflected in the pricing model the year prior to implementation, for the purpose of the calculation of Commonwealth funding for each ABF service category.</w:t>
      </w:r>
    </w:p>
    <w:p w:rsidR="00D840DF" w:rsidRDefault="00961020" w:rsidP="00A13FEE">
      <w:pPr>
        <w:pStyle w:val="Heading3"/>
      </w:pPr>
      <w:r>
        <w:t>Block Funding</w:t>
      </w:r>
    </w:p>
    <w:p w:rsidR="00D840DF" w:rsidRPr="00A13FEE" w:rsidRDefault="00961020" w:rsidP="00A13FEE">
      <w:pPr>
        <w:pStyle w:val="BodyText"/>
      </w:pPr>
      <w:r>
        <w:t>A system of funding public hospital functions and services as a fixed amount based on population and previous funding.</w:t>
      </w:r>
    </w:p>
    <w:p w:rsidR="00D840DF" w:rsidRDefault="00961020" w:rsidP="00A13FEE">
      <w:pPr>
        <w:pStyle w:val="Heading3"/>
      </w:pPr>
      <w:proofErr w:type="spellStart"/>
      <w:r>
        <w:t>Casemix</w:t>
      </w:r>
      <w:proofErr w:type="spellEnd"/>
    </w:p>
    <w:p w:rsidR="00D840DF" w:rsidRPr="00A13FEE" w:rsidRDefault="00961020" w:rsidP="00A13FEE">
      <w:pPr>
        <w:pStyle w:val="BodyText"/>
      </w:pPr>
      <w:r>
        <w:t>The number and type of patients treated in a</w:t>
      </w:r>
      <w:r w:rsidR="00E314B6">
        <w:t xml:space="preserve"> </w:t>
      </w:r>
      <w:r>
        <w:t>hospital.</w:t>
      </w:r>
    </w:p>
    <w:p w:rsidR="00D840DF" w:rsidRDefault="00961020" w:rsidP="00A13FEE">
      <w:pPr>
        <w:pStyle w:val="Heading3"/>
      </w:pPr>
      <w:r>
        <w:t>Council of Australian Governments (COAG)</w:t>
      </w:r>
    </w:p>
    <w:p w:rsidR="00D840DF" w:rsidRDefault="00961020" w:rsidP="00A13FEE">
      <w:pPr>
        <w:pStyle w:val="BodyText"/>
      </w:pPr>
      <w:bookmarkStart w:id="190" w:name="Appendix_C:_Glossary"/>
      <w:bookmarkStart w:id="191" w:name="_bookmark51"/>
      <w:bookmarkEnd w:id="190"/>
      <w:bookmarkEnd w:id="191"/>
      <w:r>
        <w:rPr>
          <w:color w:val="636466"/>
        </w:rPr>
        <w:t>The Council of Australian Governments (COAG) is the peak intergovernmental forum in Australia.</w:t>
      </w:r>
    </w:p>
    <w:p w:rsidR="00D840DF" w:rsidRDefault="00961020" w:rsidP="00A13FEE">
      <w:pPr>
        <w:pStyle w:val="BodyText"/>
      </w:pPr>
      <w:r>
        <w:rPr>
          <w:color w:val="636466"/>
        </w:rPr>
        <w:t>The members include the Prime Minister, state and territory Premiers and Chief Ministers and the President of the Australian Local Government Association (ALGA). The role of COAG is</w:t>
      </w:r>
      <w:r w:rsidR="00E314B6">
        <w:rPr>
          <w:color w:val="636466"/>
        </w:rPr>
        <w:t xml:space="preserve"> </w:t>
      </w:r>
      <w:r>
        <w:rPr>
          <w:color w:val="636466"/>
        </w:rPr>
        <w:t>to</w:t>
      </w:r>
      <w:r w:rsidR="00A13FEE">
        <w:t xml:space="preserve"> </w:t>
      </w:r>
      <w:r>
        <w:rPr>
          <w:color w:val="636466"/>
        </w:rPr>
        <w:t xml:space="preserve">promote policy reforms that are of national significance, or which need </w:t>
      </w:r>
      <w:proofErr w:type="spellStart"/>
      <w:r>
        <w:rPr>
          <w:color w:val="636466"/>
        </w:rPr>
        <w:t>co-ordinated</w:t>
      </w:r>
      <w:proofErr w:type="spellEnd"/>
      <w:r>
        <w:rPr>
          <w:color w:val="636466"/>
        </w:rPr>
        <w:t xml:space="preserve"> action by all Australian governments.</w:t>
      </w:r>
    </w:p>
    <w:p w:rsidR="00D840DF" w:rsidRDefault="00961020" w:rsidP="00A13FEE">
      <w:pPr>
        <w:pStyle w:val="Heading3"/>
      </w:pPr>
      <w:r>
        <w:t>Corporate Plan</w:t>
      </w:r>
    </w:p>
    <w:p w:rsidR="00D840DF" w:rsidRPr="00A13FEE" w:rsidRDefault="00961020">
      <w:pPr>
        <w:pStyle w:val="BodyText"/>
      </w:pPr>
      <w:r>
        <w:rPr>
          <w:color w:val="636466"/>
        </w:rPr>
        <w:t xml:space="preserve">The primary strategic planning document of a Commonwealth entity, setting out the objectives, </w:t>
      </w:r>
      <w:r w:rsidRPr="00A13FEE">
        <w:lastRenderedPageBreak/>
        <w:t>capabilities and intended results over a four-year period, in accordance with its stated purposes. The Corporate</w:t>
      </w:r>
      <w:r>
        <w:rPr>
          <w:color w:val="636466"/>
        </w:rPr>
        <w:t xml:space="preserve"> Plan should provide a clear line of sight with the relevant annual performance statement, Portfolio Budget Statement and Annual</w:t>
      </w:r>
      <w:r w:rsidR="00E314B6">
        <w:rPr>
          <w:color w:val="636466"/>
        </w:rPr>
        <w:t xml:space="preserve"> </w:t>
      </w:r>
      <w:r>
        <w:rPr>
          <w:color w:val="636466"/>
        </w:rPr>
        <w:t>Report.</w:t>
      </w:r>
    </w:p>
    <w:p w:rsidR="00D840DF" w:rsidRDefault="00961020" w:rsidP="00A13FEE">
      <w:pPr>
        <w:pStyle w:val="Heading3"/>
      </w:pPr>
      <w:r>
        <w:t>Machinery of Government (</w:t>
      </w:r>
      <w:proofErr w:type="spellStart"/>
      <w:r>
        <w:t>MoG</w:t>
      </w:r>
      <w:proofErr w:type="spellEnd"/>
      <w:r>
        <w:t>)</w:t>
      </w:r>
    </w:p>
    <w:p w:rsidR="00D840DF" w:rsidRPr="00A13FEE" w:rsidRDefault="00961020" w:rsidP="00A13FEE">
      <w:pPr>
        <w:pStyle w:val="BodyText"/>
      </w:pPr>
      <w:r>
        <w:t xml:space="preserve">A Machinery of Government change occurs when the Government decides to change the way </w:t>
      </w:r>
      <w:r w:rsidRPr="00A13FEE">
        <w:t>Commonwealth</w:t>
      </w:r>
      <w:r>
        <w:t xml:space="preserve"> responsibilities are managed. It can involve the movement of functions, resources and people from one agency to another.</w:t>
      </w:r>
    </w:p>
    <w:p w:rsidR="00D840DF" w:rsidRDefault="00961020" w:rsidP="00A13FEE">
      <w:pPr>
        <w:pStyle w:val="Heading3"/>
      </w:pPr>
      <w:r>
        <w:t>Mid-Year Economic and Fiscal Outlook (MYEFO)</w:t>
      </w:r>
    </w:p>
    <w:p w:rsidR="00D840DF" w:rsidRPr="00A13FEE" w:rsidRDefault="00961020">
      <w:pPr>
        <w:pStyle w:val="BodyText"/>
      </w:pPr>
      <w:r>
        <w:t>The Mid-Year Economic and Fiscal Outlook updates the economic and fiscal outlook from the previous budget and also updates the budgetary position. In particular, the MYEFO takes account</w:t>
      </w:r>
      <w:r w:rsidR="00E314B6">
        <w:t xml:space="preserve"> </w:t>
      </w:r>
      <w:r>
        <w:t>of all decisions made since the release of the budget which affect expenses and revenue and hence revises the budget</w:t>
      </w:r>
      <w:r>
        <w:rPr>
          <w:spacing w:val="32"/>
        </w:rPr>
        <w:t xml:space="preserve"> </w:t>
      </w:r>
      <w:r>
        <w:t>aggregates.</w:t>
      </w:r>
    </w:p>
    <w:p w:rsidR="00D840DF" w:rsidRDefault="00961020" w:rsidP="00A13FEE">
      <w:pPr>
        <w:pStyle w:val="Heading3"/>
      </w:pPr>
      <w:r>
        <w:t>National Efficient Cost (NEC)</w:t>
      </w:r>
    </w:p>
    <w:p w:rsidR="00D840DF" w:rsidRPr="00A13FEE" w:rsidRDefault="00961020" w:rsidP="00A13FEE">
      <w:pPr>
        <w:pStyle w:val="BodyText"/>
      </w:pPr>
      <w:r>
        <w:t xml:space="preserve">IHPA determines a National Efficient Cost (NEC) for services that are not suitable for activity based funding, such as small </w:t>
      </w:r>
      <w:r w:rsidRPr="00A13FEE">
        <w:t>rural</w:t>
      </w:r>
      <w:r>
        <w:t xml:space="preserve"> hospitals. The NEC determines the Australian Government contribution</w:t>
      </w:r>
      <w:r w:rsidR="00E314B6">
        <w:t xml:space="preserve"> </w:t>
      </w:r>
      <w:r>
        <w:t>to block funded</w:t>
      </w:r>
      <w:r>
        <w:rPr>
          <w:spacing w:val="26"/>
        </w:rPr>
        <w:t xml:space="preserve"> </w:t>
      </w:r>
      <w:r>
        <w:t>hospitals.</w:t>
      </w:r>
    </w:p>
    <w:p w:rsidR="00D840DF" w:rsidRDefault="00961020" w:rsidP="00A13FEE">
      <w:pPr>
        <w:pStyle w:val="Heading3"/>
      </w:pPr>
      <w:r>
        <w:t>National Efficient Price (NEP)</w:t>
      </w:r>
    </w:p>
    <w:p w:rsidR="00D840DF" w:rsidRDefault="00961020" w:rsidP="00A13FEE">
      <w:pPr>
        <w:pStyle w:val="BodyText"/>
      </w:pPr>
      <w:r>
        <w:t xml:space="preserve">A base price calculated by IHPA as a benchmark to guide governments about the level of funding which would meet the average cost of providing acute care (admitted, emergency and outpatient) services in public hospitals </w:t>
      </w:r>
      <w:r w:rsidRPr="00A13FEE">
        <w:t>across</w:t>
      </w:r>
      <w:r>
        <w:t xml:space="preserve"> Australia. The national efficient price is based on the projected average cost of a National Weighted Activity Unit (NWAU) after the deduction of specified Commonwealth funded programs.</w:t>
      </w:r>
    </w:p>
    <w:p w:rsidR="00D840DF" w:rsidRDefault="00961020" w:rsidP="00A13FEE">
      <w:pPr>
        <w:pStyle w:val="Heading3"/>
      </w:pPr>
      <w:r>
        <w:t>National Health Reform Act 2011</w:t>
      </w:r>
    </w:p>
    <w:p w:rsidR="00D840DF" w:rsidRDefault="00961020" w:rsidP="00A13FEE">
      <w:pPr>
        <w:pStyle w:val="BodyText"/>
      </w:pPr>
      <w:r>
        <w:t xml:space="preserve">IHPA was </w:t>
      </w:r>
      <w:r>
        <w:rPr>
          <w:spacing w:val="1"/>
        </w:rPr>
        <w:t xml:space="preserve">established </w:t>
      </w:r>
      <w:r>
        <w:t xml:space="preserve">under </w:t>
      </w:r>
      <w:r>
        <w:rPr>
          <w:spacing w:val="1"/>
        </w:rPr>
        <w:t xml:space="preserve">the </w:t>
      </w:r>
      <w:r>
        <w:rPr>
          <w:i/>
          <w:spacing w:val="1"/>
        </w:rPr>
        <w:t xml:space="preserve">National Health Reform Act </w:t>
      </w:r>
      <w:r>
        <w:rPr>
          <w:i/>
          <w:spacing w:val="-9"/>
        </w:rPr>
        <w:t>2011</w:t>
      </w:r>
      <w:r>
        <w:rPr>
          <w:spacing w:val="-9"/>
        </w:rPr>
        <w:t xml:space="preserve">. </w:t>
      </w:r>
      <w:r>
        <w:t xml:space="preserve">The </w:t>
      </w:r>
      <w:r>
        <w:rPr>
          <w:i/>
        </w:rPr>
        <w:t xml:space="preserve">National Health Reform Act </w:t>
      </w:r>
      <w:r>
        <w:rPr>
          <w:i/>
          <w:spacing w:val="-11"/>
        </w:rPr>
        <w:t xml:space="preserve">2011 </w:t>
      </w:r>
      <w:r>
        <w:t xml:space="preserve">gave effect to the National Health Reform Agreement signed by the Australian Government and all states and territories in August </w:t>
      </w:r>
      <w:r>
        <w:rPr>
          <w:spacing w:val="-10"/>
        </w:rPr>
        <w:t>2011.</w:t>
      </w:r>
    </w:p>
    <w:p w:rsidR="00D840DF" w:rsidRDefault="00961020" w:rsidP="00A13FEE">
      <w:pPr>
        <w:pStyle w:val="Heading3"/>
      </w:pPr>
      <w:r>
        <w:t>National Health Reform Agreement</w:t>
      </w:r>
    </w:p>
    <w:p w:rsidR="00D840DF" w:rsidRPr="00A13FEE" w:rsidRDefault="00961020" w:rsidP="00A13FEE">
      <w:pPr>
        <w:pStyle w:val="BodyText"/>
      </w:pPr>
      <w:r>
        <w:t xml:space="preserve">The Agreement </w:t>
      </w:r>
      <w:r w:rsidRPr="00A13FEE">
        <w:t>outlines</w:t>
      </w:r>
      <w:r>
        <w:t xml:space="preserve"> the funding, governance, and performance arrangements for the delivery of public hospital services in Australia. The Agreement was entered into by all states, territories and the Australian Government in August 2011.</w:t>
      </w:r>
    </w:p>
    <w:p w:rsidR="00D840DF" w:rsidRDefault="00961020" w:rsidP="00A13FEE">
      <w:pPr>
        <w:pStyle w:val="Heading3"/>
      </w:pPr>
      <w:r>
        <w:t>National Weighted Activity Unit (NWAU)</w:t>
      </w:r>
    </w:p>
    <w:p w:rsidR="00D840DF" w:rsidRDefault="00961020" w:rsidP="00A13FEE">
      <w:pPr>
        <w:pStyle w:val="BodyText"/>
      </w:pPr>
      <w:r>
        <w:t xml:space="preserve">An </w:t>
      </w:r>
      <w:r>
        <w:rPr>
          <w:spacing w:val="-3"/>
        </w:rPr>
        <w:t xml:space="preserve">NWAU </w:t>
      </w:r>
      <w:r>
        <w:t xml:space="preserve">is a measure of </w:t>
      </w:r>
      <w:r w:rsidRPr="00A13FEE">
        <w:t>health</w:t>
      </w:r>
      <w:r>
        <w:t xml:space="preserve"> service activity expressed as a common unit, against which the National Efficient Price is paid. It provides a way of comparing and valuing each public hospital service (whether it is an admission, emergency department presentations or outpatient episode), by weighting it for its clinical</w:t>
      </w:r>
      <w:r>
        <w:rPr>
          <w:spacing w:val="32"/>
        </w:rPr>
        <w:t xml:space="preserve"> </w:t>
      </w:r>
      <w:r>
        <w:t>complexity.</w:t>
      </w:r>
    </w:p>
    <w:p w:rsidR="00D840DF" w:rsidRPr="00A13FEE" w:rsidRDefault="00961020">
      <w:pPr>
        <w:pStyle w:val="BodyText"/>
      </w:pPr>
      <w:r>
        <w:lastRenderedPageBreak/>
        <w:t>The average hospital service is worth one NWAU—the most intensive and expensive activities are worth multiple NWAUs, the simplest and least expensive are worth fractions of an NWAU.</w:t>
      </w:r>
    </w:p>
    <w:p w:rsidR="00D840DF" w:rsidRDefault="00961020" w:rsidP="00A13FEE">
      <w:pPr>
        <w:pStyle w:val="Heading3"/>
      </w:pPr>
      <w:r>
        <w:t>Protective Security Policy Framework (PSPF)</w:t>
      </w:r>
    </w:p>
    <w:p w:rsidR="00D840DF" w:rsidRPr="00A13FEE" w:rsidRDefault="00961020">
      <w:pPr>
        <w:pStyle w:val="BodyText"/>
      </w:pPr>
      <w:r>
        <w:t xml:space="preserve">The PSPF provides policy, guidance and better practice advice for governance, personnel, physical and information security. The 36 mandatory requirements assist agency heads to identify their </w:t>
      </w:r>
      <w:r w:rsidRPr="00A13FEE">
        <w:t>responsibilities</w:t>
      </w:r>
      <w:r>
        <w:t xml:space="preserve"> to manage security risks to their people, information and assets.</w:t>
      </w:r>
    </w:p>
    <w:p w:rsidR="00D840DF" w:rsidRDefault="00961020" w:rsidP="00A13FEE">
      <w:pPr>
        <w:pStyle w:val="Heading3"/>
        <w:rPr>
          <w:i/>
        </w:rPr>
      </w:pPr>
      <w:r>
        <w:t xml:space="preserve">Public Governance, Performance and Accountability Act 2013 </w:t>
      </w:r>
      <w:r>
        <w:rPr>
          <w:i/>
        </w:rPr>
        <w:t>(PGPA ACT)</w:t>
      </w:r>
    </w:p>
    <w:p w:rsidR="00D840DF" w:rsidRPr="00A13FEE" w:rsidRDefault="00961020" w:rsidP="00A13FEE">
      <w:pPr>
        <w:pStyle w:val="BodyText"/>
      </w:pPr>
      <w:r>
        <w:t xml:space="preserve">The PGPA </w:t>
      </w:r>
      <w:r w:rsidRPr="00A13FEE">
        <w:t>Act establishes a coherent system of governance and accountability for public</w:t>
      </w:r>
      <w:r w:rsidR="00E314B6">
        <w:t xml:space="preserve"> </w:t>
      </w:r>
      <w:r w:rsidRPr="00A13FEE">
        <w:t>resources, w</w:t>
      </w:r>
      <w:r>
        <w:t>ith an emphasis on planning, performance and reporting. The PGPA Act applies to all Commonwealth entities and Commonwealth</w:t>
      </w:r>
      <w:r w:rsidR="00E314B6">
        <w:t xml:space="preserve"> </w:t>
      </w:r>
      <w:r>
        <w:t>companies.</w:t>
      </w:r>
    </w:p>
    <w:p w:rsidR="00D840DF" w:rsidRPr="00A13FEE" w:rsidRDefault="00961020" w:rsidP="00A13FEE">
      <w:pPr>
        <w:pStyle w:val="Heading3"/>
        <w:rPr>
          <w:sz w:val="16"/>
        </w:rPr>
      </w:pPr>
      <w:r>
        <w:t>Work Program</w:t>
      </w:r>
    </w:p>
    <w:p w:rsidR="00D840DF" w:rsidRDefault="00961020" w:rsidP="00A13FEE">
      <w:pPr>
        <w:pStyle w:val="BodyText"/>
      </w:pPr>
      <w:r>
        <w:t xml:space="preserve">Each year IPHA consults on and publishes a Work Program for the year ahead. As prescribed in s 225 of the </w:t>
      </w:r>
      <w:r>
        <w:rPr>
          <w:i/>
        </w:rPr>
        <w:t xml:space="preserve">National Health Reform Act </w:t>
      </w:r>
      <w:r>
        <w:rPr>
          <w:i/>
          <w:spacing w:val="-10"/>
        </w:rPr>
        <w:t>2011</w:t>
      </w:r>
      <w:r>
        <w:rPr>
          <w:spacing w:val="-10"/>
        </w:rPr>
        <w:t xml:space="preserve">, </w:t>
      </w:r>
      <w:r>
        <w:t xml:space="preserve">the objectives of the IHPA Work Program are to: set out </w:t>
      </w:r>
      <w:r>
        <w:rPr>
          <w:spacing w:val="-5"/>
        </w:rPr>
        <w:t xml:space="preserve">IHPA’s </w:t>
      </w:r>
      <w:r>
        <w:t xml:space="preserve">work program for the coming year; and invite interested persons (including states and territories) to make </w:t>
      </w:r>
      <w:r w:rsidRPr="00A13FEE">
        <w:t>submissions</w:t>
      </w:r>
      <w:r>
        <w:t xml:space="preserve"> to the Pricing Authority about the work program up to 30 days after publication. IHPA Work Programs are available at</w:t>
      </w:r>
      <w:r>
        <w:rPr>
          <w:spacing w:val="18"/>
        </w:rPr>
        <w:t xml:space="preserve"> </w:t>
      </w:r>
      <w:hyperlink r:id="rId38">
        <w:r>
          <w:rPr>
            <w:color w:val="008F54"/>
            <w:u w:val="single" w:color="008F54"/>
          </w:rPr>
          <w:t>www.ihpa.gov.au/publications</w:t>
        </w:r>
      </w:hyperlink>
      <w:r>
        <w:t>.</w:t>
      </w:r>
    </w:p>
    <w:p w:rsidR="00D840DF" w:rsidRDefault="00D840DF">
      <w:pPr>
        <w:spacing w:line="256" w:lineRule="auto"/>
        <w:sectPr w:rsidR="00D840DF">
          <w:pgSz w:w="9980" w:h="14180"/>
          <w:pgMar w:top="1320" w:right="1360" w:bottom="280" w:left="1020" w:header="720" w:footer="720" w:gutter="0"/>
          <w:cols w:space="720"/>
        </w:sectPr>
      </w:pPr>
    </w:p>
    <w:p w:rsidR="00D840DF" w:rsidRDefault="00961020" w:rsidP="00A13FEE">
      <w:pPr>
        <w:pStyle w:val="Heading1"/>
      </w:pPr>
      <w:bookmarkStart w:id="192" w:name="Appendix_D:_Compliance_index"/>
      <w:bookmarkStart w:id="193" w:name="_bookmark52"/>
      <w:bookmarkStart w:id="194" w:name="_Toc496088509"/>
      <w:bookmarkEnd w:id="192"/>
      <w:bookmarkEnd w:id="193"/>
      <w:r>
        <w:lastRenderedPageBreak/>
        <w:t>Appendix D: Compliance index</w:t>
      </w:r>
      <w:bookmarkEnd w:id="194"/>
    </w:p>
    <w:p w:rsidR="00D840DF" w:rsidRPr="00A13FEE" w:rsidRDefault="00961020" w:rsidP="00A13FEE">
      <w:pPr>
        <w:pStyle w:val="BodyText"/>
      </w:pPr>
      <w:r>
        <w:t xml:space="preserve">The Independent Hospital Pricing Authority, as a corporate Commonwealth entity, has prepared this annual report in accordance with Section 17BA of the Public Governance, </w:t>
      </w:r>
      <w:proofErr w:type="spellStart"/>
      <w:r>
        <w:t>Performanceand</w:t>
      </w:r>
      <w:proofErr w:type="spellEnd"/>
      <w:r>
        <w:t xml:space="preserve"> Accountability Rule 2014, and section 46 of the </w:t>
      </w:r>
      <w:r>
        <w:rPr>
          <w:i/>
        </w:rPr>
        <w:t>Public Governance, Performance and Accountability</w:t>
      </w:r>
      <w:r w:rsidR="00E314B6">
        <w:rPr>
          <w:i/>
        </w:rPr>
        <w:t xml:space="preserve"> </w:t>
      </w:r>
      <w:r>
        <w:rPr>
          <w:i/>
        </w:rPr>
        <w:t>Act 2013</w:t>
      </w:r>
      <w:r>
        <w:t>.</w:t>
      </w:r>
    </w:p>
    <w:tbl>
      <w:tblPr>
        <w:tblW w:w="0" w:type="auto"/>
        <w:tblInd w:w="103" w:type="dxa"/>
        <w:tblLayout w:type="fixed"/>
        <w:tblCellMar>
          <w:left w:w="0" w:type="dxa"/>
          <w:right w:w="0" w:type="dxa"/>
        </w:tblCellMar>
        <w:tblLook w:val="01E0" w:firstRow="1" w:lastRow="1" w:firstColumn="1" w:lastColumn="1" w:noHBand="0" w:noVBand="0"/>
      </w:tblPr>
      <w:tblGrid>
        <w:gridCol w:w="5675"/>
        <w:gridCol w:w="1865"/>
      </w:tblGrid>
      <w:tr w:rsidR="00D840DF">
        <w:trPr>
          <w:trHeight w:val="340"/>
        </w:trPr>
        <w:tc>
          <w:tcPr>
            <w:tcW w:w="5675" w:type="dxa"/>
            <w:shd w:val="clear" w:color="auto" w:fill="008F54"/>
          </w:tcPr>
          <w:p w:rsidR="00D840DF" w:rsidRDefault="00961020">
            <w:pPr>
              <w:pStyle w:val="TableParagraph"/>
              <w:spacing w:before="62"/>
              <w:ind w:left="113"/>
              <w:rPr>
                <w:rFonts w:ascii="Futura PT Demi"/>
                <w:sz w:val="17"/>
              </w:rPr>
            </w:pPr>
            <w:r>
              <w:rPr>
                <w:rFonts w:ascii="Futura PT Demi"/>
                <w:color w:val="FFFFFF"/>
                <w:sz w:val="17"/>
              </w:rPr>
              <w:t>REQUIREMENT</w:t>
            </w:r>
          </w:p>
        </w:tc>
        <w:tc>
          <w:tcPr>
            <w:tcW w:w="1865" w:type="dxa"/>
            <w:shd w:val="clear" w:color="auto" w:fill="008F54"/>
          </w:tcPr>
          <w:p w:rsidR="00D840DF" w:rsidRDefault="00961020">
            <w:pPr>
              <w:pStyle w:val="TableParagraph"/>
              <w:spacing w:before="62"/>
              <w:ind w:left="621" w:right="386"/>
              <w:jc w:val="center"/>
              <w:rPr>
                <w:rFonts w:ascii="Futura PT Demi"/>
                <w:sz w:val="17"/>
              </w:rPr>
            </w:pPr>
            <w:r>
              <w:rPr>
                <w:rFonts w:ascii="Futura PT Demi"/>
                <w:color w:val="FFFFFF"/>
                <w:sz w:val="17"/>
              </w:rPr>
              <w:t>LOCATION</w:t>
            </w:r>
          </w:p>
        </w:tc>
      </w:tr>
      <w:tr w:rsidR="00D840DF">
        <w:trPr>
          <w:trHeight w:val="320"/>
        </w:trPr>
        <w:tc>
          <w:tcPr>
            <w:tcW w:w="5675" w:type="dxa"/>
            <w:tcBorders>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Approval by the Accountable</w:t>
            </w:r>
            <w:r w:rsidR="00E314B6">
              <w:rPr>
                <w:rFonts w:ascii="Futura PT Heavy"/>
                <w:b/>
                <w:color w:val="636466"/>
                <w:sz w:val="16"/>
              </w:rPr>
              <w:t xml:space="preserve"> </w:t>
            </w:r>
            <w:r>
              <w:rPr>
                <w:rFonts w:ascii="Futura PT Heavy"/>
                <w:b/>
                <w:color w:val="636466"/>
                <w:sz w:val="16"/>
              </w:rPr>
              <w:t>Authority</w:t>
            </w:r>
          </w:p>
        </w:tc>
        <w:tc>
          <w:tcPr>
            <w:tcW w:w="1865" w:type="dxa"/>
            <w:tcBorders>
              <w:bottom w:val="single" w:sz="4" w:space="0" w:color="C7C8CA"/>
            </w:tcBorders>
          </w:tcPr>
          <w:p w:rsidR="00D840DF" w:rsidRDefault="00961020">
            <w:pPr>
              <w:pStyle w:val="TableParagraph"/>
              <w:spacing w:before="59"/>
              <w:ind w:left="235"/>
              <w:jc w:val="center"/>
              <w:rPr>
                <w:sz w:val="16"/>
              </w:rPr>
            </w:pPr>
            <w:r>
              <w:rPr>
                <w:color w:val="636466"/>
                <w:sz w:val="16"/>
              </w:rPr>
              <w:t>5</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Enabling</w:t>
            </w:r>
            <w:r w:rsidR="00E314B6">
              <w:rPr>
                <w:rFonts w:ascii="Futura PT Heavy"/>
                <w:b/>
                <w:color w:val="636466"/>
                <w:sz w:val="16"/>
              </w:rPr>
              <w:t xml:space="preserve"> </w:t>
            </w:r>
            <w:r>
              <w:rPr>
                <w:rFonts w:ascii="Futura PT Heavy"/>
                <w:b/>
                <w:color w:val="636466"/>
                <w:sz w:val="16"/>
              </w:rPr>
              <w:t>legislation</w:t>
            </w:r>
          </w:p>
        </w:tc>
        <w:tc>
          <w:tcPr>
            <w:tcW w:w="1865" w:type="dxa"/>
            <w:tcBorders>
              <w:top w:val="single" w:sz="4" w:space="0" w:color="C7C8CA"/>
              <w:bottom w:val="single" w:sz="4" w:space="0" w:color="C7C8CA"/>
            </w:tcBorders>
          </w:tcPr>
          <w:p w:rsidR="00D840DF" w:rsidRDefault="00961020">
            <w:pPr>
              <w:pStyle w:val="TableParagraph"/>
              <w:spacing w:before="59"/>
              <w:ind w:left="235"/>
              <w:jc w:val="center"/>
              <w:rPr>
                <w:sz w:val="16"/>
              </w:rPr>
            </w:pPr>
            <w:r>
              <w:rPr>
                <w:color w:val="636466"/>
                <w:sz w:val="16"/>
              </w:rPr>
              <w:t>8</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Responsible Minister</w:t>
            </w:r>
          </w:p>
        </w:tc>
        <w:tc>
          <w:tcPr>
            <w:tcW w:w="1865" w:type="dxa"/>
            <w:tcBorders>
              <w:top w:val="single" w:sz="4" w:space="0" w:color="C7C8CA"/>
              <w:bottom w:val="single" w:sz="4" w:space="0" w:color="C7C8CA"/>
            </w:tcBorders>
          </w:tcPr>
          <w:p w:rsidR="00D840DF" w:rsidRDefault="00961020">
            <w:pPr>
              <w:pStyle w:val="TableParagraph"/>
              <w:spacing w:before="59"/>
              <w:ind w:left="615" w:right="386"/>
              <w:jc w:val="center"/>
              <w:rPr>
                <w:sz w:val="16"/>
              </w:rPr>
            </w:pPr>
            <w:r>
              <w:rPr>
                <w:color w:val="636466"/>
                <w:sz w:val="16"/>
              </w:rPr>
              <w:t>10</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Ministerial directions and government policy orders</w:t>
            </w:r>
          </w:p>
        </w:tc>
        <w:tc>
          <w:tcPr>
            <w:tcW w:w="1865" w:type="dxa"/>
            <w:tcBorders>
              <w:top w:val="single" w:sz="4" w:space="0" w:color="C7C8CA"/>
              <w:bottom w:val="single" w:sz="4" w:space="0" w:color="C7C8CA"/>
            </w:tcBorders>
          </w:tcPr>
          <w:p w:rsidR="00D840DF" w:rsidRDefault="00961020">
            <w:pPr>
              <w:pStyle w:val="TableParagraph"/>
              <w:spacing w:before="59"/>
              <w:ind w:left="615" w:right="386"/>
              <w:jc w:val="center"/>
              <w:rPr>
                <w:sz w:val="16"/>
              </w:rPr>
            </w:pPr>
            <w:r>
              <w:rPr>
                <w:color w:val="636466"/>
                <w:sz w:val="16"/>
              </w:rPr>
              <w:t>10</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Annual</w:t>
            </w:r>
            <w:r w:rsidR="00E314B6">
              <w:rPr>
                <w:rFonts w:ascii="Futura PT Heavy"/>
                <w:b/>
                <w:color w:val="636466"/>
                <w:sz w:val="16"/>
              </w:rPr>
              <w:t xml:space="preserve"> </w:t>
            </w:r>
            <w:r>
              <w:rPr>
                <w:rFonts w:ascii="Futura PT Heavy"/>
                <w:b/>
                <w:color w:val="636466"/>
                <w:sz w:val="16"/>
              </w:rPr>
              <w:t>Performance Statements</w:t>
            </w:r>
          </w:p>
        </w:tc>
        <w:tc>
          <w:tcPr>
            <w:tcW w:w="1865" w:type="dxa"/>
            <w:tcBorders>
              <w:top w:val="single" w:sz="4" w:space="0" w:color="C7C8CA"/>
              <w:bottom w:val="single" w:sz="4" w:space="0" w:color="C7C8CA"/>
            </w:tcBorders>
          </w:tcPr>
          <w:p w:rsidR="00D840DF" w:rsidRDefault="00961020">
            <w:pPr>
              <w:pStyle w:val="TableParagraph"/>
              <w:spacing w:before="59"/>
              <w:ind w:left="621" w:right="382"/>
              <w:jc w:val="center"/>
              <w:rPr>
                <w:sz w:val="16"/>
              </w:rPr>
            </w:pPr>
            <w:r>
              <w:rPr>
                <w:color w:val="636466"/>
                <w:sz w:val="16"/>
              </w:rPr>
              <w:t>45</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Significant non-compliance with</w:t>
            </w:r>
            <w:r w:rsidR="00E314B6">
              <w:rPr>
                <w:rFonts w:ascii="Futura PT Heavy"/>
                <w:b/>
                <w:color w:val="636466"/>
                <w:sz w:val="16"/>
              </w:rPr>
              <w:t xml:space="preserve"> </w:t>
            </w:r>
            <w:r>
              <w:rPr>
                <w:rFonts w:ascii="Futura PT Heavy"/>
                <w:b/>
                <w:color w:val="636466"/>
                <w:sz w:val="16"/>
              </w:rPr>
              <w:t>finance law</w:t>
            </w:r>
          </w:p>
        </w:tc>
        <w:tc>
          <w:tcPr>
            <w:tcW w:w="1865" w:type="dxa"/>
            <w:tcBorders>
              <w:top w:val="single" w:sz="4" w:space="0" w:color="C7C8CA"/>
              <w:bottom w:val="single" w:sz="4" w:space="0" w:color="C7C8CA"/>
            </w:tcBorders>
          </w:tcPr>
          <w:p w:rsidR="00D840DF" w:rsidRDefault="00961020">
            <w:pPr>
              <w:pStyle w:val="TableParagraph"/>
              <w:spacing w:before="59"/>
              <w:ind w:left="608" w:right="386"/>
              <w:jc w:val="center"/>
              <w:rPr>
                <w:sz w:val="16"/>
              </w:rPr>
            </w:pPr>
            <w:r>
              <w:rPr>
                <w:color w:val="636466"/>
                <w:sz w:val="16"/>
              </w:rPr>
              <w:t>n/a</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Information about the Accountable Authority</w:t>
            </w:r>
          </w:p>
        </w:tc>
        <w:tc>
          <w:tcPr>
            <w:tcW w:w="1865" w:type="dxa"/>
            <w:tcBorders>
              <w:top w:val="single" w:sz="4" w:space="0" w:color="C7C8CA"/>
              <w:bottom w:val="single" w:sz="4" w:space="0" w:color="C7C8CA"/>
            </w:tcBorders>
          </w:tcPr>
          <w:p w:rsidR="00D840DF" w:rsidRDefault="00961020">
            <w:pPr>
              <w:pStyle w:val="TableParagraph"/>
              <w:spacing w:before="59"/>
              <w:ind w:left="621" w:right="386"/>
              <w:jc w:val="center"/>
              <w:rPr>
                <w:sz w:val="16"/>
              </w:rPr>
            </w:pPr>
            <w:r>
              <w:rPr>
                <w:color w:val="636466"/>
                <w:sz w:val="16"/>
              </w:rPr>
              <w:t>5, 43</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proofErr w:type="spellStart"/>
            <w:r>
              <w:rPr>
                <w:rFonts w:ascii="Futura PT Heavy"/>
                <w:b/>
                <w:color w:val="636466"/>
                <w:sz w:val="16"/>
              </w:rPr>
              <w:t>Organisational</w:t>
            </w:r>
            <w:proofErr w:type="spellEnd"/>
            <w:r w:rsidR="00E314B6">
              <w:rPr>
                <w:rFonts w:ascii="Futura PT Heavy"/>
                <w:b/>
                <w:color w:val="636466"/>
                <w:sz w:val="16"/>
              </w:rPr>
              <w:t xml:space="preserve"> </w:t>
            </w:r>
            <w:r>
              <w:rPr>
                <w:rFonts w:ascii="Futura PT Heavy"/>
                <w:b/>
                <w:color w:val="636466"/>
                <w:sz w:val="16"/>
              </w:rPr>
              <w:t>structure</w:t>
            </w:r>
            <w:r w:rsidR="00E314B6">
              <w:rPr>
                <w:rFonts w:ascii="Futura PT Heavy"/>
                <w:b/>
                <w:color w:val="636466"/>
                <w:sz w:val="16"/>
              </w:rPr>
              <w:t xml:space="preserve"> </w:t>
            </w:r>
            <w:r>
              <w:rPr>
                <w:rFonts w:ascii="Futura PT Heavy"/>
                <w:b/>
                <w:color w:val="636466"/>
                <w:sz w:val="16"/>
              </w:rPr>
              <w:t>and location</w:t>
            </w:r>
          </w:p>
        </w:tc>
        <w:tc>
          <w:tcPr>
            <w:tcW w:w="1865" w:type="dxa"/>
            <w:tcBorders>
              <w:top w:val="single" w:sz="4" w:space="0" w:color="C7C8CA"/>
              <w:bottom w:val="single" w:sz="4" w:space="0" w:color="C7C8CA"/>
            </w:tcBorders>
          </w:tcPr>
          <w:p w:rsidR="00D840DF" w:rsidRDefault="00961020">
            <w:pPr>
              <w:pStyle w:val="TableParagraph"/>
              <w:spacing w:before="59"/>
              <w:ind w:left="621" w:right="386"/>
              <w:jc w:val="center"/>
              <w:rPr>
                <w:sz w:val="16"/>
              </w:rPr>
            </w:pPr>
            <w:r>
              <w:rPr>
                <w:color w:val="636466"/>
                <w:sz w:val="16"/>
              </w:rPr>
              <w:t>13, 14</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Statement</w:t>
            </w:r>
            <w:r w:rsidR="00E314B6">
              <w:rPr>
                <w:rFonts w:ascii="Futura PT Heavy"/>
                <w:b/>
                <w:color w:val="636466"/>
                <w:sz w:val="16"/>
              </w:rPr>
              <w:t xml:space="preserve"> </w:t>
            </w:r>
            <w:r>
              <w:rPr>
                <w:rFonts w:ascii="Futura PT Heavy"/>
                <w:b/>
                <w:color w:val="636466"/>
                <w:sz w:val="16"/>
              </w:rPr>
              <w:t>on governance</w:t>
            </w:r>
          </w:p>
        </w:tc>
        <w:tc>
          <w:tcPr>
            <w:tcW w:w="1865" w:type="dxa"/>
            <w:tcBorders>
              <w:top w:val="single" w:sz="4" w:space="0" w:color="C7C8CA"/>
              <w:bottom w:val="single" w:sz="4" w:space="0" w:color="C7C8CA"/>
            </w:tcBorders>
          </w:tcPr>
          <w:p w:rsidR="00D840DF" w:rsidRDefault="00961020">
            <w:pPr>
              <w:pStyle w:val="TableParagraph"/>
              <w:spacing w:before="59"/>
              <w:ind w:left="612" w:right="386"/>
              <w:jc w:val="center"/>
              <w:rPr>
                <w:sz w:val="16"/>
              </w:rPr>
            </w:pPr>
            <w:r>
              <w:rPr>
                <w:color w:val="636466"/>
                <w:sz w:val="16"/>
              </w:rPr>
              <w:t>15, 16</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Related</w:t>
            </w:r>
            <w:r w:rsidR="00E314B6">
              <w:rPr>
                <w:rFonts w:ascii="Futura PT Heavy"/>
                <w:b/>
                <w:color w:val="636466"/>
                <w:sz w:val="16"/>
              </w:rPr>
              <w:t xml:space="preserve"> </w:t>
            </w:r>
            <w:r>
              <w:rPr>
                <w:rFonts w:ascii="Futura PT Heavy"/>
                <w:b/>
                <w:color w:val="636466"/>
                <w:sz w:val="16"/>
              </w:rPr>
              <w:t>entity transactions</w:t>
            </w:r>
          </w:p>
        </w:tc>
        <w:tc>
          <w:tcPr>
            <w:tcW w:w="1865" w:type="dxa"/>
            <w:tcBorders>
              <w:top w:val="single" w:sz="4" w:space="0" w:color="C7C8CA"/>
              <w:bottom w:val="single" w:sz="4" w:space="0" w:color="C7C8CA"/>
            </w:tcBorders>
          </w:tcPr>
          <w:p w:rsidR="00D840DF" w:rsidRDefault="00961020">
            <w:pPr>
              <w:pStyle w:val="TableParagraph"/>
              <w:spacing w:before="59"/>
              <w:ind w:left="608" w:right="386"/>
              <w:jc w:val="center"/>
              <w:rPr>
                <w:sz w:val="16"/>
              </w:rPr>
            </w:pPr>
            <w:r>
              <w:rPr>
                <w:color w:val="636466"/>
                <w:sz w:val="16"/>
              </w:rPr>
              <w:t>n/a</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Significant activities and changes affecting the entity</w:t>
            </w:r>
          </w:p>
        </w:tc>
        <w:tc>
          <w:tcPr>
            <w:tcW w:w="1865" w:type="dxa"/>
            <w:tcBorders>
              <w:top w:val="single" w:sz="4" w:space="0" w:color="C7C8CA"/>
              <w:bottom w:val="single" w:sz="4" w:space="0" w:color="C7C8CA"/>
            </w:tcBorders>
          </w:tcPr>
          <w:p w:rsidR="00D840DF" w:rsidRDefault="00961020">
            <w:pPr>
              <w:pStyle w:val="TableParagraph"/>
              <w:spacing w:before="59"/>
              <w:ind w:left="608" w:right="386"/>
              <w:jc w:val="center"/>
              <w:rPr>
                <w:sz w:val="16"/>
              </w:rPr>
            </w:pPr>
            <w:r>
              <w:rPr>
                <w:color w:val="636466"/>
                <w:sz w:val="16"/>
              </w:rPr>
              <w:t>n/a</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Judicial decisions and reviews by outside</w:t>
            </w:r>
            <w:r w:rsidR="00E314B6">
              <w:rPr>
                <w:rFonts w:ascii="Futura PT Heavy"/>
                <w:b/>
                <w:color w:val="636466"/>
                <w:sz w:val="16"/>
              </w:rPr>
              <w:t xml:space="preserve"> </w:t>
            </w:r>
            <w:r>
              <w:rPr>
                <w:rFonts w:ascii="Futura PT Heavy"/>
                <w:b/>
                <w:color w:val="636466"/>
                <w:sz w:val="16"/>
              </w:rPr>
              <w:t>bodies</w:t>
            </w:r>
          </w:p>
        </w:tc>
        <w:tc>
          <w:tcPr>
            <w:tcW w:w="1865" w:type="dxa"/>
            <w:tcBorders>
              <w:top w:val="single" w:sz="4" w:space="0" w:color="C7C8CA"/>
              <w:bottom w:val="single" w:sz="4" w:space="0" w:color="C7C8CA"/>
            </w:tcBorders>
          </w:tcPr>
          <w:p w:rsidR="00D840DF" w:rsidRDefault="00961020">
            <w:pPr>
              <w:pStyle w:val="TableParagraph"/>
              <w:spacing w:before="59"/>
              <w:ind w:left="608" w:right="386"/>
              <w:jc w:val="center"/>
              <w:rPr>
                <w:sz w:val="16"/>
              </w:rPr>
            </w:pPr>
            <w:r>
              <w:rPr>
                <w:color w:val="636466"/>
                <w:sz w:val="16"/>
              </w:rPr>
              <w:t>n/a</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Obtaining</w:t>
            </w:r>
            <w:r w:rsidR="00E314B6">
              <w:rPr>
                <w:rFonts w:ascii="Futura PT Heavy"/>
                <w:b/>
                <w:color w:val="636466"/>
                <w:sz w:val="16"/>
              </w:rPr>
              <w:t xml:space="preserve"> </w:t>
            </w:r>
            <w:r>
              <w:rPr>
                <w:rFonts w:ascii="Futura PT Heavy"/>
                <w:b/>
                <w:color w:val="636466"/>
                <w:sz w:val="16"/>
              </w:rPr>
              <w:t>information</w:t>
            </w:r>
            <w:r w:rsidR="00E314B6">
              <w:rPr>
                <w:rFonts w:ascii="Futura PT Heavy"/>
                <w:b/>
                <w:color w:val="636466"/>
                <w:sz w:val="16"/>
              </w:rPr>
              <w:t xml:space="preserve"> </w:t>
            </w:r>
            <w:r>
              <w:rPr>
                <w:rFonts w:ascii="Futura PT Heavy"/>
                <w:b/>
                <w:color w:val="636466"/>
                <w:sz w:val="16"/>
              </w:rPr>
              <w:t>from subsidiaries</w:t>
            </w:r>
          </w:p>
        </w:tc>
        <w:tc>
          <w:tcPr>
            <w:tcW w:w="1865" w:type="dxa"/>
            <w:tcBorders>
              <w:top w:val="single" w:sz="4" w:space="0" w:color="C7C8CA"/>
              <w:bottom w:val="single" w:sz="4" w:space="0" w:color="C7C8CA"/>
            </w:tcBorders>
          </w:tcPr>
          <w:p w:rsidR="00D840DF" w:rsidRDefault="00961020">
            <w:pPr>
              <w:pStyle w:val="TableParagraph"/>
              <w:spacing w:before="59"/>
              <w:ind w:left="608" w:right="386"/>
              <w:jc w:val="center"/>
              <w:rPr>
                <w:sz w:val="16"/>
              </w:rPr>
            </w:pPr>
            <w:r>
              <w:rPr>
                <w:color w:val="636466"/>
                <w:sz w:val="16"/>
              </w:rPr>
              <w:t>n/a</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Indemnities</w:t>
            </w:r>
            <w:r w:rsidR="00E314B6">
              <w:rPr>
                <w:rFonts w:ascii="Futura PT Heavy"/>
                <w:b/>
                <w:color w:val="636466"/>
                <w:sz w:val="16"/>
              </w:rPr>
              <w:t xml:space="preserve"> </w:t>
            </w:r>
            <w:r>
              <w:rPr>
                <w:rFonts w:ascii="Futura PT Heavy"/>
                <w:b/>
                <w:color w:val="636466"/>
                <w:sz w:val="16"/>
              </w:rPr>
              <w:t>and</w:t>
            </w:r>
            <w:r w:rsidR="00E314B6">
              <w:rPr>
                <w:rFonts w:ascii="Futura PT Heavy"/>
                <w:b/>
                <w:color w:val="636466"/>
                <w:sz w:val="16"/>
              </w:rPr>
              <w:t xml:space="preserve"> </w:t>
            </w:r>
            <w:r>
              <w:rPr>
                <w:rFonts w:ascii="Futura PT Heavy"/>
                <w:b/>
                <w:color w:val="636466"/>
                <w:sz w:val="16"/>
              </w:rPr>
              <w:t>insurance premiums</w:t>
            </w:r>
          </w:p>
        </w:tc>
        <w:tc>
          <w:tcPr>
            <w:tcW w:w="1865" w:type="dxa"/>
            <w:tcBorders>
              <w:top w:val="single" w:sz="4" w:space="0" w:color="C7C8CA"/>
              <w:bottom w:val="single" w:sz="4" w:space="0" w:color="C7C8CA"/>
            </w:tcBorders>
          </w:tcPr>
          <w:p w:rsidR="00D840DF" w:rsidRDefault="00961020">
            <w:pPr>
              <w:pStyle w:val="TableParagraph"/>
              <w:spacing w:before="59"/>
              <w:ind w:left="608" w:right="386"/>
              <w:jc w:val="center"/>
              <w:rPr>
                <w:sz w:val="16"/>
              </w:rPr>
            </w:pPr>
            <w:r>
              <w:rPr>
                <w:color w:val="636466"/>
                <w:sz w:val="16"/>
              </w:rPr>
              <w:t>n/a</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Financial</w:t>
            </w:r>
            <w:r w:rsidR="00E314B6">
              <w:rPr>
                <w:rFonts w:ascii="Futura PT Heavy"/>
                <w:b/>
                <w:color w:val="636466"/>
                <w:sz w:val="16"/>
              </w:rPr>
              <w:t xml:space="preserve"> </w:t>
            </w:r>
            <w:r>
              <w:rPr>
                <w:rFonts w:ascii="Futura PT Heavy"/>
                <w:b/>
                <w:color w:val="636466"/>
                <w:sz w:val="16"/>
              </w:rPr>
              <w:t>statements</w:t>
            </w:r>
          </w:p>
        </w:tc>
        <w:tc>
          <w:tcPr>
            <w:tcW w:w="1865" w:type="dxa"/>
            <w:tcBorders>
              <w:top w:val="single" w:sz="4" w:space="0" w:color="C7C8CA"/>
              <w:bottom w:val="single" w:sz="4" w:space="0" w:color="C7C8CA"/>
            </w:tcBorders>
          </w:tcPr>
          <w:p w:rsidR="00D840DF" w:rsidRDefault="00961020">
            <w:pPr>
              <w:pStyle w:val="TableParagraph"/>
              <w:spacing w:before="59"/>
              <w:ind w:left="620" w:right="386"/>
              <w:jc w:val="center"/>
              <w:rPr>
                <w:sz w:val="16"/>
              </w:rPr>
            </w:pPr>
            <w:r>
              <w:rPr>
                <w:color w:val="636466"/>
                <w:sz w:val="16"/>
              </w:rPr>
              <w:t>58</w:t>
            </w:r>
          </w:p>
        </w:tc>
      </w:tr>
      <w:tr w:rsidR="00D840DF">
        <w:trPr>
          <w:trHeight w:val="32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Index of Annual Report</w:t>
            </w:r>
            <w:r w:rsidR="00E314B6">
              <w:rPr>
                <w:rFonts w:ascii="Futura PT Heavy"/>
                <w:b/>
                <w:color w:val="636466"/>
                <w:sz w:val="16"/>
              </w:rPr>
              <w:t xml:space="preserve"> </w:t>
            </w:r>
            <w:r>
              <w:rPr>
                <w:rFonts w:ascii="Futura PT Heavy"/>
                <w:b/>
                <w:color w:val="636466"/>
                <w:sz w:val="16"/>
              </w:rPr>
              <w:t>requirements</w:t>
            </w:r>
          </w:p>
        </w:tc>
        <w:tc>
          <w:tcPr>
            <w:tcW w:w="1865" w:type="dxa"/>
            <w:tcBorders>
              <w:top w:val="single" w:sz="4" w:space="0" w:color="C7C8CA"/>
              <w:bottom w:val="single" w:sz="4" w:space="0" w:color="C7C8CA"/>
            </w:tcBorders>
          </w:tcPr>
          <w:p w:rsidR="00D840DF" w:rsidRDefault="00961020">
            <w:pPr>
              <w:pStyle w:val="TableParagraph"/>
              <w:spacing w:before="59"/>
              <w:ind w:left="612" w:right="386"/>
              <w:jc w:val="center"/>
              <w:rPr>
                <w:sz w:val="16"/>
              </w:rPr>
            </w:pPr>
            <w:r>
              <w:rPr>
                <w:color w:val="636466"/>
                <w:sz w:val="16"/>
              </w:rPr>
              <w:t>91</w:t>
            </w:r>
          </w:p>
        </w:tc>
      </w:tr>
      <w:tr w:rsidR="00D840DF">
        <w:trPr>
          <w:trHeight w:val="1460"/>
        </w:trPr>
        <w:tc>
          <w:tcPr>
            <w:tcW w:w="5675" w:type="dxa"/>
            <w:tcBorders>
              <w:top w:val="single" w:sz="4" w:space="0" w:color="C7C8CA"/>
              <w:bottom w:val="single" w:sz="4" w:space="0" w:color="C7C8CA"/>
            </w:tcBorders>
          </w:tcPr>
          <w:p w:rsidR="00D840DF" w:rsidRDefault="00961020">
            <w:pPr>
              <w:pStyle w:val="TableParagraph"/>
              <w:spacing w:before="59"/>
              <w:ind w:left="113"/>
              <w:rPr>
                <w:rFonts w:ascii="Futura PT Heavy"/>
                <w:b/>
                <w:sz w:val="16"/>
              </w:rPr>
            </w:pPr>
            <w:r>
              <w:rPr>
                <w:rFonts w:ascii="Futura PT Heavy"/>
                <w:b/>
                <w:color w:val="636466"/>
                <w:sz w:val="16"/>
              </w:rPr>
              <w:t>Other legislation</w:t>
            </w:r>
          </w:p>
          <w:p w:rsidR="00D840DF" w:rsidRDefault="00961020">
            <w:pPr>
              <w:pStyle w:val="TableParagraph"/>
              <w:numPr>
                <w:ilvl w:val="0"/>
                <w:numId w:val="1"/>
              </w:numPr>
              <w:tabs>
                <w:tab w:val="left" w:pos="341"/>
              </w:tabs>
              <w:spacing w:before="91"/>
              <w:rPr>
                <w:sz w:val="16"/>
              </w:rPr>
            </w:pPr>
            <w:r>
              <w:rPr>
                <w:i/>
                <w:color w:val="636466"/>
                <w:sz w:val="16"/>
              </w:rPr>
              <w:t xml:space="preserve">National Health Reform Act </w:t>
            </w:r>
            <w:r>
              <w:rPr>
                <w:i/>
                <w:color w:val="636466"/>
                <w:spacing w:val="-8"/>
                <w:sz w:val="16"/>
              </w:rPr>
              <w:t>2011</w:t>
            </w:r>
            <w:r>
              <w:rPr>
                <w:color w:val="636466"/>
                <w:spacing w:val="-8"/>
                <w:sz w:val="16"/>
              </w:rPr>
              <w:t>,</w:t>
            </w:r>
            <w:r w:rsidR="00E314B6">
              <w:rPr>
                <w:color w:val="636466"/>
                <w:spacing w:val="-8"/>
                <w:sz w:val="16"/>
              </w:rPr>
              <w:t xml:space="preserve"> </w:t>
            </w:r>
            <w:r>
              <w:rPr>
                <w:color w:val="636466"/>
                <w:spacing w:val="-5"/>
                <w:sz w:val="16"/>
              </w:rPr>
              <w:t>s210</w:t>
            </w:r>
          </w:p>
          <w:p w:rsidR="00D840DF" w:rsidRDefault="00961020">
            <w:pPr>
              <w:pStyle w:val="TableParagraph"/>
              <w:numPr>
                <w:ilvl w:val="0"/>
                <w:numId w:val="1"/>
              </w:numPr>
              <w:tabs>
                <w:tab w:val="left" w:pos="341"/>
              </w:tabs>
              <w:spacing w:before="77"/>
              <w:rPr>
                <w:sz w:val="16"/>
              </w:rPr>
            </w:pPr>
            <w:r>
              <w:rPr>
                <w:i/>
                <w:color w:val="636466"/>
                <w:sz w:val="16"/>
              </w:rPr>
              <w:t xml:space="preserve">Work Health and </w:t>
            </w:r>
            <w:r>
              <w:rPr>
                <w:i/>
                <w:color w:val="636466"/>
                <w:spacing w:val="1"/>
                <w:sz w:val="16"/>
              </w:rPr>
              <w:t xml:space="preserve">Safety </w:t>
            </w:r>
            <w:r>
              <w:rPr>
                <w:i/>
                <w:color w:val="636466"/>
                <w:sz w:val="16"/>
              </w:rPr>
              <w:t xml:space="preserve">Act </w:t>
            </w:r>
            <w:r>
              <w:rPr>
                <w:i/>
                <w:color w:val="636466"/>
                <w:spacing w:val="-8"/>
                <w:sz w:val="16"/>
              </w:rPr>
              <w:t>2011</w:t>
            </w:r>
            <w:r>
              <w:rPr>
                <w:color w:val="636466"/>
                <w:spacing w:val="-8"/>
                <w:sz w:val="16"/>
              </w:rPr>
              <w:t>,</w:t>
            </w:r>
            <w:r w:rsidR="00E314B6">
              <w:rPr>
                <w:color w:val="636466"/>
                <w:spacing w:val="-8"/>
                <w:sz w:val="16"/>
              </w:rPr>
              <w:t xml:space="preserve"> </w:t>
            </w:r>
            <w:r>
              <w:rPr>
                <w:color w:val="636466"/>
                <w:sz w:val="16"/>
              </w:rPr>
              <w:t>Schedule 2, Part</w:t>
            </w:r>
            <w:r>
              <w:rPr>
                <w:color w:val="636466"/>
                <w:spacing w:val="31"/>
                <w:sz w:val="16"/>
              </w:rPr>
              <w:t xml:space="preserve"> </w:t>
            </w:r>
            <w:r>
              <w:rPr>
                <w:color w:val="636466"/>
                <w:sz w:val="16"/>
              </w:rPr>
              <w:t>4</w:t>
            </w:r>
          </w:p>
          <w:p w:rsidR="00D840DF" w:rsidRDefault="00961020">
            <w:pPr>
              <w:pStyle w:val="TableParagraph"/>
              <w:numPr>
                <w:ilvl w:val="0"/>
                <w:numId w:val="1"/>
              </w:numPr>
              <w:tabs>
                <w:tab w:val="left" w:pos="341"/>
              </w:tabs>
              <w:spacing w:before="77"/>
              <w:rPr>
                <w:sz w:val="16"/>
              </w:rPr>
            </w:pPr>
            <w:r>
              <w:rPr>
                <w:i/>
                <w:color w:val="636466"/>
                <w:sz w:val="16"/>
              </w:rPr>
              <w:t xml:space="preserve">Commonwealth Electoral Act </w:t>
            </w:r>
            <w:r>
              <w:rPr>
                <w:i/>
                <w:color w:val="636466"/>
                <w:spacing w:val="-6"/>
                <w:sz w:val="16"/>
              </w:rPr>
              <w:t>1918</w:t>
            </w:r>
            <w:r>
              <w:rPr>
                <w:color w:val="636466"/>
                <w:spacing w:val="-6"/>
                <w:sz w:val="16"/>
              </w:rPr>
              <w:t>,</w:t>
            </w:r>
            <w:r w:rsidR="00E314B6">
              <w:rPr>
                <w:color w:val="636466"/>
                <w:spacing w:val="-6"/>
                <w:sz w:val="16"/>
              </w:rPr>
              <w:t xml:space="preserve"> </w:t>
            </w:r>
            <w:r>
              <w:rPr>
                <w:color w:val="636466"/>
                <w:spacing w:val="-8"/>
                <w:sz w:val="16"/>
              </w:rPr>
              <w:t>s311A</w:t>
            </w:r>
          </w:p>
          <w:p w:rsidR="00D840DF" w:rsidRDefault="00961020">
            <w:pPr>
              <w:pStyle w:val="TableParagraph"/>
              <w:numPr>
                <w:ilvl w:val="0"/>
                <w:numId w:val="1"/>
              </w:numPr>
              <w:tabs>
                <w:tab w:val="left" w:pos="341"/>
              </w:tabs>
              <w:spacing w:before="77"/>
              <w:rPr>
                <w:sz w:val="16"/>
              </w:rPr>
            </w:pPr>
            <w:r>
              <w:rPr>
                <w:i/>
                <w:color w:val="636466"/>
                <w:sz w:val="16"/>
              </w:rPr>
              <w:t>Environmental</w:t>
            </w:r>
            <w:r>
              <w:rPr>
                <w:i/>
                <w:color w:val="636466"/>
                <w:spacing w:val="13"/>
                <w:sz w:val="16"/>
              </w:rPr>
              <w:t xml:space="preserve"> </w:t>
            </w:r>
            <w:r>
              <w:rPr>
                <w:i/>
                <w:color w:val="636466"/>
                <w:sz w:val="16"/>
              </w:rPr>
              <w:t>Protection</w:t>
            </w:r>
            <w:r>
              <w:rPr>
                <w:i/>
                <w:color w:val="636466"/>
                <w:spacing w:val="11"/>
                <w:sz w:val="16"/>
              </w:rPr>
              <w:t xml:space="preserve"> </w:t>
            </w:r>
            <w:r>
              <w:rPr>
                <w:i/>
                <w:color w:val="636466"/>
                <w:sz w:val="16"/>
              </w:rPr>
              <w:t>and</w:t>
            </w:r>
            <w:r>
              <w:rPr>
                <w:i/>
                <w:color w:val="636466"/>
                <w:spacing w:val="13"/>
                <w:sz w:val="16"/>
              </w:rPr>
              <w:t xml:space="preserve"> </w:t>
            </w:r>
            <w:r>
              <w:rPr>
                <w:i/>
                <w:color w:val="636466"/>
                <w:sz w:val="16"/>
              </w:rPr>
              <w:t>Biodiversity</w:t>
            </w:r>
            <w:r>
              <w:rPr>
                <w:i/>
                <w:color w:val="636466"/>
                <w:spacing w:val="13"/>
                <w:sz w:val="16"/>
              </w:rPr>
              <w:t xml:space="preserve"> </w:t>
            </w:r>
            <w:r>
              <w:rPr>
                <w:i/>
                <w:color w:val="636466"/>
                <w:sz w:val="16"/>
              </w:rPr>
              <w:t>Conservation</w:t>
            </w:r>
            <w:r>
              <w:rPr>
                <w:i/>
                <w:color w:val="636466"/>
                <w:spacing w:val="11"/>
                <w:sz w:val="16"/>
              </w:rPr>
              <w:t xml:space="preserve"> </w:t>
            </w:r>
            <w:r>
              <w:rPr>
                <w:i/>
                <w:color w:val="636466"/>
                <w:sz w:val="16"/>
              </w:rPr>
              <w:t>Act</w:t>
            </w:r>
            <w:r>
              <w:rPr>
                <w:i/>
                <w:color w:val="636466"/>
                <w:spacing w:val="13"/>
                <w:sz w:val="16"/>
              </w:rPr>
              <w:t xml:space="preserve"> </w:t>
            </w:r>
            <w:r>
              <w:rPr>
                <w:i/>
                <w:color w:val="636466"/>
                <w:spacing w:val="-4"/>
                <w:sz w:val="16"/>
              </w:rPr>
              <w:t>1999</w:t>
            </w:r>
            <w:r>
              <w:rPr>
                <w:color w:val="636466"/>
                <w:spacing w:val="-4"/>
                <w:sz w:val="16"/>
              </w:rPr>
              <w:t>,</w:t>
            </w:r>
            <w:r>
              <w:rPr>
                <w:color w:val="636466"/>
                <w:spacing w:val="13"/>
                <w:sz w:val="16"/>
              </w:rPr>
              <w:t xml:space="preserve"> </w:t>
            </w:r>
            <w:r>
              <w:rPr>
                <w:color w:val="636466"/>
                <w:sz w:val="16"/>
              </w:rPr>
              <w:t>s</w:t>
            </w:r>
            <w:r>
              <w:rPr>
                <w:color w:val="636466"/>
                <w:spacing w:val="13"/>
                <w:sz w:val="16"/>
              </w:rPr>
              <w:t xml:space="preserve"> </w:t>
            </w:r>
            <w:r>
              <w:rPr>
                <w:color w:val="636466"/>
                <w:spacing w:val="-5"/>
                <w:sz w:val="16"/>
              </w:rPr>
              <w:t>516A</w:t>
            </w:r>
          </w:p>
        </w:tc>
        <w:tc>
          <w:tcPr>
            <w:tcW w:w="1865" w:type="dxa"/>
            <w:tcBorders>
              <w:top w:val="single" w:sz="4" w:space="0" w:color="C7C8CA"/>
              <w:bottom w:val="single" w:sz="4" w:space="0" w:color="C7C8CA"/>
            </w:tcBorders>
          </w:tcPr>
          <w:p w:rsidR="00D840DF" w:rsidRDefault="00961020">
            <w:pPr>
              <w:pStyle w:val="TableParagraph"/>
              <w:spacing w:before="59"/>
              <w:ind w:left="612" w:right="386"/>
              <w:jc w:val="center"/>
              <w:rPr>
                <w:sz w:val="16"/>
              </w:rPr>
            </w:pPr>
            <w:r>
              <w:rPr>
                <w:color w:val="636466"/>
                <w:sz w:val="16"/>
              </w:rPr>
              <w:t>91</w:t>
            </w:r>
          </w:p>
        </w:tc>
      </w:tr>
    </w:tbl>
    <w:p w:rsidR="00D840DF" w:rsidRDefault="00D840DF">
      <w:pPr>
        <w:jc w:val="center"/>
        <w:rPr>
          <w:sz w:val="16"/>
        </w:rPr>
        <w:sectPr w:rsidR="00D840DF">
          <w:pgSz w:w="9980" w:h="14180"/>
          <w:pgMar w:top="1320" w:right="1020" w:bottom="280" w:left="1200" w:header="720" w:footer="720" w:gutter="0"/>
          <w:cols w:space="720"/>
        </w:sectPr>
      </w:pPr>
    </w:p>
    <w:p w:rsidR="00D840DF" w:rsidRPr="00A13FEE" w:rsidRDefault="00A13FEE" w:rsidP="00A13FEE">
      <w:pPr>
        <w:pStyle w:val="Heading3"/>
      </w:pPr>
      <w:bookmarkStart w:id="195" w:name="Contact_information"/>
      <w:bookmarkEnd w:id="195"/>
      <w:r>
        <w:lastRenderedPageBreak/>
        <w:t xml:space="preserve">Independent Hospital Pricing </w:t>
      </w:r>
      <w:r w:rsidR="00961020">
        <w:t>Authority</w:t>
      </w:r>
    </w:p>
    <w:p w:rsidR="00D840DF" w:rsidRPr="00A13FEE" w:rsidRDefault="00961020" w:rsidP="00A13FEE">
      <w:pPr>
        <w:pStyle w:val="BodyText"/>
      </w:pPr>
      <w:r>
        <w:t>Level 6, 1 Oxford Street</w:t>
      </w:r>
      <w:r w:rsidR="00A13FEE">
        <w:t xml:space="preserve"> </w:t>
      </w:r>
      <w:r>
        <w:t>Sydney NSW 2000</w:t>
      </w:r>
    </w:p>
    <w:p w:rsidR="00D840DF" w:rsidRPr="00A13FEE" w:rsidRDefault="00A13FEE" w:rsidP="00A13FEE">
      <w:pPr>
        <w:pStyle w:val="BodyText"/>
      </w:pPr>
      <w:r w:rsidRPr="00A13FEE">
        <w:rPr>
          <w:b/>
        </w:rPr>
        <w:t>Phone:</w:t>
      </w:r>
      <w:r>
        <w:t xml:space="preserve"> </w:t>
      </w:r>
      <w:r w:rsidR="00961020" w:rsidRPr="00A13FEE">
        <w:t>02 8215 1100</w:t>
      </w:r>
      <w:r>
        <w:br/>
      </w:r>
      <w:r w:rsidR="00961020" w:rsidRPr="00A13FEE">
        <w:rPr>
          <w:b/>
        </w:rPr>
        <w:t>Email:</w:t>
      </w:r>
      <w:r w:rsidR="00961020" w:rsidRPr="00A13FEE">
        <w:t xml:space="preserve"> </w:t>
      </w:r>
      <w:hyperlink r:id="rId39">
        <w:r w:rsidR="00961020" w:rsidRPr="00A13FEE">
          <w:rPr>
            <w:b/>
            <w:color w:val="008F54"/>
            <w:u w:val="single"/>
          </w:rPr>
          <w:t>enquiries.ihpa@ihpa.gov.au</w:t>
        </w:r>
      </w:hyperlink>
      <w:r w:rsidR="00961020" w:rsidRPr="00A13FEE">
        <w:t xml:space="preserve"> </w:t>
      </w:r>
      <w:r>
        <w:br/>
      </w:r>
      <w:r w:rsidRPr="00A13FEE">
        <w:rPr>
          <w:b/>
        </w:rPr>
        <w:t>Twitter:</w:t>
      </w:r>
      <w:r>
        <w:t xml:space="preserve"> </w:t>
      </w:r>
      <w:r w:rsidR="00961020" w:rsidRPr="00A13FEE">
        <w:t>@</w:t>
      </w:r>
      <w:proofErr w:type="spellStart"/>
      <w:r w:rsidR="00961020" w:rsidRPr="00A13FEE">
        <w:t>IHPAnews</w:t>
      </w:r>
      <w:proofErr w:type="spellEnd"/>
    </w:p>
    <w:p w:rsidR="00D840DF" w:rsidRPr="00A13FEE" w:rsidRDefault="00E314B6" w:rsidP="00A13FEE">
      <w:pPr>
        <w:pStyle w:val="BodyText"/>
        <w:rPr>
          <w:rFonts w:ascii="Futura PT Demi"/>
          <w:b/>
          <w:color w:val="008F54"/>
          <w:u w:val="single"/>
        </w:rPr>
      </w:pPr>
      <w:hyperlink r:id="rId40">
        <w:r w:rsidR="00961020" w:rsidRPr="00A13FEE">
          <w:rPr>
            <w:b/>
            <w:color w:val="008F54"/>
            <w:u w:val="single"/>
          </w:rPr>
          <w:t>IHPA.gov.au</w:t>
        </w:r>
      </w:hyperlink>
    </w:p>
    <w:p w:rsidR="00961020" w:rsidRPr="00961020" w:rsidRDefault="00E14BA1" w:rsidP="00961020">
      <w:pPr>
        <w:pStyle w:val="BodyText"/>
        <w:spacing w:before="193"/>
        <w:ind w:left="113"/>
        <w:rPr>
          <w:rFonts w:ascii="Futura PT Demi"/>
        </w:rPr>
      </w:pPr>
      <w:r>
        <w:rPr>
          <w:noProof/>
        </w:rPr>
        <w:drawing>
          <wp:anchor distT="0" distB="0" distL="114300" distR="114300" simplePos="0" relativeHeight="503153352" behindDoc="1" locked="0" layoutInCell="1" allowOverlap="1">
            <wp:simplePos x="0" y="0"/>
            <wp:positionH relativeFrom="column">
              <wp:posOffset>76200</wp:posOffset>
            </wp:positionH>
            <wp:positionV relativeFrom="paragraph">
              <wp:posOffset>119380</wp:posOffset>
            </wp:positionV>
            <wp:extent cx="723900" cy="1092200"/>
            <wp:effectExtent l="0" t="0" r="0" b="0"/>
            <wp:wrapTight wrapText="bothSides">
              <wp:wrapPolygon edited="0">
                <wp:start x="0" y="0"/>
                <wp:lineTo x="0" y="21098"/>
                <wp:lineTo x="21032" y="21098"/>
                <wp:lineTo x="21032" y="0"/>
                <wp:lineTo x="0" y="0"/>
              </wp:wrapPolygon>
            </wp:wrapTight>
            <wp:docPr id="179" name="Picture 8"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HPA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1020" w:rsidRPr="00961020">
      <w:pgSz w:w="9980" w:h="14180"/>
      <w:pgMar w:top="1320" w:right="138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PT Bold">
    <w:altName w:val="Futura PT Bold"/>
    <w:panose1 w:val="020B0902020204020203"/>
    <w:charset w:val="00"/>
    <w:family w:val="swiss"/>
    <w:notTrueType/>
    <w:pitch w:val="variable"/>
    <w:sig w:usb0="A00002FF" w:usb1="5000204A" w:usb2="00000000" w:usb3="00000000" w:csb0="00000097" w:csb1="00000000"/>
  </w:font>
  <w:font w:name="Futura PT Book">
    <w:altName w:val="Futura PT Book"/>
    <w:panose1 w:val="020B0502020204020303"/>
    <w:charset w:val="00"/>
    <w:family w:val="swiss"/>
    <w:notTrueType/>
    <w:pitch w:val="variable"/>
    <w:sig w:usb0="A00002FF" w:usb1="5000204B" w:usb2="00000000" w:usb3="00000000" w:csb0="00000097" w:csb1="00000000"/>
  </w:font>
  <w:font w:name="Calibri">
    <w:panose1 w:val="020F0502020204030204"/>
    <w:charset w:val="00"/>
    <w:family w:val="swiss"/>
    <w:pitch w:val="variable"/>
    <w:sig w:usb0="E00002FF" w:usb1="4000ACFF" w:usb2="00000001" w:usb3="00000000" w:csb0="0000019F" w:csb1="00000000"/>
  </w:font>
  <w:font w:name="Futura PT Demi">
    <w:altName w:val="Futura PT Demi"/>
    <w:panose1 w:val="020B0702020204020303"/>
    <w:charset w:val="00"/>
    <w:family w:val="swiss"/>
    <w:notTrueType/>
    <w:pitch w:val="variable"/>
    <w:sig w:usb0="A00002FF" w:usb1="5000204B" w:usb2="00000000" w:usb3="00000000" w:csb0="00000097" w:csb1="00000000"/>
  </w:font>
  <w:font w:name="Cambria">
    <w:panose1 w:val="02040503050406030204"/>
    <w:charset w:val="00"/>
    <w:family w:val="roman"/>
    <w:pitch w:val="variable"/>
    <w:sig w:usb0="E00002FF" w:usb1="400004FF" w:usb2="00000000" w:usb3="00000000" w:csb0="0000019F" w:csb1="00000000"/>
  </w:font>
  <w:font w:name="Futura PT Heavy">
    <w:altName w:val="Futura PT Heavy"/>
    <w:panose1 w:val="020B0802020204020303"/>
    <w:charset w:val="00"/>
    <w:family w:val="swiss"/>
    <w:notTrueType/>
    <w:pitch w:val="variable"/>
    <w:sig w:usb0="A00002FF" w:usb1="5000204A" w:usb2="00000000" w:usb3="00000000" w:csb0="00000097" w:csb1="00000000"/>
  </w:font>
  <w:font w:name="Futura-Book">
    <w:panose1 w:val="020B0500000000000000"/>
    <w:charset w:val="00"/>
    <w:family w:val="swiss"/>
    <w:pitch w:val="variable"/>
    <w:sig w:usb0="00000003" w:usb1="00000000" w:usb2="00000000" w:usb3="00000000" w:csb0="00000001" w:csb1="00000000"/>
  </w:font>
  <w:font w:name="Futura PT Medium">
    <w:altName w:val="Futura PT Medium"/>
    <w:panose1 w:val="020B0602020204020303"/>
    <w:charset w:val="00"/>
    <w:family w:val="swiss"/>
    <w:notTrueType/>
    <w:pitch w:val="variable"/>
    <w:sig w:usb0="A00002FF" w:usb1="5000204B" w:usb2="0000000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D62FD"/>
    <w:multiLevelType w:val="hybridMultilevel"/>
    <w:tmpl w:val="7B922B3E"/>
    <w:lvl w:ilvl="0" w:tplc="5B401928">
      <w:start w:val="2"/>
      <w:numFmt w:val="decimalZero"/>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80578"/>
    <w:multiLevelType w:val="hybridMultilevel"/>
    <w:tmpl w:val="1BA84772"/>
    <w:lvl w:ilvl="0" w:tplc="48B26842">
      <w:numFmt w:val="bullet"/>
      <w:lvlText w:val=""/>
      <w:lvlJc w:val="left"/>
      <w:pPr>
        <w:ind w:left="1143" w:hanging="208"/>
      </w:pPr>
      <w:rPr>
        <w:rFonts w:ascii="Symbol" w:eastAsia="Symbol" w:hAnsi="Symbol" w:cs="Symbol" w:hint="default"/>
        <w:w w:val="98"/>
        <w:sz w:val="12"/>
        <w:szCs w:val="12"/>
      </w:rPr>
    </w:lvl>
    <w:lvl w:ilvl="1" w:tplc="4718B502">
      <w:numFmt w:val="bullet"/>
      <w:lvlText w:val="•"/>
      <w:lvlJc w:val="left"/>
      <w:pPr>
        <w:ind w:left="1783" w:hanging="208"/>
      </w:pPr>
      <w:rPr>
        <w:rFonts w:hint="default"/>
      </w:rPr>
    </w:lvl>
    <w:lvl w:ilvl="2" w:tplc="B76AF740">
      <w:numFmt w:val="bullet"/>
      <w:lvlText w:val="•"/>
      <w:lvlJc w:val="left"/>
      <w:pPr>
        <w:ind w:left="2427" w:hanging="208"/>
      </w:pPr>
      <w:rPr>
        <w:rFonts w:hint="default"/>
      </w:rPr>
    </w:lvl>
    <w:lvl w:ilvl="3" w:tplc="06987290">
      <w:numFmt w:val="bullet"/>
      <w:lvlText w:val="•"/>
      <w:lvlJc w:val="left"/>
      <w:pPr>
        <w:ind w:left="3071" w:hanging="208"/>
      </w:pPr>
      <w:rPr>
        <w:rFonts w:hint="default"/>
      </w:rPr>
    </w:lvl>
    <w:lvl w:ilvl="4" w:tplc="700E45C2">
      <w:numFmt w:val="bullet"/>
      <w:lvlText w:val="•"/>
      <w:lvlJc w:val="left"/>
      <w:pPr>
        <w:ind w:left="3715" w:hanging="208"/>
      </w:pPr>
      <w:rPr>
        <w:rFonts w:hint="default"/>
      </w:rPr>
    </w:lvl>
    <w:lvl w:ilvl="5" w:tplc="7F50B400">
      <w:numFmt w:val="bullet"/>
      <w:lvlText w:val="•"/>
      <w:lvlJc w:val="left"/>
      <w:pPr>
        <w:ind w:left="4358" w:hanging="208"/>
      </w:pPr>
      <w:rPr>
        <w:rFonts w:hint="default"/>
      </w:rPr>
    </w:lvl>
    <w:lvl w:ilvl="6" w:tplc="08EC9402">
      <w:numFmt w:val="bullet"/>
      <w:lvlText w:val="•"/>
      <w:lvlJc w:val="left"/>
      <w:pPr>
        <w:ind w:left="5002" w:hanging="208"/>
      </w:pPr>
      <w:rPr>
        <w:rFonts w:hint="default"/>
      </w:rPr>
    </w:lvl>
    <w:lvl w:ilvl="7" w:tplc="9954CD32">
      <w:numFmt w:val="bullet"/>
      <w:lvlText w:val="•"/>
      <w:lvlJc w:val="left"/>
      <w:pPr>
        <w:ind w:left="5646" w:hanging="208"/>
      </w:pPr>
      <w:rPr>
        <w:rFonts w:hint="default"/>
      </w:rPr>
    </w:lvl>
    <w:lvl w:ilvl="8" w:tplc="AE50D2FA">
      <w:numFmt w:val="bullet"/>
      <w:lvlText w:val="•"/>
      <w:lvlJc w:val="left"/>
      <w:pPr>
        <w:ind w:left="6290" w:hanging="208"/>
      </w:pPr>
      <w:rPr>
        <w:rFonts w:hint="default"/>
      </w:rPr>
    </w:lvl>
  </w:abstractNum>
  <w:abstractNum w:abstractNumId="2" w15:restartNumberingAfterBreak="0">
    <w:nsid w:val="17BA5EEA"/>
    <w:multiLevelType w:val="hybridMultilevel"/>
    <w:tmpl w:val="F5A2FB78"/>
    <w:lvl w:ilvl="0" w:tplc="CA7ED182">
      <w:start w:val="1"/>
      <w:numFmt w:val="decimal"/>
      <w:lvlText w:val="%1"/>
      <w:lvlJc w:val="left"/>
      <w:pPr>
        <w:ind w:left="1075" w:hanging="962"/>
      </w:pPr>
      <w:rPr>
        <w:rFonts w:ascii="Futura PT Bold" w:eastAsia="Futura PT Bold" w:hAnsi="Futura PT Bold" w:cs="Futura PT Bold" w:hint="default"/>
        <w:b/>
        <w:bCs/>
        <w:color w:val="003E2D"/>
        <w:spacing w:val="-42"/>
        <w:w w:val="100"/>
        <w:sz w:val="70"/>
        <w:szCs w:val="70"/>
      </w:rPr>
    </w:lvl>
    <w:lvl w:ilvl="1" w:tplc="0E949494">
      <w:numFmt w:val="bullet"/>
      <w:lvlText w:val="•"/>
      <w:lvlJc w:val="left"/>
      <w:pPr>
        <w:ind w:left="1747" w:hanging="962"/>
      </w:pPr>
      <w:rPr>
        <w:rFonts w:hint="default"/>
      </w:rPr>
    </w:lvl>
    <w:lvl w:ilvl="2" w:tplc="8A8A3D18">
      <w:numFmt w:val="bullet"/>
      <w:lvlText w:val="•"/>
      <w:lvlJc w:val="left"/>
      <w:pPr>
        <w:ind w:left="2415" w:hanging="962"/>
      </w:pPr>
      <w:rPr>
        <w:rFonts w:hint="default"/>
      </w:rPr>
    </w:lvl>
    <w:lvl w:ilvl="3" w:tplc="5290D81A">
      <w:numFmt w:val="bullet"/>
      <w:lvlText w:val="•"/>
      <w:lvlJc w:val="left"/>
      <w:pPr>
        <w:ind w:left="3083" w:hanging="962"/>
      </w:pPr>
      <w:rPr>
        <w:rFonts w:hint="default"/>
      </w:rPr>
    </w:lvl>
    <w:lvl w:ilvl="4" w:tplc="08E24512">
      <w:numFmt w:val="bullet"/>
      <w:lvlText w:val="•"/>
      <w:lvlJc w:val="left"/>
      <w:pPr>
        <w:ind w:left="3751" w:hanging="962"/>
      </w:pPr>
      <w:rPr>
        <w:rFonts w:hint="default"/>
      </w:rPr>
    </w:lvl>
    <w:lvl w:ilvl="5" w:tplc="3CD04056">
      <w:numFmt w:val="bullet"/>
      <w:lvlText w:val="•"/>
      <w:lvlJc w:val="left"/>
      <w:pPr>
        <w:ind w:left="4418" w:hanging="962"/>
      </w:pPr>
      <w:rPr>
        <w:rFonts w:hint="default"/>
      </w:rPr>
    </w:lvl>
    <w:lvl w:ilvl="6" w:tplc="B62A1DA0">
      <w:numFmt w:val="bullet"/>
      <w:lvlText w:val="•"/>
      <w:lvlJc w:val="left"/>
      <w:pPr>
        <w:ind w:left="5086" w:hanging="962"/>
      </w:pPr>
      <w:rPr>
        <w:rFonts w:hint="default"/>
      </w:rPr>
    </w:lvl>
    <w:lvl w:ilvl="7" w:tplc="0D64F97A">
      <w:numFmt w:val="bullet"/>
      <w:lvlText w:val="•"/>
      <w:lvlJc w:val="left"/>
      <w:pPr>
        <w:ind w:left="5754" w:hanging="962"/>
      </w:pPr>
      <w:rPr>
        <w:rFonts w:hint="default"/>
      </w:rPr>
    </w:lvl>
    <w:lvl w:ilvl="8" w:tplc="7B889042">
      <w:numFmt w:val="bullet"/>
      <w:lvlText w:val="•"/>
      <w:lvlJc w:val="left"/>
      <w:pPr>
        <w:ind w:left="6422" w:hanging="962"/>
      </w:pPr>
      <w:rPr>
        <w:rFonts w:hint="default"/>
      </w:rPr>
    </w:lvl>
  </w:abstractNum>
  <w:abstractNum w:abstractNumId="3" w15:restartNumberingAfterBreak="0">
    <w:nsid w:val="17C10426"/>
    <w:multiLevelType w:val="hybridMultilevel"/>
    <w:tmpl w:val="8812B52C"/>
    <w:lvl w:ilvl="0" w:tplc="DD082534">
      <w:numFmt w:val="bullet"/>
      <w:lvlText w:val="•"/>
      <w:lvlJc w:val="left"/>
      <w:pPr>
        <w:ind w:left="340" w:hanging="227"/>
      </w:pPr>
      <w:rPr>
        <w:rFonts w:ascii="Futura PT Book" w:eastAsia="Futura PT Book" w:hAnsi="Futura PT Book" w:cs="Futura PT Book" w:hint="default"/>
        <w:color w:val="636466"/>
        <w:spacing w:val="-19"/>
        <w:w w:val="100"/>
        <w:sz w:val="16"/>
        <w:szCs w:val="16"/>
      </w:rPr>
    </w:lvl>
    <w:lvl w:ilvl="1" w:tplc="C9880388">
      <w:numFmt w:val="bullet"/>
      <w:lvlText w:val="•"/>
      <w:lvlJc w:val="left"/>
      <w:pPr>
        <w:ind w:left="873" w:hanging="227"/>
      </w:pPr>
      <w:rPr>
        <w:rFonts w:hint="default"/>
      </w:rPr>
    </w:lvl>
    <w:lvl w:ilvl="2" w:tplc="D638D694">
      <w:numFmt w:val="bullet"/>
      <w:lvlText w:val="•"/>
      <w:lvlJc w:val="left"/>
      <w:pPr>
        <w:ind w:left="1406" w:hanging="227"/>
      </w:pPr>
      <w:rPr>
        <w:rFonts w:hint="default"/>
      </w:rPr>
    </w:lvl>
    <w:lvl w:ilvl="3" w:tplc="84ECBA1A">
      <w:numFmt w:val="bullet"/>
      <w:lvlText w:val="•"/>
      <w:lvlJc w:val="left"/>
      <w:pPr>
        <w:ind w:left="1940" w:hanging="227"/>
      </w:pPr>
      <w:rPr>
        <w:rFonts w:hint="default"/>
      </w:rPr>
    </w:lvl>
    <w:lvl w:ilvl="4" w:tplc="275AF642">
      <w:numFmt w:val="bullet"/>
      <w:lvlText w:val="•"/>
      <w:lvlJc w:val="left"/>
      <w:pPr>
        <w:ind w:left="2473" w:hanging="227"/>
      </w:pPr>
      <w:rPr>
        <w:rFonts w:hint="default"/>
      </w:rPr>
    </w:lvl>
    <w:lvl w:ilvl="5" w:tplc="D3B6A668">
      <w:numFmt w:val="bullet"/>
      <w:lvlText w:val="•"/>
      <w:lvlJc w:val="left"/>
      <w:pPr>
        <w:ind w:left="3007" w:hanging="227"/>
      </w:pPr>
      <w:rPr>
        <w:rFonts w:hint="default"/>
      </w:rPr>
    </w:lvl>
    <w:lvl w:ilvl="6" w:tplc="807E029A">
      <w:numFmt w:val="bullet"/>
      <w:lvlText w:val="•"/>
      <w:lvlJc w:val="left"/>
      <w:pPr>
        <w:ind w:left="3540" w:hanging="227"/>
      </w:pPr>
      <w:rPr>
        <w:rFonts w:hint="default"/>
      </w:rPr>
    </w:lvl>
    <w:lvl w:ilvl="7" w:tplc="33301364">
      <w:numFmt w:val="bullet"/>
      <w:lvlText w:val="•"/>
      <w:lvlJc w:val="left"/>
      <w:pPr>
        <w:ind w:left="4074" w:hanging="227"/>
      </w:pPr>
      <w:rPr>
        <w:rFonts w:hint="default"/>
      </w:rPr>
    </w:lvl>
    <w:lvl w:ilvl="8" w:tplc="40069752">
      <w:numFmt w:val="bullet"/>
      <w:lvlText w:val="•"/>
      <w:lvlJc w:val="left"/>
      <w:pPr>
        <w:ind w:left="4607" w:hanging="227"/>
      </w:pPr>
      <w:rPr>
        <w:rFonts w:hint="default"/>
      </w:rPr>
    </w:lvl>
  </w:abstractNum>
  <w:abstractNum w:abstractNumId="4" w15:restartNumberingAfterBreak="0">
    <w:nsid w:val="2030198B"/>
    <w:multiLevelType w:val="hybridMultilevel"/>
    <w:tmpl w:val="1C683522"/>
    <w:lvl w:ilvl="0" w:tplc="B1F0C998">
      <w:start w:val="1"/>
      <w:numFmt w:val="decimal"/>
      <w:lvlText w:val="%1."/>
      <w:lvlJc w:val="left"/>
      <w:pPr>
        <w:ind w:left="340" w:hanging="227"/>
      </w:pPr>
      <w:rPr>
        <w:rFonts w:ascii="Futura PT Book" w:eastAsia="Futura PT Book" w:hAnsi="Futura PT Book" w:cs="Futura PT Book" w:hint="default"/>
        <w:color w:val="636466"/>
        <w:spacing w:val="-15"/>
        <w:w w:val="100"/>
        <w:sz w:val="19"/>
        <w:szCs w:val="19"/>
      </w:rPr>
    </w:lvl>
    <w:lvl w:ilvl="1" w:tplc="482A066E">
      <w:numFmt w:val="bullet"/>
      <w:lvlText w:val="•"/>
      <w:lvlJc w:val="left"/>
      <w:pPr>
        <w:ind w:left="1077" w:hanging="227"/>
      </w:pPr>
      <w:rPr>
        <w:rFonts w:hint="default"/>
      </w:rPr>
    </w:lvl>
    <w:lvl w:ilvl="2" w:tplc="061E0768">
      <w:numFmt w:val="bullet"/>
      <w:lvlText w:val="•"/>
      <w:lvlJc w:val="left"/>
      <w:pPr>
        <w:ind w:left="1815" w:hanging="227"/>
      </w:pPr>
      <w:rPr>
        <w:rFonts w:hint="default"/>
      </w:rPr>
    </w:lvl>
    <w:lvl w:ilvl="3" w:tplc="84949434">
      <w:numFmt w:val="bullet"/>
      <w:lvlText w:val="•"/>
      <w:lvlJc w:val="left"/>
      <w:pPr>
        <w:ind w:left="2553" w:hanging="227"/>
      </w:pPr>
      <w:rPr>
        <w:rFonts w:hint="default"/>
      </w:rPr>
    </w:lvl>
    <w:lvl w:ilvl="4" w:tplc="234A540C">
      <w:numFmt w:val="bullet"/>
      <w:lvlText w:val="•"/>
      <w:lvlJc w:val="left"/>
      <w:pPr>
        <w:ind w:left="3291" w:hanging="227"/>
      </w:pPr>
      <w:rPr>
        <w:rFonts w:hint="default"/>
      </w:rPr>
    </w:lvl>
    <w:lvl w:ilvl="5" w:tplc="CD4A1432">
      <w:numFmt w:val="bullet"/>
      <w:lvlText w:val="•"/>
      <w:lvlJc w:val="left"/>
      <w:pPr>
        <w:ind w:left="4028" w:hanging="227"/>
      </w:pPr>
      <w:rPr>
        <w:rFonts w:hint="default"/>
      </w:rPr>
    </w:lvl>
    <w:lvl w:ilvl="6" w:tplc="26ACE7B8">
      <w:numFmt w:val="bullet"/>
      <w:lvlText w:val="•"/>
      <w:lvlJc w:val="left"/>
      <w:pPr>
        <w:ind w:left="4766" w:hanging="227"/>
      </w:pPr>
      <w:rPr>
        <w:rFonts w:hint="default"/>
      </w:rPr>
    </w:lvl>
    <w:lvl w:ilvl="7" w:tplc="FA8A1910">
      <w:numFmt w:val="bullet"/>
      <w:lvlText w:val="•"/>
      <w:lvlJc w:val="left"/>
      <w:pPr>
        <w:ind w:left="5504" w:hanging="227"/>
      </w:pPr>
      <w:rPr>
        <w:rFonts w:hint="default"/>
      </w:rPr>
    </w:lvl>
    <w:lvl w:ilvl="8" w:tplc="D1400A84">
      <w:numFmt w:val="bullet"/>
      <w:lvlText w:val="•"/>
      <w:lvlJc w:val="left"/>
      <w:pPr>
        <w:ind w:left="6242" w:hanging="227"/>
      </w:pPr>
      <w:rPr>
        <w:rFonts w:hint="default"/>
      </w:rPr>
    </w:lvl>
  </w:abstractNum>
  <w:abstractNum w:abstractNumId="5" w15:restartNumberingAfterBreak="0">
    <w:nsid w:val="21822272"/>
    <w:multiLevelType w:val="hybridMultilevel"/>
    <w:tmpl w:val="73C0EE30"/>
    <w:lvl w:ilvl="0" w:tplc="4F4A3FE2">
      <w:start w:val="4"/>
      <w:numFmt w:val="decimal"/>
      <w:lvlText w:val="%1."/>
      <w:lvlJc w:val="left"/>
      <w:pPr>
        <w:ind w:left="338" w:hanging="227"/>
      </w:pPr>
      <w:rPr>
        <w:rFonts w:ascii="Futura PT Book" w:eastAsia="Futura PT Book" w:hAnsi="Futura PT Book" w:cs="Futura PT Book" w:hint="default"/>
        <w:color w:val="636466"/>
        <w:spacing w:val="-16"/>
        <w:w w:val="100"/>
        <w:sz w:val="19"/>
        <w:szCs w:val="19"/>
      </w:rPr>
    </w:lvl>
    <w:lvl w:ilvl="1" w:tplc="2BAA9CE0">
      <w:numFmt w:val="bullet"/>
      <w:lvlText w:val="•"/>
      <w:lvlJc w:val="left"/>
      <w:pPr>
        <w:ind w:left="1081" w:hanging="227"/>
      </w:pPr>
      <w:rPr>
        <w:rFonts w:hint="default"/>
      </w:rPr>
    </w:lvl>
    <w:lvl w:ilvl="2" w:tplc="BA609C68">
      <w:numFmt w:val="bullet"/>
      <w:lvlText w:val="•"/>
      <w:lvlJc w:val="left"/>
      <w:pPr>
        <w:ind w:left="1823" w:hanging="227"/>
      </w:pPr>
      <w:rPr>
        <w:rFonts w:hint="default"/>
      </w:rPr>
    </w:lvl>
    <w:lvl w:ilvl="3" w:tplc="ED2660B6">
      <w:numFmt w:val="bullet"/>
      <w:lvlText w:val="•"/>
      <w:lvlJc w:val="left"/>
      <w:pPr>
        <w:ind w:left="2565" w:hanging="227"/>
      </w:pPr>
      <w:rPr>
        <w:rFonts w:hint="default"/>
      </w:rPr>
    </w:lvl>
    <w:lvl w:ilvl="4" w:tplc="A0B8312E">
      <w:numFmt w:val="bullet"/>
      <w:lvlText w:val="•"/>
      <w:lvlJc w:val="left"/>
      <w:pPr>
        <w:ind w:left="3307" w:hanging="227"/>
      </w:pPr>
      <w:rPr>
        <w:rFonts w:hint="default"/>
      </w:rPr>
    </w:lvl>
    <w:lvl w:ilvl="5" w:tplc="1E5ACF20">
      <w:numFmt w:val="bullet"/>
      <w:lvlText w:val="•"/>
      <w:lvlJc w:val="left"/>
      <w:pPr>
        <w:ind w:left="4048" w:hanging="227"/>
      </w:pPr>
      <w:rPr>
        <w:rFonts w:hint="default"/>
      </w:rPr>
    </w:lvl>
    <w:lvl w:ilvl="6" w:tplc="921CEA60">
      <w:numFmt w:val="bullet"/>
      <w:lvlText w:val="•"/>
      <w:lvlJc w:val="left"/>
      <w:pPr>
        <w:ind w:left="4790" w:hanging="227"/>
      </w:pPr>
      <w:rPr>
        <w:rFonts w:hint="default"/>
      </w:rPr>
    </w:lvl>
    <w:lvl w:ilvl="7" w:tplc="280E2AAC">
      <w:numFmt w:val="bullet"/>
      <w:lvlText w:val="•"/>
      <w:lvlJc w:val="left"/>
      <w:pPr>
        <w:ind w:left="5532" w:hanging="227"/>
      </w:pPr>
      <w:rPr>
        <w:rFonts w:hint="default"/>
      </w:rPr>
    </w:lvl>
    <w:lvl w:ilvl="8" w:tplc="4ED2652E">
      <w:numFmt w:val="bullet"/>
      <w:lvlText w:val="•"/>
      <w:lvlJc w:val="left"/>
      <w:pPr>
        <w:ind w:left="6274" w:hanging="227"/>
      </w:pPr>
      <w:rPr>
        <w:rFonts w:hint="default"/>
      </w:rPr>
    </w:lvl>
  </w:abstractNum>
  <w:abstractNum w:abstractNumId="6" w15:restartNumberingAfterBreak="0">
    <w:nsid w:val="2225305E"/>
    <w:multiLevelType w:val="hybridMultilevel"/>
    <w:tmpl w:val="72BC2A84"/>
    <w:lvl w:ilvl="0" w:tplc="8424F044">
      <w:start w:val="1"/>
      <w:numFmt w:val="decimal"/>
      <w:lvlText w:val="%1."/>
      <w:lvlJc w:val="left"/>
      <w:pPr>
        <w:ind w:left="330" w:hanging="227"/>
      </w:pPr>
      <w:rPr>
        <w:rFonts w:ascii="Futura PT Book" w:eastAsia="Futura PT Book" w:hAnsi="Futura PT Book" w:cs="Futura PT Book" w:hint="default"/>
        <w:color w:val="636466"/>
        <w:spacing w:val="-10"/>
        <w:w w:val="100"/>
        <w:sz w:val="19"/>
        <w:szCs w:val="19"/>
      </w:rPr>
    </w:lvl>
    <w:lvl w:ilvl="1" w:tplc="F70C30D6">
      <w:numFmt w:val="bullet"/>
      <w:lvlText w:val="•"/>
      <w:lvlJc w:val="left"/>
      <w:pPr>
        <w:ind w:left="1077" w:hanging="227"/>
      </w:pPr>
      <w:rPr>
        <w:rFonts w:hint="default"/>
      </w:rPr>
    </w:lvl>
    <w:lvl w:ilvl="2" w:tplc="0CBE412A">
      <w:numFmt w:val="bullet"/>
      <w:lvlText w:val="•"/>
      <w:lvlJc w:val="left"/>
      <w:pPr>
        <w:ind w:left="1815" w:hanging="227"/>
      </w:pPr>
      <w:rPr>
        <w:rFonts w:hint="default"/>
      </w:rPr>
    </w:lvl>
    <w:lvl w:ilvl="3" w:tplc="6B8AFFFC">
      <w:numFmt w:val="bullet"/>
      <w:lvlText w:val="•"/>
      <w:lvlJc w:val="left"/>
      <w:pPr>
        <w:ind w:left="2553" w:hanging="227"/>
      </w:pPr>
      <w:rPr>
        <w:rFonts w:hint="default"/>
      </w:rPr>
    </w:lvl>
    <w:lvl w:ilvl="4" w:tplc="2D86C1A2">
      <w:numFmt w:val="bullet"/>
      <w:lvlText w:val="•"/>
      <w:lvlJc w:val="left"/>
      <w:pPr>
        <w:ind w:left="3291" w:hanging="227"/>
      </w:pPr>
      <w:rPr>
        <w:rFonts w:hint="default"/>
      </w:rPr>
    </w:lvl>
    <w:lvl w:ilvl="5" w:tplc="13808CD8">
      <w:numFmt w:val="bullet"/>
      <w:lvlText w:val="•"/>
      <w:lvlJc w:val="left"/>
      <w:pPr>
        <w:ind w:left="4028" w:hanging="227"/>
      </w:pPr>
      <w:rPr>
        <w:rFonts w:hint="default"/>
      </w:rPr>
    </w:lvl>
    <w:lvl w:ilvl="6" w:tplc="A8F4330E">
      <w:numFmt w:val="bullet"/>
      <w:lvlText w:val="•"/>
      <w:lvlJc w:val="left"/>
      <w:pPr>
        <w:ind w:left="4766" w:hanging="227"/>
      </w:pPr>
      <w:rPr>
        <w:rFonts w:hint="default"/>
      </w:rPr>
    </w:lvl>
    <w:lvl w:ilvl="7" w:tplc="E74CCD70">
      <w:numFmt w:val="bullet"/>
      <w:lvlText w:val="•"/>
      <w:lvlJc w:val="left"/>
      <w:pPr>
        <w:ind w:left="5504" w:hanging="227"/>
      </w:pPr>
      <w:rPr>
        <w:rFonts w:hint="default"/>
      </w:rPr>
    </w:lvl>
    <w:lvl w:ilvl="8" w:tplc="D1B246B0">
      <w:numFmt w:val="bullet"/>
      <w:lvlText w:val="•"/>
      <w:lvlJc w:val="left"/>
      <w:pPr>
        <w:ind w:left="6242" w:hanging="227"/>
      </w:pPr>
      <w:rPr>
        <w:rFonts w:hint="default"/>
      </w:rPr>
    </w:lvl>
  </w:abstractNum>
  <w:abstractNum w:abstractNumId="7" w15:restartNumberingAfterBreak="0">
    <w:nsid w:val="25D35BA7"/>
    <w:multiLevelType w:val="hybridMultilevel"/>
    <w:tmpl w:val="CFB4ED58"/>
    <w:lvl w:ilvl="0" w:tplc="CEF415A6">
      <w:start w:val="1"/>
      <w:numFmt w:val="decimal"/>
      <w:lvlText w:val="%1."/>
      <w:lvlJc w:val="left"/>
      <w:pPr>
        <w:ind w:left="330" w:hanging="227"/>
      </w:pPr>
      <w:rPr>
        <w:rFonts w:ascii="Futura PT Book" w:eastAsia="Futura PT Book" w:hAnsi="Futura PT Book" w:cs="Futura PT Book" w:hint="default"/>
        <w:color w:val="636466"/>
        <w:spacing w:val="-10"/>
        <w:w w:val="100"/>
        <w:sz w:val="19"/>
        <w:szCs w:val="19"/>
      </w:rPr>
    </w:lvl>
    <w:lvl w:ilvl="1" w:tplc="E4C049C6">
      <w:numFmt w:val="bullet"/>
      <w:lvlText w:val="•"/>
      <w:lvlJc w:val="left"/>
      <w:pPr>
        <w:ind w:left="1077" w:hanging="227"/>
      </w:pPr>
      <w:rPr>
        <w:rFonts w:hint="default"/>
      </w:rPr>
    </w:lvl>
    <w:lvl w:ilvl="2" w:tplc="7F72DC4A">
      <w:numFmt w:val="bullet"/>
      <w:lvlText w:val="•"/>
      <w:lvlJc w:val="left"/>
      <w:pPr>
        <w:ind w:left="1815" w:hanging="227"/>
      </w:pPr>
      <w:rPr>
        <w:rFonts w:hint="default"/>
      </w:rPr>
    </w:lvl>
    <w:lvl w:ilvl="3" w:tplc="91D2AA58">
      <w:numFmt w:val="bullet"/>
      <w:lvlText w:val="•"/>
      <w:lvlJc w:val="left"/>
      <w:pPr>
        <w:ind w:left="2553" w:hanging="227"/>
      </w:pPr>
      <w:rPr>
        <w:rFonts w:hint="default"/>
      </w:rPr>
    </w:lvl>
    <w:lvl w:ilvl="4" w:tplc="782EF802">
      <w:numFmt w:val="bullet"/>
      <w:lvlText w:val="•"/>
      <w:lvlJc w:val="left"/>
      <w:pPr>
        <w:ind w:left="3291" w:hanging="227"/>
      </w:pPr>
      <w:rPr>
        <w:rFonts w:hint="default"/>
      </w:rPr>
    </w:lvl>
    <w:lvl w:ilvl="5" w:tplc="007E5FA0">
      <w:numFmt w:val="bullet"/>
      <w:lvlText w:val="•"/>
      <w:lvlJc w:val="left"/>
      <w:pPr>
        <w:ind w:left="4028" w:hanging="227"/>
      </w:pPr>
      <w:rPr>
        <w:rFonts w:hint="default"/>
      </w:rPr>
    </w:lvl>
    <w:lvl w:ilvl="6" w:tplc="FFAE7A62">
      <w:numFmt w:val="bullet"/>
      <w:lvlText w:val="•"/>
      <w:lvlJc w:val="left"/>
      <w:pPr>
        <w:ind w:left="4766" w:hanging="227"/>
      </w:pPr>
      <w:rPr>
        <w:rFonts w:hint="default"/>
      </w:rPr>
    </w:lvl>
    <w:lvl w:ilvl="7" w:tplc="8506B23C">
      <w:numFmt w:val="bullet"/>
      <w:lvlText w:val="•"/>
      <w:lvlJc w:val="left"/>
      <w:pPr>
        <w:ind w:left="5504" w:hanging="227"/>
      </w:pPr>
      <w:rPr>
        <w:rFonts w:hint="default"/>
      </w:rPr>
    </w:lvl>
    <w:lvl w:ilvl="8" w:tplc="5B680388">
      <w:numFmt w:val="bullet"/>
      <w:lvlText w:val="•"/>
      <w:lvlJc w:val="left"/>
      <w:pPr>
        <w:ind w:left="6242" w:hanging="227"/>
      </w:pPr>
      <w:rPr>
        <w:rFonts w:hint="default"/>
      </w:rPr>
    </w:lvl>
  </w:abstractNum>
  <w:abstractNum w:abstractNumId="8" w15:restartNumberingAfterBreak="0">
    <w:nsid w:val="28CD6A38"/>
    <w:multiLevelType w:val="hybridMultilevel"/>
    <w:tmpl w:val="16BEB58E"/>
    <w:lvl w:ilvl="0" w:tplc="992A74B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F36C23"/>
    <w:multiLevelType w:val="hybridMultilevel"/>
    <w:tmpl w:val="766EE64A"/>
    <w:lvl w:ilvl="0" w:tplc="48C4D6D8">
      <w:start w:val="5"/>
      <w:numFmt w:val="decimal"/>
      <w:lvlText w:val="%1"/>
      <w:lvlJc w:val="left"/>
      <w:pPr>
        <w:ind w:left="113" w:hanging="960"/>
      </w:pPr>
      <w:rPr>
        <w:rFonts w:ascii="Futura PT Bold" w:eastAsia="Futura PT Bold" w:hAnsi="Futura PT Bold" w:cs="Futura PT Bold" w:hint="default"/>
        <w:b/>
        <w:bCs/>
        <w:color w:val="003E2D"/>
        <w:spacing w:val="-16"/>
        <w:w w:val="100"/>
        <w:sz w:val="70"/>
        <w:szCs w:val="70"/>
      </w:rPr>
    </w:lvl>
    <w:lvl w:ilvl="1" w:tplc="9D927820">
      <w:start w:val="1"/>
      <w:numFmt w:val="lowerLetter"/>
      <w:lvlText w:val="(%2)"/>
      <w:lvlJc w:val="left"/>
      <w:pPr>
        <w:ind w:left="1159" w:hanging="225"/>
      </w:pPr>
      <w:rPr>
        <w:rFonts w:ascii="Times New Roman" w:eastAsia="Times New Roman" w:hAnsi="Times New Roman" w:cs="Times New Roman" w:hint="default"/>
        <w:w w:val="105"/>
        <w:sz w:val="11"/>
        <w:szCs w:val="11"/>
      </w:rPr>
    </w:lvl>
    <w:lvl w:ilvl="2" w:tplc="F618965A">
      <w:numFmt w:val="bullet"/>
      <w:lvlText w:val="•"/>
      <w:lvlJc w:val="left"/>
      <w:pPr>
        <w:ind w:left="1873" w:hanging="225"/>
      </w:pPr>
      <w:rPr>
        <w:rFonts w:hint="default"/>
      </w:rPr>
    </w:lvl>
    <w:lvl w:ilvl="3" w:tplc="9DD210D4">
      <w:numFmt w:val="bullet"/>
      <w:lvlText w:val="•"/>
      <w:lvlJc w:val="left"/>
      <w:pPr>
        <w:ind w:left="2586" w:hanging="225"/>
      </w:pPr>
      <w:rPr>
        <w:rFonts w:hint="default"/>
      </w:rPr>
    </w:lvl>
    <w:lvl w:ilvl="4" w:tplc="F816FC6C">
      <w:numFmt w:val="bullet"/>
      <w:lvlText w:val="•"/>
      <w:lvlJc w:val="left"/>
      <w:pPr>
        <w:ind w:left="3299" w:hanging="225"/>
      </w:pPr>
      <w:rPr>
        <w:rFonts w:hint="default"/>
      </w:rPr>
    </w:lvl>
    <w:lvl w:ilvl="5" w:tplc="69EAC43E">
      <w:numFmt w:val="bullet"/>
      <w:lvlText w:val="•"/>
      <w:lvlJc w:val="left"/>
      <w:pPr>
        <w:ind w:left="4012" w:hanging="225"/>
      </w:pPr>
      <w:rPr>
        <w:rFonts w:hint="default"/>
      </w:rPr>
    </w:lvl>
    <w:lvl w:ilvl="6" w:tplc="0A747228">
      <w:numFmt w:val="bullet"/>
      <w:lvlText w:val="•"/>
      <w:lvlJc w:val="left"/>
      <w:pPr>
        <w:ind w:left="4725" w:hanging="225"/>
      </w:pPr>
      <w:rPr>
        <w:rFonts w:hint="default"/>
      </w:rPr>
    </w:lvl>
    <w:lvl w:ilvl="7" w:tplc="FA565304">
      <w:numFmt w:val="bullet"/>
      <w:lvlText w:val="•"/>
      <w:lvlJc w:val="left"/>
      <w:pPr>
        <w:ind w:left="5438" w:hanging="225"/>
      </w:pPr>
      <w:rPr>
        <w:rFonts w:hint="default"/>
      </w:rPr>
    </w:lvl>
    <w:lvl w:ilvl="8" w:tplc="3D566D88">
      <w:numFmt w:val="bullet"/>
      <w:lvlText w:val="•"/>
      <w:lvlJc w:val="left"/>
      <w:pPr>
        <w:ind w:left="6151" w:hanging="225"/>
      </w:pPr>
      <w:rPr>
        <w:rFonts w:hint="default"/>
      </w:rPr>
    </w:lvl>
  </w:abstractNum>
  <w:abstractNum w:abstractNumId="10" w15:restartNumberingAfterBreak="0">
    <w:nsid w:val="38666A5A"/>
    <w:multiLevelType w:val="hybridMultilevel"/>
    <w:tmpl w:val="7766FF52"/>
    <w:lvl w:ilvl="0" w:tplc="A5BCA48C">
      <w:start w:val="1"/>
      <w:numFmt w:val="decimal"/>
      <w:lvlText w:val="%1."/>
      <w:lvlJc w:val="left"/>
      <w:pPr>
        <w:ind w:left="330" w:hanging="227"/>
      </w:pPr>
      <w:rPr>
        <w:rFonts w:ascii="Futura PT Book" w:eastAsia="Futura PT Book" w:hAnsi="Futura PT Book" w:cs="Futura PT Book" w:hint="default"/>
        <w:color w:val="636466"/>
        <w:spacing w:val="-28"/>
        <w:w w:val="100"/>
        <w:sz w:val="19"/>
        <w:szCs w:val="19"/>
      </w:rPr>
    </w:lvl>
    <w:lvl w:ilvl="1" w:tplc="3D4255BE">
      <w:numFmt w:val="bullet"/>
      <w:lvlText w:val="•"/>
      <w:lvlJc w:val="left"/>
      <w:pPr>
        <w:ind w:left="1077" w:hanging="227"/>
      </w:pPr>
      <w:rPr>
        <w:rFonts w:hint="default"/>
      </w:rPr>
    </w:lvl>
    <w:lvl w:ilvl="2" w:tplc="EB92CE94">
      <w:numFmt w:val="bullet"/>
      <w:lvlText w:val="•"/>
      <w:lvlJc w:val="left"/>
      <w:pPr>
        <w:ind w:left="1815" w:hanging="227"/>
      </w:pPr>
      <w:rPr>
        <w:rFonts w:hint="default"/>
      </w:rPr>
    </w:lvl>
    <w:lvl w:ilvl="3" w:tplc="AAE000B0">
      <w:numFmt w:val="bullet"/>
      <w:lvlText w:val="•"/>
      <w:lvlJc w:val="left"/>
      <w:pPr>
        <w:ind w:left="2553" w:hanging="227"/>
      </w:pPr>
      <w:rPr>
        <w:rFonts w:hint="default"/>
      </w:rPr>
    </w:lvl>
    <w:lvl w:ilvl="4" w:tplc="C8947660">
      <w:numFmt w:val="bullet"/>
      <w:lvlText w:val="•"/>
      <w:lvlJc w:val="left"/>
      <w:pPr>
        <w:ind w:left="3291" w:hanging="227"/>
      </w:pPr>
      <w:rPr>
        <w:rFonts w:hint="default"/>
      </w:rPr>
    </w:lvl>
    <w:lvl w:ilvl="5" w:tplc="B0C05EF0">
      <w:numFmt w:val="bullet"/>
      <w:lvlText w:val="•"/>
      <w:lvlJc w:val="left"/>
      <w:pPr>
        <w:ind w:left="4028" w:hanging="227"/>
      </w:pPr>
      <w:rPr>
        <w:rFonts w:hint="default"/>
      </w:rPr>
    </w:lvl>
    <w:lvl w:ilvl="6" w:tplc="A2F41852">
      <w:numFmt w:val="bullet"/>
      <w:lvlText w:val="•"/>
      <w:lvlJc w:val="left"/>
      <w:pPr>
        <w:ind w:left="4766" w:hanging="227"/>
      </w:pPr>
      <w:rPr>
        <w:rFonts w:hint="default"/>
      </w:rPr>
    </w:lvl>
    <w:lvl w:ilvl="7" w:tplc="5A4EDBE4">
      <w:numFmt w:val="bullet"/>
      <w:lvlText w:val="•"/>
      <w:lvlJc w:val="left"/>
      <w:pPr>
        <w:ind w:left="5504" w:hanging="227"/>
      </w:pPr>
      <w:rPr>
        <w:rFonts w:hint="default"/>
      </w:rPr>
    </w:lvl>
    <w:lvl w:ilvl="8" w:tplc="566CEB56">
      <w:numFmt w:val="bullet"/>
      <w:lvlText w:val="•"/>
      <w:lvlJc w:val="left"/>
      <w:pPr>
        <w:ind w:left="6242" w:hanging="227"/>
      </w:pPr>
      <w:rPr>
        <w:rFonts w:hint="default"/>
      </w:rPr>
    </w:lvl>
  </w:abstractNum>
  <w:abstractNum w:abstractNumId="11" w15:restartNumberingAfterBreak="0">
    <w:nsid w:val="3A3A7A62"/>
    <w:multiLevelType w:val="hybridMultilevel"/>
    <w:tmpl w:val="AB6CFEA8"/>
    <w:lvl w:ilvl="0" w:tplc="1C0A246C">
      <w:start w:val="1"/>
      <w:numFmt w:val="lowerLetter"/>
      <w:lvlText w:val="%1."/>
      <w:lvlJc w:val="left"/>
      <w:pPr>
        <w:ind w:left="330" w:hanging="227"/>
      </w:pPr>
      <w:rPr>
        <w:rFonts w:ascii="Futura PT Book" w:eastAsia="Futura PT Book" w:hAnsi="Futura PT Book" w:cs="Futura PT Book" w:hint="default"/>
        <w:color w:val="636466"/>
        <w:spacing w:val="-9"/>
        <w:w w:val="100"/>
        <w:sz w:val="16"/>
        <w:szCs w:val="16"/>
      </w:rPr>
    </w:lvl>
    <w:lvl w:ilvl="1" w:tplc="A36AA1B6">
      <w:numFmt w:val="bullet"/>
      <w:lvlText w:val="•"/>
      <w:lvlJc w:val="left"/>
      <w:pPr>
        <w:ind w:left="1081" w:hanging="227"/>
      </w:pPr>
      <w:rPr>
        <w:rFonts w:hint="default"/>
      </w:rPr>
    </w:lvl>
    <w:lvl w:ilvl="2" w:tplc="2D66E7D2">
      <w:numFmt w:val="bullet"/>
      <w:lvlText w:val="•"/>
      <w:lvlJc w:val="left"/>
      <w:pPr>
        <w:ind w:left="1823" w:hanging="227"/>
      </w:pPr>
      <w:rPr>
        <w:rFonts w:hint="default"/>
      </w:rPr>
    </w:lvl>
    <w:lvl w:ilvl="3" w:tplc="F66A0856">
      <w:numFmt w:val="bullet"/>
      <w:lvlText w:val="•"/>
      <w:lvlJc w:val="left"/>
      <w:pPr>
        <w:ind w:left="2565" w:hanging="227"/>
      </w:pPr>
      <w:rPr>
        <w:rFonts w:hint="default"/>
      </w:rPr>
    </w:lvl>
    <w:lvl w:ilvl="4" w:tplc="2A508492">
      <w:numFmt w:val="bullet"/>
      <w:lvlText w:val="•"/>
      <w:lvlJc w:val="left"/>
      <w:pPr>
        <w:ind w:left="3307" w:hanging="227"/>
      </w:pPr>
      <w:rPr>
        <w:rFonts w:hint="default"/>
      </w:rPr>
    </w:lvl>
    <w:lvl w:ilvl="5" w:tplc="631ED9B8">
      <w:numFmt w:val="bullet"/>
      <w:lvlText w:val="•"/>
      <w:lvlJc w:val="left"/>
      <w:pPr>
        <w:ind w:left="4048" w:hanging="227"/>
      </w:pPr>
      <w:rPr>
        <w:rFonts w:hint="default"/>
      </w:rPr>
    </w:lvl>
    <w:lvl w:ilvl="6" w:tplc="E312A550">
      <w:numFmt w:val="bullet"/>
      <w:lvlText w:val="•"/>
      <w:lvlJc w:val="left"/>
      <w:pPr>
        <w:ind w:left="4790" w:hanging="227"/>
      </w:pPr>
      <w:rPr>
        <w:rFonts w:hint="default"/>
      </w:rPr>
    </w:lvl>
    <w:lvl w:ilvl="7" w:tplc="6C3801DE">
      <w:numFmt w:val="bullet"/>
      <w:lvlText w:val="•"/>
      <w:lvlJc w:val="left"/>
      <w:pPr>
        <w:ind w:left="5532" w:hanging="227"/>
      </w:pPr>
      <w:rPr>
        <w:rFonts w:hint="default"/>
      </w:rPr>
    </w:lvl>
    <w:lvl w:ilvl="8" w:tplc="ED52F2B0">
      <w:numFmt w:val="bullet"/>
      <w:lvlText w:val="•"/>
      <w:lvlJc w:val="left"/>
      <w:pPr>
        <w:ind w:left="6274" w:hanging="227"/>
      </w:pPr>
      <w:rPr>
        <w:rFonts w:hint="default"/>
      </w:rPr>
    </w:lvl>
  </w:abstractNum>
  <w:abstractNum w:abstractNumId="12" w15:restartNumberingAfterBreak="0">
    <w:nsid w:val="3BDB7D5C"/>
    <w:multiLevelType w:val="hybridMultilevel"/>
    <w:tmpl w:val="26420530"/>
    <w:lvl w:ilvl="0" w:tplc="42E80D04">
      <w:start w:val="1"/>
      <w:numFmt w:val="decimal"/>
      <w:lvlText w:val="%1."/>
      <w:lvlJc w:val="left"/>
      <w:pPr>
        <w:ind w:left="340" w:hanging="227"/>
      </w:pPr>
      <w:rPr>
        <w:rFonts w:ascii="Futura PT Book" w:eastAsia="Futura PT Book" w:hAnsi="Futura PT Book" w:cs="Futura PT Book" w:hint="default"/>
        <w:color w:val="636466"/>
        <w:spacing w:val="-24"/>
        <w:w w:val="100"/>
        <w:sz w:val="19"/>
        <w:szCs w:val="19"/>
      </w:rPr>
    </w:lvl>
    <w:lvl w:ilvl="1" w:tplc="9EA47428">
      <w:numFmt w:val="bullet"/>
      <w:lvlText w:val="•"/>
      <w:lvlJc w:val="left"/>
      <w:pPr>
        <w:ind w:left="496" w:hanging="227"/>
      </w:pPr>
      <w:rPr>
        <w:rFonts w:ascii="Futura PT Book" w:eastAsia="Futura PT Book" w:hAnsi="Futura PT Book" w:cs="Futura PT Book" w:hint="default"/>
        <w:color w:val="636466"/>
        <w:w w:val="100"/>
        <w:sz w:val="19"/>
        <w:szCs w:val="19"/>
      </w:rPr>
    </w:lvl>
    <w:lvl w:ilvl="2" w:tplc="8D14A4C2">
      <w:numFmt w:val="bullet"/>
      <w:lvlText w:val="•"/>
      <w:lvlJc w:val="left"/>
      <w:pPr>
        <w:ind w:left="1306" w:hanging="227"/>
      </w:pPr>
      <w:rPr>
        <w:rFonts w:hint="default"/>
      </w:rPr>
    </w:lvl>
    <w:lvl w:ilvl="3" w:tplc="5228488A">
      <w:numFmt w:val="bullet"/>
      <w:lvlText w:val="•"/>
      <w:lvlJc w:val="left"/>
      <w:pPr>
        <w:ind w:left="2112" w:hanging="227"/>
      </w:pPr>
      <w:rPr>
        <w:rFonts w:hint="default"/>
      </w:rPr>
    </w:lvl>
    <w:lvl w:ilvl="4" w:tplc="69E27016">
      <w:numFmt w:val="bullet"/>
      <w:lvlText w:val="•"/>
      <w:lvlJc w:val="left"/>
      <w:pPr>
        <w:ind w:left="2919" w:hanging="227"/>
      </w:pPr>
      <w:rPr>
        <w:rFonts w:hint="default"/>
      </w:rPr>
    </w:lvl>
    <w:lvl w:ilvl="5" w:tplc="88303D8C">
      <w:numFmt w:val="bullet"/>
      <w:lvlText w:val="•"/>
      <w:lvlJc w:val="left"/>
      <w:pPr>
        <w:ind w:left="3725" w:hanging="227"/>
      </w:pPr>
      <w:rPr>
        <w:rFonts w:hint="default"/>
      </w:rPr>
    </w:lvl>
    <w:lvl w:ilvl="6" w:tplc="8D56B94C">
      <w:numFmt w:val="bullet"/>
      <w:lvlText w:val="•"/>
      <w:lvlJc w:val="left"/>
      <w:pPr>
        <w:ind w:left="4532" w:hanging="227"/>
      </w:pPr>
      <w:rPr>
        <w:rFonts w:hint="default"/>
      </w:rPr>
    </w:lvl>
    <w:lvl w:ilvl="7" w:tplc="13E20F92">
      <w:numFmt w:val="bullet"/>
      <w:lvlText w:val="•"/>
      <w:lvlJc w:val="left"/>
      <w:pPr>
        <w:ind w:left="5338" w:hanging="227"/>
      </w:pPr>
      <w:rPr>
        <w:rFonts w:hint="default"/>
      </w:rPr>
    </w:lvl>
    <w:lvl w:ilvl="8" w:tplc="BF3CD9EA">
      <w:numFmt w:val="bullet"/>
      <w:lvlText w:val="•"/>
      <w:lvlJc w:val="left"/>
      <w:pPr>
        <w:ind w:left="6145" w:hanging="227"/>
      </w:pPr>
      <w:rPr>
        <w:rFonts w:hint="default"/>
      </w:rPr>
    </w:lvl>
  </w:abstractNum>
  <w:abstractNum w:abstractNumId="13" w15:restartNumberingAfterBreak="0">
    <w:nsid w:val="3C913BF3"/>
    <w:multiLevelType w:val="hybridMultilevel"/>
    <w:tmpl w:val="46F0CC06"/>
    <w:lvl w:ilvl="0" w:tplc="B17C9500">
      <w:start w:val="1"/>
      <w:numFmt w:val="lowerLetter"/>
      <w:lvlText w:val="%1."/>
      <w:lvlJc w:val="left"/>
      <w:pPr>
        <w:ind w:left="330" w:hanging="227"/>
      </w:pPr>
      <w:rPr>
        <w:rFonts w:ascii="Futura PT Book" w:eastAsia="Futura PT Book" w:hAnsi="Futura PT Book" w:cs="Futura PT Book" w:hint="default"/>
        <w:color w:val="636466"/>
        <w:spacing w:val="-9"/>
        <w:w w:val="100"/>
        <w:sz w:val="16"/>
        <w:szCs w:val="16"/>
      </w:rPr>
    </w:lvl>
    <w:lvl w:ilvl="1" w:tplc="9760D69C">
      <w:numFmt w:val="bullet"/>
      <w:lvlText w:val="•"/>
      <w:lvlJc w:val="left"/>
      <w:pPr>
        <w:ind w:left="1077" w:hanging="227"/>
      </w:pPr>
      <w:rPr>
        <w:rFonts w:hint="default"/>
      </w:rPr>
    </w:lvl>
    <w:lvl w:ilvl="2" w:tplc="C844745E">
      <w:numFmt w:val="bullet"/>
      <w:lvlText w:val="•"/>
      <w:lvlJc w:val="left"/>
      <w:pPr>
        <w:ind w:left="1815" w:hanging="227"/>
      </w:pPr>
      <w:rPr>
        <w:rFonts w:hint="default"/>
      </w:rPr>
    </w:lvl>
    <w:lvl w:ilvl="3" w:tplc="9B965B90">
      <w:numFmt w:val="bullet"/>
      <w:lvlText w:val="•"/>
      <w:lvlJc w:val="left"/>
      <w:pPr>
        <w:ind w:left="2553" w:hanging="227"/>
      </w:pPr>
      <w:rPr>
        <w:rFonts w:hint="default"/>
      </w:rPr>
    </w:lvl>
    <w:lvl w:ilvl="4" w:tplc="055E4052">
      <w:numFmt w:val="bullet"/>
      <w:lvlText w:val="•"/>
      <w:lvlJc w:val="left"/>
      <w:pPr>
        <w:ind w:left="3291" w:hanging="227"/>
      </w:pPr>
      <w:rPr>
        <w:rFonts w:hint="default"/>
      </w:rPr>
    </w:lvl>
    <w:lvl w:ilvl="5" w:tplc="1FBA7C44">
      <w:numFmt w:val="bullet"/>
      <w:lvlText w:val="•"/>
      <w:lvlJc w:val="left"/>
      <w:pPr>
        <w:ind w:left="4028" w:hanging="227"/>
      </w:pPr>
      <w:rPr>
        <w:rFonts w:hint="default"/>
      </w:rPr>
    </w:lvl>
    <w:lvl w:ilvl="6" w:tplc="ABC2B9D0">
      <w:numFmt w:val="bullet"/>
      <w:lvlText w:val="•"/>
      <w:lvlJc w:val="left"/>
      <w:pPr>
        <w:ind w:left="4766" w:hanging="227"/>
      </w:pPr>
      <w:rPr>
        <w:rFonts w:hint="default"/>
      </w:rPr>
    </w:lvl>
    <w:lvl w:ilvl="7" w:tplc="D0BC6D82">
      <w:numFmt w:val="bullet"/>
      <w:lvlText w:val="•"/>
      <w:lvlJc w:val="left"/>
      <w:pPr>
        <w:ind w:left="5504" w:hanging="227"/>
      </w:pPr>
      <w:rPr>
        <w:rFonts w:hint="default"/>
      </w:rPr>
    </w:lvl>
    <w:lvl w:ilvl="8" w:tplc="856AB086">
      <w:numFmt w:val="bullet"/>
      <w:lvlText w:val="•"/>
      <w:lvlJc w:val="left"/>
      <w:pPr>
        <w:ind w:left="6242" w:hanging="227"/>
      </w:pPr>
      <w:rPr>
        <w:rFonts w:hint="default"/>
      </w:rPr>
    </w:lvl>
  </w:abstractNum>
  <w:abstractNum w:abstractNumId="14" w15:restartNumberingAfterBreak="0">
    <w:nsid w:val="435B3B55"/>
    <w:multiLevelType w:val="hybridMultilevel"/>
    <w:tmpl w:val="DB6677F8"/>
    <w:lvl w:ilvl="0" w:tplc="F9782BF4">
      <w:start w:val="21"/>
      <w:numFmt w:val="decimal"/>
      <w:lvlText w:val="%1"/>
      <w:lvlJc w:val="left"/>
      <w:pPr>
        <w:ind w:left="347" w:hanging="247"/>
      </w:pPr>
      <w:rPr>
        <w:rFonts w:ascii="Futura PT Book" w:eastAsia="Futura PT Book" w:hAnsi="Futura PT Book" w:cs="Futura PT Book" w:hint="default"/>
        <w:color w:val="636466"/>
        <w:spacing w:val="-14"/>
        <w:w w:val="100"/>
        <w:sz w:val="19"/>
        <w:szCs w:val="19"/>
      </w:rPr>
    </w:lvl>
    <w:lvl w:ilvl="1" w:tplc="B4BAD29E">
      <w:numFmt w:val="bullet"/>
      <w:lvlText w:val="•"/>
      <w:lvlJc w:val="left"/>
      <w:pPr>
        <w:ind w:left="1045" w:hanging="247"/>
      </w:pPr>
      <w:rPr>
        <w:rFonts w:hint="default"/>
      </w:rPr>
    </w:lvl>
    <w:lvl w:ilvl="2" w:tplc="912CCACA">
      <w:numFmt w:val="bullet"/>
      <w:lvlText w:val="•"/>
      <w:lvlJc w:val="left"/>
      <w:pPr>
        <w:ind w:left="1751" w:hanging="247"/>
      </w:pPr>
      <w:rPr>
        <w:rFonts w:hint="default"/>
      </w:rPr>
    </w:lvl>
    <w:lvl w:ilvl="3" w:tplc="1C844DC8">
      <w:numFmt w:val="bullet"/>
      <w:lvlText w:val="•"/>
      <w:lvlJc w:val="left"/>
      <w:pPr>
        <w:ind w:left="2457" w:hanging="247"/>
      </w:pPr>
      <w:rPr>
        <w:rFonts w:hint="default"/>
      </w:rPr>
    </w:lvl>
    <w:lvl w:ilvl="4" w:tplc="4C8021F4">
      <w:numFmt w:val="bullet"/>
      <w:lvlText w:val="•"/>
      <w:lvlJc w:val="left"/>
      <w:pPr>
        <w:ind w:left="3163" w:hanging="247"/>
      </w:pPr>
      <w:rPr>
        <w:rFonts w:hint="default"/>
      </w:rPr>
    </w:lvl>
    <w:lvl w:ilvl="5" w:tplc="D76CE1D8">
      <w:numFmt w:val="bullet"/>
      <w:lvlText w:val="•"/>
      <w:lvlJc w:val="left"/>
      <w:pPr>
        <w:ind w:left="3868" w:hanging="247"/>
      </w:pPr>
      <w:rPr>
        <w:rFonts w:hint="default"/>
      </w:rPr>
    </w:lvl>
    <w:lvl w:ilvl="6" w:tplc="A8CC4D26">
      <w:numFmt w:val="bullet"/>
      <w:lvlText w:val="•"/>
      <w:lvlJc w:val="left"/>
      <w:pPr>
        <w:ind w:left="4574" w:hanging="247"/>
      </w:pPr>
      <w:rPr>
        <w:rFonts w:hint="default"/>
      </w:rPr>
    </w:lvl>
    <w:lvl w:ilvl="7" w:tplc="3298802A">
      <w:numFmt w:val="bullet"/>
      <w:lvlText w:val="•"/>
      <w:lvlJc w:val="left"/>
      <w:pPr>
        <w:ind w:left="5280" w:hanging="247"/>
      </w:pPr>
      <w:rPr>
        <w:rFonts w:hint="default"/>
      </w:rPr>
    </w:lvl>
    <w:lvl w:ilvl="8" w:tplc="3988790A">
      <w:numFmt w:val="bullet"/>
      <w:lvlText w:val="•"/>
      <w:lvlJc w:val="left"/>
      <w:pPr>
        <w:ind w:left="5986" w:hanging="247"/>
      </w:pPr>
      <w:rPr>
        <w:rFonts w:hint="default"/>
      </w:rPr>
    </w:lvl>
  </w:abstractNum>
  <w:abstractNum w:abstractNumId="15" w15:restartNumberingAfterBreak="0">
    <w:nsid w:val="45010607"/>
    <w:multiLevelType w:val="hybridMultilevel"/>
    <w:tmpl w:val="F8A804C2"/>
    <w:lvl w:ilvl="0" w:tplc="F026904E">
      <w:start w:val="1"/>
      <w:numFmt w:val="decimal"/>
      <w:lvlText w:val="%1."/>
      <w:lvlJc w:val="left"/>
      <w:pPr>
        <w:ind w:left="330" w:hanging="227"/>
      </w:pPr>
      <w:rPr>
        <w:rFonts w:ascii="Futura PT Book" w:eastAsia="Futura PT Book" w:hAnsi="Futura PT Book" w:cs="Futura PT Book" w:hint="default"/>
        <w:color w:val="636466"/>
        <w:spacing w:val="-12"/>
        <w:w w:val="100"/>
        <w:sz w:val="19"/>
        <w:szCs w:val="19"/>
      </w:rPr>
    </w:lvl>
    <w:lvl w:ilvl="1" w:tplc="9EB64F08">
      <w:numFmt w:val="bullet"/>
      <w:lvlText w:val="•"/>
      <w:lvlJc w:val="left"/>
      <w:pPr>
        <w:ind w:left="1077" w:hanging="227"/>
      </w:pPr>
      <w:rPr>
        <w:rFonts w:hint="default"/>
      </w:rPr>
    </w:lvl>
    <w:lvl w:ilvl="2" w:tplc="80281A10">
      <w:numFmt w:val="bullet"/>
      <w:lvlText w:val="•"/>
      <w:lvlJc w:val="left"/>
      <w:pPr>
        <w:ind w:left="1815" w:hanging="227"/>
      </w:pPr>
      <w:rPr>
        <w:rFonts w:hint="default"/>
      </w:rPr>
    </w:lvl>
    <w:lvl w:ilvl="3" w:tplc="37E47E2C">
      <w:numFmt w:val="bullet"/>
      <w:lvlText w:val="•"/>
      <w:lvlJc w:val="left"/>
      <w:pPr>
        <w:ind w:left="2553" w:hanging="227"/>
      </w:pPr>
      <w:rPr>
        <w:rFonts w:hint="default"/>
      </w:rPr>
    </w:lvl>
    <w:lvl w:ilvl="4" w:tplc="BFC81582">
      <w:numFmt w:val="bullet"/>
      <w:lvlText w:val="•"/>
      <w:lvlJc w:val="left"/>
      <w:pPr>
        <w:ind w:left="3291" w:hanging="227"/>
      </w:pPr>
      <w:rPr>
        <w:rFonts w:hint="default"/>
      </w:rPr>
    </w:lvl>
    <w:lvl w:ilvl="5" w:tplc="7192522C">
      <w:numFmt w:val="bullet"/>
      <w:lvlText w:val="•"/>
      <w:lvlJc w:val="left"/>
      <w:pPr>
        <w:ind w:left="4028" w:hanging="227"/>
      </w:pPr>
      <w:rPr>
        <w:rFonts w:hint="default"/>
      </w:rPr>
    </w:lvl>
    <w:lvl w:ilvl="6" w:tplc="B0CAC13A">
      <w:numFmt w:val="bullet"/>
      <w:lvlText w:val="•"/>
      <w:lvlJc w:val="left"/>
      <w:pPr>
        <w:ind w:left="4766" w:hanging="227"/>
      </w:pPr>
      <w:rPr>
        <w:rFonts w:hint="default"/>
      </w:rPr>
    </w:lvl>
    <w:lvl w:ilvl="7" w:tplc="445E396A">
      <w:numFmt w:val="bullet"/>
      <w:lvlText w:val="•"/>
      <w:lvlJc w:val="left"/>
      <w:pPr>
        <w:ind w:left="5504" w:hanging="227"/>
      </w:pPr>
      <w:rPr>
        <w:rFonts w:hint="default"/>
      </w:rPr>
    </w:lvl>
    <w:lvl w:ilvl="8" w:tplc="E66AF8DA">
      <w:numFmt w:val="bullet"/>
      <w:lvlText w:val="•"/>
      <w:lvlJc w:val="left"/>
      <w:pPr>
        <w:ind w:left="6242" w:hanging="227"/>
      </w:pPr>
      <w:rPr>
        <w:rFonts w:hint="default"/>
      </w:rPr>
    </w:lvl>
  </w:abstractNum>
  <w:abstractNum w:abstractNumId="16" w15:restartNumberingAfterBreak="0">
    <w:nsid w:val="473F09D5"/>
    <w:multiLevelType w:val="hybridMultilevel"/>
    <w:tmpl w:val="E58E1638"/>
    <w:lvl w:ilvl="0" w:tplc="BB94AD9A">
      <w:numFmt w:val="bullet"/>
      <w:lvlText w:val="•"/>
      <w:lvlJc w:val="left"/>
      <w:pPr>
        <w:ind w:left="340" w:hanging="227"/>
      </w:pPr>
      <w:rPr>
        <w:rFonts w:ascii="Futura PT Book" w:eastAsia="Futura PT Book" w:hAnsi="Futura PT Book" w:cs="Futura PT Book" w:hint="default"/>
        <w:color w:val="636466"/>
        <w:w w:val="100"/>
        <w:sz w:val="19"/>
        <w:szCs w:val="19"/>
      </w:rPr>
    </w:lvl>
    <w:lvl w:ilvl="1" w:tplc="97B68960">
      <w:numFmt w:val="bullet"/>
      <w:lvlText w:val="•"/>
      <w:lvlJc w:val="left"/>
      <w:pPr>
        <w:ind w:left="1081" w:hanging="227"/>
      </w:pPr>
      <w:rPr>
        <w:rFonts w:hint="default"/>
      </w:rPr>
    </w:lvl>
    <w:lvl w:ilvl="2" w:tplc="93686470">
      <w:numFmt w:val="bullet"/>
      <w:lvlText w:val="•"/>
      <w:lvlJc w:val="left"/>
      <w:pPr>
        <w:ind w:left="1823" w:hanging="227"/>
      </w:pPr>
      <w:rPr>
        <w:rFonts w:hint="default"/>
      </w:rPr>
    </w:lvl>
    <w:lvl w:ilvl="3" w:tplc="85E2CCC6">
      <w:numFmt w:val="bullet"/>
      <w:lvlText w:val="•"/>
      <w:lvlJc w:val="left"/>
      <w:pPr>
        <w:ind w:left="2565" w:hanging="227"/>
      </w:pPr>
      <w:rPr>
        <w:rFonts w:hint="default"/>
      </w:rPr>
    </w:lvl>
    <w:lvl w:ilvl="4" w:tplc="5FBC0D4C">
      <w:numFmt w:val="bullet"/>
      <w:lvlText w:val="•"/>
      <w:lvlJc w:val="left"/>
      <w:pPr>
        <w:ind w:left="3307" w:hanging="227"/>
      </w:pPr>
      <w:rPr>
        <w:rFonts w:hint="default"/>
      </w:rPr>
    </w:lvl>
    <w:lvl w:ilvl="5" w:tplc="5F968362">
      <w:numFmt w:val="bullet"/>
      <w:lvlText w:val="•"/>
      <w:lvlJc w:val="left"/>
      <w:pPr>
        <w:ind w:left="4048" w:hanging="227"/>
      </w:pPr>
      <w:rPr>
        <w:rFonts w:hint="default"/>
      </w:rPr>
    </w:lvl>
    <w:lvl w:ilvl="6" w:tplc="C0065992">
      <w:numFmt w:val="bullet"/>
      <w:lvlText w:val="•"/>
      <w:lvlJc w:val="left"/>
      <w:pPr>
        <w:ind w:left="4790" w:hanging="227"/>
      </w:pPr>
      <w:rPr>
        <w:rFonts w:hint="default"/>
      </w:rPr>
    </w:lvl>
    <w:lvl w:ilvl="7" w:tplc="C3CC23DA">
      <w:numFmt w:val="bullet"/>
      <w:lvlText w:val="•"/>
      <w:lvlJc w:val="left"/>
      <w:pPr>
        <w:ind w:left="5532" w:hanging="227"/>
      </w:pPr>
      <w:rPr>
        <w:rFonts w:hint="default"/>
      </w:rPr>
    </w:lvl>
    <w:lvl w:ilvl="8" w:tplc="E20EE63C">
      <w:numFmt w:val="bullet"/>
      <w:lvlText w:val="•"/>
      <w:lvlJc w:val="left"/>
      <w:pPr>
        <w:ind w:left="6274" w:hanging="227"/>
      </w:pPr>
      <w:rPr>
        <w:rFonts w:hint="default"/>
      </w:rPr>
    </w:lvl>
  </w:abstractNum>
  <w:abstractNum w:abstractNumId="17" w15:restartNumberingAfterBreak="0">
    <w:nsid w:val="4FD43D9B"/>
    <w:multiLevelType w:val="hybridMultilevel"/>
    <w:tmpl w:val="67EC2438"/>
    <w:lvl w:ilvl="0" w:tplc="BB08D038">
      <w:start w:val="1"/>
      <w:numFmt w:val="lowerLetter"/>
      <w:lvlText w:val="%1."/>
      <w:lvlJc w:val="left"/>
      <w:pPr>
        <w:ind w:left="340" w:hanging="227"/>
      </w:pPr>
      <w:rPr>
        <w:rFonts w:ascii="Futura PT Book" w:eastAsia="Futura PT Book" w:hAnsi="Futura PT Book" w:cs="Futura PT Book" w:hint="default"/>
        <w:color w:val="636466"/>
        <w:spacing w:val="-9"/>
        <w:w w:val="100"/>
        <w:sz w:val="16"/>
        <w:szCs w:val="16"/>
      </w:rPr>
    </w:lvl>
    <w:lvl w:ilvl="1" w:tplc="A3AA29AE">
      <w:numFmt w:val="bullet"/>
      <w:lvlText w:val="•"/>
      <w:lvlJc w:val="left"/>
      <w:pPr>
        <w:ind w:left="1083" w:hanging="227"/>
      </w:pPr>
      <w:rPr>
        <w:rFonts w:hint="default"/>
      </w:rPr>
    </w:lvl>
    <w:lvl w:ilvl="2" w:tplc="59C2DCAC">
      <w:numFmt w:val="bullet"/>
      <w:lvlText w:val="•"/>
      <w:lvlJc w:val="left"/>
      <w:pPr>
        <w:ind w:left="1827" w:hanging="227"/>
      </w:pPr>
      <w:rPr>
        <w:rFonts w:hint="default"/>
      </w:rPr>
    </w:lvl>
    <w:lvl w:ilvl="3" w:tplc="69BCCFD8">
      <w:numFmt w:val="bullet"/>
      <w:lvlText w:val="•"/>
      <w:lvlJc w:val="left"/>
      <w:pPr>
        <w:ind w:left="2571" w:hanging="227"/>
      </w:pPr>
      <w:rPr>
        <w:rFonts w:hint="default"/>
      </w:rPr>
    </w:lvl>
    <w:lvl w:ilvl="4" w:tplc="187E00D0">
      <w:numFmt w:val="bullet"/>
      <w:lvlText w:val="•"/>
      <w:lvlJc w:val="left"/>
      <w:pPr>
        <w:ind w:left="3315" w:hanging="227"/>
      </w:pPr>
      <w:rPr>
        <w:rFonts w:hint="default"/>
      </w:rPr>
    </w:lvl>
    <w:lvl w:ilvl="5" w:tplc="76F2B7DC">
      <w:numFmt w:val="bullet"/>
      <w:lvlText w:val="•"/>
      <w:lvlJc w:val="left"/>
      <w:pPr>
        <w:ind w:left="4058" w:hanging="227"/>
      </w:pPr>
      <w:rPr>
        <w:rFonts w:hint="default"/>
      </w:rPr>
    </w:lvl>
    <w:lvl w:ilvl="6" w:tplc="06A8BB7C">
      <w:numFmt w:val="bullet"/>
      <w:lvlText w:val="•"/>
      <w:lvlJc w:val="left"/>
      <w:pPr>
        <w:ind w:left="4802" w:hanging="227"/>
      </w:pPr>
      <w:rPr>
        <w:rFonts w:hint="default"/>
      </w:rPr>
    </w:lvl>
    <w:lvl w:ilvl="7" w:tplc="3EF6ACFE">
      <w:numFmt w:val="bullet"/>
      <w:lvlText w:val="•"/>
      <w:lvlJc w:val="left"/>
      <w:pPr>
        <w:ind w:left="5546" w:hanging="227"/>
      </w:pPr>
      <w:rPr>
        <w:rFonts w:hint="default"/>
      </w:rPr>
    </w:lvl>
    <w:lvl w:ilvl="8" w:tplc="1FD23466">
      <w:numFmt w:val="bullet"/>
      <w:lvlText w:val="•"/>
      <w:lvlJc w:val="left"/>
      <w:pPr>
        <w:ind w:left="6290" w:hanging="227"/>
      </w:pPr>
      <w:rPr>
        <w:rFonts w:hint="default"/>
      </w:rPr>
    </w:lvl>
  </w:abstractNum>
  <w:abstractNum w:abstractNumId="18" w15:restartNumberingAfterBreak="0">
    <w:nsid w:val="5A762B7A"/>
    <w:multiLevelType w:val="hybridMultilevel"/>
    <w:tmpl w:val="38FC7110"/>
    <w:lvl w:ilvl="0" w:tplc="E65047C2">
      <w:start w:val="1"/>
      <w:numFmt w:val="decimal"/>
      <w:lvlText w:val="%1."/>
      <w:lvlJc w:val="left"/>
      <w:pPr>
        <w:ind w:left="340" w:hanging="227"/>
      </w:pPr>
      <w:rPr>
        <w:rFonts w:ascii="Futura PT Book" w:eastAsia="Futura PT Book" w:hAnsi="Futura PT Book" w:cs="Futura PT Book" w:hint="default"/>
        <w:color w:val="636466"/>
        <w:spacing w:val="-13"/>
        <w:w w:val="100"/>
        <w:sz w:val="19"/>
        <w:szCs w:val="19"/>
      </w:rPr>
    </w:lvl>
    <w:lvl w:ilvl="1" w:tplc="2F6A7B5C">
      <w:numFmt w:val="bullet"/>
      <w:lvlText w:val="•"/>
      <w:lvlJc w:val="left"/>
      <w:pPr>
        <w:ind w:left="1063" w:hanging="227"/>
      </w:pPr>
      <w:rPr>
        <w:rFonts w:hint="default"/>
      </w:rPr>
    </w:lvl>
    <w:lvl w:ilvl="2" w:tplc="02B8A060">
      <w:numFmt w:val="bullet"/>
      <w:lvlText w:val="•"/>
      <w:lvlJc w:val="left"/>
      <w:pPr>
        <w:ind w:left="1787" w:hanging="227"/>
      </w:pPr>
      <w:rPr>
        <w:rFonts w:hint="default"/>
      </w:rPr>
    </w:lvl>
    <w:lvl w:ilvl="3" w:tplc="EAC880C6">
      <w:numFmt w:val="bullet"/>
      <w:lvlText w:val="•"/>
      <w:lvlJc w:val="left"/>
      <w:pPr>
        <w:ind w:left="2511" w:hanging="227"/>
      </w:pPr>
      <w:rPr>
        <w:rFonts w:hint="default"/>
      </w:rPr>
    </w:lvl>
    <w:lvl w:ilvl="4" w:tplc="B94ACF2A">
      <w:numFmt w:val="bullet"/>
      <w:lvlText w:val="•"/>
      <w:lvlJc w:val="left"/>
      <w:pPr>
        <w:ind w:left="3235" w:hanging="227"/>
      </w:pPr>
      <w:rPr>
        <w:rFonts w:hint="default"/>
      </w:rPr>
    </w:lvl>
    <w:lvl w:ilvl="5" w:tplc="39747E0A">
      <w:numFmt w:val="bullet"/>
      <w:lvlText w:val="•"/>
      <w:lvlJc w:val="left"/>
      <w:pPr>
        <w:ind w:left="3958" w:hanging="227"/>
      </w:pPr>
      <w:rPr>
        <w:rFonts w:hint="default"/>
      </w:rPr>
    </w:lvl>
    <w:lvl w:ilvl="6" w:tplc="B21E9486">
      <w:numFmt w:val="bullet"/>
      <w:lvlText w:val="•"/>
      <w:lvlJc w:val="left"/>
      <w:pPr>
        <w:ind w:left="4682" w:hanging="227"/>
      </w:pPr>
      <w:rPr>
        <w:rFonts w:hint="default"/>
      </w:rPr>
    </w:lvl>
    <w:lvl w:ilvl="7" w:tplc="48BA9528">
      <w:numFmt w:val="bullet"/>
      <w:lvlText w:val="•"/>
      <w:lvlJc w:val="left"/>
      <w:pPr>
        <w:ind w:left="5406" w:hanging="227"/>
      </w:pPr>
      <w:rPr>
        <w:rFonts w:hint="default"/>
      </w:rPr>
    </w:lvl>
    <w:lvl w:ilvl="8" w:tplc="8A600FCE">
      <w:numFmt w:val="bullet"/>
      <w:lvlText w:val="•"/>
      <w:lvlJc w:val="left"/>
      <w:pPr>
        <w:ind w:left="6130" w:hanging="227"/>
      </w:pPr>
      <w:rPr>
        <w:rFonts w:hint="default"/>
      </w:rPr>
    </w:lvl>
  </w:abstractNum>
  <w:abstractNum w:abstractNumId="19" w15:restartNumberingAfterBreak="0">
    <w:nsid w:val="5CDE6F2F"/>
    <w:multiLevelType w:val="hybridMultilevel"/>
    <w:tmpl w:val="36C45076"/>
    <w:lvl w:ilvl="0" w:tplc="3668A198">
      <w:start w:val="1"/>
      <w:numFmt w:val="decimal"/>
      <w:lvlText w:val="%1"/>
      <w:lvlJc w:val="left"/>
      <w:pPr>
        <w:ind w:left="670" w:hanging="567"/>
      </w:pPr>
      <w:rPr>
        <w:rFonts w:ascii="Futura PT Bold" w:eastAsia="Futura PT Bold" w:hAnsi="Futura PT Bold" w:cs="Futura PT Bold" w:hint="default"/>
        <w:b/>
        <w:bCs/>
        <w:color w:val="7EC352"/>
        <w:spacing w:val="-11"/>
        <w:w w:val="100"/>
        <w:sz w:val="22"/>
        <w:szCs w:val="22"/>
      </w:rPr>
    </w:lvl>
    <w:lvl w:ilvl="1" w:tplc="CAB2B676">
      <w:numFmt w:val="bullet"/>
      <w:lvlText w:val="•"/>
      <w:lvlJc w:val="left"/>
      <w:pPr>
        <w:ind w:left="1387" w:hanging="567"/>
      </w:pPr>
      <w:rPr>
        <w:rFonts w:hint="default"/>
      </w:rPr>
    </w:lvl>
    <w:lvl w:ilvl="2" w:tplc="6DA02D3E">
      <w:numFmt w:val="bullet"/>
      <w:lvlText w:val="•"/>
      <w:lvlJc w:val="left"/>
      <w:pPr>
        <w:ind w:left="2095" w:hanging="567"/>
      </w:pPr>
      <w:rPr>
        <w:rFonts w:hint="default"/>
      </w:rPr>
    </w:lvl>
    <w:lvl w:ilvl="3" w:tplc="E8F47476">
      <w:numFmt w:val="bullet"/>
      <w:lvlText w:val="•"/>
      <w:lvlJc w:val="left"/>
      <w:pPr>
        <w:ind w:left="2803" w:hanging="567"/>
      </w:pPr>
      <w:rPr>
        <w:rFonts w:hint="default"/>
      </w:rPr>
    </w:lvl>
    <w:lvl w:ilvl="4" w:tplc="46187896">
      <w:numFmt w:val="bullet"/>
      <w:lvlText w:val="•"/>
      <w:lvlJc w:val="left"/>
      <w:pPr>
        <w:ind w:left="3511" w:hanging="567"/>
      </w:pPr>
      <w:rPr>
        <w:rFonts w:hint="default"/>
      </w:rPr>
    </w:lvl>
    <w:lvl w:ilvl="5" w:tplc="752A452E">
      <w:numFmt w:val="bullet"/>
      <w:lvlText w:val="•"/>
      <w:lvlJc w:val="left"/>
      <w:pPr>
        <w:ind w:left="4218" w:hanging="567"/>
      </w:pPr>
      <w:rPr>
        <w:rFonts w:hint="default"/>
      </w:rPr>
    </w:lvl>
    <w:lvl w:ilvl="6" w:tplc="567EA978">
      <w:numFmt w:val="bullet"/>
      <w:lvlText w:val="•"/>
      <w:lvlJc w:val="left"/>
      <w:pPr>
        <w:ind w:left="4926" w:hanging="567"/>
      </w:pPr>
      <w:rPr>
        <w:rFonts w:hint="default"/>
      </w:rPr>
    </w:lvl>
    <w:lvl w:ilvl="7" w:tplc="12F800A0">
      <w:numFmt w:val="bullet"/>
      <w:lvlText w:val="•"/>
      <w:lvlJc w:val="left"/>
      <w:pPr>
        <w:ind w:left="5634" w:hanging="567"/>
      </w:pPr>
      <w:rPr>
        <w:rFonts w:hint="default"/>
      </w:rPr>
    </w:lvl>
    <w:lvl w:ilvl="8" w:tplc="52CE2240">
      <w:numFmt w:val="bullet"/>
      <w:lvlText w:val="•"/>
      <w:lvlJc w:val="left"/>
      <w:pPr>
        <w:ind w:left="6342" w:hanging="567"/>
      </w:pPr>
      <w:rPr>
        <w:rFonts w:hint="default"/>
      </w:rPr>
    </w:lvl>
  </w:abstractNum>
  <w:abstractNum w:abstractNumId="20" w15:restartNumberingAfterBreak="0">
    <w:nsid w:val="5F837282"/>
    <w:multiLevelType w:val="hybridMultilevel"/>
    <w:tmpl w:val="47DEA38A"/>
    <w:lvl w:ilvl="0" w:tplc="5DD2DA70">
      <w:start w:val="1"/>
      <w:numFmt w:val="lowerLetter"/>
      <w:lvlText w:val="%1."/>
      <w:lvlJc w:val="left"/>
      <w:pPr>
        <w:ind w:left="330" w:hanging="227"/>
      </w:pPr>
      <w:rPr>
        <w:rFonts w:ascii="Futura PT Book" w:eastAsia="Futura PT Book" w:hAnsi="Futura PT Book" w:cs="Futura PT Book" w:hint="default"/>
        <w:color w:val="636466"/>
        <w:spacing w:val="-9"/>
        <w:w w:val="100"/>
        <w:sz w:val="16"/>
        <w:szCs w:val="16"/>
      </w:rPr>
    </w:lvl>
    <w:lvl w:ilvl="1" w:tplc="854C3ABC">
      <w:numFmt w:val="bullet"/>
      <w:lvlText w:val="•"/>
      <w:lvlJc w:val="left"/>
      <w:pPr>
        <w:ind w:left="1077" w:hanging="227"/>
      </w:pPr>
      <w:rPr>
        <w:rFonts w:hint="default"/>
      </w:rPr>
    </w:lvl>
    <w:lvl w:ilvl="2" w:tplc="B55E4930">
      <w:numFmt w:val="bullet"/>
      <w:lvlText w:val="•"/>
      <w:lvlJc w:val="left"/>
      <w:pPr>
        <w:ind w:left="1815" w:hanging="227"/>
      </w:pPr>
      <w:rPr>
        <w:rFonts w:hint="default"/>
      </w:rPr>
    </w:lvl>
    <w:lvl w:ilvl="3" w:tplc="13DAF992">
      <w:numFmt w:val="bullet"/>
      <w:lvlText w:val="•"/>
      <w:lvlJc w:val="left"/>
      <w:pPr>
        <w:ind w:left="2553" w:hanging="227"/>
      </w:pPr>
      <w:rPr>
        <w:rFonts w:hint="default"/>
      </w:rPr>
    </w:lvl>
    <w:lvl w:ilvl="4" w:tplc="0C544584">
      <w:numFmt w:val="bullet"/>
      <w:lvlText w:val="•"/>
      <w:lvlJc w:val="left"/>
      <w:pPr>
        <w:ind w:left="3291" w:hanging="227"/>
      </w:pPr>
      <w:rPr>
        <w:rFonts w:hint="default"/>
      </w:rPr>
    </w:lvl>
    <w:lvl w:ilvl="5" w:tplc="587CE9D4">
      <w:numFmt w:val="bullet"/>
      <w:lvlText w:val="•"/>
      <w:lvlJc w:val="left"/>
      <w:pPr>
        <w:ind w:left="4028" w:hanging="227"/>
      </w:pPr>
      <w:rPr>
        <w:rFonts w:hint="default"/>
      </w:rPr>
    </w:lvl>
    <w:lvl w:ilvl="6" w:tplc="256C2014">
      <w:numFmt w:val="bullet"/>
      <w:lvlText w:val="•"/>
      <w:lvlJc w:val="left"/>
      <w:pPr>
        <w:ind w:left="4766" w:hanging="227"/>
      </w:pPr>
      <w:rPr>
        <w:rFonts w:hint="default"/>
      </w:rPr>
    </w:lvl>
    <w:lvl w:ilvl="7" w:tplc="08D645BA">
      <w:numFmt w:val="bullet"/>
      <w:lvlText w:val="•"/>
      <w:lvlJc w:val="left"/>
      <w:pPr>
        <w:ind w:left="5504" w:hanging="227"/>
      </w:pPr>
      <w:rPr>
        <w:rFonts w:hint="default"/>
      </w:rPr>
    </w:lvl>
    <w:lvl w:ilvl="8" w:tplc="447819D6">
      <w:numFmt w:val="bullet"/>
      <w:lvlText w:val="•"/>
      <w:lvlJc w:val="left"/>
      <w:pPr>
        <w:ind w:left="6242" w:hanging="227"/>
      </w:pPr>
      <w:rPr>
        <w:rFonts w:hint="default"/>
      </w:rPr>
    </w:lvl>
  </w:abstractNum>
  <w:abstractNum w:abstractNumId="21" w15:restartNumberingAfterBreak="0">
    <w:nsid w:val="5FF051FF"/>
    <w:multiLevelType w:val="hybridMultilevel"/>
    <w:tmpl w:val="D59EADB8"/>
    <w:lvl w:ilvl="0" w:tplc="F8882928">
      <w:start w:val="1"/>
      <w:numFmt w:val="decimal"/>
      <w:lvlText w:val="%1."/>
      <w:lvlJc w:val="left"/>
      <w:pPr>
        <w:ind w:left="340" w:hanging="227"/>
      </w:pPr>
      <w:rPr>
        <w:rFonts w:ascii="Futura PT Book" w:eastAsia="Futura PT Book" w:hAnsi="Futura PT Book" w:cs="Futura PT Book" w:hint="default"/>
        <w:color w:val="636466"/>
        <w:spacing w:val="-26"/>
        <w:w w:val="100"/>
        <w:sz w:val="19"/>
        <w:szCs w:val="19"/>
      </w:rPr>
    </w:lvl>
    <w:lvl w:ilvl="1" w:tplc="26B0AE94">
      <w:numFmt w:val="bullet"/>
      <w:lvlText w:val="•"/>
      <w:lvlJc w:val="left"/>
      <w:pPr>
        <w:ind w:left="1077" w:hanging="227"/>
      </w:pPr>
      <w:rPr>
        <w:rFonts w:hint="default"/>
      </w:rPr>
    </w:lvl>
    <w:lvl w:ilvl="2" w:tplc="D7125B12">
      <w:numFmt w:val="bullet"/>
      <w:lvlText w:val="•"/>
      <w:lvlJc w:val="left"/>
      <w:pPr>
        <w:ind w:left="1815" w:hanging="227"/>
      </w:pPr>
      <w:rPr>
        <w:rFonts w:hint="default"/>
      </w:rPr>
    </w:lvl>
    <w:lvl w:ilvl="3" w:tplc="406CDDDE">
      <w:numFmt w:val="bullet"/>
      <w:lvlText w:val="•"/>
      <w:lvlJc w:val="left"/>
      <w:pPr>
        <w:ind w:left="2553" w:hanging="227"/>
      </w:pPr>
      <w:rPr>
        <w:rFonts w:hint="default"/>
      </w:rPr>
    </w:lvl>
    <w:lvl w:ilvl="4" w:tplc="346C8E76">
      <w:numFmt w:val="bullet"/>
      <w:lvlText w:val="•"/>
      <w:lvlJc w:val="left"/>
      <w:pPr>
        <w:ind w:left="3291" w:hanging="227"/>
      </w:pPr>
      <w:rPr>
        <w:rFonts w:hint="default"/>
      </w:rPr>
    </w:lvl>
    <w:lvl w:ilvl="5" w:tplc="C7F6AD0A">
      <w:numFmt w:val="bullet"/>
      <w:lvlText w:val="•"/>
      <w:lvlJc w:val="left"/>
      <w:pPr>
        <w:ind w:left="4028" w:hanging="227"/>
      </w:pPr>
      <w:rPr>
        <w:rFonts w:hint="default"/>
      </w:rPr>
    </w:lvl>
    <w:lvl w:ilvl="6" w:tplc="049C1476">
      <w:numFmt w:val="bullet"/>
      <w:lvlText w:val="•"/>
      <w:lvlJc w:val="left"/>
      <w:pPr>
        <w:ind w:left="4766" w:hanging="227"/>
      </w:pPr>
      <w:rPr>
        <w:rFonts w:hint="default"/>
      </w:rPr>
    </w:lvl>
    <w:lvl w:ilvl="7" w:tplc="5EDEC0AC">
      <w:numFmt w:val="bullet"/>
      <w:lvlText w:val="•"/>
      <w:lvlJc w:val="left"/>
      <w:pPr>
        <w:ind w:left="5504" w:hanging="227"/>
      </w:pPr>
      <w:rPr>
        <w:rFonts w:hint="default"/>
      </w:rPr>
    </w:lvl>
    <w:lvl w:ilvl="8" w:tplc="1A045D2A">
      <w:numFmt w:val="bullet"/>
      <w:lvlText w:val="•"/>
      <w:lvlJc w:val="left"/>
      <w:pPr>
        <w:ind w:left="6242" w:hanging="227"/>
      </w:pPr>
      <w:rPr>
        <w:rFonts w:hint="default"/>
      </w:rPr>
    </w:lvl>
  </w:abstractNum>
  <w:abstractNum w:abstractNumId="22" w15:restartNumberingAfterBreak="0">
    <w:nsid w:val="690417DC"/>
    <w:multiLevelType w:val="hybridMultilevel"/>
    <w:tmpl w:val="DA187F8A"/>
    <w:lvl w:ilvl="0" w:tplc="FBE64D5A">
      <w:start w:val="7"/>
      <w:numFmt w:val="decimalZero"/>
      <w:lvlText w:val="%1"/>
      <w:lvlJc w:val="left"/>
      <w:pPr>
        <w:ind w:left="947" w:hanging="840"/>
      </w:pPr>
      <w:rPr>
        <w:rFonts w:hint="default"/>
        <w:color w:val="003E2D"/>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3" w15:restartNumberingAfterBreak="0">
    <w:nsid w:val="6AB73529"/>
    <w:multiLevelType w:val="hybridMultilevel"/>
    <w:tmpl w:val="3B9C2FCA"/>
    <w:lvl w:ilvl="0" w:tplc="DC4A8C32">
      <w:start w:val="1"/>
      <w:numFmt w:val="decimal"/>
      <w:lvlText w:val="%1."/>
      <w:lvlJc w:val="left"/>
      <w:pPr>
        <w:ind w:left="340" w:hanging="227"/>
      </w:pPr>
      <w:rPr>
        <w:rFonts w:ascii="Futura PT Book" w:eastAsia="Futura PT Book" w:hAnsi="Futura PT Book" w:cs="Futura PT Book" w:hint="default"/>
        <w:color w:val="636466"/>
        <w:spacing w:val="-13"/>
        <w:w w:val="100"/>
        <w:sz w:val="19"/>
        <w:szCs w:val="19"/>
      </w:rPr>
    </w:lvl>
    <w:lvl w:ilvl="1" w:tplc="F44463F4">
      <w:numFmt w:val="bullet"/>
      <w:lvlText w:val="•"/>
      <w:lvlJc w:val="left"/>
      <w:pPr>
        <w:ind w:left="1063" w:hanging="227"/>
      </w:pPr>
      <w:rPr>
        <w:rFonts w:hint="default"/>
      </w:rPr>
    </w:lvl>
    <w:lvl w:ilvl="2" w:tplc="26A29B36">
      <w:numFmt w:val="bullet"/>
      <w:lvlText w:val="•"/>
      <w:lvlJc w:val="left"/>
      <w:pPr>
        <w:ind w:left="1787" w:hanging="227"/>
      </w:pPr>
      <w:rPr>
        <w:rFonts w:hint="default"/>
      </w:rPr>
    </w:lvl>
    <w:lvl w:ilvl="3" w:tplc="1706911A">
      <w:numFmt w:val="bullet"/>
      <w:lvlText w:val="•"/>
      <w:lvlJc w:val="left"/>
      <w:pPr>
        <w:ind w:left="2511" w:hanging="227"/>
      </w:pPr>
      <w:rPr>
        <w:rFonts w:hint="default"/>
      </w:rPr>
    </w:lvl>
    <w:lvl w:ilvl="4" w:tplc="2E386666">
      <w:numFmt w:val="bullet"/>
      <w:lvlText w:val="•"/>
      <w:lvlJc w:val="left"/>
      <w:pPr>
        <w:ind w:left="3235" w:hanging="227"/>
      </w:pPr>
      <w:rPr>
        <w:rFonts w:hint="default"/>
      </w:rPr>
    </w:lvl>
    <w:lvl w:ilvl="5" w:tplc="B4BC03D2">
      <w:numFmt w:val="bullet"/>
      <w:lvlText w:val="•"/>
      <w:lvlJc w:val="left"/>
      <w:pPr>
        <w:ind w:left="3958" w:hanging="227"/>
      </w:pPr>
      <w:rPr>
        <w:rFonts w:hint="default"/>
      </w:rPr>
    </w:lvl>
    <w:lvl w:ilvl="6" w:tplc="F28EE9D6">
      <w:numFmt w:val="bullet"/>
      <w:lvlText w:val="•"/>
      <w:lvlJc w:val="left"/>
      <w:pPr>
        <w:ind w:left="4682" w:hanging="227"/>
      </w:pPr>
      <w:rPr>
        <w:rFonts w:hint="default"/>
      </w:rPr>
    </w:lvl>
    <w:lvl w:ilvl="7" w:tplc="6FBAB782">
      <w:numFmt w:val="bullet"/>
      <w:lvlText w:val="•"/>
      <w:lvlJc w:val="left"/>
      <w:pPr>
        <w:ind w:left="5406" w:hanging="227"/>
      </w:pPr>
      <w:rPr>
        <w:rFonts w:hint="default"/>
      </w:rPr>
    </w:lvl>
    <w:lvl w:ilvl="8" w:tplc="9EA46AF2">
      <w:numFmt w:val="bullet"/>
      <w:lvlText w:val="•"/>
      <w:lvlJc w:val="left"/>
      <w:pPr>
        <w:ind w:left="6130" w:hanging="227"/>
      </w:pPr>
      <w:rPr>
        <w:rFonts w:hint="default"/>
      </w:rPr>
    </w:lvl>
  </w:abstractNum>
  <w:abstractNum w:abstractNumId="24" w15:restartNumberingAfterBreak="0">
    <w:nsid w:val="6B9A4532"/>
    <w:multiLevelType w:val="hybridMultilevel"/>
    <w:tmpl w:val="BEFC46B6"/>
    <w:lvl w:ilvl="0" w:tplc="09FE948E">
      <w:start w:val="1"/>
      <w:numFmt w:val="lowerLetter"/>
      <w:lvlText w:val="%1."/>
      <w:lvlJc w:val="left"/>
      <w:pPr>
        <w:ind w:left="380" w:hanging="227"/>
      </w:pPr>
      <w:rPr>
        <w:rFonts w:ascii="Futura PT Book" w:eastAsia="Futura PT Book" w:hAnsi="Futura PT Book" w:cs="Futura PT Book" w:hint="default"/>
        <w:color w:val="636466"/>
        <w:spacing w:val="-7"/>
        <w:w w:val="100"/>
        <w:sz w:val="19"/>
        <w:szCs w:val="19"/>
      </w:rPr>
    </w:lvl>
    <w:lvl w:ilvl="1" w:tplc="7DC8D84E">
      <w:start w:val="1"/>
      <w:numFmt w:val="lowerRoman"/>
      <w:lvlText w:val="%2."/>
      <w:lvlJc w:val="left"/>
      <w:pPr>
        <w:ind w:left="606" w:hanging="227"/>
      </w:pPr>
      <w:rPr>
        <w:rFonts w:ascii="Futura PT Book" w:eastAsia="Futura PT Book" w:hAnsi="Futura PT Book" w:cs="Futura PT Book" w:hint="default"/>
        <w:color w:val="636466"/>
        <w:w w:val="100"/>
        <w:sz w:val="19"/>
        <w:szCs w:val="19"/>
      </w:rPr>
    </w:lvl>
    <w:lvl w:ilvl="2" w:tplc="D5B63404">
      <w:numFmt w:val="bullet"/>
      <w:lvlText w:val="•"/>
      <w:lvlJc w:val="left"/>
      <w:pPr>
        <w:ind w:left="1388" w:hanging="227"/>
      </w:pPr>
      <w:rPr>
        <w:rFonts w:hint="default"/>
      </w:rPr>
    </w:lvl>
    <w:lvl w:ilvl="3" w:tplc="D17AC242">
      <w:numFmt w:val="bullet"/>
      <w:lvlText w:val="•"/>
      <w:lvlJc w:val="left"/>
      <w:pPr>
        <w:ind w:left="2177" w:hanging="227"/>
      </w:pPr>
      <w:rPr>
        <w:rFonts w:hint="default"/>
      </w:rPr>
    </w:lvl>
    <w:lvl w:ilvl="4" w:tplc="0E9E232E">
      <w:numFmt w:val="bullet"/>
      <w:lvlText w:val="•"/>
      <w:lvlJc w:val="left"/>
      <w:pPr>
        <w:ind w:left="2965" w:hanging="227"/>
      </w:pPr>
      <w:rPr>
        <w:rFonts w:hint="default"/>
      </w:rPr>
    </w:lvl>
    <w:lvl w:ilvl="5" w:tplc="06A64D2C">
      <w:numFmt w:val="bullet"/>
      <w:lvlText w:val="•"/>
      <w:lvlJc w:val="left"/>
      <w:pPr>
        <w:ind w:left="3754" w:hanging="227"/>
      </w:pPr>
      <w:rPr>
        <w:rFonts w:hint="default"/>
      </w:rPr>
    </w:lvl>
    <w:lvl w:ilvl="6" w:tplc="EE26E766">
      <w:numFmt w:val="bullet"/>
      <w:lvlText w:val="•"/>
      <w:lvlJc w:val="left"/>
      <w:pPr>
        <w:ind w:left="4543" w:hanging="227"/>
      </w:pPr>
      <w:rPr>
        <w:rFonts w:hint="default"/>
      </w:rPr>
    </w:lvl>
    <w:lvl w:ilvl="7" w:tplc="D4428C24">
      <w:numFmt w:val="bullet"/>
      <w:lvlText w:val="•"/>
      <w:lvlJc w:val="left"/>
      <w:pPr>
        <w:ind w:left="5331" w:hanging="227"/>
      </w:pPr>
      <w:rPr>
        <w:rFonts w:hint="default"/>
      </w:rPr>
    </w:lvl>
    <w:lvl w:ilvl="8" w:tplc="BBD2FD06">
      <w:numFmt w:val="bullet"/>
      <w:lvlText w:val="•"/>
      <w:lvlJc w:val="left"/>
      <w:pPr>
        <w:ind w:left="6120" w:hanging="227"/>
      </w:pPr>
      <w:rPr>
        <w:rFonts w:hint="default"/>
      </w:rPr>
    </w:lvl>
  </w:abstractNum>
  <w:abstractNum w:abstractNumId="25" w15:restartNumberingAfterBreak="0">
    <w:nsid w:val="748E4335"/>
    <w:multiLevelType w:val="hybridMultilevel"/>
    <w:tmpl w:val="FE6044A4"/>
    <w:lvl w:ilvl="0" w:tplc="C45A351E">
      <w:start w:val="1"/>
      <w:numFmt w:val="lowerLetter"/>
      <w:lvlText w:val="%1."/>
      <w:lvlJc w:val="left"/>
      <w:pPr>
        <w:ind w:left="340" w:hanging="227"/>
      </w:pPr>
      <w:rPr>
        <w:rFonts w:ascii="Futura PT Book" w:eastAsia="Futura PT Book" w:hAnsi="Futura PT Book" w:cs="Futura PT Book" w:hint="default"/>
        <w:color w:val="636466"/>
        <w:spacing w:val="-13"/>
        <w:w w:val="100"/>
        <w:sz w:val="19"/>
        <w:szCs w:val="19"/>
      </w:rPr>
    </w:lvl>
    <w:lvl w:ilvl="1" w:tplc="4282F16A">
      <w:start w:val="1"/>
      <w:numFmt w:val="decimal"/>
      <w:lvlText w:val="%2."/>
      <w:lvlJc w:val="left"/>
      <w:pPr>
        <w:ind w:left="330" w:hanging="227"/>
      </w:pPr>
      <w:rPr>
        <w:rFonts w:ascii="Futura PT Book" w:eastAsia="Futura PT Book" w:hAnsi="Futura PT Book" w:cs="Futura PT Book" w:hint="default"/>
        <w:color w:val="636466"/>
        <w:spacing w:val="-10"/>
        <w:w w:val="100"/>
        <w:sz w:val="19"/>
        <w:szCs w:val="19"/>
      </w:rPr>
    </w:lvl>
    <w:lvl w:ilvl="2" w:tplc="216EEC50">
      <w:start w:val="1"/>
      <w:numFmt w:val="lowerLetter"/>
      <w:lvlText w:val="%3."/>
      <w:lvlJc w:val="left"/>
      <w:pPr>
        <w:ind w:left="330" w:hanging="227"/>
      </w:pPr>
      <w:rPr>
        <w:rFonts w:ascii="Futura PT Book" w:eastAsia="Futura PT Book" w:hAnsi="Futura PT Book" w:cs="Futura PT Book" w:hint="default"/>
        <w:color w:val="636466"/>
        <w:spacing w:val="-9"/>
        <w:w w:val="100"/>
        <w:sz w:val="16"/>
        <w:szCs w:val="16"/>
      </w:rPr>
    </w:lvl>
    <w:lvl w:ilvl="3" w:tplc="36EEB3E2">
      <w:numFmt w:val="bullet"/>
      <w:lvlText w:val="•"/>
      <w:lvlJc w:val="left"/>
      <w:pPr>
        <w:ind w:left="2511" w:hanging="227"/>
      </w:pPr>
      <w:rPr>
        <w:rFonts w:hint="default"/>
      </w:rPr>
    </w:lvl>
    <w:lvl w:ilvl="4" w:tplc="91CCC3FE">
      <w:numFmt w:val="bullet"/>
      <w:lvlText w:val="•"/>
      <w:lvlJc w:val="left"/>
      <w:pPr>
        <w:ind w:left="3235" w:hanging="227"/>
      </w:pPr>
      <w:rPr>
        <w:rFonts w:hint="default"/>
      </w:rPr>
    </w:lvl>
    <w:lvl w:ilvl="5" w:tplc="5F189A84">
      <w:numFmt w:val="bullet"/>
      <w:lvlText w:val="•"/>
      <w:lvlJc w:val="left"/>
      <w:pPr>
        <w:ind w:left="3958" w:hanging="227"/>
      </w:pPr>
      <w:rPr>
        <w:rFonts w:hint="default"/>
      </w:rPr>
    </w:lvl>
    <w:lvl w:ilvl="6" w:tplc="523E7256">
      <w:numFmt w:val="bullet"/>
      <w:lvlText w:val="•"/>
      <w:lvlJc w:val="left"/>
      <w:pPr>
        <w:ind w:left="4682" w:hanging="227"/>
      </w:pPr>
      <w:rPr>
        <w:rFonts w:hint="default"/>
      </w:rPr>
    </w:lvl>
    <w:lvl w:ilvl="7" w:tplc="AC6ACAAA">
      <w:numFmt w:val="bullet"/>
      <w:lvlText w:val="•"/>
      <w:lvlJc w:val="left"/>
      <w:pPr>
        <w:ind w:left="5406" w:hanging="227"/>
      </w:pPr>
      <w:rPr>
        <w:rFonts w:hint="default"/>
      </w:rPr>
    </w:lvl>
    <w:lvl w:ilvl="8" w:tplc="95602C7E">
      <w:numFmt w:val="bullet"/>
      <w:lvlText w:val="•"/>
      <w:lvlJc w:val="left"/>
      <w:pPr>
        <w:ind w:left="6130" w:hanging="227"/>
      </w:pPr>
      <w:rPr>
        <w:rFonts w:hint="default"/>
      </w:rPr>
    </w:lvl>
  </w:abstractNum>
  <w:abstractNum w:abstractNumId="26" w15:restartNumberingAfterBreak="0">
    <w:nsid w:val="76DE6D67"/>
    <w:multiLevelType w:val="hybridMultilevel"/>
    <w:tmpl w:val="BF5E2618"/>
    <w:lvl w:ilvl="0" w:tplc="D4320702">
      <w:start w:val="1"/>
      <w:numFmt w:val="decimal"/>
      <w:lvlText w:val="%1."/>
      <w:lvlJc w:val="left"/>
      <w:pPr>
        <w:ind w:left="338" w:hanging="227"/>
      </w:pPr>
      <w:rPr>
        <w:rFonts w:ascii="Futura PT Book" w:eastAsia="Futura PT Book" w:hAnsi="Futura PT Book" w:cs="Futura PT Book" w:hint="default"/>
        <w:color w:val="636466"/>
        <w:spacing w:val="-15"/>
        <w:w w:val="100"/>
        <w:sz w:val="19"/>
        <w:szCs w:val="19"/>
      </w:rPr>
    </w:lvl>
    <w:lvl w:ilvl="1" w:tplc="16669904">
      <w:start w:val="1"/>
      <w:numFmt w:val="lowerRoman"/>
      <w:lvlText w:val="%2."/>
      <w:lvlJc w:val="left"/>
      <w:pPr>
        <w:ind w:left="565" w:hanging="227"/>
      </w:pPr>
      <w:rPr>
        <w:rFonts w:ascii="Futura PT Book" w:eastAsia="Futura PT Book" w:hAnsi="Futura PT Book" w:cs="Futura PT Book" w:hint="default"/>
        <w:color w:val="636466"/>
        <w:spacing w:val="-17"/>
        <w:w w:val="100"/>
        <w:sz w:val="19"/>
        <w:szCs w:val="19"/>
      </w:rPr>
    </w:lvl>
    <w:lvl w:ilvl="2" w:tplc="D3586AC2">
      <w:numFmt w:val="bullet"/>
      <w:lvlText w:val="•"/>
      <w:lvlJc w:val="left"/>
      <w:pPr>
        <w:ind w:left="1359" w:hanging="227"/>
      </w:pPr>
      <w:rPr>
        <w:rFonts w:hint="default"/>
      </w:rPr>
    </w:lvl>
    <w:lvl w:ilvl="3" w:tplc="073C0110">
      <w:numFmt w:val="bullet"/>
      <w:lvlText w:val="•"/>
      <w:lvlJc w:val="left"/>
      <w:pPr>
        <w:ind w:left="2159" w:hanging="227"/>
      </w:pPr>
      <w:rPr>
        <w:rFonts w:hint="default"/>
      </w:rPr>
    </w:lvl>
    <w:lvl w:ilvl="4" w:tplc="3BCA4304">
      <w:numFmt w:val="bullet"/>
      <w:lvlText w:val="•"/>
      <w:lvlJc w:val="left"/>
      <w:pPr>
        <w:ind w:left="2959" w:hanging="227"/>
      </w:pPr>
      <w:rPr>
        <w:rFonts w:hint="default"/>
      </w:rPr>
    </w:lvl>
    <w:lvl w:ilvl="5" w:tplc="84A2AF48">
      <w:numFmt w:val="bullet"/>
      <w:lvlText w:val="•"/>
      <w:lvlJc w:val="left"/>
      <w:pPr>
        <w:ind w:left="3759" w:hanging="227"/>
      </w:pPr>
      <w:rPr>
        <w:rFonts w:hint="default"/>
      </w:rPr>
    </w:lvl>
    <w:lvl w:ilvl="6" w:tplc="DD1AB312">
      <w:numFmt w:val="bullet"/>
      <w:lvlText w:val="•"/>
      <w:lvlJc w:val="left"/>
      <w:pPr>
        <w:ind w:left="4558" w:hanging="227"/>
      </w:pPr>
      <w:rPr>
        <w:rFonts w:hint="default"/>
      </w:rPr>
    </w:lvl>
    <w:lvl w:ilvl="7" w:tplc="6B6ED23A">
      <w:numFmt w:val="bullet"/>
      <w:lvlText w:val="•"/>
      <w:lvlJc w:val="left"/>
      <w:pPr>
        <w:ind w:left="5358" w:hanging="227"/>
      </w:pPr>
      <w:rPr>
        <w:rFonts w:hint="default"/>
      </w:rPr>
    </w:lvl>
    <w:lvl w:ilvl="8" w:tplc="9126E598">
      <w:numFmt w:val="bullet"/>
      <w:lvlText w:val="•"/>
      <w:lvlJc w:val="left"/>
      <w:pPr>
        <w:ind w:left="6158" w:hanging="227"/>
      </w:pPr>
      <w:rPr>
        <w:rFonts w:hint="default"/>
      </w:rPr>
    </w:lvl>
  </w:abstractNum>
  <w:abstractNum w:abstractNumId="27" w15:restartNumberingAfterBreak="0">
    <w:nsid w:val="7BE013F6"/>
    <w:multiLevelType w:val="hybridMultilevel"/>
    <w:tmpl w:val="F1B6608E"/>
    <w:lvl w:ilvl="0" w:tplc="817CF746">
      <w:start w:val="1"/>
      <w:numFmt w:val="decimal"/>
      <w:lvlText w:val="%1."/>
      <w:lvlJc w:val="left"/>
      <w:pPr>
        <w:ind w:left="330" w:hanging="227"/>
      </w:pPr>
      <w:rPr>
        <w:rFonts w:ascii="Futura PT Book" w:eastAsia="Futura PT Book" w:hAnsi="Futura PT Book" w:cs="Futura PT Book" w:hint="default"/>
        <w:color w:val="636466"/>
        <w:spacing w:val="-16"/>
        <w:w w:val="100"/>
        <w:sz w:val="19"/>
        <w:szCs w:val="19"/>
      </w:rPr>
    </w:lvl>
    <w:lvl w:ilvl="1" w:tplc="D3F859B0">
      <w:numFmt w:val="bullet"/>
      <w:lvlText w:val="•"/>
      <w:lvlJc w:val="left"/>
      <w:pPr>
        <w:ind w:left="1077" w:hanging="227"/>
      </w:pPr>
      <w:rPr>
        <w:rFonts w:hint="default"/>
      </w:rPr>
    </w:lvl>
    <w:lvl w:ilvl="2" w:tplc="45E27494">
      <w:numFmt w:val="bullet"/>
      <w:lvlText w:val="•"/>
      <w:lvlJc w:val="left"/>
      <w:pPr>
        <w:ind w:left="1815" w:hanging="227"/>
      </w:pPr>
      <w:rPr>
        <w:rFonts w:hint="default"/>
      </w:rPr>
    </w:lvl>
    <w:lvl w:ilvl="3" w:tplc="C7709BE6">
      <w:numFmt w:val="bullet"/>
      <w:lvlText w:val="•"/>
      <w:lvlJc w:val="left"/>
      <w:pPr>
        <w:ind w:left="2553" w:hanging="227"/>
      </w:pPr>
      <w:rPr>
        <w:rFonts w:hint="default"/>
      </w:rPr>
    </w:lvl>
    <w:lvl w:ilvl="4" w:tplc="46D48E34">
      <w:numFmt w:val="bullet"/>
      <w:lvlText w:val="•"/>
      <w:lvlJc w:val="left"/>
      <w:pPr>
        <w:ind w:left="3291" w:hanging="227"/>
      </w:pPr>
      <w:rPr>
        <w:rFonts w:hint="default"/>
      </w:rPr>
    </w:lvl>
    <w:lvl w:ilvl="5" w:tplc="0E366DC8">
      <w:numFmt w:val="bullet"/>
      <w:lvlText w:val="•"/>
      <w:lvlJc w:val="left"/>
      <w:pPr>
        <w:ind w:left="4028" w:hanging="227"/>
      </w:pPr>
      <w:rPr>
        <w:rFonts w:hint="default"/>
      </w:rPr>
    </w:lvl>
    <w:lvl w:ilvl="6" w:tplc="06E4AA98">
      <w:numFmt w:val="bullet"/>
      <w:lvlText w:val="•"/>
      <w:lvlJc w:val="left"/>
      <w:pPr>
        <w:ind w:left="4766" w:hanging="227"/>
      </w:pPr>
      <w:rPr>
        <w:rFonts w:hint="default"/>
      </w:rPr>
    </w:lvl>
    <w:lvl w:ilvl="7" w:tplc="138095FE">
      <w:numFmt w:val="bullet"/>
      <w:lvlText w:val="•"/>
      <w:lvlJc w:val="left"/>
      <w:pPr>
        <w:ind w:left="5504" w:hanging="227"/>
      </w:pPr>
      <w:rPr>
        <w:rFonts w:hint="default"/>
      </w:rPr>
    </w:lvl>
    <w:lvl w:ilvl="8" w:tplc="B164BA86">
      <w:numFmt w:val="bullet"/>
      <w:lvlText w:val="•"/>
      <w:lvlJc w:val="left"/>
      <w:pPr>
        <w:ind w:left="6242" w:hanging="227"/>
      </w:pPr>
      <w:rPr>
        <w:rFonts w:hint="default"/>
      </w:rPr>
    </w:lvl>
  </w:abstractNum>
  <w:num w:numId="1">
    <w:abstractNumId w:val="3"/>
  </w:num>
  <w:num w:numId="2">
    <w:abstractNumId w:val="20"/>
  </w:num>
  <w:num w:numId="3">
    <w:abstractNumId w:val="13"/>
  </w:num>
  <w:num w:numId="4">
    <w:abstractNumId w:val="17"/>
  </w:num>
  <w:num w:numId="5">
    <w:abstractNumId w:val="11"/>
  </w:num>
  <w:num w:numId="6">
    <w:abstractNumId w:val="25"/>
  </w:num>
  <w:num w:numId="7">
    <w:abstractNumId w:val="1"/>
  </w:num>
  <w:num w:numId="8">
    <w:abstractNumId w:val="5"/>
  </w:num>
  <w:num w:numId="9">
    <w:abstractNumId w:val="26"/>
  </w:num>
  <w:num w:numId="10">
    <w:abstractNumId w:val="15"/>
  </w:num>
  <w:num w:numId="11">
    <w:abstractNumId w:val="6"/>
  </w:num>
  <w:num w:numId="12">
    <w:abstractNumId w:val="7"/>
  </w:num>
  <w:num w:numId="13">
    <w:abstractNumId w:val="18"/>
  </w:num>
  <w:num w:numId="14">
    <w:abstractNumId w:val="23"/>
  </w:num>
  <w:num w:numId="15">
    <w:abstractNumId w:val="4"/>
  </w:num>
  <w:num w:numId="16">
    <w:abstractNumId w:val="21"/>
  </w:num>
  <w:num w:numId="17">
    <w:abstractNumId w:val="10"/>
  </w:num>
  <w:num w:numId="18">
    <w:abstractNumId w:val="27"/>
  </w:num>
  <w:num w:numId="19">
    <w:abstractNumId w:val="9"/>
  </w:num>
  <w:num w:numId="20">
    <w:abstractNumId w:val="14"/>
  </w:num>
  <w:num w:numId="21">
    <w:abstractNumId w:val="24"/>
  </w:num>
  <w:num w:numId="22">
    <w:abstractNumId w:val="12"/>
  </w:num>
  <w:num w:numId="23">
    <w:abstractNumId w:val="16"/>
  </w:num>
  <w:num w:numId="24">
    <w:abstractNumId w:val="2"/>
  </w:num>
  <w:num w:numId="25">
    <w:abstractNumId w:val="19"/>
  </w:num>
  <w:num w:numId="26">
    <w:abstractNumId w:val="0"/>
  </w:num>
  <w:num w:numId="27">
    <w:abstractNumId w:val="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0DF"/>
    <w:rsid w:val="0019667D"/>
    <w:rsid w:val="00206D44"/>
    <w:rsid w:val="00343885"/>
    <w:rsid w:val="00505969"/>
    <w:rsid w:val="005A3797"/>
    <w:rsid w:val="005A527A"/>
    <w:rsid w:val="00607C37"/>
    <w:rsid w:val="0066052B"/>
    <w:rsid w:val="006A32B7"/>
    <w:rsid w:val="006C6A80"/>
    <w:rsid w:val="006F6A57"/>
    <w:rsid w:val="00742241"/>
    <w:rsid w:val="007557A3"/>
    <w:rsid w:val="00845352"/>
    <w:rsid w:val="008D2169"/>
    <w:rsid w:val="008F7C36"/>
    <w:rsid w:val="009341A6"/>
    <w:rsid w:val="00961020"/>
    <w:rsid w:val="009B28EE"/>
    <w:rsid w:val="00A13FEE"/>
    <w:rsid w:val="00A928A7"/>
    <w:rsid w:val="00AE3A08"/>
    <w:rsid w:val="00B05462"/>
    <w:rsid w:val="00B80667"/>
    <w:rsid w:val="00D56902"/>
    <w:rsid w:val="00D840DF"/>
    <w:rsid w:val="00DB6009"/>
    <w:rsid w:val="00E14BA1"/>
    <w:rsid w:val="00E20FA7"/>
    <w:rsid w:val="00E314B6"/>
    <w:rsid w:val="00F0490B"/>
    <w:rsid w:val="00F706F7"/>
    <w:rsid w:val="00FC4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6D24F2-7FE8-4B85-BBCD-C9F5D16B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Futura PT Book" w:eastAsia="Futura PT Book" w:hAnsi="Futura PT Book" w:cs="Futura PT Book"/>
      <w:sz w:val="22"/>
      <w:szCs w:val="22"/>
    </w:rPr>
  </w:style>
  <w:style w:type="paragraph" w:styleId="Heading1">
    <w:name w:val="heading 1"/>
    <w:basedOn w:val="Normal"/>
    <w:uiPriority w:val="1"/>
    <w:qFormat/>
    <w:rsid w:val="009B28EE"/>
    <w:pPr>
      <w:spacing w:before="100" w:beforeAutospacing="1" w:after="360"/>
      <w:outlineLvl w:val="0"/>
    </w:pPr>
    <w:rPr>
      <w:rFonts w:ascii="Futura PT Bold" w:eastAsia="Futura PT Bold" w:hAnsi="Futura PT Bold" w:cs="Futura PT Bold"/>
      <w:b/>
      <w:bCs/>
      <w:color w:val="003E2D"/>
      <w:spacing w:val="-12"/>
      <w:sz w:val="60"/>
      <w:szCs w:val="60"/>
    </w:rPr>
  </w:style>
  <w:style w:type="paragraph" w:styleId="Heading2">
    <w:name w:val="heading 2"/>
    <w:basedOn w:val="Normal"/>
    <w:uiPriority w:val="1"/>
    <w:qFormat/>
    <w:rsid w:val="009B28EE"/>
    <w:pPr>
      <w:spacing w:before="360" w:after="240"/>
      <w:outlineLvl w:val="1"/>
    </w:pPr>
    <w:rPr>
      <w:rFonts w:ascii="Futura PT Bold" w:eastAsia="Futura PT Bold" w:hAnsi="Futura PT Bold" w:cs="Futura PT Bold"/>
      <w:b/>
      <w:bCs/>
      <w:color w:val="008F54"/>
      <w:sz w:val="44"/>
      <w:szCs w:val="44"/>
    </w:rPr>
  </w:style>
  <w:style w:type="paragraph" w:styleId="Heading3">
    <w:name w:val="heading 3"/>
    <w:basedOn w:val="Normal"/>
    <w:uiPriority w:val="1"/>
    <w:qFormat/>
    <w:rsid w:val="009B28EE"/>
    <w:pPr>
      <w:spacing w:before="272" w:after="240"/>
      <w:outlineLvl w:val="2"/>
    </w:pPr>
    <w:rPr>
      <w:rFonts w:ascii="Futura PT Bold" w:eastAsia="Futura PT Bold" w:hAnsi="Futura PT Bold" w:cs="Futura PT Bold"/>
      <w:b/>
      <w:bCs/>
      <w:color w:val="003E2D"/>
      <w:sz w:val="24"/>
      <w:szCs w:val="24"/>
    </w:rPr>
  </w:style>
  <w:style w:type="paragraph" w:styleId="Heading4">
    <w:name w:val="heading 4"/>
    <w:basedOn w:val="Normal"/>
    <w:uiPriority w:val="1"/>
    <w:qFormat/>
    <w:rsid w:val="00A13FEE"/>
    <w:pPr>
      <w:spacing w:before="240" w:after="240"/>
      <w:outlineLvl w:val="3"/>
    </w:pPr>
    <w:rPr>
      <w:rFonts w:ascii="Futura PT Demi" w:eastAsia="Futura PT Bold" w:hAnsi="Futura PT Demi" w:cs="Futura PT Bold"/>
      <w:b/>
      <w:bCs/>
      <w:color w:val="595959"/>
      <w:sz w:val="20"/>
      <w:szCs w:val="20"/>
    </w:rPr>
  </w:style>
  <w:style w:type="paragraph" w:styleId="Heading5">
    <w:name w:val="heading 5"/>
    <w:basedOn w:val="Normal"/>
    <w:uiPriority w:val="1"/>
    <w:qFormat/>
    <w:rsid w:val="008F7C36"/>
    <w:pPr>
      <w:spacing w:before="158"/>
      <w:outlineLvl w:val="4"/>
    </w:pPr>
    <w:rPr>
      <w:rFonts w:ascii="Futura PT Bold" w:eastAsia="Futura PT Bold" w:hAnsi="Futura PT Bold" w:cs="Futura PT Bold"/>
      <w:b/>
      <w:bCs/>
      <w:sz w:val="16"/>
      <w:szCs w:val="16"/>
    </w:rPr>
  </w:style>
  <w:style w:type="paragraph" w:styleId="Heading6">
    <w:name w:val="heading 6"/>
    <w:basedOn w:val="Normal"/>
    <w:uiPriority w:val="1"/>
    <w:qFormat/>
    <w:rsid w:val="008D2169"/>
    <w:pPr>
      <w:spacing w:before="91"/>
      <w:ind w:left="102"/>
      <w:outlineLvl w:val="5"/>
    </w:pPr>
    <w:rPr>
      <w:rFonts w:ascii="Futura PT Demi" w:eastAsia="Futura PT Bold" w:hAnsi="Futura PT Demi" w:cs="Futura PT Bold"/>
      <w:bCs/>
      <w:color w:val="7F7F7F"/>
      <w:sz w:val="16"/>
      <w:szCs w:val="16"/>
    </w:rPr>
  </w:style>
  <w:style w:type="paragraph" w:styleId="Heading7">
    <w:name w:val="heading 7"/>
    <w:basedOn w:val="Normal"/>
    <w:uiPriority w:val="1"/>
    <w:qFormat/>
    <w:pPr>
      <w:ind w:left="113"/>
      <w:outlineLvl w:val="6"/>
    </w:pPr>
    <w:rPr>
      <w:rFonts w:ascii="Futura PT Demi" w:eastAsia="Futura PT Demi" w:hAnsi="Futura PT Demi" w:cs="Futura PT Demi"/>
      <w:sz w:val="24"/>
      <w:szCs w:val="24"/>
    </w:rPr>
  </w:style>
  <w:style w:type="paragraph" w:styleId="Heading8">
    <w:name w:val="heading 8"/>
    <w:basedOn w:val="Normal"/>
    <w:uiPriority w:val="1"/>
    <w:qFormat/>
    <w:pPr>
      <w:spacing w:line="278" w:lineRule="exact"/>
      <w:ind w:left="103"/>
      <w:outlineLvl w:val="7"/>
    </w:pPr>
  </w:style>
  <w:style w:type="paragraph" w:styleId="Heading9">
    <w:name w:val="heading 9"/>
    <w:basedOn w:val="Normal"/>
    <w:uiPriority w:val="1"/>
    <w:qFormat/>
    <w:pPr>
      <w:outlineLvl w:val="8"/>
    </w:pPr>
    <w:rPr>
      <w:rFonts w:ascii="Futura PT Bold" w:eastAsia="Futura PT Bold" w:hAnsi="Futura PT Bold" w:cs="Futura PT 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66052B"/>
    <w:pPr>
      <w:spacing w:before="100" w:beforeAutospacing="1" w:after="100" w:afterAutospacing="1"/>
      <w:ind w:left="669" w:hanging="567"/>
    </w:pPr>
    <w:rPr>
      <w:rFonts w:ascii="Futura PT Bold" w:eastAsia="Futura PT Bold" w:hAnsi="Futura PT Bold" w:cs="Futura PT Bold"/>
      <w:b/>
      <w:bCs/>
      <w:color w:val="7EC352"/>
    </w:rPr>
  </w:style>
  <w:style w:type="paragraph" w:styleId="TOC2">
    <w:name w:val="toc 2"/>
    <w:basedOn w:val="Normal"/>
    <w:uiPriority w:val="39"/>
    <w:qFormat/>
    <w:rsid w:val="0066052B"/>
    <w:pPr>
      <w:spacing w:before="100" w:beforeAutospacing="1" w:after="100" w:afterAutospacing="1"/>
      <w:ind w:left="454"/>
    </w:pPr>
    <w:rPr>
      <w:rFonts w:ascii="Futura PT Demi" w:hAnsi="Futura PT Demi"/>
      <w:color w:val="003E2D"/>
      <w:sz w:val="18"/>
      <w:szCs w:val="19"/>
    </w:rPr>
  </w:style>
  <w:style w:type="paragraph" w:styleId="BodyText">
    <w:name w:val="Body Text"/>
    <w:basedOn w:val="Normal"/>
    <w:uiPriority w:val="1"/>
    <w:qFormat/>
    <w:rsid w:val="00B80667"/>
    <w:pPr>
      <w:spacing w:after="240"/>
    </w:pPr>
    <w:rPr>
      <w:color w:val="7F7F7F"/>
      <w:sz w:val="19"/>
      <w:szCs w:val="19"/>
    </w:rPr>
  </w:style>
  <w:style w:type="paragraph" w:styleId="ListParagraph">
    <w:name w:val="List Paragraph"/>
    <w:basedOn w:val="Normal"/>
    <w:uiPriority w:val="1"/>
    <w:qFormat/>
    <w:rsid w:val="009B28EE"/>
    <w:pPr>
      <w:spacing w:after="240"/>
      <w:ind w:left="329" w:hanging="227"/>
    </w:pPr>
  </w:style>
  <w:style w:type="paragraph" w:customStyle="1" w:styleId="TableParagraph">
    <w:name w:val="Table Paragraph"/>
    <w:basedOn w:val="Normal"/>
    <w:uiPriority w:val="1"/>
    <w:qFormat/>
    <w:pPr>
      <w:spacing w:before="16"/>
    </w:pPr>
  </w:style>
  <w:style w:type="character" w:styleId="BookTitle">
    <w:name w:val="Book Title"/>
    <w:uiPriority w:val="33"/>
    <w:qFormat/>
    <w:rsid w:val="009B28EE"/>
    <w:rPr>
      <w:b/>
      <w:bCs/>
      <w:i/>
      <w:iCs/>
      <w:spacing w:val="5"/>
    </w:rPr>
  </w:style>
  <w:style w:type="paragraph" w:styleId="TOCHeading">
    <w:name w:val="TOC Heading"/>
    <w:basedOn w:val="Heading1"/>
    <w:next w:val="Normal"/>
    <w:uiPriority w:val="39"/>
    <w:unhideWhenUsed/>
    <w:qFormat/>
    <w:rsid w:val="00E314B6"/>
    <w:pPr>
      <w:keepNext/>
      <w:keepLines/>
      <w:widowControl/>
      <w:autoSpaceDE/>
      <w:autoSpaceDN/>
      <w:spacing w:before="240" w:beforeAutospacing="0" w:after="0" w:line="259" w:lineRule="auto"/>
      <w:outlineLvl w:val="9"/>
    </w:pPr>
    <w:rPr>
      <w:rFonts w:ascii="Cambria" w:eastAsia="Times New Roman" w:hAnsi="Cambria" w:cs="Times New Roman"/>
      <w:b w:val="0"/>
      <w:bCs w:val="0"/>
      <w:color w:val="365F91"/>
      <w:spacing w:val="0"/>
      <w:sz w:val="32"/>
      <w:szCs w:val="32"/>
    </w:rPr>
  </w:style>
  <w:style w:type="paragraph" w:styleId="TOC3">
    <w:name w:val="toc 3"/>
    <w:basedOn w:val="Normal"/>
    <w:next w:val="Normal"/>
    <w:autoRedefine/>
    <w:uiPriority w:val="39"/>
    <w:unhideWhenUsed/>
    <w:rsid w:val="0066052B"/>
    <w:pPr>
      <w:spacing w:before="100" w:beforeAutospacing="1" w:after="100" w:afterAutospacing="1"/>
      <w:ind w:left="454"/>
    </w:pPr>
    <w:rPr>
      <w:color w:val="7F7F7F"/>
      <w:sz w:val="18"/>
    </w:rPr>
  </w:style>
  <w:style w:type="character" w:styleId="Hyperlink">
    <w:name w:val="Hyperlink"/>
    <w:uiPriority w:val="99"/>
    <w:unhideWhenUsed/>
    <w:rsid w:val="00E314B6"/>
    <w:rPr>
      <w:color w:val="0000FF"/>
      <w:u w:val="single"/>
    </w:rPr>
  </w:style>
  <w:style w:type="paragraph" w:styleId="TOC4">
    <w:name w:val="toc 4"/>
    <w:basedOn w:val="Normal"/>
    <w:next w:val="Normal"/>
    <w:autoRedefine/>
    <w:uiPriority w:val="39"/>
    <w:unhideWhenUsed/>
    <w:rsid w:val="0066052B"/>
    <w:pPr>
      <w:widowControl/>
      <w:autoSpaceDE/>
      <w:autoSpaceDN/>
      <w:spacing w:after="100" w:line="259"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66052B"/>
    <w:pPr>
      <w:widowControl/>
      <w:autoSpaceDE/>
      <w:autoSpaceDN/>
      <w:spacing w:after="100" w:line="259"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66052B"/>
    <w:pPr>
      <w:widowControl/>
      <w:autoSpaceDE/>
      <w:autoSpaceDN/>
      <w:spacing w:after="100" w:line="259"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66052B"/>
    <w:pPr>
      <w:widowControl/>
      <w:autoSpaceDE/>
      <w:autoSpaceDN/>
      <w:spacing w:after="100" w:line="259"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66052B"/>
    <w:pPr>
      <w:widowControl/>
      <w:autoSpaceDE/>
      <w:autoSpaceDN/>
      <w:spacing w:after="100" w:line="259"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66052B"/>
    <w:pPr>
      <w:widowControl/>
      <w:autoSpaceDE/>
      <w:autoSpaceDN/>
      <w:spacing w:after="100" w:line="259" w:lineRule="auto"/>
      <w:ind w:left="1760"/>
    </w:pPr>
    <w:rPr>
      <w:rFonts w:ascii="Calibri" w:eastAsia="Times New Roman" w:hAnsi="Calibri" w:cs="Times New Roman"/>
    </w:rPr>
  </w:style>
  <w:style w:type="paragraph" w:customStyle="1" w:styleId="Tableheader">
    <w:name w:val="Table header"/>
    <w:basedOn w:val="Normal"/>
    <w:link w:val="TableheaderChar"/>
    <w:uiPriority w:val="1"/>
    <w:qFormat/>
    <w:rsid w:val="007557A3"/>
    <w:pPr>
      <w:spacing w:line="223" w:lineRule="auto"/>
      <w:ind w:left="154" w:right="20" w:hanging="80"/>
      <w:jc w:val="right"/>
    </w:pPr>
    <w:rPr>
      <w:rFonts w:ascii="Futura PT Demi"/>
      <w:color w:val="FFFFFF"/>
      <w:sz w:val="16"/>
    </w:rPr>
  </w:style>
  <w:style w:type="character" w:customStyle="1" w:styleId="TableheaderChar">
    <w:name w:val="Table header Char"/>
    <w:link w:val="Tableheader"/>
    <w:uiPriority w:val="1"/>
    <w:rsid w:val="007557A3"/>
    <w:rPr>
      <w:rFonts w:ascii="Futura PT Demi" w:eastAsia="Futura PT Book" w:hAnsi="Futura PT Book" w:cs="Futura PT Book"/>
      <w:color w:val="FFFFF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hpa.gov.au/" TargetMode="External"/><Relationship Id="rId13" Type="http://schemas.openxmlformats.org/officeDocument/2006/relationships/image" Target="media/image2.png"/><Relationship Id="rId18" Type="http://schemas.openxmlformats.org/officeDocument/2006/relationships/hyperlink" Target="http://www.ihpa.gov.au/what-we-do/classifications" TargetMode="External"/><Relationship Id="rId26" Type="http://schemas.openxmlformats.org/officeDocument/2006/relationships/image" Target="media/image5.jpeg"/><Relationship Id="rId39" Type="http://schemas.openxmlformats.org/officeDocument/2006/relationships/hyperlink" Target="mailto:enquiries.ihpa@ihpa.gov.au" TargetMode="External"/><Relationship Id="rId3" Type="http://schemas.openxmlformats.org/officeDocument/2006/relationships/styles" Target="styles.xml"/><Relationship Id="rId21" Type="http://schemas.openxmlformats.org/officeDocument/2006/relationships/hyperlink" Target="http://www.ihpa.gov.au/what-we-do/data-collection" TargetMode="External"/><Relationship Id="rId34" Type="http://schemas.openxmlformats.org/officeDocument/2006/relationships/hyperlink" Target="https://www.ihpa.gov.au/publications" TargetMode="External"/><Relationship Id="rId42" Type="http://schemas.openxmlformats.org/officeDocument/2006/relationships/fontTable" Target="fontTable.xml"/><Relationship Id="rId7" Type="http://schemas.openxmlformats.org/officeDocument/2006/relationships/hyperlink" Target="mailto:communications.ihpa@ihpa.gov.au" TargetMode="External"/><Relationship Id="rId12" Type="http://schemas.openxmlformats.org/officeDocument/2006/relationships/hyperlink" Target="http://www.youtube.com/c/IhpaGovAu" TargetMode="External"/><Relationship Id="rId17" Type="http://schemas.openxmlformats.org/officeDocument/2006/relationships/hyperlink" Target="https://www.ihpa.gov.au/consultation/consultation-paper-pricing-framework-australian-public-hospital-services-2017-18" TargetMode="External"/><Relationship Id="rId25" Type="http://schemas.openxmlformats.org/officeDocument/2006/relationships/image" Target="media/image4.jpg"/><Relationship Id="rId33" Type="http://schemas.openxmlformats.org/officeDocument/2006/relationships/image" Target="media/image12.png"/><Relationship Id="rId38" Type="http://schemas.openxmlformats.org/officeDocument/2006/relationships/hyperlink" Target="https://www.ihpa.gov.au/publications" TargetMode="External"/><Relationship Id="rId2" Type="http://schemas.openxmlformats.org/officeDocument/2006/relationships/numbering" Target="numbering.xml"/><Relationship Id="rId16" Type="http://schemas.openxmlformats.org/officeDocument/2006/relationships/hyperlink" Target="https://www.ihpa.gov.au/consultation/consultation-paper-pricing-framework-australian-public-hospital-services-2017-18" TargetMode="External"/><Relationship Id="rId20" Type="http://schemas.openxmlformats.org/officeDocument/2006/relationships/hyperlink" Target="http://www.ihpa.gov.au/what-we-do/data-collection" TargetMode="External"/><Relationship Id="rId29" Type="http://schemas.openxmlformats.org/officeDocument/2006/relationships/image" Target="media/image8.jp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linkedin.com/company/independent-hospital-pricing-authority" TargetMode="External"/><Relationship Id="rId24" Type="http://schemas.openxmlformats.org/officeDocument/2006/relationships/image" Target="media/image3.jpg"/><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hyperlink" Target="https://www.ihpa.gov.au/" TargetMode="External"/><Relationship Id="rId5" Type="http://schemas.openxmlformats.org/officeDocument/2006/relationships/webSettings" Target="webSettings.xml"/><Relationship Id="rId15" Type="http://schemas.openxmlformats.org/officeDocument/2006/relationships/hyperlink" Target="http://www.creativecommons.org/licenses/by/3.0/au" TargetMode="External"/><Relationship Id="rId23" Type="http://schemas.openxmlformats.org/officeDocument/2006/relationships/hyperlink" Target="http://www.ihpa.gov.au/what-we-do/pricing" TargetMode="External"/><Relationship Id="rId28" Type="http://schemas.openxmlformats.org/officeDocument/2006/relationships/image" Target="media/image7.jpg"/><Relationship Id="rId36" Type="http://schemas.openxmlformats.org/officeDocument/2006/relationships/image" Target="media/image14.jpeg"/><Relationship Id="rId10" Type="http://schemas.openxmlformats.org/officeDocument/2006/relationships/hyperlink" Target="http://www.twitter.com/IHPAnews" TargetMode="External"/><Relationship Id="rId19" Type="http://schemas.openxmlformats.org/officeDocument/2006/relationships/hyperlink" Target="http://www.ihpa.gov.au/what-we-do/classifications"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ihpa.gov.au/publications/annual-report-2016-17" TargetMode="External"/><Relationship Id="rId14" Type="http://schemas.openxmlformats.org/officeDocument/2006/relationships/hyperlink" Target="http://www.creativecommons.org/licenses/by/3.0/au" TargetMode="External"/><Relationship Id="rId22" Type="http://schemas.openxmlformats.org/officeDocument/2006/relationships/hyperlink" Target="http://www.ihpa.gov.au/what-we-do/costing"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5B79A-7316-4F81-953C-7186C8DC6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17612</Words>
  <Characters>100392</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Annual Report 2016-17</vt:lpstr>
    </vt:vector>
  </TitlesOfParts>
  <Company/>
  <LinksUpToDate>false</LinksUpToDate>
  <CharactersWithSpaces>117769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2016-17</dc:title>
  <dc:subject>Annual Report, 2016, 2017, 2016-17, Independent Hospital Pricing Authority</dc:subject>
  <dc:creator>Independent Hospital Pricing Authority</dc:creator>
  <cp:lastModifiedBy>Matt Tindale</cp:lastModifiedBy>
  <cp:revision>6</cp:revision>
  <dcterms:created xsi:type="dcterms:W3CDTF">2017-10-18T02:56:00Z</dcterms:created>
  <dcterms:modified xsi:type="dcterms:W3CDTF">2017-10-18T03:11:00Z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2017-10-17T00:00:00Z</vt:filetime>
  </property>
  <property fmtid="{D5CDD505-2E9C-101B-9397-08002B2CF9AE}" pid="3" name="Creator">
    <vt:lpwstr>Adobe InDesign CC 2017 (Windows)</vt:lpwstr>
  </property>
  <property fmtid="{D5CDD505-2E9C-101B-9397-08002B2CF9AE}" pid="4" name="LastSaved">
    <vt:filetime>2017-10-17T00:00:00Z</vt:filetime>
  </property>
</Properties>
</file>